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61723D">
      <w:pPr>
        <w:rPr>
          <w:rFonts w:hint="eastAsia" w:eastAsia="宋体"/>
          <w:color w:val="auto"/>
          <w:lang w:eastAsia="zh-CN"/>
        </w:rPr>
      </w:pPr>
      <w:r>
        <w:rPr>
          <w:color w:val="auto"/>
        </w:rPr>
        <w:drawing>
          <wp:inline distT="0" distB="0" distL="114300" distR="114300">
            <wp:extent cx="5603875" cy="8075295"/>
            <wp:effectExtent l="0" t="0" r="15875" b="1905"/>
            <wp:docPr id="85" name="图片 85" descr="封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封皮"/>
                    <pic:cNvPicPr>
                      <a:picLocks noChangeAspect="1"/>
                    </pic:cNvPicPr>
                  </pic:nvPicPr>
                  <pic:blipFill>
                    <a:blip r:embed="rId27"/>
                    <a:stretch>
                      <a:fillRect/>
                    </a:stretch>
                  </pic:blipFill>
                  <pic:spPr>
                    <a:xfrm>
                      <a:off x="0" y="0"/>
                      <a:ext cx="5603875" cy="8075295"/>
                    </a:xfrm>
                    <a:prstGeom prst="rect">
                      <a:avLst/>
                    </a:prstGeom>
                  </pic:spPr>
                </pic:pic>
              </a:graphicData>
            </a:graphic>
          </wp:inline>
        </w:drawing>
      </w:r>
      <w:r>
        <w:rPr>
          <w:color w:val="auto"/>
        </w:rPr>
        <w:drawing>
          <wp:inline distT="0" distB="0" distL="114300" distR="114300">
            <wp:extent cx="5581650" cy="7915275"/>
            <wp:effectExtent l="0" t="0" r="0" b="9525"/>
            <wp:docPr id="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3"/>
                    <pic:cNvPicPr>
                      <a:picLocks noChangeAspect="1"/>
                    </pic:cNvPicPr>
                  </pic:nvPicPr>
                  <pic:blipFill>
                    <a:blip r:embed="rId28"/>
                    <a:stretch>
                      <a:fillRect/>
                    </a:stretch>
                  </pic:blipFill>
                  <pic:spPr>
                    <a:xfrm>
                      <a:off x="0" y="0"/>
                      <a:ext cx="5581650" cy="7915275"/>
                    </a:xfrm>
                    <a:prstGeom prst="rect">
                      <a:avLst/>
                    </a:prstGeom>
                    <a:noFill/>
                    <a:ln>
                      <a:noFill/>
                    </a:ln>
                  </pic:spPr>
                </pic:pic>
              </a:graphicData>
            </a:graphic>
          </wp:inline>
        </w:drawing>
      </w:r>
      <w:r>
        <w:rPr>
          <w:sz w:val="21"/>
        </w:rPr>
        <mc:AlternateContent>
          <mc:Choice Requires="wps">
            <w:drawing>
              <wp:anchor distT="0" distB="0" distL="114300" distR="114300" simplePos="0" relativeHeight="251820032" behindDoc="0" locked="0" layoutInCell="1" allowOverlap="1">
                <wp:simplePos x="0" y="0"/>
                <wp:positionH relativeFrom="column">
                  <wp:posOffset>3440430</wp:posOffset>
                </wp:positionH>
                <wp:positionV relativeFrom="paragraph">
                  <wp:posOffset>1016635</wp:posOffset>
                </wp:positionV>
                <wp:extent cx="1590675" cy="1503680"/>
                <wp:effectExtent l="0" t="0" r="9525" b="1270"/>
                <wp:wrapNone/>
                <wp:docPr id="222" name="矩形 222"/>
                <wp:cNvGraphicFramePr/>
                <a:graphic xmlns:a="http://schemas.openxmlformats.org/drawingml/2006/main">
                  <a:graphicData uri="http://schemas.microsoft.com/office/word/2010/wordprocessingShape">
                    <wps:wsp>
                      <wps:cNvSpPr/>
                      <wps:spPr>
                        <a:xfrm>
                          <a:off x="0" y="0"/>
                          <a:ext cx="1590675" cy="150368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0.9pt;margin-top:80.05pt;height:118.4pt;width:125.25pt;z-index:251820032;v-text-anchor:middle;mso-width-relative:page;mso-height-relative:page;" fillcolor="#FFFFFF [3212]" filled="t" stroked="f" coordsize="21600,21600" o:gfxdata="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mB7pf2QAAAAsBAAAPAAAAAAAAAAEAIAAAACIAAABkcnMvZG93&#10;bnJldi54bWxQSwECFAAUAAAACACHTuJAcyaSOHECAADRBAAADgAAAAAAAAABACAAAAAoAQAAZHJz&#10;L2Uyb0RvYy54bWxQSwUGAAAAAAYABgBZAQAACwYAAAAA&#10;">
                <v:fill on="t" focussize="0,0"/>
                <v:stroke on="f" endarrow="open"/>
                <v:imagedata o:title=""/>
                <o:lock v:ext="edit" aspectratio="f"/>
              </v:rect>
            </w:pict>
          </mc:Fallback>
        </mc:AlternateContent>
      </w:r>
      <w:r>
        <w:rPr>
          <w:sz w:val="21"/>
        </w:rPr>
        <w:drawing>
          <wp:inline distT="0" distB="0" distL="114300" distR="114300">
            <wp:extent cx="8140065" cy="5753100"/>
            <wp:effectExtent l="0" t="0" r="0" b="13335"/>
            <wp:docPr id="221" name="图片 221" descr="cbea349c676cf62202d0ddb33665b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cbea349c676cf62202d0ddb33665b070"/>
                    <pic:cNvPicPr>
                      <a:picLocks noChangeAspect="1"/>
                    </pic:cNvPicPr>
                  </pic:nvPicPr>
                  <pic:blipFill>
                    <a:blip r:embed="rId29"/>
                    <a:stretch>
                      <a:fillRect/>
                    </a:stretch>
                  </pic:blipFill>
                  <pic:spPr>
                    <a:xfrm rot="16200000">
                      <a:off x="0" y="0"/>
                      <a:ext cx="8140065" cy="5753100"/>
                    </a:xfrm>
                    <a:prstGeom prst="rect">
                      <a:avLst/>
                    </a:prstGeom>
                  </pic:spPr>
                </pic:pic>
              </a:graphicData>
            </a:graphic>
          </wp:inline>
        </w:drawing>
      </w:r>
      <w:r>
        <w:rPr>
          <w:sz w:val="21"/>
        </w:rPr>
        <mc:AlternateContent>
          <mc:Choice Requires="wps">
            <w:drawing>
              <wp:anchor distT="0" distB="0" distL="114300" distR="114300" simplePos="0" relativeHeight="251816960" behindDoc="0" locked="0" layoutInCell="1" allowOverlap="1">
                <wp:simplePos x="0" y="0"/>
                <wp:positionH relativeFrom="column">
                  <wp:posOffset>3459480</wp:posOffset>
                </wp:positionH>
                <wp:positionV relativeFrom="paragraph">
                  <wp:posOffset>2273935</wp:posOffset>
                </wp:positionV>
                <wp:extent cx="1590675" cy="1503680"/>
                <wp:effectExtent l="0" t="0" r="9525" b="1270"/>
                <wp:wrapNone/>
                <wp:docPr id="217" name="矩形 217"/>
                <wp:cNvGraphicFramePr/>
                <a:graphic xmlns:a="http://schemas.openxmlformats.org/drawingml/2006/main">
                  <a:graphicData uri="http://schemas.microsoft.com/office/word/2010/wordprocessingShape">
                    <wps:wsp>
                      <wps:cNvSpPr/>
                      <wps:spPr>
                        <a:xfrm>
                          <a:off x="0" y="0"/>
                          <a:ext cx="1590675" cy="150368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2.4pt;margin-top:179.05pt;height:118.4pt;width:125.25pt;z-index:251816960;v-text-anchor:middle;mso-width-relative:page;mso-height-relative:page;" fillcolor="#FFFFFF [3212]" filled="t" stroked="f" coordsize="21600,21600" o:gfxdata="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Fxg3j2QAAAAsBAAAPAAAAAAAAAAEAIAAAACIAAABkcnMvZG93&#10;bnJldi54bWxQSwECFAAUAAAACACHTuJAVojQrnECAADRBAAADgAAAAAAAAABACAAAAAoAQAAZHJz&#10;L2Uyb0RvYy54bWxQSwUGAAAAAAYABgBZAQAACwYAAAAA&#10;">
                <v:fill on="t" focussize="0,0"/>
                <v:stroke on="f" endarrow="open"/>
                <v:imagedata o:title=""/>
                <o:lock v:ext="edit" aspectratio="f"/>
              </v:rect>
            </w:pict>
          </mc:Fallback>
        </mc:AlternateContent>
      </w:r>
      <w:r>
        <w:rPr>
          <w:rFonts w:hint="eastAsia" w:eastAsia="宋体"/>
          <w:color w:val="auto"/>
          <w:lang w:eastAsia="zh-CN"/>
        </w:rPr>
        <w:drawing>
          <wp:inline distT="0" distB="0" distL="114300" distR="114300">
            <wp:extent cx="5615305" cy="4038600"/>
            <wp:effectExtent l="0" t="0" r="4445" b="0"/>
            <wp:docPr id="211" name="图片 211" descr="ff9fe011d5a2f08d299537c1c5b0c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ff9fe011d5a2f08d299537c1c5b0c2db"/>
                    <pic:cNvPicPr>
                      <a:picLocks noChangeAspect="1"/>
                    </pic:cNvPicPr>
                  </pic:nvPicPr>
                  <pic:blipFill>
                    <a:blip r:embed="rId30"/>
                    <a:stretch>
                      <a:fillRect/>
                    </a:stretch>
                  </pic:blipFill>
                  <pic:spPr>
                    <a:xfrm>
                      <a:off x="0" y="0"/>
                      <a:ext cx="5615305" cy="4038600"/>
                    </a:xfrm>
                    <a:prstGeom prst="rect">
                      <a:avLst/>
                    </a:prstGeom>
                  </pic:spPr>
                </pic:pic>
              </a:graphicData>
            </a:graphic>
          </wp:inline>
        </w:drawing>
      </w:r>
    </w:p>
    <w:p w14:paraId="049A2895">
      <w:pPr>
        <w:rPr>
          <w:color w:val="auto"/>
        </w:rPr>
      </w:pPr>
    </w:p>
    <w:p w14:paraId="63E917F4">
      <w:pPr>
        <w:rPr>
          <w:rFonts w:hint="eastAsia" w:eastAsia="宋体"/>
          <w:color w:val="auto"/>
          <w:lang w:eastAsia="zh-CN"/>
        </w:rPr>
      </w:pPr>
      <w:r>
        <w:rPr>
          <w:sz w:val="21"/>
        </w:rPr>
        <mc:AlternateContent>
          <mc:Choice Requires="wps">
            <w:drawing>
              <wp:anchor distT="0" distB="0" distL="114300" distR="114300" simplePos="0" relativeHeight="251817984" behindDoc="0" locked="0" layoutInCell="1" allowOverlap="1">
                <wp:simplePos x="0" y="0"/>
                <wp:positionH relativeFrom="column">
                  <wp:posOffset>773430</wp:posOffset>
                </wp:positionH>
                <wp:positionV relativeFrom="paragraph">
                  <wp:posOffset>1787525</wp:posOffset>
                </wp:positionV>
                <wp:extent cx="1800225" cy="1503680"/>
                <wp:effectExtent l="0" t="0" r="9525" b="1270"/>
                <wp:wrapNone/>
                <wp:docPr id="218" name="矩形 218"/>
                <wp:cNvGraphicFramePr/>
                <a:graphic xmlns:a="http://schemas.openxmlformats.org/drawingml/2006/main">
                  <a:graphicData uri="http://schemas.microsoft.com/office/word/2010/wordprocessingShape">
                    <wps:wsp>
                      <wps:cNvSpPr/>
                      <wps:spPr>
                        <a:xfrm>
                          <a:off x="0" y="0"/>
                          <a:ext cx="1800225" cy="150368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9pt;margin-top:140.75pt;height:118.4pt;width:141.75pt;z-index:251817984;v-text-anchor:middle;mso-width-relative:page;mso-height-relative:page;" fillcolor="#FFFFFF [3212]" filled="t" stroked="f" coordsize="21600,21600" o:gfxdata="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qZqD42AAAAAsBAAAPAAAAAAAAAAEAIAAAACIAAABkcnMvZG93bnJl&#10;di54bWxQSwECFAAUAAAACACHTuJAZGt19G8CAADRBAAADgAAAAAAAAABACAAAAAnAQAAZHJzL2Uy&#10;b0RvYy54bWxQSwUGAAAAAAYABgBZAQAACAYAAAAA&#10;">
                <v:fill on="t" focussize="0,0"/>
                <v:stroke on="f" endarrow="open"/>
                <v:imagedata o:title=""/>
                <o:lock v:ext="edit" aspectratio="f"/>
              </v:rect>
            </w:pict>
          </mc:Fallback>
        </mc:AlternateContent>
      </w:r>
      <w:r>
        <w:rPr>
          <w:sz w:val="21"/>
        </w:rPr>
        <mc:AlternateContent>
          <mc:Choice Requires="wps">
            <w:drawing>
              <wp:anchor distT="0" distB="0" distL="114300" distR="114300" simplePos="0" relativeHeight="251819008" behindDoc="0" locked="0" layoutInCell="1" allowOverlap="1">
                <wp:simplePos x="0" y="0"/>
                <wp:positionH relativeFrom="column">
                  <wp:posOffset>3307080</wp:posOffset>
                </wp:positionH>
                <wp:positionV relativeFrom="paragraph">
                  <wp:posOffset>1749425</wp:posOffset>
                </wp:positionV>
                <wp:extent cx="1800225" cy="1503680"/>
                <wp:effectExtent l="0" t="0" r="9525" b="1270"/>
                <wp:wrapNone/>
                <wp:docPr id="219" name="矩形 219"/>
                <wp:cNvGraphicFramePr/>
                <a:graphic xmlns:a="http://schemas.openxmlformats.org/drawingml/2006/main">
                  <a:graphicData uri="http://schemas.microsoft.com/office/word/2010/wordprocessingShape">
                    <wps:wsp>
                      <wps:cNvSpPr/>
                      <wps:spPr>
                        <a:xfrm>
                          <a:off x="0" y="0"/>
                          <a:ext cx="1800225" cy="150368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0.4pt;margin-top:137.75pt;height:118.4pt;width:141.75pt;z-index:251819008;v-text-anchor:middle;mso-width-relative:page;mso-height-relative:page;" fillcolor="#FFFFFF [3212]" filled="t" stroked="f" coordsize="21600,21600" o:gfxdata="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jZPcnZAAAACwEAAA8AAAAAAAAAAQAgAAAAIgAAAGRycy9kb3du&#10;cmV2LnhtbFBLAQIUABQAAAAIAIdO4kCI7zO9cAIAANEEAAAOAAAAAAAAAAEAIAAAACgBAABkcnMv&#10;ZTJvRG9jLnhtbFBLBQYAAAAABgAGAFkBAAAKBgAAAAA=&#10;">
                <v:fill on="t" focussize="0,0"/>
                <v:stroke on="f" endarrow="open"/>
                <v:imagedata o:title=""/>
                <o:lock v:ext="edit" aspectratio="f"/>
              </v:rect>
            </w:pict>
          </mc:Fallback>
        </mc:AlternateContent>
      </w:r>
      <w:r>
        <w:rPr>
          <w:rFonts w:hint="eastAsia" w:eastAsia="宋体"/>
          <w:color w:val="auto"/>
          <w:lang w:eastAsia="zh-CN"/>
        </w:rPr>
        <w:drawing>
          <wp:inline distT="0" distB="0" distL="114300" distR="114300">
            <wp:extent cx="5614035" cy="4082415"/>
            <wp:effectExtent l="0" t="0" r="5715" b="13335"/>
            <wp:docPr id="215" name="图片 215" descr="31108d628f0d2027333a75afd18ec4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31108d628f0d2027333a75afd18ec47c"/>
                    <pic:cNvPicPr>
                      <a:picLocks noChangeAspect="1"/>
                    </pic:cNvPicPr>
                  </pic:nvPicPr>
                  <pic:blipFill>
                    <a:blip r:embed="rId31"/>
                    <a:stretch>
                      <a:fillRect/>
                    </a:stretch>
                  </pic:blipFill>
                  <pic:spPr>
                    <a:xfrm>
                      <a:off x="0" y="0"/>
                      <a:ext cx="5614035" cy="4082415"/>
                    </a:xfrm>
                    <a:prstGeom prst="rect">
                      <a:avLst/>
                    </a:prstGeom>
                  </pic:spPr>
                </pic:pic>
              </a:graphicData>
            </a:graphic>
          </wp:inline>
        </w:drawing>
      </w:r>
    </w:p>
    <w:p w14:paraId="6F691055">
      <w:pPr>
        <w:rPr>
          <w:color w:val="auto"/>
        </w:rPr>
      </w:pPr>
    </w:p>
    <w:p w14:paraId="7C3D5851">
      <w:pPr>
        <w:rPr>
          <w:color w:val="auto"/>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29B4767">
      <w:pPr>
        <w:jc w:val="center"/>
        <w:rPr>
          <w:rFonts w:hint="default" w:ascii="Times New Roman" w:hAnsi="Times New Roman" w:cs="Times New Roman"/>
          <w:b/>
          <w:bCs/>
          <w:color w:val="auto"/>
          <w:sz w:val="36"/>
          <w:szCs w:val="36"/>
        </w:rPr>
      </w:pPr>
      <w:r>
        <w:rPr>
          <w:rFonts w:hint="default" w:ascii="Times New Roman" w:hAnsi="Times New Roman" w:cs="Times New Roman"/>
          <w:b/>
          <w:bCs/>
          <w:color w:val="auto"/>
          <w:sz w:val="36"/>
          <w:szCs w:val="36"/>
        </w:rPr>
        <w:t>目  录</w:t>
      </w:r>
    </w:p>
    <w:p w14:paraId="74CD2482">
      <w:pPr>
        <w:pStyle w:val="12"/>
        <w:spacing w:line="360" w:lineRule="auto"/>
        <w:ind w:left="0" w:leftChars="0" w:firstLine="0" w:firstLineChars="0"/>
        <w:rPr>
          <w:rFonts w:hint="default" w:ascii="Times New Roman" w:hAnsi="Times New Roman" w:eastAsia="宋体" w:cs="Times New Roman"/>
          <w:color w:val="auto"/>
          <w:sz w:val="24"/>
          <w:szCs w:val="24"/>
        </w:rPr>
      </w:pPr>
    </w:p>
    <w:p w14:paraId="1CB5A7C8">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"1-3" \h \u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_Toc13498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一、 建设项目基本情况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_Toc13498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1623DC7">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_Toc22419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二、 建设项目工程分析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_Toc22419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9A85264">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_Toc20042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三、区域环境质量现状、环境保护目标及评价标准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_Toc20042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83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4A242A0">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_Toc22929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四、主要环境影响和保护措施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_Toc22929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99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6BA9933">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_Toc490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五、 环境保护措施监督检查清单</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_Toc490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4EC2AA0">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_Toc8453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44"/>
          <w:sz w:val="24"/>
          <w:szCs w:val="24"/>
        </w:rPr>
        <w:t>六、结论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_Toc8453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F5DBEEA">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_Toc22321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_Toc22321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07C67EA">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_Toc9830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建设项目污染物排放量汇总表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_Toc9830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F233312">
      <w:pPr>
        <w:pStyle w:val="23"/>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_Toc7949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附件、附图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_Toc7949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3C39AC7">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_Toc4082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附件1 委托书</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_Toc4082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C4B2A91">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_Toc17319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附件2</w:t>
      </w:r>
      <w:r>
        <w:rPr>
          <w:rFonts w:hint="default" w:ascii="Times New Roman" w:hAnsi="Times New Roman" w:eastAsia="宋体" w:cs="Times New Roman"/>
          <w:color w:val="auto"/>
          <w:sz w:val="24"/>
          <w:szCs w:val="24"/>
        </w:rPr>
        <w:t>营业执照</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_Toc17319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FB44E32">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_Toc4233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附件</w:t>
      </w:r>
      <w:r>
        <w:rPr>
          <w:rFonts w:hint="default" w:ascii="Times New Roman" w:hAnsi="Times New Roman" w:eastAsia="宋体" w:cs="Times New Roman"/>
          <w:color w:val="auto"/>
          <w:sz w:val="24"/>
          <w:szCs w:val="24"/>
          <w:lang w:val="en-US" w:eastAsia="zh-CN"/>
        </w:rPr>
        <w:t>3土地证</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_Toc4233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139E163">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_Toc16464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附件4 民爆品生产经营许可证</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_Toc16464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CA76E03">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_Toc16994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附件5 生产能力变更手续</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_Toc16994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EE6A47B">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_Toc18918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附件6 辽宁省工业和信息化厅的批复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_Toc18918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FD9F926">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_Toc1120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附件</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 xml:space="preserve"> 现有项目</w:t>
      </w:r>
      <w:r>
        <w:rPr>
          <w:rFonts w:hint="default" w:ascii="Times New Roman" w:hAnsi="Times New Roman" w:eastAsia="宋体" w:cs="Times New Roman"/>
          <w:color w:val="auto"/>
          <w:sz w:val="24"/>
          <w:szCs w:val="24"/>
          <w:lang w:val="en-US" w:eastAsia="zh-CN"/>
        </w:rPr>
        <w:t>环评及验收手续</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_Toc1120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C2E77BC">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_Toc13138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附件</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 xml:space="preserve"> </w:t>
      </w:r>
      <w:r>
        <w:rPr>
          <w:rFonts w:hint="default" w:ascii="Times New Roman" w:hAnsi="Times New Roman" w:eastAsia="宋体" w:cs="Times New Roman"/>
          <w:color w:val="auto"/>
          <w:sz w:val="24"/>
          <w:szCs w:val="24"/>
          <w:lang w:val="en-US" w:eastAsia="zh-CN"/>
        </w:rPr>
        <w:t>排污许可证</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_Toc13138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D777D2F">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_Toc22287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附件</w:t>
      </w:r>
      <w:r>
        <w:rPr>
          <w:rFonts w:hint="default"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 xml:space="preserve"> </w:t>
      </w:r>
      <w:r>
        <w:rPr>
          <w:rFonts w:hint="default" w:ascii="Times New Roman" w:hAnsi="Times New Roman" w:eastAsia="宋体" w:cs="Times New Roman"/>
          <w:color w:val="auto"/>
          <w:sz w:val="24"/>
          <w:szCs w:val="24"/>
          <w:lang w:val="en-US" w:eastAsia="zh-CN"/>
        </w:rPr>
        <w:t>应急预案备案表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_Toc22287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24B188C">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_Toc14095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附件10 取水证</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_Toc14095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A0EB780">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_Toc24213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附件11 喀喇沁左翼蒙古族自治县国土空间总体规划（2021—2035年）的批复</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_Toc24213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DED9FC6">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_Toc6425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highlight w:val="none"/>
        </w:rPr>
        <w:t>附件</w:t>
      </w: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 xml:space="preserve"> 三线一单查询结果</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_Toc6425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0411178">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_Toc15377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w:t>
      </w: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 xml:space="preserve"> 危险废物处置协议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_Toc15377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3D13F08">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_Toc5484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 xml:space="preserve"> 危险废物转移联单</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_Toc5484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1E4C10B">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_Toc27139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 xml:space="preserve"> 油墨MSDS</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_Toc27139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51AFDE2">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_Toc5115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w:t>
      </w:r>
      <w:r>
        <w:rPr>
          <w:rFonts w:hint="eastAsia"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 xml:space="preserve"> 油墨添加剂MSDS</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_Toc5115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5FB9A89">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_Toc461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w:t>
      </w:r>
      <w:r>
        <w:rPr>
          <w:rFonts w:hint="eastAsia" w:cs="Times New Roman"/>
          <w:color w:val="auto"/>
          <w:sz w:val="24"/>
          <w:szCs w:val="24"/>
          <w:lang w:val="en-US" w:eastAsia="zh-CN"/>
        </w:rPr>
        <w:t>7</w:t>
      </w:r>
      <w:r>
        <w:rPr>
          <w:rFonts w:hint="default" w:ascii="Times New Roman" w:hAnsi="Times New Roman" w:eastAsia="宋体" w:cs="Times New Roman"/>
          <w:color w:val="auto"/>
          <w:sz w:val="24"/>
          <w:szCs w:val="24"/>
          <w:lang w:val="en-US" w:eastAsia="zh-CN"/>
        </w:rPr>
        <w:t xml:space="preserve"> 油墨VOCS检测报告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_Toc461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7912B77">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_Toc3156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附件1</w:t>
      </w:r>
      <w:r>
        <w:rPr>
          <w:rFonts w:hint="eastAsia" w:cs="Times New Roman"/>
          <w:color w:val="auto"/>
          <w:sz w:val="24"/>
          <w:szCs w:val="24"/>
          <w:lang w:val="en-US" w:eastAsia="zh-CN"/>
        </w:rPr>
        <w:t>8</w:t>
      </w:r>
      <w:r>
        <w:rPr>
          <w:rFonts w:hint="default" w:ascii="Times New Roman" w:hAnsi="Times New Roman" w:eastAsia="宋体" w:cs="Times New Roman"/>
          <w:color w:val="auto"/>
          <w:sz w:val="24"/>
          <w:szCs w:val="24"/>
          <w:lang w:val="en-US" w:eastAsia="zh-CN"/>
        </w:rPr>
        <w:t xml:space="preserve">  油墨添加剂VOCS检测报告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_Toc3156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87F7F6A">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_Toc27452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w:t>
      </w:r>
      <w:r>
        <w:rPr>
          <w:rFonts w:hint="eastAsia" w:cs="Times New Roman"/>
          <w:color w:val="auto"/>
          <w:sz w:val="24"/>
          <w:szCs w:val="24"/>
          <w:lang w:val="en-US" w:eastAsia="zh-CN"/>
        </w:rPr>
        <w:t>19</w:t>
      </w:r>
      <w:r>
        <w:rPr>
          <w:rFonts w:hint="default" w:ascii="Times New Roman" w:hAnsi="Times New Roman" w:eastAsia="宋体" w:cs="Times New Roman"/>
          <w:color w:val="auto"/>
          <w:sz w:val="24"/>
          <w:szCs w:val="24"/>
          <w:lang w:val="en-US" w:eastAsia="zh-CN"/>
        </w:rPr>
        <w:t xml:space="preserve"> 引用环境质量检测报告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_Toc27452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8200EA6">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_Toc9150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附件2</w:t>
      </w:r>
      <w:r>
        <w:rPr>
          <w:rFonts w:hint="eastAsia" w:cs="Times New Roman"/>
          <w:color w:val="auto"/>
          <w:sz w:val="24"/>
          <w:szCs w:val="24"/>
          <w:lang w:val="en-US" w:eastAsia="zh-CN"/>
        </w:rPr>
        <w:t>0</w:t>
      </w:r>
      <w:r>
        <w:rPr>
          <w:rFonts w:hint="default" w:ascii="Times New Roman" w:hAnsi="Times New Roman" w:eastAsia="宋体" w:cs="Times New Roman"/>
          <w:color w:val="auto"/>
          <w:sz w:val="24"/>
          <w:szCs w:val="24"/>
          <w:lang w:val="en-US" w:eastAsia="zh-CN"/>
        </w:rPr>
        <w:t xml:space="preserve"> 本项目环境质量检测报告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_Toc9150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243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2FE2AF9">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_Toc18552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附件2</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 xml:space="preserve"> 引用现有项目检测报告</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_Toc18552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259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3C2EE7D">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_Toc17852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附图1  建设项目地理位置图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_Toc17852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09E8F92">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_Toc18702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附图2  项目四邻情况图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_Toc18702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93F05A1">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_Toc21869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kern w:val="2"/>
          <w:sz w:val="24"/>
          <w:szCs w:val="24"/>
          <w:lang w:val="en-US" w:eastAsia="zh-CN" w:bidi="ar-SA"/>
        </w:rPr>
        <w:t>附图3  本项目厂区平面布置图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_Toc21869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289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E6EFD31">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_Toc5696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4  扩建后</w:t>
      </w:r>
      <w:r>
        <w:rPr>
          <w:rFonts w:hint="default" w:ascii="Times New Roman" w:hAnsi="Times New Roman" w:eastAsia="宋体" w:cs="Times New Roman"/>
          <w:color w:val="auto"/>
          <w:sz w:val="24"/>
          <w:szCs w:val="24"/>
        </w:rPr>
        <w:t>总平面布置图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_Toc5696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C59282A">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_Toc26407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highlight w:val="none"/>
          <w:lang w:val="en-US" w:eastAsia="zh-CN"/>
        </w:rPr>
        <w:t>附图5  本项目分区防渗图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_Toc26407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1916912">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_Toc10941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 xml:space="preserve">  </w:t>
      </w:r>
      <w:r>
        <w:rPr>
          <w:rFonts w:hint="default"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rPr>
        <w:t>监测点位图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_Toc10941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4D39903">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_Toc11208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 xml:space="preserve">  保护目标图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_Toc11208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C353B79">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_Toc14642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lang w:val="en-US" w:eastAsia="zh-CN"/>
        </w:rPr>
        <w:t>附图8  水油相制备工房设备布置图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_Toc14642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C0F1DED">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_Toc17283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lang w:val="en-US" w:eastAsia="zh-CN"/>
        </w:rPr>
        <w:t>附图8  乳化炸药震源药柱生产工房设备布置图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_Toc17283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EE5F55E">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_Toc8278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 xml:space="preserve">  </w:t>
      </w:r>
      <w:r>
        <w:rPr>
          <w:rFonts w:hint="default" w:ascii="Times New Roman" w:hAnsi="Times New Roman" w:eastAsia="宋体" w:cs="Times New Roman"/>
          <w:color w:val="auto"/>
          <w:sz w:val="24"/>
          <w:szCs w:val="24"/>
          <w:lang w:val="en-US" w:eastAsia="zh-CN"/>
        </w:rPr>
        <w:t>喀左县国土空间总体规划-土地使用规划图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_Toc8278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D63D22E">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_Toc8283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附图10  废水输送管线图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_Toc8283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7563A04">
      <w:pPr>
        <w:pStyle w:val="27"/>
        <w:tabs>
          <w:tab w:val="right" w:leader="dot" w:pos="8958"/>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_Toc24502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lang w:val="en-US" w:eastAsia="zh-CN"/>
        </w:rPr>
        <w:t>附图11  冬季废水暂存池分布图</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_Toc24502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298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146FAAA">
      <w:pPr>
        <w:pStyle w:val="27"/>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end"/>
      </w:r>
    </w:p>
    <w:p w14:paraId="3E6B67BD">
      <w:pPr>
        <w:spacing w:line="360" w:lineRule="auto"/>
        <w:rPr>
          <w:rFonts w:hint="eastAsia" w:ascii="Times New Roman" w:hAnsi="Times New Roman" w:eastAsia="宋体" w:cs="Times New Roman"/>
          <w:color w:val="auto"/>
          <w:sz w:val="24"/>
          <w:szCs w:val="24"/>
          <w:lang w:val="en-US" w:eastAsia="zh-CN"/>
        </w:rPr>
      </w:pPr>
    </w:p>
    <w:p w14:paraId="57E28124">
      <w:pPr>
        <w:spacing w:line="360" w:lineRule="auto"/>
        <w:rPr>
          <w:rFonts w:hint="default" w:ascii="Times New Roman" w:hAnsi="Times New Roman" w:eastAsia="宋体" w:cs="Times New Roman"/>
          <w:color w:val="auto"/>
          <w:sz w:val="24"/>
          <w:szCs w:val="24"/>
        </w:rPr>
      </w:pPr>
    </w:p>
    <w:p w14:paraId="248FE6AE">
      <w:pPr>
        <w:pStyle w:val="41"/>
        <w:rPr>
          <w:rFonts w:hint="default" w:ascii="Times New Roman" w:hAnsi="Times New Roman" w:eastAsia="宋体" w:cs="Times New Roman"/>
          <w:color w:val="auto"/>
          <w:sz w:val="24"/>
          <w:szCs w:val="24"/>
        </w:rPr>
      </w:pPr>
    </w:p>
    <w:p w14:paraId="757F70E4">
      <w:pPr>
        <w:rPr>
          <w:rFonts w:hint="default" w:ascii="Times New Roman" w:hAnsi="Times New Roman" w:eastAsia="宋体" w:cs="Times New Roman"/>
          <w:color w:val="auto"/>
          <w:sz w:val="24"/>
          <w:szCs w:val="24"/>
        </w:rPr>
      </w:pPr>
    </w:p>
    <w:p w14:paraId="1DEA35C1">
      <w:pPr>
        <w:pStyle w:val="41"/>
        <w:rPr>
          <w:rFonts w:hint="default" w:ascii="Times New Roman" w:hAnsi="Times New Roman" w:eastAsia="宋体" w:cs="Times New Roman"/>
          <w:color w:val="auto"/>
          <w:sz w:val="24"/>
          <w:szCs w:val="24"/>
        </w:rPr>
      </w:pPr>
    </w:p>
    <w:p w14:paraId="13104CC1">
      <w:pPr>
        <w:rPr>
          <w:rFonts w:hint="default" w:ascii="Times New Roman" w:hAnsi="Times New Roman" w:eastAsia="宋体" w:cs="Times New Roman"/>
          <w:color w:val="auto"/>
          <w:sz w:val="24"/>
          <w:szCs w:val="24"/>
        </w:rPr>
      </w:pPr>
    </w:p>
    <w:p w14:paraId="525DDFCF">
      <w:pPr>
        <w:pStyle w:val="41"/>
        <w:rPr>
          <w:rFonts w:hint="default" w:ascii="Times New Roman" w:hAnsi="Times New Roman" w:eastAsia="宋体" w:cs="Times New Roman"/>
          <w:color w:val="auto"/>
          <w:sz w:val="24"/>
          <w:szCs w:val="24"/>
        </w:rPr>
      </w:pPr>
    </w:p>
    <w:p w14:paraId="0BA341A1">
      <w:pPr>
        <w:rPr>
          <w:rFonts w:hint="default" w:ascii="Times New Roman" w:hAnsi="Times New Roman" w:eastAsia="宋体" w:cs="Times New Roman"/>
          <w:color w:val="auto"/>
          <w:sz w:val="24"/>
          <w:szCs w:val="24"/>
        </w:rPr>
      </w:pPr>
    </w:p>
    <w:p w14:paraId="48B447D2">
      <w:pPr>
        <w:pStyle w:val="41"/>
        <w:rPr>
          <w:rFonts w:hint="default"/>
          <w:color w:val="auto"/>
        </w:rPr>
        <w:sectPr>
          <w:footerReference r:id="rId4" w:type="default"/>
          <w:pgSz w:w="11906" w:h="16838"/>
          <w:pgMar w:top="1701" w:right="1474" w:bottom="1701" w:left="1474"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5F68112C">
      <w:pPr>
        <w:pStyle w:val="2"/>
        <w:numPr>
          <w:ilvl w:val="0"/>
          <w:numId w:val="2"/>
        </w:numPr>
        <w:rPr>
          <w:color w:val="auto"/>
        </w:rPr>
      </w:pPr>
      <w:bookmarkStart w:id="0" w:name="_Toc29230"/>
      <w:bookmarkStart w:id="1" w:name="_Toc13498"/>
      <w:bookmarkStart w:id="2" w:name="_Toc31604"/>
      <w:r>
        <w:rPr>
          <w:rFonts w:hint="eastAsia"/>
          <w:color w:val="auto"/>
        </w:rPr>
        <w:t>建设项目基本情况</w:t>
      </w:r>
      <w:bookmarkEnd w:id="0"/>
      <w:bookmarkEnd w:id="1"/>
      <w:bookmarkEnd w:id="2"/>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57"/>
        <w:gridCol w:w="1013"/>
        <w:gridCol w:w="2235"/>
        <w:gridCol w:w="2204"/>
        <w:gridCol w:w="2630"/>
      </w:tblGrid>
      <w:tr w14:paraId="48FE9A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6955A35A">
            <w:pPr>
              <w:adjustRightInd w:val="0"/>
              <w:snapToGrid w:val="0"/>
              <w:jc w:val="center"/>
              <w:rPr>
                <w:color w:val="auto"/>
                <w:sz w:val="24"/>
              </w:rPr>
            </w:pPr>
            <w:r>
              <w:rPr>
                <w:color w:val="auto"/>
                <w:sz w:val="24"/>
              </w:rPr>
              <w:t>建设项目名称</w:t>
            </w:r>
          </w:p>
        </w:tc>
        <w:tc>
          <w:tcPr>
            <w:tcW w:w="7069" w:type="dxa"/>
            <w:gridSpan w:val="3"/>
            <w:vAlign w:val="center"/>
          </w:tcPr>
          <w:p w14:paraId="4A90AA11">
            <w:pPr>
              <w:jc w:val="center"/>
              <w:rPr>
                <w:rFonts w:hint="eastAsia"/>
                <w:color w:val="auto"/>
                <w:sz w:val="24"/>
              </w:rPr>
            </w:pPr>
            <w:r>
              <w:rPr>
                <w:rFonts w:hint="eastAsia"/>
                <w:color w:val="auto"/>
                <w:sz w:val="24"/>
              </w:rPr>
              <w:t>朝阳红山化工有限责任公司年产7000吨乳化炸药震源药柱生产线建设项目</w:t>
            </w:r>
          </w:p>
        </w:tc>
      </w:tr>
      <w:tr w14:paraId="5A278A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6B6D37A1">
            <w:pPr>
              <w:adjustRightInd w:val="0"/>
              <w:snapToGrid w:val="0"/>
              <w:jc w:val="center"/>
              <w:rPr>
                <w:color w:val="auto"/>
                <w:sz w:val="24"/>
              </w:rPr>
            </w:pPr>
            <w:r>
              <w:rPr>
                <w:color w:val="auto"/>
                <w:sz w:val="24"/>
              </w:rPr>
              <w:t>项目代码</w:t>
            </w:r>
          </w:p>
        </w:tc>
        <w:tc>
          <w:tcPr>
            <w:tcW w:w="7069" w:type="dxa"/>
            <w:gridSpan w:val="3"/>
            <w:vAlign w:val="center"/>
          </w:tcPr>
          <w:p w14:paraId="6CA2F4AB">
            <w:pPr>
              <w:adjustRightInd w:val="0"/>
              <w:snapToGrid w:val="0"/>
              <w:jc w:val="center"/>
              <w:rPr>
                <w:rFonts w:hint="eastAsia" w:eastAsia="宋体"/>
                <w:color w:val="auto"/>
                <w:sz w:val="24"/>
                <w:lang w:eastAsia="zh-CN"/>
              </w:rPr>
            </w:pPr>
            <w:r>
              <w:rPr>
                <w:rFonts w:hint="eastAsia"/>
                <w:color w:val="auto"/>
                <w:sz w:val="24"/>
                <w:lang w:val="en-US" w:eastAsia="zh-CN"/>
              </w:rPr>
              <w:t>/</w:t>
            </w:r>
          </w:p>
        </w:tc>
      </w:tr>
      <w:tr w14:paraId="049EB7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50209EB1">
            <w:pPr>
              <w:adjustRightInd w:val="0"/>
              <w:snapToGrid w:val="0"/>
              <w:jc w:val="center"/>
              <w:rPr>
                <w:color w:val="auto"/>
                <w:sz w:val="24"/>
              </w:rPr>
            </w:pPr>
            <w:r>
              <w:rPr>
                <w:color w:val="auto"/>
                <w:sz w:val="24"/>
              </w:rPr>
              <w:t>建设单位联系人</w:t>
            </w:r>
          </w:p>
        </w:tc>
        <w:tc>
          <w:tcPr>
            <w:tcW w:w="2235" w:type="dxa"/>
            <w:vAlign w:val="center"/>
          </w:tcPr>
          <w:p w14:paraId="5DF1DFFD">
            <w:pPr>
              <w:jc w:val="center"/>
              <w:rPr>
                <w:rFonts w:hint="default" w:eastAsia="宋体"/>
                <w:color w:val="auto"/>
                <w:sz w:val="24"/>
                <w:lang w:val="en-US" w:eastAsia="zh-CN"/>
              </w:rPr>
            </w:pPr>
            <w:r>
              <w:rPr>
                <w:rFonts w:hint="eastAsia"/>
                <w:color w:val="auto"/>
                <w:sz w:val="24"/>
                <w:lang w:val="en-US" w:eastAsia="zh-CN"/>
              </w:rPr>
              <w:t>赵永存</w:t>
            </w:r>
          </w:p>
        </w:tc>
        <w:tc>
          <w:tcPr>
            <w:tcW w:w="2204" w:type="dxa"/>
            <w:vAlign w:val="center"/>
          </w:tcPr>
          <w:p w14:paraId="1A7F8CED">
            <w:pPr>
              <w:jc w:val="center"/>
              <w:rPr>
                <w:color w:val="auto"/>
                <w:sz w:val="24"/>
              </w:rPr>
            </w:pPr>
            <w:r>
              <w:rPr>
                <w:color w:val="auto"/>
                <w:sz w:val="24"/>
              </w:rPr>
              <w:t>联系方式</w:t>
            </w:r>
          </w:p>
        </w:tc>
        <w:tc>
          <w:tcPr>
            <w:tcW w:w="2630" w:type="dxa"/>
            <w:vAlign w:val="center"/>
          </w:tcPr>
          <w:p w14:paraId="572D2702">
            <w:pPr>
              <w:jc w:val="center"/>
              <w:rPr>
                <w:color w:val="auto"/>
                <w:sz w:val="24"/>
              </w:rPr>
            </w:pPr>
            <w:r>
              <w:rPr>
                <w:rFonts w:hint="eastAsia"/>
                <w:color w:val="auto"/>
                <w:sz w:val="24"/>
              </w:rPr>
              <w:t>13130825909</w:t>
            </w:r>
          </w:p>
        </w:tc>
      </w:tr>
      <w:tr w14:paraId="33A7E4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2EF322E5">
            <w:pPr>
              <w:jc w:val="center"/>
              <w:rPr>
                <w:rFonts w:hint="eastAsia"/>
                <w:color w:val="auto"/>
                <w:sz w:val="24"/>
                <w:lang w:val="en-US" w:eastAsia="zh-CN"/>
              </w:rPr>
            </w:pPr>
            <w:r>
              <w:rPr>
                <w:rFonts w:hint="eastAsia"/>
                <w:color w:val="auto"/>
                <w:sz w:val="24"/>
                <w:lang w:val="en-US" w:eastAsia="zh-CN"/>
              </w:rPr>
              <w:t>建设地点</w:t>
            </w:r>
          </w:p>
        </w:tc>
        <w:tc>
          <w:tcPr>
            <w:tcW w:w="7069" w:type="dxa"/>
            <w:gridSpan w:val="3"/>
            <w:vAlign w:val="center"/>
          </w:tcPr>
          <w:p w14:paraId="28516A90">
            <w:pPr>
              <w:jc w:val="center"/>
              <w:rPr>
                <w:rFonts w:hint="eastAsia"/>
                <w:color w:val="auto"/>
                <w:sz w:val="24"/>
                <w:lang w:val="en-US" w:eastAsia="zh-CN"/>
              </w:rPr>
            </w:pPr>
            <w:r>
              <w:rPr>
                <w:rFonts w:hint="eastAsia"/>
                <w:color w:val="auto"/>
                <w:sz w:val="24"/>
                <w:lang w:val="en-US" w:eastAsia="zh-CN"/>
              </w:rPr>
              <w:t>辽宁省朝阳市喀左县大城子镇小城子村</w:t>
            </w:r>
          </w:p>
        </w:tc>
      </w:tr>
      <w:tr w14:paraId="62FB56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4D43AB17">
            <w:pPr>
              <w:adjustRightInd w:val="0"/>
              <w:snapToGrid w:val="0"/>
              <w:jc w:val="center"/>
              <w:rPr>
                <w:color w:val="auto"/>
                <w:sz w:val="24"/>
              </w:rPr>
            </w:pPr>
            <w:r>
              <w:rPr>
                <w:color w:val="auto"/>
                <w:sz w:val="24"/>
              </w:rPr>
              <w:t>地理坐标</w:t>
            </w:r>
          </w:p>
        </w:tc>
        <w:tc>
          <w:tcPr>
            <w:tcW w:w="7069" w:type="dxa"/>
            <w:gridSpan w:val="3"/>
            <w:vAlign w:val="center"/>
          </w:tcPr>
          <w:p w14:paraId="73F63AF9">
            <w:pPr>
              <w:jc w:val="center"/>
              <w:rPr>
                <w:color w:val="auto"/>
                <w:sz w:val="24"/>
              </w:rPr>
            </w:pPr>
            <w:r>
              <w:rPr>
                <w:color w:val="auto"/>
                <w:sz w:val="24"/>
              </w:rPr>
              <w:t>（</w:t>
            </w:r>
            <w:r>
              <w:rPr>
                <w:rFonts w:hint="eastAsia"/>
                <w:color w:val="auto"/>
                <w:sz w:val="24"/>
              </w:rPr>
              <w:t>119</w:t>
            </w:r>
            <w:r>
              <w:rPr>
                <w:color w:val="auto"/>
                <w:sz w:val="24"/>
              </w:rPr>
              <w:t>度</w:t>
            </w:r>
            <w:r>
              <w:rPr>
                <w:rFonts w:hint="eastAsia"/>
                <w:color w:val="auto"/>
                <w:sz w:val="24"/>
              </w:rPr>
              <w:t>42</w:t>
            </w:r>
            <w:r>
              <w:rPr>
                <w:color w:val="auto"/>
                <w:sz w:val="24"/>
              </w:rPr>
              <w:t>分</w:t>
            </w:r>
            <w:r>
              <w:rPr>
                <w:rFonts w:hint="eastAsia"/>
                <w:color w:val="auto"/>
                <w:sz w:val="24"/>
              </w:rPr>
              <w:t>59.152</w:t>
            </w:r>
            <w:r>
              <w:rPr>
                <w:color w:val="auto"/>
                <w:sz w:val="24"/>
              </w:rPr>
              <w:t>秒，</w:t>
            </w:r>
            <w:r>
              <w:rPr>
                <w:rFonts w:hint="eastAsia"/>
                <w:color w:val="auto"/>
                <w:sz w:val="24"/>
              </w:rPr>
              <w:t>41</w:t>
            </w:r>
            <w:r>
              <w:rPr>
                <w:color w:val="auto"/>
                <w:sz w:val="24"/>
              </w:rPr>
              <w:t>度</w:t>
            </w:r>
            <w:r>
              <w:rPr>
                <w:rFonts w:hint="eastAsia"/>
                <w:color w:val="auto"/>
                <w:sz w:val="24"/>
              </w:rPr>
              <w:t>8</w:t>
            </w:r>
            <w:r>
              <w:rPr>
                <w:color w:val="auto"/>
                <w:sz w:val="24"/>
              </w:rPr>
              <w:t>分</w:t>
            </w:r>
            <w:r>
              <w:rPr>
                <w:rFonts w:hint="eastAsia"/>
                <w:color w:val="auto"/>
                <w:sz w:val="24"/>
              </w:rPr>
              <w:t>54.090</w:t>
            </w:r>
            <w:r>
              <w:rPr>
                <w:color w:val="auto"/>
                <w:sz w:val="24"/>
              </w:rPr>
              <w:t>秒）</w:t>
            </w:r>
          </w:p>
        </w:tc>
      </w:tr>
      <w:tr w14:paraId="5B0250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313F0490">
            <w:pPr>
              <w:adjustRightInd w:val="0"/>
              <w:snapToGrid w:val="0"/>
              <w:jc w:val="center"/>
              <w:rPr>
                <w:color w:val="auto"/>
                <w:sz w:val="24"/>
              </w:rPr>
            </w:pPr>
            <w:r>
              <w:rPr>
                <w:color w:val="auto"/>
                <w:sz w:val="24"/>
              </w:rPr>
              <w:t>行业类别</w:t>
            </w:r>
          </w:p>
        </w:tc>
        <w:tc>
          <w:tcPr>
            <w:tcW w:w="2235" w:type="dxa"/>
            <w:vAlign w:val="center"/>
          </w:tcPr>
          <w:p w14:paraId="3CE5B9A1">
            <w:pPr>
              <w:adjustRightInd w:val="0"/>
              <w:snapToGrid w:val="0"/>
              <w:jc w:val="center"/>
              <w:rPr>
                <w:color w:val="auto"/>
                <w:szCs w:val="21"/>
              </w:rPr>
            </w:pPr>
            <w:r>
              <w:rPr>
                <w:rFonts w:eastAsia="Times New Roman"/>
                <w:color w:val="auto"/>
                <w:spacing w:val="-1"/>
                <w:sz w:val="24"/>
              </w:rPr>
              <w:t>C</w:t>
            </w:r>
            <w:r>
              <w:rPr>
                <w:rFonts w:hint="eastAsia" w:eastAsia="宋体"/>
                <w:color w:val="auto"/>
                <w:spacing w:val="-1"/>
                <w:sz w:val="24"/>
                <w:lang w:val="en-US" w:eastAsia="zh-CN"/>
              </w:rPr>
              <w:t>2671</w:t>
            </w:r>
            <w:r>
              <w:rPr>
                <w:rFonts w:eastAsia="Times New Roman"/>
                <w:color w:val="auto"/>
                <w:spacing w:val="-1"/>
                <w:sz w:val="24"/>
              </w:rPr>
              <w:t xml:space="preserve"> </w:t>
            </w:r>
            <w:r>
              <w:rPr>
                <w:rFonts w:hint="default" w:ascii="Times New Roman" w:hAnsi="Times New Roman" w:eastAsia="宋体" w:cs="Times New Roman"/>
                <w:color w:val="auto"/>
                <w:spacing w:val="2"/>
                <w:sz w:val="24"/>
                <w:szCs w:val="24"/>
              </w:rPr>
              <w:t>炸药及火工产品制造</w:t>
            </w:r>
          </w:p>
        </w:tc>
        <w:tc>
          <w:tcPr>
            <w:tcW w:w="2204" w:type="dxa"/>
            <w:vAlign w:val="center"/>
          </w:tcPr>
          <w:p w14:paraId="430EE261">
            <w:pPr>
              <w:adjustRightInd w:val="0"/>
              <w:snapToGrid w:val="0"/>
              <w:jc w:val="center"/>
              <w:rPr>
                <w:color w:val="auto"/>
                <w:szCs w:val="21"/>
              </w:rPr>
            </w:pPr>
            <w:bookmarkStart w:id="3" w:name="_Hlk49843745"/>
            <w:r>
              <w:rPr>
                <w:color w:val="auto"/>
                <w:szCs w:val="21"/>
              </w:rPr>
              <w:t>建设项目</w:t>
            </w:r>
          </w:p>
          <w:p w14:paraId="7C2907A8">
            <w:pPr>
              <w:adjustRightInd w:val="0"/>
              <w:snapToGrid w:val="0"/>
              <w:jc w:val="center"/>
              <w:rPr>
                <w:color w:val="auto"/>
                <w:szCs w:val="21"/>
              </w:rPr>
            </w:pPr>
            <w:r>
              <w:rPr>
                <w:color w:val="auto"/>
                <w:szCs w:val="21"/>
              </w:rPr>
              <w:t>行业类别</w:t>
            </w:r>
            <w:bookmarkEnd w:id="3"/>
          </w:p>
        </w:tc>
        <w:tc>
          <w:tcPr>
            <w:tcW w:w="2630" w:type="dxa"/>
            <w:vAlign w:val="center"/>
          </w:tcPr>
          <w:p w14:paraId="4F4B32CA">
            <w:pPr>
              <w:adjustRightInd w:val="0"/>
              <w:snapToGrid w:val="0"/>
              <w:jc w:val="center"/>
              <w:rPr>
                <w:rFonts w:ascii="Times New Roman" w:hAnsi="Times New Roman" w:cs="Times New Roman"/>
                <w:color w:val="auto"/>
                <w:sz w:val="21"/>
                <w:szCs w:val="21"/>
                <w:lang w:eastAsia="zh-CN"/>
              </w:rPr>
            </w:pPr>
            <w:r>
              <w:rPr>
                <w:rFonts w:ascii="Times New Roman" w:hAnsi="Times New Roman" w:eastAsia="Times New Roman" w:cs="Times New Roman"/>
                <w:color w:val="auto"/>
                <w:spacing w:val="-1"/>
                <w:sz w:val="24"/>
                <w:lang w:eastAsia="zh-CN"/>
              </w:rPr>
              <w:t>二十</w:t>
            </w:r>
            <w:r>
              <w:rPr>
                <w:rFonts w:hint="eastAsia" w:ascii="Times New Roman" w:hAnsi="Times New Roman" w:eastAsia="Times New Roman" w:cs="Times New Roman"/>
                <w:color w:val="auto"/>
                <w:spacing w:val="-1"/>
                <w:sz w:val="24"/>
                <w:lang w:val="en-US" w:eastAsia="zh-CN"/>
              </w:rPr>
              <w:t>三</w:t>
            </w:r>
            <w:r>
              <w:rPr>
                <w:rFonts w:ascii="Times New Roman" w:hAnsi="Times New Roman" w:eastAsia="Times New Roman" w:cs="Times New Roman"/>
                <w:color w:val="auto"/>
                <w:spacing w:val="-1"/>
                <w:sz w:val="24"/>
                <w:lang w:eastAsia="zh-CN"/>
              </w:rPr>
              <w:t>、</w:t>
            </w:r>
            <w:r>
              <w:rPr>
                <w:rFonts w:hint="eastAsia" w:ascii="Times New Roman" w:hAnsi="Times New Roman" w:cs="Times New Roman"/>
                <w:color w:val="auto"/>
                <w:sz w:val="24"/>
                <w:szCs w:val="24"/>
                <w:lang w:val="en-US" w:eastAsia="zh-CN"/>
              </w:rPr>
              <w:t>化学原料和化学制品制造业</w:t>
            </w:r>
            <w:r>
              <w:rPr>
                <w:rFonts w:hint="eastAsia" w:ascii="Times New Roman" w:hAnsi="Times New Roman" w:eastAsia="Times New Roman" w:cs="Times New Roman"/>
                <w:color w:val="auto"/>
                <w:spacing w:val="-1"/>
                <w:sz w:val="24"/>
                <w:lang w:val="en-US" w:eastAsia="zh-CN"/>
              </w:rPr>
              <w:t>26</w:t>
            </w:r>
            <w:r>
              <w:rPr>
                <w:rFonts w:ascii="Times New Roman" w:hAnsi="Times New Roman" w:eastAsia="Times New Roman" w:cs="Times New Roman"/>
                <w:color w:val="auto"/>
                <w:spacing w:val="-1"/>
                <w:sz w:val="24"/>
                <w:lang w:eastAsia="zh-CN"/>
              </w:rPr>
              <w:t xml:space="preserve"> 、</w:t>
            </w:r>
            <w:r>
              <w:rPr>
                <w:rFonts w:ascii="Times New Roman" w:hAnsi="Times New Roman" w:eastAsia="Times New Roman" w:cs="Times New Roman"/>
                <w:color w:val="auto"/>
                <w:spacing w:val="-1"/>
                <w:sz w:val="24"/>
              </w:rPr>
              <w:t>炸药、火工及焰火产品制造 267</w:t>
            </w:r>
          </w:p>
        </w:tc>
      </w:tr>
      <w:tr w14:paraId="4C55B0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362FF900">
            <w:pPr>
              <w:adjustRightInd w:val="0"/>
              <w:snapToGrid w:val="0"/>
              <w:jc w:val="center"/>
              <w:rPr>
                <w:color w:val="auto"/>
                <w:sz w:val="24"/>
              </w:rPr>
            </w:pPr>
            <w:r>
              <w:rPr>
                <w:color w:val="auto"/>
                <w:sz w:val="24"/>
              </w:rPr>
              <w:t>建设性质</w:t>
            </w:r>
          </w:p>
        </w:tc>
        <w:tc>
          <w:tcPr>
            <w:tcW w:w="2235" w:type="dxa"/>
            <w:vAlign w:val="center"/>
          </w:tcPr>
          <w:p w14:paraId="214E3F47">
            <w:pPr>
              <w:jc w:val="left"/>
              <w:rPr>
                <w:color w:val="auto"/>
                <w:sz w:val="24"/>
              </w:rPr>
            </w:pPr>
            <w:r>
              <w:rPr>
                <w:color w:val="auto"/>
                <w:sz w:val="24"/>
              </w:rPr>
              <w:t>□新建（迁建）</w:t>
            </w:r>
          </w:p>
          <w:p w14:paraId="5E4F32AF">
            <w:pPr>
              <w:jc w:val="left"/>
              <w:rPr>
                <w:color w:val="auto"/>
                <w:sz w:val="24"/>
              </w:rPr>
            </w:pPr>
            <w:r>
              <w:rPr>
                <w:color w:val="auto"/>
                <w:sz w:val="24"/>
              </w:rPr>
              <w:t>□改建</w:t>
            </w:r>
          </w:p>
          <w:p w14:paraId="39DBE8AB">
            <w:pPr>
              <w:jc w:val="left"/>
              <w:rPr>
                <w:color w:val="auto"/>
                <w:sz w:val="24"/>
              </w:rPr>
            </w:pPr>
            <w:r>
              <w:rPr>
                <w:rFonts w:hint="eastAsia"/>
                <w:color w:val="auto"/>
                <w:sz w:val="24"/>
              </w:rPr>
              <w:t>☑</w:t>
            </w:r>
            <w:r>
              <w:rPr>
                <w:color w:val="auto"/>
                <w:sz w:val="24"/>
              </w:rPr>
              <w:t>扩建</w:t>
            </w:r>
          </w:p>
          <w:p w14:paraId="5AA486AD">
            <w:pPr>
              <w:jc w:val="left"/>
              <w:rPr>
                <w:color w:val="auto"/>
                <w:sz w:val="24"/>
              </w:rPr>
            </w:pPr>
            <w:r>
              <w:rPr>
                <w:color w:val="auto"/>
                <w:sz w:val="24"/>
              </w:rPr>
              <w:t>□技术改造</w:t>
            </w:r>
          </w:p>
        </w:tc>
        <w:tc>
          <w:tcPr>
            <w:tcW w:w="2204" w:type="dxa"/>
            <w:vAlign w:val="center"/>
          </w:tcPr>
          <w:p w14:paraId="0853C183">
            <w:pPr>
              <w:adjustRightInd w:val="0"/>
              <w:snapToGrid w:val="0"/>
              <w:jc w:val="center"/>
              <w:rPr>
                <w:color w:val="auto"/>
                <w:sz w:val="24"/>
              </w:rPr>
            </w:pPr>
            <w:r>
              <w:rPr>
                <w:color w:val="auto"/>
                <w:sz w:val="24"/>
              </w:rPr>
              <w:t>建设项目</w:t>
            </w:r>
          </w:p>
          <w:p w14:paraId="0D8E8651">
            <w:pPr>
              <w:adjustRightInd w:val="0"/>
              <w:snapToGrid w:val="0"/>
              <w:jc w:val="center"/>
              <w:rPr>
                <w:color w:val="auto"/>
                <w:sz w:val="24"/>
              </w:rPr>
            </w:pPr>
            <w:r>
              <w:rPr>
                <w:color w:val="auto"/>
                <w:sz w:val="24"/>
              </w:rPr>
              <w:t>申报情形</w:t>
            </w:r>
          </w:p>
        </w:tc>
        <w:tc>
          <w:tcPr>
            <w:tcW w:w="2630" w:type="dxa"/>
            <w:vAlign w:val="center"/>
          </w:tcPr>
          <w:p w14:paraId="1F4D9271">
            <w:pPr>
              <w:jc w:val="left"/>
              <w:rPr>
                <w:color w:val="auto"/>
                <w:sz w:val="24"/>
              </w:rPr>
            </w:pPr>
            <w:r>
              <w:rPr>
                <w:color w:val="auto"/>
                <w:sz w:val="24"/>
              </w:rPr>
              <w:t>☑首次申报项目</w:t>
            </w:r>
          </w:p>
          <w:p w14:paraId="4A6023D1">
            <w:pPr>
              <w:jc w:val="left"/>
              <w:rPr>
                <w:color w:val="auto"/>
                <w:sz w:val="24"/>
              </w:rPr>
            </w:pPr>
            <w:r>
              <w:rPr>
                <w:color w:val="auto"/>
                <w:sz w:val="24"/>
              </w:rPr>
              <w:t>□不予批准后再次申报项目</w:t>
            </w:r>
          </w:p>
          <w:p w14:paraId="0F582E33">
            <w:pPr>
              <w:jc w:val="left"/>
              <w:rPr>
                <w:color w:val="auto"/>
                <w:sz w:val="24"/>
              </w:rPr>
            </w:pPr>
            <w:r>
              <w:rPr>
                <w:color w:val="auto"/>
                <w:sz w:val="24"/>
              </w:rPr>
              <w:t>□超五年重新审核项目</w:t>
            </w:r>
          </w:p>
          <w:p w14:paraId="515F1D58">
            <w:pPr>
              <w:jc w:val="left"/>
              <w:rPr>
                <w:color w:val="auto"/>
                <w:sz w:val="24"/>
              </w:rPr>
            </w:pPr>
            <w:r>
              <w:rPr>
                <w:color w:val="auto"/>
                <w:sz w:val="24"/>
              </w:rPr>
              <w:t>□重大变动重新报批项目</w:t>
            </w:r>
          </w:p>
        </w:tc>
      </w:tr>
      <w:tr w14:paraId="1FA895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033803C1">
            <w:pPr>
              <w:adjustRightInd w:val="0"/>
              <w:snapToGrid w:val="0"/>
              <w:jc w:val="center"/>
              <w:rPr>
                <w:color w:val="auto"/>
                <w:sz w:val="24"/>
              </w:rPr>
            </w:pPr>
            <w:r>
              <w:rPr>
                <w:color w:val="auto"/>
                <w:sz w:val="24"/>
              </w:rPr>
              <w:t>项目审批（核准/</w:t>
            </w:r>
          </w:p>
          <w:p w14:paraId="2DFC0687">
            <w:pPr>
              <w:adjustRightInd w:val="0"/>
              <w:snapToGrid w:val="0"/>
              <w:jc w:val="center"/>
              <w:rPr>
                <w:color w:val="auto"/>
                <w:sz w:val="24"/>
              </w:rPr>
            </w:pPr>
            <w:r>
              <w:rPr>
                <w:color w:val="auto"/>
                <w:sz w:val="24"/>
              </w:rPr>
              <w:t>备案）部门（选填）</w:t>
            </w:r>
          </w:p>
        </w:tc>
        <w:tc>
          <w:tcPr>
            <w:tcW w:w="2235" w:type="dxa"/>
            <w:vAlign w:val="center"/>
          </w:tcPr>
          <w:p w14:paraId="0D22A812">
            <w:pPr>
              <w:adjustRightInd w:val="0"/>
              <w:snapToGrid w:val="0"/>
              <w:jc w:val="center"/>
              <w:rPr>
                <w:rFonts w:hint="default" w:eastAsia="宋体"/>
                <w:color w:val="auto"/>
                <w:sz w:val="24"/>
                <w:lang w:val="en-US" w:eastAsia="zh-CN"/>
              </w:rPr>
            </w:pPr>
            <w:r>
              <w:rPr>
                <w:rFonts w:hint="eastAsia"/>
                <w:color w:val="auto"/>
                <w:sz w:val="24"/>
                <w:lang w:val="en-US" w:eastAsia="zh-CN"/>
              </w:rPr>
              <w:t>辽宁省工业和信息化厅</w:t>
            </w:r>
          </w:p>
        </w:tc>
        <w:tc>
          <w:tcPr>
            <w:tcW w:w="2204" w:type="dxa"/>
            <w:vAlign w:val="center"/>
          </w:tcPr>
          <w:p w14:paraId="3AD665DF">
            <w:pPr>
              <w:adjustRightInd w:val="0"/>
              <w:snapToGrid w:val="0"/>
              <w:jc w:val="center"/>
              <w:rPr>
                <w:color w:val="auto"/>
                <w:sz w:val="24"/>
              </w:rPr>
            </w:pPr>
            <w:r>
              <w:rPr>
                <w:color w:val="auto"/>
                <w:sz w:val="24"/>
              </w:rPr>
              <w:t>项目审批（核准/</w:t>
            </w:r>
          </w:p>
          <w:p w14:paraId="1702CE59">
            <w:pPr>
              <w:adjustRightInd w:val="0"/>
              <w:snapToGrid w:val="0"/>
              <w:jc w:val="center"/>
              <w:rPr>
                <w:color w:val="auto"/>
                <w:sz w:val="24"/>
              </w:rPr>
            </w:pPr>
            <w:r>
              <w:rPr>
                <w:color w:val="auto"/>
                <w:sz w:val="24"/>
              </w:rPr>
              <w:t>备案）文号（选填）</w:t>
            </w:r>
          </w:p>
        </w:tc>
        <w:tc>
          <w:tcPr>
            <w:tcW w:w="2630" w:type="dxa"/>
            <w:vAlign w:val="center"/>
          </w:tcPr>
          <w:p w14:paraId="100822D1">
            <w:pPr>
              <w:adjustRightInd w:val="0"/>
              <w:snapToGrid w:val="0"/>
              <w:jc w:val="center"/>
              <w:rPr>
                <w:rFonts w:hint="default" w:eastAsia="宋体"/>
                <w:color w:val="auto"/>
                <w:sz w:val="24"/>
                <w:lang w:val="en-US" w:eastAsia="zh-CN"/>
              </w:rPr>
            </w:pPr>
            <w:r>
              <w:rPr>
                <w:rFonts w:hint="eastAsia"/>
                <w:color w:val="auto"/>
                <w:sz w:val="24"/>
                <w:lang w:val="en-US" w:eastAsia="zh-CN"/>
              </w:rPr>
              <w:t>辽工信民爆〔2025〕47号</w:t>
            </w:r>
          </w:p>
        </w:tc>
      </w:tr>
      <w:tr w14:paraId="43827E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70" w:type="dxa"/>
            <w:gridSpan w:val="2"/>
            <w:tcMar>
              <w:top w:w="16" w:type="dxa"/>
              <w:left w:w="16" w:type="dxa"/>
              <w:right w:w="16" w:type="dxa"/>
            </w:tcMar>
            <w:vAlign w:val="center"/>
          </w:tcPr>
          <w:p w14:paraId="772F8673">
            <w:pPr>
              <w:adjustRightInd w:val="0"/>
              <w:snapToGrid w:val="0"/>
              <w:jc w:val="center"/>
              <w:rPr>
                <w:color w:val="auto"/>
                <w:sz w:val="24"/>
              </w:rPr>
            </w:pPr>
            <w:r>
              <w:rPr>
                <w:color w:val="auto"/>
                <w:sz w:val="24"/>
              </w:rPr>
              <w:t>总投资（万元）</w:t>
            </w:r>
          </w:p>
        </w:tc>
        <w:tc>
          <w:tcPr>
            <w:tcW w:w="2235" w:type="dxa"/>
            <w:vAlign w:val="center"/>
          </w:tcPr>
          <w:p w14:paraId="3F32FA6C">
            <w:pPr>
              <w:adjustRightInd w:val="0"/>
              <w:snapToGrid w:val="0"/>
              <w:jc w:val="center"/>
              <w:rPr>
                <w:rFonts w:hint="default" w:eastAsia="宋体"/>
                <w:color w:val="auto"/>
                <w:sz w:val="24"/>
                <w:lang w:val="en-US" w:eastAsia="zh-CN"/>
              </w:rPr>
            </w:pPr>
            <w:r>
              <w:rPr>
                <w:rFonts w:hint="eastAsia"/>
                <w:bCs/>
                <w:color w:val="auto"/>
                <w:kern w:val="0"/>
                <w:sz w:val="24"/>
                <w:lang w:val="en-US" w:eastAsia="zh-CN"/>
              </w:rPr>
              <w:t>6000</w:t>
            </w:r>
          </w:p>
        </w:tc>
        <w:tc>
          <w:tcPr>
            <w:tcW w:w="2204" w:type="dxa"/>
            <w:tcMar>
              <w:top w:w="16" w:type="dxa"/>
              <w:left w:w="16" w:type="dxa"/>
              <w:right w:w="16" w:type="dxa"/>
            </w:tcMar>
            <w:vAlign w:val="center"/>
          </w:tcPr>
          <w:p w14:paraId="5A6CE439">
            <w:pPr>
              <w:adjustRightInd w:val="0"/>
              <w:snapToGrid w:val="0"/>
              <w:jc w:val="center"/>
              <w:rPr>
                <w:color w:val="auto"/>
                <w:sz w:val="24"/>
              </w:rPr>
            </w:pPr>
            <w:r>
              <w:rPr>
                <w:color w:val="auto"/>
                <w:sz w:val="24"/>
              </w:rPr>
              <w:t>环保投资（万元）</w:t>
            </w:r>
          </w:p>
        </w:tc>
        <w:tc>
          <w:tcPr>
            <w:tcW w:w="2630" w:type="dxa"/>
            <w:vAlign w:val="center"/>
          </w:tcPr>
          <w:p w14:paraId="4545363B">
            <w:pPr>
              <w:adjustRightInd w:val="0"/>
              <w:snapToGrid w:val="0"/>
              <w:jc w:val="center"/>
              <w:rPr>
                <w:color w:val="auto"/>
                <w:sz w:val="24"/>
              </w:rPr>
            </w:pPr>
            <w:r>
              <w:rPr>
                <w:rFonts w:hint="eastAsia"/>
                <w:color w:val="auto"/>
                <w:sz w:val="24"/>
                <w:szCs w:val="21"/>
                <w:highlight w:val="none"/>
                <w:lang w:val="en-US" w:eastAsia="zh-CN"/>
              </w:rPr>
              <w:t>126</w:t>
            </w:r>
          </w:p>
        </w:tc>
      </w:tr>
      <w:tr w14:paraId="5439C8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3627413F">
            <w:pPr>
              <w:adjustRightInd w:val="0"/>
              <w:snapToGrid w:val="0"/>
              <w:jc w:val="center"/>
              <w:rPr>
                <w:color w:val="auto"/>
                <w:sz w:val="24"/>
              </w:rPr>
            </w:pPr>
            <w:r>
              <w:rPr>
                <w:color w:val="auto"/>
                <w:sz w:val="24"/>
              </w:rPr>
              <w:t>环保投资占比（%）</w:t>
            </w:r>
          </w:p>
        </w:tc>
        <w:tc>
          <w:tcPr>
            <w:tcW w:w="2235" w:type="dxa"/>
            <w:vAlign w:val="center"/>
          </w:tcPr>
          <w:p w14:paraId="1D55F4EC">
            <w:pPr>
              <w:adjustRightInd w:val="0"/>
              <w:snapToGrid w:val="0"/>
              <w:jc w:val="center"/>
              <w:rPr>
                <w:rFonts w:hint="default" w:eastAsia="宋体"/>
                <w:color w:val="auto"/>
                <w:sz w:val="24"/>
                <w:lang w:val="en-US" w:eastAsia="zh-CN"/>
              </w:rPr>
            </w:pPr>
            <w:r>
              <w:rPr>
                <w:rFonts w:hint="eastAsia"/>
                <w:color w:val="auto"/>
                <w:sz w:val="24"/>
                <w:lang w:val="en-US" w:eastAsia="zh-CN"/>
              </w:rPr>
              <w:t>2.1</w:t>
            </w:r>
          </w:p>
        </w:tc>
        <w:tc>
          <w:tcPr>
            <w:tcW w:w="2204" w:type="dxa"/>
            <w:tcMar>
              <w:top w:w="16" w:type="dxa"/>
              <w:left w:w="16" w:type="dxa"/>
              <w:right w:w="16" w:type="dxa"/>
            </w:tcMar>
            <w:vAlign w:val="center"/>
          </w:tcPr>
          <w:p w14:paraId="032DD9BC">
            <w:pPr>
              <w:adjustRightInd w:val="0"/>
              <w:snapToGrid w:val="0"/>
              <w:jc w:val="center"/>
              <w:rPr>
                <w:color w:val="auto"/>
                <w:sz w:val="24"/>
              </w:rPr>
            </w:pPr>
            <w:r>
              <w:rPr>
                <w:color w:val="auto"/>
                <w:sz w:val="24"/>
              </w:rPr>
              <w:t>施工工期（</w:t>
            </w:r>
            <w:r>
              <w:rPr>
                <w:rFonts w:hint="eastAsia"/>
                <w:color w:val="auto"/>
                <w:sz w:val="24"/>
              </w:rPr>
              <w:t>月</w:t>
            </w:r>
            <w:r>
              <w:rPr>
                <w:color w:val="auto"/>
                <w:sz w:val="24"/>
              </w:rPr>
              <w:t>）</w:t>
            </w:r>
          </w:p>
        </w:tc>
        <w:tc>
          <w:tcPr>
            <w:tcW w:w="2630" w:type="dxa"/>
            <w:vAlign w:val="center"/>
          </w:tcPr>
          <w:p w14:paraId="175EED5D">
            <w:pPr>
              <w:adjustRightInd w:val="0"/>
              <w:snapToGrid w:val="0"/>
              <w:jc w:val="center"/>
              <w:rPr>
                <w:rFonts w:hint="eastAsia" w:eastAsia="宋体"/>
                <w:color w:val="auto"/>
                <w:sz w:val="24"/>
                <w:lang w:val="en-US" w:eastAsia="zh-CN"/>
              </w:rPr>
            </w:pPr>
            <w:r>
              <w:rPr>
                <w:rFonts w:hint="eastAsia"/>
                <w:color w:val="auto"/>
                <w:sz w:val="24"/>
                <w:lang w:val="en-US" w:eastAsia="zh-CN"/>
              </w:rPr>
              <w:t>5</w:t>
            </w:r>
          </w:p>
        </w:tc>
      </w:tr>
      <w:tr w14:paraId="7F642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770" w:type="dxa"/>
            <w:gridSpan w:val="2"/>
            <w:tcMar>
              <w:top w:w="16" w:type="dxa"/>
              <w:left w:w="16" w:type="dxa"/>
              <w:right w:w="16" w:type="dxa"/>
            </w:tcMar>
            <w:vAlign w:val="center"/>
          </w:tcPr>
          <w:p w14:paraId="20371FE1">
            <w:pPr>
              <w:adjustRightInd w:val="0"/>
              <w:snapToGrid w:val="0"/>
              <w:jc w:val="center"/>
              <w:rPr>
                <w:color w:val="auto"/>
                <w:sz w:val="24"/>
              </w:rPr>
            </w:pPr>
            <w:r>
              <w:rPr>
                <w:color w:val="auto"/>
                <w:sz w:val="24"/>
              </w:rPr>
              <w:t>是否开工建设</w:t>
            </w:r>
          </w:p>
        </w:tc>
        <w:tc>
          <w:tcPr>
            <w:tcW w:w="2235" w:type="dxa"/>
            <w:vAlign w:val="center"/>
          </w:tcPr>
          <w:p w14:paraId="116CF082">
            <w:pPr>
              <w:adjustRightInd w:val="0"/>
              <w:snapToGrid w:val="0"/>
              <w:rPr>
                <w:color w:val="auto"/>
                <w:sz w:val="24"/>
                <w:highlight w:val="none"/>
              </w:rPr>
            </w:pPr>
            <w:r>
              <w:rPr>
                <w:rFonts w:hint="eastAsia"/>
                <w:color w:val="auto"/>
                <w:sz w:val="24"/>
                <w:highlight w:val="none"/>
              </w:rPr>
              <w:t>☑</w:t>
            </w:r>
            <w:r>
              <w:rPr>
                <w:color w:val="auto"/>
                <w:sz w:val="24"/>
                <w:highlight w:val="none"/>
              </w:rPr>
              <w:t>否</w:t>
            </w:r>
          </w:p>
          <w:p w14:paraId="0C03D3C9">
            <w:pPr>
              <w:adjustRightInd w:val="0"/>
              <w:snapToGrid w:val="0"/>
              <w:rPr>
                <w:color w:val="auto"/>
                <w:sz w:val="24"/>
              </w:rPr>
            </w:pPr>
            <w:r>
              <w:rPr>
                <w:rFonts w:hint="eastAsia"/>
                <w:color w:val="auto"/>
                <w:sz w:val="24"/>
                <w:highlight w:val="none"/>
              </w:rPr>
              <w:t>□</w:t>
            </w:r>
            <w:r>
              <w:rPr>
                <w:color w:val="auto"/>
                <w:sz w:val="24"/>
                <w:highlight w:val="none"/>
              </w:rPr>
              <w:t>是：</w:t>
            </w:r>
            <w:r>
              <w:rPr>
                <w:color w:val="auto"/>
                <w:sz w:val="24"/>
                <w:u w:val="single"/>
              </w:rPr>
              <w:t xml:space="preserve">         </w:t>
            </w:r>
          </w:p>
        </w:tc>
        <w:tc>
          <w:tcPr>
            <w:tcW w:w="2204" w:type="dxa"/>
            <w:tcMar>
              <w:top w:w="16" w:type="dxa"/>
              <w:left w:w="16" w:type="dxa"/>
              <w:right w:w="16" w:type="dxa"/>
            </w:tcMar>
            <w:vAlign w:val="center"/>
          </w:tcPr>
          <w:p w14:paraId="16335BF4">
            <w:pPr>
              <w:adjustRightInd w:val="0"/>
              <w:snapToGrid w:val="0"/>
              <w:jc w:val="center"/>
              <w:rPr>
                <w:color w:val="auto"/>
                <w:spacing w:val="-6"/>
                <w:sz w:val="24"/>
              </w:rPr>
            </w:pPr>
            <w:r>
              <w:rPr>
                <w:color w:val="auto"/>
                <w:spacing w:val="-6"/>
                <w:sz w:val="24"/>
              </w:rPr>
              <w:t>用地（用海）</w:t>
            </w:r>
          </w:p>
          <w:p w14:paraId="4DF2D873">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2630" w:type="dxa"/>
            <w:vAlign w:val="center"/>
          </w:tcPr>
          <w:p w14:paraId="53C47B84">
            <w:pPr>
              <w:adjustRightInd w:val="0"/>
              <w:snapToGrid w:val="0"/>
              <w:jc w:val="center"/>
              <w:rPr>
                <w:rFonts w:hint="default" w:eastAsia="宋体"/>
                <w:color w:val="auto"/>
                <w:sz w:val="24"/>
                <w:lang w:val="en-US" w:eastAsia="zh-CN"/>
              </w:rPr>
            </w:pPr>
            <w:r>
              <w:rPr>
                <w:rFonts w:hint="eastAsia"/>
                <w:color w:val="auto"/>
                <w:sz w:val="24"/>
                <w:lang w:val="en-US" w:eastAsia="zh-CN"/>
              </w:rPr>
              <w:t>36196</w:t>
            </w:r>
          </w:p>
        </w:tc>
      </w:tr>
      <w:tr w14:paraId="12F725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770" w:type="dxa"/>
            <w:gridSpan w:val="2"/>
            <w:vAlign w:val="center"/>
          </w:tcPr>
          <w:p w14:paraId="1AC190D2">
            <w:pPr>
              <w:autoSpaceDE w:val="0"/>
              <w:autoSpaceDN w:val="0"/>
              <w:adjustRightInd w:val="0"/>
              <w:snapToGrid w:val="0"/>
              <w:jc w:val="center"/>
              <w:rPr>
                <w:color w:val="auto"/>
                <w:kern w:val="0"/>
                <w:sz w:val="24"/>
              </w:rPr>
            </w:pPr>
            <w:r>
              <w:rPr>
                <w:color w:val="auto"/>
                <w:kern w:val="0"/>
                <w:sz w:val="24"/>
              </w:rPr>
              <w:t>专项评价设置情况</w:t>
            </w:r>
          </w:p>
        </w:tc>
        <w:tc>
          <w:tcPr>
            <w:tcW w:w="7069" w:type="dxa"/>
            <w:gridSpan w:val="3"/>
            <w:vAlign w:val="center"/>
          </w:tcPr>
          <w:p w14:paraId="69686844">
            <w:pPr>
              <w:pStyle w:val="115"/>
              <w:spacing w:before="194" w:line="355" w:lineRule="auto"/>
              <w:ind w:left="108" w:right="25" w:firstLine="481"/>
              <w:rPr>
                <w:rFonts w:hint="eastAsia"/>
                <w:color w:val="auto"/>
                <w:lang w:eastAsia="zh-CN"/>
              </w:rPr>
            </w:pPr>
            <w:r>
              <w:rPr>
                <w:color w:val="auto"/>
                <w:spacing w:val="-12"/>
                <w:lang w:eastAsia="zh-CN"/>
              </w:rPr>
              <w:t>根据《建设项目环境影响报告表编制技术指南（污</w:t>
            </w:r>
            <w:r>
              <w:rPr>
                <w:color w:val="auto"/>
                <w:spacing w:val="-13"/>
                <w:lang w:eastAsia="zh-CN"/>
              </w:rPr>
              <w:t>染影响类）</w:t>
            </w:r>
            <w:r>
              <w:rPr>
                <w:rFonts w:hint="eastAsia"/>
                <w:color w:val="auto"/>
                <w:spacing w:val="-13"/>
                <w:lang w:eastAsia="zh-CN"/>
              </w:rPr>
              <w:t>（试行）》</w:t>
            </w:r>
            <w:r>
              <w:rPr>
                <w:color w:val="auto"/>
                <w:spacing w:val="5"/>
                <w:lang w:eastAsia="zh-CN"/>
              </w:rPr>
              <w:t>，</w:t>
            </w:r>
            <w:r>
              <w:rPr>
                <w:color w:val="auto"/>
                <w:spacing w:val="-2"/>
                <w:lang w:eastAsia="zh-CN"/>
              </w:rPr>
              <w:t>土壤及声环境不开展专项评价。地下水原则上不开展专项评价，</w:t>
            </w:r>
            <w:r>
              <w:rPr>
                <w:color w:val="auto"/>
                <w:spacing w:val="-4"/>
                <w:lang w:eastAsia="zh-CN"/>
              </w:rPr>
              <w:t>但涉及集中式饮用水水源和热水、矿泉水、温泉等特殊地下水资</w:t>
            </w:r>
            <w:r>
              <w:rPr>
                <w:color w:val="auto"/>
                <w:spacing w:val="-5"/>
                <w:lang w:eastAsia="zh-CN"/>
              </w:rPr>
              <w:t>源保护</w:t>
            </w:r>
            <w:r>
              <w:rPr>
                <w:color w:val="auto"/>
                <w:spacing w:val="-4"/>
                <w:lang w:eastAsia="zh-CN"/>
              </w:rPr>
              <w:t>区的项目应开展地下水专项评价工作，通过现场勘查可知：本项</w:t>
            </w:r>
            <w:r>
              <w:rPr>
                <w:color w:val="auto"/>
                <w:spacing w:val="-5"/>
                <w:lang w:eastAsia="zh-CN"/>
              </w:rPr>
              <w:t>目厂区</w:t>
            </w:r>
            <w:r>
              <w:rPr>
                <w:color w:val="auto"/>
                <w:spacing w:val="-2"/>
                <w:lang w:eastAsia="zh-CN"/>
              </w:rPr>
              <w:t>周围不涉及上述地下水保护区，因此可不开展地下水专项评价。大气、</w:t>
            </w:r>
            <w:r>
              <w:rPr>
                <w:color w:val="auto"/>
                <w:lang w:eastAsia="zh-CN"/>
              </w:rPr>
              <w:t>地表水、环境风险、生态及海洋的专项评价设置</w:t>
            </w:r>
            <w:r>
              <w:rPr>
                <w:color w:val="auto"/>
                <w:spacing w:val="-1"/>
                <w:lang w:eastAsia="zh-CN"/>
              </w:rPr>
              <w:t>原则具体见表</w:t>
            </w:r>
            <w:r>
              <w:rPr>
                <w:rFonts w:ascii="Times New Roman" w:hAnsi="Times New Roman" w:eastAsia="Times New Roman" w:cs="Times New Roman"/>
                <w:color w:val="auto"/>
                <w:spacing w:val="-1"/>
                <w:lang w:eastAsia="zh-CN"/>
              </w:rPr>
              <w:t>1-1</w:t>
            </w:r>
            <w:r>
              <w:rPr>
                <w:color w:val="auto"/>
                <w:spacing w:val="-1"/>
                <w:lang w:eastAsia="zh-CN"/>
              </w:rPr>
              <w:t>。</w:t>
            </w:r>
          </w:p>
          <w:p w14:paraId="72984F3E">
            <w:pPr>
              <w:autoSpaceDE w:val="0"/>
              <w:autoSpaceDN w:val="0"/>
              <w:jc w:val="center"/>
              <w:rPr>
                <w:b/>
                <w:bCs/>
                <w:color w:val="auto"/>
                <w:szCs w:val="21"/>
              </w:rPr>
            </w:pPr>
            <w:r>
              <w:rPr>
                <w:b/>
                <w:bCs/>
                <w:color w:val="auto"/>
                <w:szCs w:val="21"/>
              </w:rPr>
              <w:t>表1-1  专题评价设置情况识别表</w:t>
            </w:r>
          </w:p>
          <w:tbl>
            <w:tblPr>
              <w:tblStyle w:val="3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80"/>
              <w:gridCol w:w="2926"/>
              <w:gridCol w:w="2535"/>
              <w:gridCol w:w="595"/>
            </w:tblGrid>
            <w:tr w14:paraId="6C098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71" w:type="pct"/>
                  <w:tcBorders>
                    <w:tl2br w:val="nil"/>
                    <w:tr2bl w:val="nil"/>
                  </w:tcBorders>
                  <w:vAlign w:val="center"/>
                </w:tcPr>
                <w:p w14:paraId="0FAFF376">
                  <w:pPr>
                    <w:spacing w:line="300" w:lineRule="exact"/>
                    <w:jc w:val="center"/>
                    <w:rPr>
                      <w:b/>
                      <w:bCs/>
                      <w:color w:val="auto"/>
                      <w:szCs w:val="21"/>
                    </w:rPr>
                  </w:pPr>
                  <w:r>
                    <w:rPr>
                      <w:b/>
                      <w:bCs/>
                      <w:color w:val="auto"/>
                      <w:szCs w:val="21"/>
                    </w:rPr>
                    <w:t>类别</w:t>
                  </w:r>
                </w:p>
              </w:tc>
              <w:tc>
                <w:tcPr>
                  <w:tcW w:w="2140" w:type="pct"/>
                  <w:tcBorders>
                    <w:tl2br w:val="nil"/>
                    <w:tr2bl w:val="nil"/>
                  </w:tcBorders>
                  <w:vAlign w:val="center"/>
                </w:tcPr>
                <w:p w14:paraId="0928D48A">
                  <w:pPr>
                    <w:spacing w:line="300" w:lineRule="exact"/>
                    <w:jc w:val="center"/>
                    <w:rPr>
                      <w:b/>
                      <w:bCs/>
                      <w:color w:val="auto"/>
                      <w:szCs w:val="21"/>
                    </w:rPr>
                  </w:pPr>
                  <w:r>
                    <w:rPr>
                      <w:b/>
                      <w:bCs/>
                      <w:color w:val="auto"/>
                      <w:szCs w:val="21"/>
                    </w:rPr>
                    <w:t>设置原则</w:t>
                  </w:r>
                </w:p>
              </w:tc>
              <w:tc>
                <w:tcPr>
                  <w:tcW w:w="1854" w:type="pct"/>
                  <w:tcBorders>
                    <w:tl2br w:val="nil"/>
                    <w:tr2bl w:val="nil"/>
                  </w:tcBorders>
                  <w:vAlign w:val="center"/>
                </w:tcPr>
                <w:p w14:paraId="04028714">
                  <w:pPr>
                    <w:spacing w:line="300" w:lineRule="exact"/>
                    <w:jc w:val="center"/>
                    <w:rPr>
                      <w:b/>
                      <w:bCs/>
                      <w:color w:val="auto"/>
                      <w:szCs w:val="21"/>
                    </w:rPr>
                  </w:pPr>
                  <w:r>
                    <w:rPr>
                      <w:b/>
                      <w:bCs/>
                      <w:color w:val="auto"/>
                      <w:szCs w:val="21"/>
                    </w:rPr>
                    <w:t>项目情况</w:t>
                  </w:r>
                </w:p>
              </w:tc>
              <w:tc>
                <w:tcPr>
                  <w:tcW w:w="433" w:type="pct"/>
                  <w:tcBorders>
                    <w:tl2br w:val="nil"/>
                    <w:tr2bl w:val="nil"/>
                  </w:tcBorders>
                  <w:vAlign w:val="center"/>
                </w:tcPr>
                <w:p w14:paraId="33358360">
                  <w:pPr>
                    <w:spacing w:line="300" w:lineRule="exact"/>
                    <w:jc w:val="center"/>
                    <w:rPr>
                      <w:b/>
                      <w:bCs/>
                      <w:color w:val="auto"/>
                      <w:szCs w:val="21"/>
                    </w:rPr>
                  </w:pPr>
                  <w:r>
                    <w:rPr>
                      <w:b/>
                      <w:bCs/>
                      <w:color w:val="auto"/>
                      <w:szCs w:val="21"/>
                    </w:rPr>
                    <w:t>是否设置</w:t>
                  </w:r>
                </w:p>
              </w:tc>
            </w:tr>
            <w:tr w14:paraId="39394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71" w:type="pct"/>
                  <w:tcBorders>
                    <w:tl2br w:val="nil"/>
                    <w:tr2bl w:val="nil"/>
                  </w:tcBorders>
                  <w:vAlign w:val="center"/>
                </w:tcPr>
                <w:p w14:paraId="6A659791">
                  <w:pPr>
                    <w:spacing w:line="300" w:lineRule="exact"/>
                    <w:jc w:val="center"/>
                    <w:rPr>
                      <w:color w:val="auto"/>
                      <w:szCs w:val="21"/>
                    </w:rPr>
                  </w:pPr>
                  <w:r>
                    <w:rPr>
                      <w:color w:val="auto"/>
                      <w:szCs w:val="21"/>
                    </w:rPr>
                    <w:t>大气</w:t>
                  </w:r>
                </w:p>
              </w:tc>
              <w:tc>
                <w:tcPr>
                  <w:tcW w:w="2140" w:type="pct"/>
                  <w:tcBorders>
                    <w:tl2br w:val="nil"/>
                    <w:tr2bl w:val="nil"/>
                  </w:tcBorders>
                  <w:vAlign w:val="center"/>
                </w:tcPr>
                <w:p w14:paraId="2BA3A548">
                  <w:pPr>
                    <w:spacing w:line="300" w:lineRule="exact"/>
                    <w:jc w:val="center"/>
                    <w:rPr>
                      <w:color w:val="auto"/>
                      <w:szCs w:val="21"/>
                    </w:rPr>
                  </w:pPr>
                  <w:r>
                    <w:rPr>
                      <w:color w:val="auto"/>
                      <w:szCs w:val="21"/>
                    </w:rPr>
                    <w:t>排放废气含有毒有害污染物</w:t>
                  </w:r>
                  <w:r>
                    <w:rPr>
                      <w:color w:val="auto"/>
                      <w:szCs w:val="21"/>
                      <w:vertAlign w:val="superscript"/>
                    </w:rPr>
                    <w:t>1</w:t>
                  </w:r>
                  <w:r>
                    <w:rPr>
                      <w:color w:val="auto"/>
                      <w:szCs w:val="21"/>
                    </w:rPr>
                    <w:t>、二噁英、苯并[a]芘、氰化物、氯气且厂界外500米范围内有环境空气保护目标</w:t>
                  </w:r>
                  <w:r>
                    <w:rPr>
                      <w:color w:val="auto"/>
                      <w:szCs w:val="21"/>
                      <w:vertAlign w:val="superscript"/>
                    </w:rPr>
                    <w:t>2</w:t>
                  </w:r>
                  <w:r>
                    <w:rPr>
                      <w:color w:val="auto"/>
                      <w:szCs w:val="21"/>
                    </w:rPr>
                    <w:t>的建设项目</w:t>
                  </w:r>
                </w:p>
              </w:tc>
              <w:tc>
                <w:tcPr>
                  <w:tcW w:w="1854" w:type="pct"/>
                  <w:tcBorders>
                    <w:tl2br w:val="nil"/>
                    <w:tr2bl w:val="nil"/>
                  </w:tcBorders>
                  <w:vAlign w:val="center"/>
                </w:tcPr>
                <w:p w14:paraId="4B993E0A">
                  <w:pPr>
                    <w:spacing w:line="300" w:lineRule="exact"/>
                    <w:jc w:val="center"/>
                    <w:rPr>
                      <w:color w:val="auto"/>
                      <w:szCs w:val="21"/>
                    </w:rPr>
                  </w:pPr>
                  <w:r>
                    <w:rPr>
                      <w:color w:val="auto"/>
                      <w:szCs w:val="21"/>
                    </w:rPr>
                    <w:t>本项目不排放二噁英、苯并[a]芘、氰化物、氯气</w:t>
                  </w:r>
                  <w:r>
                    <w:rPr>
                      <w:rFonts w:hint="eastAsia"/>
                      <w:color w:val="auto"/>
                      <w:szCs w:val="21"/>
                    </w:rPr>
                    <w:t>。</w:t>
                  </w:r>
                  <w:r>
                    <w:rPr>
                      <w:color w:val="auto"/>
                      <w:szCs w:val="21"/>
                    </w:rPr>
                    <w:t>根据《有毒有害大气污染物名录（2018 年）》，</w:t>
                  </w:r>
                  <w:r>
                    <w:rPr>
                      <w:rFonts w:hint="eastAsia"/>
                      <w:color w:val="auto"/>
                      <w:szCs w:val="21"/>
                    </w:rPr>
                    <w:t>本项目不</w:t>
                  </w:r>
                  <w:r>
                    <w:rPr>
                      <w:color w:val="auto"/>
                      <w:szCs w:val="21"/>
                    </w:rPr>
                    <w:t>涉及</w:t>
                  </w:r>
                  <w:r>
                    <w:rPr>
                      <w:rFonts w:hint="eastAsia"/>
                      <w:color w:val="auto"/>
                      <w:szCs w:val="21"/>
                    </w:rPr>
                    <w:t>相关</w:t>
                  </w:r>
                  <w:r>
                    <w:rPr>
                      <w:color w:val="auto"/>
                      <w:szCs w:val="21"/>
                    </w:rPr>
                    <w:t>有毒有害大气污染物，故本次环评不设置大气专项评价。</w:t>
                  </w:r>
                </w:p>
              </w:tc>
              <w:tc>
                <w:tcPr>
                  <w:tcW w:w="433" w:type="pct"/>
                  <w:tcBorders>
                    <w:tl2br w:val="nil"/>
                    <w:tr2bl w:val="nil"/>
                  </w:tcBorders>
                  <w:vAlign w:val="center"/>
                </w:tcPr>
                <w:p w14:paraId="1277BA05">
                  <w:pPr>
                    <w:spacing w:line="300" w:lineRule="exact"/>
                    <w:jc w:val="center"/>
                    <w:rPr>
                      <w:color w:val="auto"/>
                      <w:szCs w:val="21"/>
                    </w:rPr>
                  </w:pPr>
                  <w:r>
                    <w:rPr>
                      <w:color w:val="auto"/>
                      <w:szCs w:val="21"/>
                    </w:rPr>
                    <w:t>否</w:t>
                  </w:r>
                </w:p>
              </w:tc>
            </w:tr>
            <w:tr w14:paraId="51DC2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71" w:type="pct"/>
                  <w:tcBorders>
                    <w:tl2br w:val="nil"/>
                    <w:tr2bl w:val="nil"/>
                  </w:tcBorders>
                  <w:vAlign w:val="center"/>
                </w:tcPr>
                <w:p w14:paraId="6FAB860D">
                  <w:pPr>
                    <w:spacing w:line="300" w:lineRule="exact"/>
                    <w:jc w:val="center"/>
                    <w:rPr>
                      <w:color w:val="auto"/>
                      <w:szCs w:val="21"/>
                    </w:rPr>
                  </w:pPr>
                  <w:r>
                    <w:rPr>
                      <w:color w:val="auto"/>
                      <w:szCs w:val="21"/>
                    </w:rPr>
                    <w:t>地表水</w:t>
                  </w:r>
                </w:p>
              </w:tc>
              <w:tc>
                <w:tcPr>
                  <w:tcW w:w="2140" w:type="pct"/>
                  <w:tcBorders>
                    <w:tl2br w:val="nil"/>
                    <w:tr2bl w:val="nil"/>
                  </w:tcBorders>
                  <w:vAlign w:val="center"/>
                </w:tcPr>
                <w:p w14:paraId="7A7A1E87">
                  <w:pPr>
                    <w:spacing w:line="300" w:lineRule="exact"/>
                    <w:jc w:val="center"/>
                    <w:rPr>
                      <w:color w:val="auto"/>
                      <w:szCs w:val="21"/>
                    </w:rPr>
                  </w:pPr>
                  <w:r>
                    <w:rPr>
                      <w:color w:val="auto"/>
                      <w:szCs w:val="21"/>
                    </w:rPr>
                    <w:t>新增工业废水直排建设项目(槽罐车外送污水处理厂的除外</w:t>
                  </w:r>
                  <w:r>
                    <w:rPr>
                      <w:rFonts w:hint="eastAsia"/>
                      <w:color w:val="auto"/>
                      <w:szCs w:val="21"/>
                      <w:lang w:eastAsia="zh-CN"/>
                    </w:rPr>
                    <w:t>）</w:t>
                  </w:r>
                  <w:r>
                    <w:rPr>
                      <w:color w:val="auto"/>
                      <w:szCs w:val="21"/>
                    </w:rPr>
                    <w:t>；新增废水直排的污水集中处理厂</w:t>
                  </w:r>
                </w:p>
              </w:tc>
              <w:tc>
                <w:tcPr>
                  <w:tcW w:w="1854" w:type="pct"/>
                  <w:tcBorders>
                    <w:tl2br w:val="nil"/>
                    <w:tr2bl w:val="nil"/>
                  </w:tcBorders>
                  <w:vAlign w:val="center"/>
                </w:tcPr>
                <w:p w14:paraId="1DC80CC6">
                  <w:pPr>
                    <w:spacing w:line="300" w:lineRule="exact"/>
                    <w:jc w:val="center"/>
                    <w:rPr>
                      <w:rFonts w:hint="eastAsia"/>
                      <w:color w:val="auto"/>
                      <w:sz w:val="21"/>
                      <w:szCs w:val="21"/>
                    </w:rPr>
                  </w:pPr>
                  <w:r>
                    <w:rPr>
                      <w:rFonts w:hint="eastAsia" w:ascii="Times New Roman" w:hAnsi="Times New Roman" w:cs="Times New Roman"/>
                      <w:color w:val="auto"/>
                      <w:sz w:val="21"/>
                      <w:szCs w:val="21"/>
                      <w:lang w:val="en-US" w:eastAsia="zh-CN"/>
                    </w:rPr>
                    <w:t>本</w:t>
                  </w:r>
                  <w:r>
                    <w:rPr>
                      <w:rFonts w:hint="eastAsia"/>
                      <w:color w:val="auto"/>
                      <w:sz w:val="21"/>
                      <w:szCs w:val="21"/>
                      <w:lang w:val="en-US" w:eastAsia="zh-CN"/>
                    </w:rPr>
                    <w:t>项目不增加生活污水排放。生产废水经</w:t>
                  </w:r>
                  <w:r>
                    <w:rPr>
                      <w:rFonts w:hint="default"/>
                      <w:color w:val="auto"/>
                      <w:sz w:val="21"/>
                      <w:szCs w:val="21"/>
                      <w:lang w:val="en-US" w:eastAsia="zh-CN"/>
                    </w:rPr>
                    <w:t>隔油沉淀池</w:t>
                  </w:r>
                  <w:r>
                    <w:rPr>
                      <w:rFonts w:hint="eastAsia"/>
                      <w:color w:val="auto"/>
                      <w:sz w:val="21"/>
                      <w:szCs w:val="21"/>
                      <w:lang w:val="en-US" w:eastAsia="zh-CN"/>
                    </w:rPr>
                    <w:t>预</w:t>
                  </w:r>
                  <w:r>
                    <w:rPr>
                      <w:rFonts w:hint="default"/>
                      <w:color w:val="auto"/>
                      <w:sz w:val="21"/>
                      <w:szCs w:val="21"/>
                      <w:lang w:val="en-US" w:eastAsia="zh-CN"/>
                    </w:rPr>
                    <w:t>处理后</w:t>
                  </w:r>
                  <w:r>
                    <w:rPr>
                      <w:rFonts w:hint="eastAsia"/>
                      <w:color w:val="auto"/>
                      <w:sz w:val="21"/>
                      <w:szCs w:val="21"/>
                      <w:lang w:val="en-US" w:eastAsia="zh-CN"/>
                    </w:rPr>
                    <w:t>排入辽宁红山一体化污水处理站处理后，</w:t>
                  </w:r>
                  <w:r>
                    <w:rPr>
                      <w:rFonts w:hint="default"/>
                      <w:color w:val="auto"/>
                      <w:sz w:val="21"/>
                      <w:szCs w:val="21"/>
                      <w:lang w:val="en-US" w:eastAsia="zh-CN"/>
                    </w:rPr>
                    <w:t>用于</w:t>
                  </w:r>
                  <w:r>
                    <w:rPr>
                      <w:rFonts w:hint="eastAsia"/>
                      <w:color w:val="auto"/>
                      <w:sz w:val="21"/>
                      <w:szCs w:val="21"/>
                      <w:lang w:val="en-US" w:eastAsia="zh-CN"/>
                    </w:rPr>
                    <w:t>道路洒扫</w:t>
                  </w:r>
                  <w:r>
                    <w:rPr>
                      <w:rFonts w:hint="default"/>
                      <w:color w:val="auto"/>
                      <w:sz w:val="21"/>
                      <w:szCs w:val="21"/>
                      <w:lang w:val="en-US" w:eastAsia="zh-CN"/>
                    </w:rPr>
                    <w:t>。</w:t>
                  </w:r>
                  <w:r>
                    <w:rPr>
                      <w:color w:val="auto"/>
                      <w:sz w:val="21"/>
                      <w:szCs w:val="21"/>
                    </w:rPr>
                    <w:t>故不涉及新增工业废水直排，无须设置地表水专项评价</w:t>
                  </w:r>
                  <w:r>
                    <w:rPr>
                      <w:rFonts w:hint="eastAsia"/>
                      <w:color w:val="auto"/>
                      <w:sz w:val="21"/>
                      <w:szCs w:val="21"/>
                    </w:rPr>
                    <w:t>。</w:t>
                  </w:r>
                </w:p>
              </w:tc>
              <w:tc>
                <w:tcPr>
                  <w:tcW w:w="433" w:type="pct"/>
                  <w:tcBorders>
                    <w:tl2br w:val="nil"/>
                    <w:tr2bl w:val="nil"/>
                  </w:tcBorders>
                  <w:vAlign w:val="center"/>
                </w:tcPr>
                <w:p w14:paraId="6F86AAF2">
                  <w:pPr>
                    <w:spacing w:line="300" w:lineRule="exact"/>
                    <w:jc w:val="center"/>
                    <w:rPr>
                      <w:color w:val="auto"/>
                      <w:szCs w:val="21"/>
                    </w:rPr>
                  </w:pPr>
                  <w:r>
                    <w:rPr>
                      <w:color w:val="auto"/>
                      <w:szCs w:val="21"/>
                    </w:rPr>
                    <w:t>否</w:t>
                  </w:r>
                </w:p>
              </w:tc>
            </w:tr>
            <w:tr w14:paraId="218A4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71" w:type="pct"/>
                  <w:tcBorders>
                    <w:tl2br w:val="nil"/>
                    <w:tr2bl w:val="nil"/>
                  </w:tcBorders>
                  <w:vAlign w:val="center"/>
                </w:tcPr>
                <w:p w14:paraId="76A1A891">
                  <w:pPr>
                    <w:spacing w:line="300" w:lineRule="exact"/>
                    <w:jc w:val="center"/>
                    <w:rPr>
                      <w:color w:val="auto"/>
                      <w:szCs w:val="21"/>
                    </w:rPr>
                  </w:pPr>
                  <w:r>
                    <w:rPr>
                      <w:color w:val="auto"/>
                      <w:szCs w:val="21"/>
                    </w:rPr>
                    <w:t>环境风险</w:t>
                  </w:r>
                </w:p>
              </w:tc>
              <w:tc>
                <w:tcPr>
                  <w:tcW w:w="2140" w:type="pct"/>
                  <w:tcBorders>
                    <w:tl2br w:val="nil"/>
                    <w:tr2bl w:val="nil"/>
                  </w:tcBorders>
                  <w:vAlign w:val="center"/>
                </w:tcPr>
                <w:p w14:paraId="772CAF02">
                  <w:pPr>
                    <w:spacing w:line="300" w:lineRule="exact"/>
                    <w:jc w:val="center"/>
                    <w:rPr>
                      <w:color w:val="auto"/>
                      <w:szCs w:val="21"/>
                    </w:rPr>
                  </w:pPr>
                  <w:r>
                    <w:rPr>
                      <w:color w:val="auto"/>
                      <w:szCs w:val="21"/>
                    </w:rPr>
                    <w:t>有毒有害和易燃易爆危险物质存储量超过临界量</w:t>
                  </w:r>
                  <w:r>
                    <w:rPr>
                      <w:color w:val="auto"/>
                      <w:szCs w:val="21"/>
                      <w:vertAlign w:val="superscript"/>
                    </w:rPr>
                    <w:t>3</w:t>
                  </w:r>
                  <w:r>
                    <w:rPr>
                      <w:color w:val="auto"/>
                      <w:szCs w:val="21"/>
                    </w:rPr>
                    <w:t>的建设项目</w:t>
                  </w:r>
                </w:p>
              </w:tc>
              <w:tc>
                <w:tcPr>
                  <w:tcW w:w="1854" w:type="pct"/>
                  <w:tcBorders>
                    <w:tl2br w:val="nil"/>
                    <w:tr2bl w:val="nil"/>
                  </w:tcBorders>
                  <w:vAlign w:val="center"/>
                </w:tcPr>
                <w:p w14:paraId="2BFD86CC">
                  <w:pPr>
                    <w:spacing w:line="300" w:lineRule="exact"/>
                    <w:jc w:val="center"/>
                    <w:rPr>
                      <w:rFonts w:hint="default" w:eastAsia="宋体"/>
                      <w:color w:val="auto"/>
                      <w:sz w:val="21"/>
                      <w:szCs w:val="21"/>
                      <w:highlight w:val="none"/>
                      <w:lang w:val="en-US" w:eastAsia="zh-CN"/>
                    </w:rPr>
                  </w:pPr>
                  <w:r>
                    <w:rPr>
                      <w:rFonts w:hint="eastAsia"/>
                      <w:color w:val="auto"/>
                      <w:szCs w:val="21"/>
                      <w:lang w:val="en-US" w:eastAsia="zh-CN"/>
                    </w:rPr>
                    <w:t>本项目新增</w:t>
                  </w:r>
                  <w:r>
                    <w:rPr>
                      <w:rFonts w:hint="default"/>
                      <w:color w:val="auto"/>
                      <w:szCs w:val="21"/>
                      <w:lang w:val="en-US" w:eastAsia="zh-CN"/>
                    </w:rPr>
                    <w:t>硝酸铵</w:t>
                  </w:r>
                  <w:r>
                    <w:rPr>
                      <w:rFonts w:hint="eastAsia"/>
                      <w:color w:val="auto"/>
                      <w:szCs w:val="21"/>
                      <w:lang w:val="en-US" w:eastAsia="zh-CN"/>
                    </w:rPr>
                    <w:t>溶液</w:t>
                  </w:r>
                  <w:r>
                    <w:rPr>
                      <w:rFonts w:hint="default"/>
                      <w:color w:val="auto"/>
                      <w:szCs w:val="21"/>
                      <w:lang w:val="en-US" w:eastAsia="zh-CN"/>
                    </w:rPr>
                    <w:t>、复合油相、炸药、废机油</w:t>
                  </w:r>
                  <w:r>
                    <w:rPr>
                      <w:rFonts w:hint="eastAsia"/>
                      <w:color w:val="auto"/>
                      <w:szCs w:val="21"/>
                      <w:lang w:val="en-US" w:eastAsia="zh-CN"/>
                    </w:rPr>
                    <w:t>、油墨、油墨添加剂等危险物质，硝酸铵溶液、炸药的存储量超过临界量，故</w:t>
                  </w:r>
                  <w:r>
                    <w:rPr>
                      <w:color w:val="auto"/>
                      <w:szCs w:val="21"/>
                    </w:rPr>
                    <w:t>需设置环境风险专项评价。</w:t>
                  </w:r>
                </w:p>
              </w:tc>
              <w:tc>
                <w:tcPr>
                  <w:tcW w:w="433" w:type="pct"/>
                  <w:tcBorders>
                    <w:tl2br w:val="nil"/>
                    <w:tr2bl w:val="nil"/>
                  </w:tcBorders>
                  <w:vAlign w:val="center"/>
                </w:tcPr>
                <w:p w14:paraId="38474883">
                  <w:pPr>
                    <w:spacing w:line="300" w:lineRule="exact"/>
                    <w:jc w:val="center"/>
                    <w:rPr>
                      <w:rFonts w:hint="eastAsia" w:eastAsia="宋体"/>
                      <w:color w:val="auto"/>
                      <w:szCs w:val="21"/>
                      <w:highlight w:val="none"/>
                      <w:lang w:eastAsia="zh-CN"/>
                    </w:rPr>
                  </w:pPr>
                  <w:r>
                    <w:rPr>
                      <w:rFonts w:hint="eastAsia"/>
                      <w:color w:val="auto"/>
                      <w:szCs w:val="21"/>
                      <w:highlight w:val="none"/>
                      <w:lang w:val="en-US" w:eastAsia="zh-CN"/>
                    </w:rPr>
                    <w:t>是</w:t>
                  </w:r>
                </w:p>
              </w:tc>
            </w:tr>
            <w:tr w14:paraId="72BDD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71" w:type="pct"/>
                  <w:tcBorders>
                    <w:tl2br w:val="nil"/>
                    <w:tr2bl w:val="nil"/>
                  </w:tcBorders>
                  <w:vAlign w:val="center"/>
                </w:tcPr>
                <w:p w14:paraId="5878B90E">
                  <w:pPr>
                    <w:spacing w:line="300" w:lineRule="exact"/>
                    <w:jc w:val="center"/>
                    <w:rPr>
                      <w:color w:val="auto"/>
                      <w:szCs w:val="21"/>
                    </w:rPr>
                  </w:pPr>
                  <w:r>
                    <w:rPr>
                      <w:color w:val="auto"/>
                      <w:szCs w:val="21"/>
                    </w:rPr>
                    <w:t>生态</w:t>
                  </w:r>
                </w:p>
              </w:tc>
              <w:tc>
                <w:tcPr>
                  <w:tcW w:w="2140" w:type="pct"/>
                  <w:tcBorders>
                    <w:tl2br w:val="nil"/>
                    <w:tr2bl w:val="nil"/>
                  </w:tcBorders>
                  <w:vAlign w:val="center"/>
                </w:tcPr>
                <w:p w14:paraId="038B3580">
                  <w:pPr>
                    <w:spacing w:line="300" w:lineRule="exact"/>
                    <w:jc w:val="center"/>
                    <w:rPr>
                      <w:color w:val="auto"/>
                      <w:szCs w:val="21"/>
                    </w:rPr>
                  </w:pPr>
                  <w:r>
                    <w:rPr>
                      <w:color w:val="auto"/>
                      <w:szCs w:val="21"/>
                    </w:rPr>
                    <w:t>取水口下游500米范围内有重要水生生物的自然产卵场、索饵场、越冬场和洄游通道的新增河道取水的污染类建设项目</w:t>
                  </w:r>
                </w:p>
              </w:tc>
              <w:tc>
                <w:tcPr>
                  <w:tcW w:w="1854" w:type="pct"/>
                  <w:tcBorders>
                    <w:tl2br w:val="nil"/>
                    <w:tr2bl w:val="nil"/>
                  </w:tcBorders>
                  <w:vAlign w:val="center"/>
                </w:tcPr>
                <w:p w14:paraId="2CBE1E52">
                  <w:pPr>
                    <w:spacing w:line="300" w:lineRule="exact"/>
                    <w:jc w:val="center"/>
                    <w:rPr>
                      <w:color w:val="auto"/>
                      <w:szCs w:val="21"/>
                    </w:rPr>
                  </w:pPr>
                  <w:r>
                    <w:rPr>
                      <w:color w:val="auto"/>
                      <w:szCs w:val="21"/>
                    </w:rPr>
                    <w:t>不涉及</w:t>
                  </w:r>
                </w:p>
              </w:tc>
              <w:tc>
                <w:tcPr>
                  <w:tcW w:w="433" w:type="pct"/>
                  <w:tcBorders>
                    <w:tl2br w:val="nil"/>
                    <w:tr2bl w:val="nil"/>
                  </w:tcBorders>
                  <w:vAlign w:val="center"/>
                </w:tcPr>
                <w:p w14:paraId="011D168A">
                  <w:pPr>
                    <w:spacing w:line="300" w:lineRule="exact"/>
                    <w:jc w:val="center"/>
                    <w:rPr>
                      <w:color w:val="auto"/>
                      <w:szCs w:val="21"/>
                    </w:rPr>
                  </w:pPr>
                  <w:r>
                    <w:rPr>
                      <w:color w:val="auto"/>
                      <w:szCs w:val="21"/>
                    </w:rPr>
                    <w:t>否</w:t>
                  </w:r>
                </w:p>
              </w:tc>
            </w:tr>
            <w:tr w14:paraId="22A67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71" w:type="pct"/>
                  <w:tcBorders>
                    <w:tl2br w:val="nil"/>
                    <w:tr2bl w:val="nil"/>
                  </w:tcBorders>
                  <w:vAlign w:val="center"/>
                </w:tcPr>
                <w:p w14:paraId="38771E4B">
                  <w:pPr>
                    <w:spacing w:line="300" w:lineRule="exact"/>
                    <w:jc w:val="center"/>
                    <w:rPr>
                      <w:color w:val="auto"/>
                      <w:szCs w:val="21"/>
                    </w:rPr>
                  </w:pPr>
                  <w:r>
                    <w:rPr>
                      <w:color w:val="auto"/>
                      <w:szCs w:val="21"/>
                    </w:rPr>
                    <w:t>海洋</w:t>
                  </w:r>
                </w:p>
              </w:tc>
              <w:tc>
                <w:tcPr>
                  <w:tcW w:w="2140" w:type="pct"/>
                  <w:tcBorders>
                    <w:tl2br w:val="nil"/>
                    <w:tr2bl w:val="nil"/>
                  </w:tcBorders>
                  <w:vAlign w:val="center"/>
                </w:tcPr>
                <w:p w14:paraId="73037957">
                  <w:pPr>
                    <w:spacing w:line="300" w:lineRule="exact"/>
                    <w:jc w:val="center"/>
                    <w:rPr>
                      <w:color w:val="auto"/>
                      <w:szCs w:val="21"/>
                    </w:rPr>
                  </w:pPr>
                  <w:r>
                    <w:rPr>
                      <w:color w:val="auto"/>
                      <w:szCs w:val="21"/>
                    </w:rPr>
                    <w:t>直接向海排放污染物的海洋工程建设项目</w:t>
                  </w:r>
                </w:p>
              </w:tc>
              <w:tc>
                <w:tcPr>
                  <w:tcW w:w="1854" w:type="pct"/>
                  <w:tcBorders>
                    <w:tl2br w:val="nil"/>
                    <w:tr2bl w:val="nil"/>
                  </w:tcBorders>
                  <w:vAlign w:val="center"/>
                </w:tcPr>
                <w:p w14:paraId="66526E68">
                  <w:pPr>
                    <w:spacing w:line="300" w:lineRule="exact"/>
                    <w:jc w:val="center"/>
                    <w:rPr>
                      <w:color w:val="auto"/>
                      <w:szCs w:val="21"/>
                    </w:rPr>
                  </w:pPr>
                  <w:r>
                    <w:rPr>
                      <w:color w:val="auto"/>
                      <w:szCs w:val="21"/>
                    </w:rPr>
                    <w:t>不涉及</w:t>
                  </w:r>
                </w:p>
              </w:tc>
              <w:tc>
                <w:tcPr>
                  <w:tcW w:w="433" w:type="pct"/>
                  <w:tcBorders>
                    <w:tl2br w:val="nil"/>
                    <w:tr2bl w:val="nil"/>
                  </w:tcBorders>
                  <w:vAlign w:val="center"/>
                </w:tcPr>
                <w:p w14:paraId="692DE722">
                  <w:pPr>
                    <w:spacing w:line="300" w:lineRule="exact"/>
                    <w:jc w:val="center"/>
                    <w:rPr>
                      <w:color w:val="auto"/>
                      <w:szCs w:val="21"/>
                    </w:rPr>
                  </w:pPr>
                  <w:r>
                    <w:rPr>
                      <w:color w:val="auto"/>
                      <w:szCs w:val="21"/>
                    </w:rPr>
                    <w:t>否</w:t>
                  </w:r>
                </w:p>
              </w:tc>
            </w:tr>
            <w:tr w14:paraId="77A77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000" w:type="pct"/>
                  <w:gridSpan w:val="4"/>
                  <w:tcBorders>
                    <w:tl2br w:val="nil"/>
                    <w:tr2bl w:val="nil"/>
                  </w:tcBorders>
                  <w:vAlign w:val="center"/>
                </w:tcPr>
                <w:p w14:paraId="4C234612">
                  <w:pPr>
                    <w:spacing w:line="300" w:lineRule="exact"/>
                    <w:rPr>
                      <w:color w:val="auto"/>
                      <w:szCs w:val="21"/>
                    </w:rPr>
                  </w:pPr>
                  <w:r>
                    <w:rPr>
                      <w:color w:val="auto"/>
                      <w:szCs w:val="21"/>
                    </w:rPr>
                    <w:t>注：1.废气中有毒有害污染物指纳入《有毒有害大气污染物名录》的污染物</w:t>
                  </w:r>
                  <w:r>
                    <w:rPr>
                      <w:rFonts w:hint="eastAsia"/>
                      <w:color w:val="auto"/>
                      <w:szCs w:val="21"/>
                      <w:lang w:eastAsia="zh-CN"/>
                    </w:rPr>
                    <w:t>（</w:t>
                  </w:r>
                  <w:r>
                    <w:rPr>
                      <w:color w:val="auto"/>
                      <w:szCs w:val="21"/>
                    </w:rPr>
                    <w:t>不包括无排放标准的污染物</w:t>
                  </w:r>
                  <w:r>
                    <w:rPr>
                      <w:rFonts w:hint="eastAsia"/>
                      <w:color w:val="auto"/>
                      <w:szCs w:val="21"/>
                      <w:lang w:eastAsia="zh-CN"/>
                    </w:rPr>
                    <w:t>）</w:t>
                  </w:r>
                  <w:r>
                    <w:rPr>
                      <w:color w:val="auto"/>
                      <w:szCs w:val="21"/>
                    </w:rPr>
                    <w:t>。</w:t>
                  </w:r>
                </w:p>
                <w:p w14:paraId="5C8F82E2">
                  <w:pPr>
                    <w:spacing w:line="300" w:lineRule="exact"/>
                    <w:ind w:firstLine="420" w:firstLineChars="200"/>
                    <w:rPr>
                      <w:color w:val="auto"/>
                      <w:szCs w:val="21"/>
                    </w:rPr>
                  </w:pPr>
                  <w:r>
                    <w:rPr>
                      <w:color w:val="auto"/>
                      <w:szCs w:val="21"/>
                    </w:rPr>
                    <w:t>2.环境空气保护目标指自然保护区、风景名胜区、居住区、文化区和农村地区中人群较集中的区域。</w:t>
                  </w:r>
                </w:p>
                <w:p w14:paraId="0695B53C">
                  <w:pPr>
                    <w:spacing w:line="300" w:lineRule="exact"/>
                    <w:ind w:firstLine="420" w:firstLineChars="200"/>
                    <w:rPr>
                      <w:color w:val="auto"/>
                      <w:szCs w:val="21"/>
                    </w:rPr>
                  </w:pPr>
                  <w:r>
                    <w:rPr>
                      <w:color w:val="auto"/>
                      <w:szCs w:val="21"/>
                    </w:rPr>
                    <w:t>3.临界量及其计算方法可参考《建设项目环境风险评价技术导则》</w:t>
                  </w:r>
                  <w:r>
                    <w:rPr>
                      <w:rFonts w:hint="eastAsia"/>
                      <w:color w:val="auto"/>
                      <w:szCs w:val="21"/>
                      <w:lang w:eastAsia="zh-CN"/>
                    </w:rPr>
                    <w:t>（</w:t>
                  </w:r>
                  <w:r>
                    <w:rPr>
                      <w:color w:val="auto"/>
                      <w:szCs w:val="21"/>
                    </w:rPr>
                    <w:t>HJ 169</w:t>
                  </w:r>
                  <w:r>
                    <w:rPr>
                      <w:rFonts w:hint="eastAsia"/>
                      <w:color w:val="auto"/>
                      <w:szCs w:val="21"/>
                      <w:lang w:eastAsia="zh-CN"/>
                    </w:rPr>
                    <w:t>）</w:t>
                  </w:r>
                  <w:r>
                    <w:rPr>
                      <w:color w:val="auto"/>
                      <w:szCs w:val="21"/>
                    </w:rPr>
                    <w:t>附录B、附录C。</w:t>
                  </w:r>
                </w:p>
              </w:tc>
            </w:tr>
          </w:tbl>
          <w:p w14:paraId="40C379A0">
            <w:pPr>
              <w:adjustRightInd w:val="0"/>
              <w:snapToGrid w:val="0"/>
              <w:jc w:val="center"/>
              <w:rPr>
                <w:color w:val="auto"/>
                <w:sz w:val="24"/>
              </w:rPr>
            </w:pPr>
          </w:p>
        </w:tc>
      </w:tr>
      <w:tr w14:paraId="4A8578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770" w:type="dxa"/>
            <w:gridSpan w:val="2"/>
            <w:vAlign w:val="center"/>
          </w:tcPr>
          <w:p w14:paraId="6D47C08A">
            <w:pPr>
              <w:autoSpaceDE w:val="0"/>
              <w:autoSpaceDN w:val="0"/>
              <w:adjustRightInd w:val="0"/>
              <w:snapToGrid w:val="0"/>
              <w:jc w:val="center"/>
              <w:rPr>
                <w:color w:val="auto"/>
                <w:kern w:val="0"/>
                <w:sz w:val="24"/>
              </w:rPr>
            </w:pPr>
            <w:r>
              <w:rPr>
                <w:color w:val="auto"/>
                <w:sz w:val="24"/>
              </w:rPr>
              <w:t>规划情况</w:t>
            </w:r>
          </w:p>
        </w:tc>
        <w:tc>
          <w:tcPr>
            <w:tcW w:w="7069" w:type="dxa"/>
            <w:gridSpan w:val="3"/>
            <w:vAlign w:val="center"/>
          </w:tcPr>
          <w:p w14:paraId="33884426">
            <w:pPr>
              <w:spacing w:line="360" w:lineRule="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规划名称：《</w:t>
            </w:r>
            <w:bookmarkStart w:id="4" w:name="OLE_LINK1"/>
            <w:r>
              <w:rPr>
                <w:rFonts w:hint="eastAsia" w:ascii="Times New Roman" w:hAnsi="Times New Roman" w:eastAsia="宋体" w:cs="Times New Roman"/>
                <w:color w:val="auto"/>
                <w:sz w:val="24"/>
                <w:szCs w:val="24"/>
                <w:lang w:val="en-US" w:eastAsia="zh-CN"/>
              </w:rPr>
              <w:t>辽宁省喀喇沁左翼蒙古族自治县</w:t>
            </w:r>
            <w:bookmarkStart w:id="5" w:name="OLE_LINK175"/>
            <w:r>
              <w:rPr>
                <w:rFonts w:hint="eastAsia" w:ascii="Times New Roman" w:hAnsi="Times New Roman" w:eastAsia="宋体" w:cs="Times New Roman"/>
                <w:color w:val="auto"/>
                <w:sz w:val="24"/>
                <w:szCs w:val="24"/>
                <w:lang w:val="en-US" w:eastAsia="zh-CN"/>
              </w:rPr>
              <w:t>国土空间总体规划（2021</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2035年）</w:t>
            </w:r>
            <w:bookmarkEnd w:id="4"/>
            <w:bookmarkEnd w:id="5"/>
            <w:r>
              <w:rPr>
                <w:rFonts w:hint="eastAsia" w:ascii="Times New Roman" w:hAnsi="Times New Roman" w:eastAsia="宋体" w:cs="Times New Roman"/>
                <w:color w:val="auto"/>
                <w:sz w:val="24"/>
                <w:szCs w:val="24"/>
                <w:lang w:val="en-US" w:eastAsia="zh-CN"/>
              </w:rPr>
              <w:t>》</w:t>
            </w:r>
          </w:p>
          <w:p w14:paraId="4B33EA3E">
            <w:pPr>
              <w:spacing w:line="360" w:lineRule="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审批机关：辽宁省人民政府</w:t>
            </w:r>
          </w:p>
          <w:p w14:paraId="757A03D7">
            <w:pPr>
              <w:spacing w:line="360" w:lineRule="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批复名称：辽宁省人民政府关于北票市、凌源市、</w:t>
            </w:r>
            <w:r>
              <w:rPr>
                <w:rFonts w:hint="eastAsia" w:cs="Times New Roman"/>
                <w:color w:val="auto"/>
                <w:sz w:val="24"/>
                <w:szCs w:val="24"/>
                <w:lang w:val="en-US" w:eastAsia="zh-CN"/>
              </w:rPr>
              <w:t>朝阳建平县</w:t>
            </w:r>
            <w:r>
              <w:rPr>
                <w:rFonts w:hint="eastAsia" w:ascii="Times New Roman" w:hAnsi="Times New Roman" w:eastAsia="宋体" w:cs="Times New Roman"/>
                <w:color w:val="auto"/>
                <w:sz w:val="24"/>
                <w:szCs w:val="24"/>
                <w:lang w:val="en-US" w:eastAsia="zh-CN"/>
              </w:rPr>
              <w:t>、喀喇沁左翼蒙古族自治县国土空间总体规划</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2021-2035年</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的批复</w:t>
            </w:r>
          </w:p>
          <w:p w14:paraId="1B043CCD">
            <w:pPr>
              <w:spacing w:line="360" w:lineRule="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 w:val="24"/>
                <w:szCs w:val="24"/>
                <w:lang w:val="en-US" w:eastAsia="zh-CN"/>
              </w:rPr>
              <w:t>批复文号：辽政</w:t>
            </w:r>
            <w:r>
              <w:rPr>
                <w:rFonts w:hint="eastAsia" w:cs="Times New Roman"/>
                <w:color w:val="auto"/>
                <w:sz w:val="24"/>
                <w:szCs w:val="24"/>
                <w:lang w:val="en-US" w:eastAsia="zh-CN"/>
              </w:rPr>
              <w:t>〔2024〕77号</w:t>
            </w:r>
          </w:p>
        </w:tc>
      </w:tr>
      <w:tr w14:paraId="15E83F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770" w:type="dxa"/>
            <w:gridSpan w:val="2"/>
            <w:vAlign w:val="center"/>
          </w:tcPr>
          <w:p w14:paraId="6634AAA6">
            <w:pPr>
              <w:adjustRightInd w:val="0"/>
              <w:snapToGrid w:val="0"/>
              <w:jc w:val="center"/>
              <w:rPr>
                <w:color w:val="auto"/>
                <w:sz w:val="24"/>
              </w:rPr>
            </w:pPr>
            <w:r>
              <w:rPr>
                <w:color w:val="auto"/>
                <w:sz w:val="24"/>
              </w:rPr>
              <w:t>规划环境影响</w:t>
            </w:r>
          </w:p>
          <w:p w14:paraId="0A5EB6CA">
            <w:pPr>
              <w:adjustRightInd w:val="0"/>
              <w:snapToGrid w:val="0"/>
              <w:jc w:val="center"/>
              <w:rPr>
                <w:color w:val="auto"/>
                <w:kern w:val="0"/>
                <w:sz w:val="24"/>
              </w:rPr>
            </w:pPr>
            <w:r>
              <w:rPr>
                <w:color w:val="auto"/>
                <w:sz w:val="24"/>
              </w:rPr>
              <w:t>评价情况</w:t>
            </w:r>
          </w:p>
        </w:tc>
        <w:tc>
          <w:tcPr>
            <w:tcW w:w="7069" w:type="dxa"/>
            <w:gridSpan w:val="3"/>
            <w:vAlign w:val="center"/>
          </w:tcPr>
          <w:p w14:paraId="3FA39514">
            <w:pPr>
              <w:adjustRightInd w:val="0"/>
              <w:snapToGrid w:val="0"/>
              <w:spacing w:line="360" w:lineRule="auto"/>
              <w:jc w:val="center"/>
              <w:rPr>
                <w:color w:val="auto"/>
              </w:rPr>
            </w:pPr>
            <w:r>
              <w:rPr>
                <w:color w:val="auto"/>
                <w:sz w:val="24"/>
              </w:rPr>
              <w:t>无</w:t>
            </w:r>
          </w:p>
        </w:tc>
      </w:tr>
      <w:tr w14:paraId="605EBF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770" w:type="dxa"/>
            <w:gridSpan w:val="2"/>
            <w:vAlign w:val="center"/>
          </w:tcPr>
          <w:p w14:paraId="347D6913">
            <w:pPr>
              <w:autoSpaceDE w:val="0"/>
              <w:autoSpaceDN w:val="0"/>
              <w:adjustRightInd w:val="0"/>
              <w:snapToGrid w:val="0"/>
              <w:jc w:val="center"/>
              <w:rPr>
                <w:color w:val="auto"/>
                <w:kern w:val="0"/>
                <w:sz w:val="24"/>
              </w:rPr>
            </w:pPr>
            <w:r>
              <w:rPr>
                <w:color w:val="auto"/>
                <w:kern w:val="0"/>
                <w:sz w:val="24"/>
              </w:rPr>
              <w:t>规划及规划环境影响评价符合性分析</w:t>
            </w:r>
          </w:p>
        </w:tc>
        <w:tc>
          <w:tcPr>
            <w:tcW w:w="7069" w:type="dxa"/>
            <w:gridSpan w:val="3"/>
            <w:vAlign w:val="center"/>
          </w:tcPr>
          <w:p w14:paraId="174EDFED">
            <w:pPr>
              <w:spacing w:line="360" w:lineRule="auto"/>
              <w:rPr>
                <w:rFonts w:hint="default" w:ascii="Times New Roman" w:hAnsi="Times New Roman" w:eastAsia="宋体" w:cs="Times New Roman"/>
                <w:color w:val="auto"/>
                <w:spacing w:val="-4"/>
                <w:kern w:val="2"/>
                <w:sz w:val="24"/>
                <w:szCs w:val="24"/>
                <w:lang w:val="en-US" w:eastAsia="zh-CN" w:bidi="ar-SA"/>
              </w:rPr>
            </w:pPr>
            <w:r>
              <w:rPr>
                <w:rFonts w:hint="eastAsia" w:ascii="宋体" w:hAnsi="宋体" w:eastAsia="宋体" w:cs="宋体"/>
                <w:color w:val="auto"/>
                <w:spacing w:val="-4"/>
                <w:kern w:val="2"/>
                <w:sz w:val="24"/>
                <w:szCs w:val="24"/>
                <w:lang w:val="en-US" w:eastAsia="zh-CN" w:bidi="ar-SA"/>
              </w:rPr>
              <w:t>1、本项目与《辽宁省喀喇沁左翼蒙古族自治县国土空间总体规划</w:t>
            </w:r>
            <w:r>
              <w:rPr>
                <w:rFonts w:hint="default" w:ascii="Times New Roman" w:hAnsi="Times New Roman" w:eastAsia="宋体" w:cs="Times New Roman"/>
                <w:color w:val="auto"/>
                <w:spacing w:val="-4"/>
                <w:kern w:val="2"/>
                <w:sz w:val="24"/>
                <w:szCs w:val="24"/>
                <w:lang w:val="en-US" w:eastAsia="zh-CN" w:bidi="ar-SA"/>
              </w:rPr>
              <w:t>（2021-2035年）》的符合性分析</w:t>
            </w:r>
          </w:p>
          <w:p w14:paraId="6DBDE723">
            <w:pPr>
              <w:spacing w:line="360" w:lineRule="auto"/>
              <w:ind w:firstLine="464" w:firstLineChars="200"/>
              <w:rPr>
                <w:rFonts w:hint="eastAsia" w:ascii="宋体" w:hAnsi="宋体" w:eastAsia="宋体" w:cs="宋体"/>
                <w:color w:val="auto"/>
                <w:spacing w:val="-4"/>
                <w:kern w:val="2"/>
                <w:sz w:val="24"/>
                <w:szCs w:val="24"/>
                <w:lang w:val="zh-CN" w:eastAsia="zh-CN" w:bidi="ar-SA"/>
              </w:rPr>
            </w:pPr>
            <w:r>
              <w:rPr>
                <w:rFonts w:hint="default" w:ascii="Times New Roman" w:hAnsi="Times New Roman" w:eastAsia="宋体" w:cs="Times New Roman"/>
                <w:color w:val="auto"/>
                <w:spacing w:val="-4"/>
                <w:kern w:val="2"/>
                <w:sz w:val="24"/>
                <w:szCs w:val="24"/>
                <w:lang w:val="zh-CN" w:eastAsia="zh-CN" w:bidi="ar-SA"/>
              </w:rPr>
              <w:t>根据《辽宁省喀喇沁左翼蒙古族自治县国土空间总体规划（2021—2035年）》，本次规划包括“第三节 推动协同开放发展 第148条 推进红山化工升级优化，提高对资源和市场需求的适应能力；大力开发和应用各种新型节能技术，降低能源消耗和加工</w:t>
            </w:r>
            <w:r>
              <w:rPr>
                <w:rFonts w:hint="eastAsia" w:ascii="宋体" w:hAnsi="宋体" w:eastAsia="宋体" w:cs="宋体"/>
                <w:color w:val="auto"/>
                <w:spacing w:val="-4"/>
                <w:kern w:val="2"/>
                <w:sz w:val="24"/>
                <w:szCs w:val="24"/>
                <w:lang w:val="zh-CN" w:eastAsia="zh-CN" w:bidi="ar-SA"/>
              </w:rPr>
              <w:t>损耗，不断提高能源利用效率。”的规划内容。</w:t>
            </w:r>
          </w:p>
          <w:p w14:paraId="482245C1">
            <w:pPr>
              <w:spacing w:line="360" w:lineRule="auto"/>
              <w:ind w:firstLine="464" w:firstLineChars="200"/>
              <w:rPr>
                <w:rFonts w:hint="eastAsia" w:ascii="Times New Roman" w:hAnsi="Times New Roman" w:eastAsia="宋体" w:cs="Times New Roman"/>
                <w:color w:val="auto"/>
                <w:spacing w:val="-4"/>
                <w:kern w:val="2"/>
                <w:sz w:val="24"/>
                <w:szCs w:val="24"/>
                <w:lang w:val="zh-CN" w:eastAsia="zh-CN" w:bidi="ar-SA"/>
              </w:rPr>
            </w:pPr>
            <w:r>
              <w:rPr>
                <w:rFonts w:hint="eastAsia" w:ascii="Times New Roman" w:hAnsi="Times New Roman" w:eastAsia="宋体" w:cs="Times New Roman"/>
                <w:color w:val="auto"/>
                <w:spacing w:val="-4"/>
                <w:kern w:val="2"/>
                <w:sz w:val="24"/>
                <w:szCs w:val="24"/>
                <w:lang w:val="zh-CN" w:eastAsia="zh-CN" w:bidi="ar-SA"/>
              </w:rPr>
              <w:t>震源药柱是化石能源和矿产勘探中不可或缺的物品，是落实中央经济工作会议强调的“加强重要能源、矿产资源国内勘探开发和增储上产”、保障“能源的饭碗必须端在自己手里”的必备物资。生产线建成后，将助力东北区域物探公司获取勘探项目，带动震源药柱销售增加，形成双赢的局面。另外，公司震源药柱生产线建成后，可有效支撑东北区域、华北区域、蒙东地区勘探工作。</w:t>
            </w:r>
          </w:p>
          <w:p w14:paraId="445B2EDC">
            <w:pPr>
              <w:spacing w:line="360" w:lineRule="auto"/>
              <w:ind w:firstLine="464" w:firstLineChars="200"/>
              <w:rPr>
                <w:rFonts w:hint="eastAsia" w:ascii="Times New Roman" w:hAnsi="Times New Roman" w:eastAsia="宋体" w:cs="Times New Roman"/>
                <w:color w:val="auto"/>
                <w:spacing w:val="-4"/>
                <w:kern w:val="2"/>
                <w:sz w:val="24"/>
                <w:szCs w:val="24"/>
                <w:lang w:val="zh-CN" w:eastAsia="zh-CN" w:bidi="ar-SA"/>
              </w:rPr>
            </w:pPr>
            <w:r>
              <w:rPr>
                <w:rFonts w:hint="eastAsia" w:ascii="Times New Roman" w:hAnsi="Times New Roman" w:eastAsia="宋体" w:cs="Times New Roman"/>
                <w:color w:val="auto"/>
                <w:spacing w:val="-4"/>
                <w:kern w:val="2"/>
                <w:sz w:val="24"/>
                <w:szCs w:val="24"/>
                <w:lang w:val="zh-CN" w:eastAsia="zh-CN" w:bidi="ar-SA"/>
              </w:rPr>
              <w:t>因此，本项目的实施符合喀左县国土空间总体规划（2021—2035年）中关于“推进红山化工升级优化，提高对资源和市场需求的适应能力”的战略规划和产业定位。</w:t>
            </w:r>
          </w:p>
          <w:p w14:paraId="51A913AD">
            <w:pPr>
              <w:spacing w:line="360" w:lineRule="auto"/>
              <w:ind w:firstLine="464" w:firstLineChars="200"/>
              <w:rPr>
                <w:rFonts w:hint="default" w:ascii="Times New Roman" w:hAnsi="Times New Roman" w:eastAsia="宋体" w:cs="Times New Roman"/>
                <w:color w:val="auto"/>
                <w:spacing w:val="-4"/>
                <w:kern w:val="2"/>
                <w:sz w:val="24"/>
                <w:szCs w:val="24"/>
                <w:lang w:val="en-US" w:eastAsia="zh-CN" w:bidi="ar-SA"/>
              </w:rPr>
            </w:pPr>
            <w:r>
              <w:rPr>
                <w:rFonts w:hint="eastAsia" w:cs="Times New Roman"/>
                <w:color w:val="auto"/>
                <w:spacing w:val="-4"/>
                <w:kern w:val="2"/>
                <w:sz w:val="24"/>
                <w:szCs w:val="24"/>
                <w:lang w:val="en-US" w:eastAsia="zh-CN" w:bidi="ar-SA"/>
              </w:rPr>
              <w:t>同时本项目用地已纳入《辽宁省喀喇沁左翼蒙古族自治县国土空间总体规划（2021-2035年）》，详见附图。</w:t>
            </w:r>
          </w:p>
          <w:p w14:paraId="7514519B">
            <w:pPr>
              <w:adjustRightInd w:val="0"/>
              <w:snapToGrid w:val="0"/>
              <w:jc w:val="center"/>
              <w:rPr>
                <w:color w:val="auto"/>
                <w:sz w:val="24"/>
              </w:rPr>
            </w:pPr>
          </w:p>
        </w:tc>
      </w:tr>
      <w:tr w14:paraId="19D3E5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6" w:hRule="atLeast"/>
          <w:jc w:val="center"/>
        </w:trPr>
        <w:tc>
          <w:tcPr>
            <w:tcW w:w="757" w:type="dxa"/>
            <w:vAlign w:val="center"/>
          </w:tcPr>
          <w:p w14:paraId="77A8E4E7">
            <w:pPr>
              <w:autoSpaceDE w:val="0"/>
              <w:autoSpaceDN w:val="0"/>
              <w:adjustRightInd w:val="0"/>
              <w:snapToGrid w:val="0"/>
              <w:jc w:val="center"/>
              <w:rPr>
                <w:color w:val="auto"/>
                <w:kern w:val="0"/>
                <w:sz w:val="24"/>
              </w:rPr>
            </w:pPr>
            <w:r>
              <w:rPr>
                <w:color w:val="auto"/>
                <w:kern w:val="0"/>
                <w:sz w:val="24"/>
              </w:rPr>
              <w:t>其他符合性分析</w:t>
            </w:r>
          </w:p>
        </w:tc>
        <w:tc>
          <w:tcPr>
            <w:tcW w:w="8082" w:type="dxa"/>
            <w:gridSpan w:val="4"/>
            <w:vAlign w:val="center"/>
          </w:tcPr>
          <w:p w14:paraId="5F49512B">
            <w:pPr>
              <w:autoSpaceDE w:val="0"/>
              <w:autoSpaceDN w:val="0"/>
              <w:adjustRightInd w:val="0"/>
              <w:snapToGrid w:val="0"/>
              <w:spacing w:line="360" w:lineRule="auto"/>
              <w:ind w:firstLine="482" w:firstLineChars="200"/>
              <w:rPr>
                <w:b/>
                <w:bCs/>
                <w:color w:val="auto"/>
                <w:kern w:val="0"/>
                <w:sz w:val="24"/>
              </w:rPr>
            </w:pPr>
            <w:r>
              <w:rPr>
                <w:b/>
                <w:bCs/>
                <w:color w:val="auto"/>
                <w:kern w:val="0"/>
                <w:sz w:val="24"/>
              </w:rPr>
              <w:t>1、产业政策符合性分析</w:t>
            </w:r>
          </w:p>
          <w:p w14:paraId="5A0F3F4D">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kern w:val="0"/>
                <w:sz w:val="24"/>
                <w:szCs w:val="24"/>
                <w:lang w:val="en-US" w:eastAsia="zh-CN" w:bidi="ar-SA"/>
              </w:rPr>
            </w:pPr>
            <w:bookmarkStart w:id="6" w:name="OLE_LINK173"/>
            <w:r>
              <w:rPr>
                <w:rFonts w:hint="eastAsia" w:ascii="Times New Roman" w:hAnsi="Times New Roman" w:eastAsia="宋体" w:cs="Times New Roman"/>
                <w:color w:val="auto"/>
                <w:kern w:val="0"/>
                <w:sz w:val="24"/>
                <w:szCs w:val="24"/>
                <w:lang w:val="en-US" w:eastAsia="zh-CN" w:bidi="ar-SA"/>
              </w:rPr>
              <w:t xml:space="preserve">本项目为扩建项目，属于C2671 </w:t>
            </w:r>
            <w:r>
              <w:rPr>
                <w:rFonts w:hint="default" w:ascii="Times New Roman" w:hAnsi="Times New Roman" w:eastAsia="宋体" w:cs="Times New Roman"/>
                <w:color w:val="auto"/>
                <w:kern w:val="0"/>
                <w:sz w:val="24"/>
                <w:szCs w:val="24"/>
                <w:lang w:val="en-US" w:eastAsia="zh-CN" w:bidi="ar-SA"/>
              </w:rPr>
              <w:t>炸药及火工产品制造</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 xml:space="preserve">根据2023年12月1日国家发展改革委第6次委务会通过的《产业结构调整指导目录 </w:t>
            </w:r>
            <w:r>
              <w:rPr>
                <w:rFonts w:hint="eastAsia"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2024年本</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w:t>
            </w:r>
            <w:bookmarkEnd w:id="6"/>
            <w:r>
              <w:rPr>
                <w:rFonts w:hint="default" w:ascii="Times New Roman" w:hAnsi="Times New Roman" w:eastAsia="宋体" w:cs="Times New Roman"/>
                <w:color w:val="auto"/>
                <w:kern w:val="0"/>
                <w:sz w:val="24"/>
                <w:szCs w:val="24"/>
                <w:lang w:val="en-US" w:eastAsia="zh-CN" w:bidi="ar-SA"/>
              </w:rPr>
              <w:t>，本项目不属于</w:t>
            </w:r>
            <w:r>
              <w:rPr>
                <w:rFonts w:hint="default" w:ascii="Times New Roman" w:hAnsi="Times New Roman" w:eastAsia="宋体" w:cs="Times New Roman"/>
                <w:color w:val="auto"/>
                <w:kern w:val="0"/>
                <w:sz w:val="24"/>
                <w:szCs w:val="24"/>
                <w:lang w:val="zh-CN" w:eastAsia="zh-CN" w:bidi="ar-SA"/>
              </w:rPr>
              <w:t>鼓励类、限制类和淘汰类，属于允许类项目，符合国家产业政策。</w:t>
            </w:r>
          </w:p>
          <w:p w14:paraId="07B3C6FF">
            <w:pPr>
              <w:autoSpaceDE w:val="0"/>
              <w:autoSpaceDN w:val="0"/>
              <w:adjustRightInd w:val="0"/>
              <w:snapToGrid w:val="0"/>
              <w:spacing w:line="360" w:lineRule="auto"/>
              <w:ind w:firstLine="482" w:firstLineChars="200"/>
              <w:rPr>
                <w:b/>
                <w:bCs/>
                <w:color w:val="auto"/>
                <w:kern w:val="0"/>
                <w:sz w:val="24"/>
              </w:rPr>
            </w:pPr>
            <w:r>
              <w:rPr>
                <w:b/>
                <w:bCs/>
                <w:color w:val="auto"/>
                <w:kern w:val="0"/>
                <w:sz w:val="24"/>
              </w:rPr>
              <w:t>2、项目选址合理性分析</w:t>
            </w:r>
          </w:p>
          <w:p w14:paraId="30C97A8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本项目建设地点位于辽宁省朝阳市喀左县大城子镇小城子村，拟在公司现有厂区西侧新征土地</w:t>
            </w:r>
            <w:r>
              <w:rPr>
                <w:rFonts w:hint="default" w:ascii="Times New Roman" w:hAnsi="Times New Roman" w:eastAsia="宋体" w:cs="Times New Roman"/>
                <w:color w:val="auto"/>
                <w:kern w:val="0"/>
                <w:sz w:val="24"/>
                <w:szCs w:val="24"/>
                <w:lang w:val="en-US" w:eastAsia="zh-CN" w:bidi="ar-SA"/>
              </w:rPr>
              <w:t>36196</w:t>
            </w:r>
            <w:r>
              <w:rPr>
                <w:rFonts w:hint="eastAsia" w:ascii="Times New Roman" w:hAnsi="Times New Roman" w:eastAsia="宋体" w:cs="Times New Roman"/>
                <w:color w:val="auto"/>
                <w:kern w:val="0"/>
                <w:sz w:val="24"/>
                <w:szCs w:val="24"/>
                <w:lang w:val="en-US" w:eastAsia="zh-CN" w:bidi="ar-SA"/>
              </w:rPr>
              <w:t>平方米，新建</w:t>
            </w:r>
            <w:r>
              <w:rPr>
                <w:rFonts w:hint="default" w:ascii="Times New Roman" w:hAnsi="Times New Roman" w:eastAsia="宋体" w:cs="Times New Roman"/>
                <w:color w:val="auto"/>
                <w:kern w:val="0"/>
                <w:sz w:val="24"/>
                <w:szCs w:val="24"/>
                <w:lang w:val="en-US" w:eastAsia="zh-CN" w:bidi="ar-SA"/>
              </w:rPr>
              <w:t>1</w:t>
            </w:r>
            <w:r>
              <w:rPr>
                <w:rFonts w:hint="eastAsia" w:ascii="Times New Roman" w:hAnsi="Times New Roman" w:eastAsia="宋体" w:cs="Times New Roman"/>
                <w:color w:val="auto"/>
                <w:kern w:val="0"/>
                <w:sz w:val="24"/>
                <w:szCs w:val="24"/>
                <w:lang w:val="en-US" w:eastAsia="zh-CN" w:bidi="ar-SA"/>
              </w:rPr>
              <w:t>条年产</w:t>
            </w:r>
            <w:r>
              <w:rPr>
                <w:rFonts w:hint="default" w:ascii="Times New Roman" w:hAnsi="Times New Roman" w:eastAsia="宋体" w:cs="Times New Roman"/>
                <w:color w:val="auto"/>
                <w:kern w:val="0"/>
                <w:sz w:val="24"/>
                <w:szCs w:val="24"/>
                <w:lang w:val="en-US" w:eastAsia="zh-CN" w:bidi="ar-SA"/>
              </w:rPr>
              <w:t>7000t</w:t>
            </w:r>
            <w:r>
              <w:rPr>
                <w:rFonts w:hint="eastAsia" w:ascii="Times New Roman" w:hAnsi="Times New Roman" w:eastAsia="宋体" w:cs="Times New Roman"/>
                <w:color w:val="auto"/>
                <w:kern w:val="0"/>
                <w:sz w:val="24"/>
                <w:szCs w:val="24"/>
                <w:lang w:val="en-US" w:eastAsia="zh-CN" w:bidi="ar-SA"/>
              </w:rPr>
              <w:t>乳化炸药震源药柱生产线，项目用地性质属于工业用地</w:t>
            </w:r>
            <w:r>
              <w:rPr>
                <w:rFonts w:hint="eastAsia" w:cs="Times New Roman"/>
                <w:color w:val="auto"/>
                <w:kern w:val="0"/>
                <w:sz w:val="24"/>
                <w:szCs w:val="24"/>
                <w:lang w:val="en-US" w:eastAsia="zh-CN" w:bidi="ar-SA"/>
              </w:rPr>
              <w:t>，土地证见附件</w:t>
            </w:r>
            <w:r>
              <w:rPr>
                <w:rFonts w:hint="eastAsia" w:ascii="Times New Roman" w:hAnsi="Times New Roman" w:eastAsia="宋体" w:cs="Times New Roman"/>
                <w:color w:val="auto"/>
                <w:kern w:val="0"/>
                <w:sz w:val="24"/>
                <w:szCs w:val="24"/>
                <w:lang w:val="en-US" w:eastAsia="zh-CN" w:bidi="ar-SA"/>
              </w:rPr>
              <w:t>。项目占地范围内无文物保护单位、自然保护区、风景名胜区，不涉及生态敏感区，且不在集中式饮用水水源地保护区内及其它生态保护红线规划范围。</w:t>
            </w:r>
          </w:p>
          <w:p w14:paraId="7E6A059B">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本项目东侧、西侧、北侧均为山地，南侧为朝阳红山化工有限责任公司现有厂区，周边情况示意图见附图</w:t>
            </w:r>
            <w:r>
              <w:rPr>
                <w:rFonts w:hint="eastAsia" w:cs="Times New Roman"/>
                <w:color w:val="auto"/>
                <w:kern w:val="0"/>
                <w:sz w:val="24"/>
                <w:szCs w:val="24"/>
                <w:lang w:val="en-US" w:eastAsia="zh-CN" w:bidi="ar-SA"/>
              </w:rPr>
              <w:t>2</w:t>
            </w:r>
            <w:r>
              <w:rPr>
                <w:rFonts w:hint="eastAsia" w:ascii="Times New Roman" w:hAnsi="Times New Roman" w:eastAsia="宋体" w:cs="Times New Roman"/>
                <w:color w:val="auto"/>
                <w:kern w:val="0"/>
                <w:sz w:val="24"/>
                <w:szCs w:val="24"/>
                <w:lang w:val="en-US" w:eastAsia="zh-CN" w:bidi="ar-SA"/>
              </w:rPr>
              <w:t>。本项目运营期在采取可行的治理措施后，废气、废水及噪声能够达标排放，固体废物均可以得到妥善处理，根据环境影响分析，本项目的建设对周围环境影响较小。</w:t>
            </w:r>
          </w:p>
          <w:p w14:paraId="4470A56D">
            <w:pPr>
              <w:spacing w:line="360" w:lineRule="auto"/>
              <w:ind w:firstLine="464" w:firstLineChars="200"/>
              <w:rPr>
                <w:rFonts w:hint="default" w:ascii="Times New Roman" w:hAnsi="Times New Roman" w:eastAsia="宋体" w:cs="Times New Roman"/>
                <w:color w:val="auto"/>
                <w:spacing w:val="-4"/>
                <w:kern w:val="2"/>
                <w:sz w:val="24"/>
                <w:szCs w:val="24"/>
                <w:lang w:val="en-US" w:eastAsia="zh-CN" w:bidi="ar-SA"/>
              </w:rPr>
            </w:pPr>
            <w:r>
              <w:rPr>
                <w:rFonts w:hint="eastAsia" w:cs="Times New Roman"/>
                <w:color w:val="auto"/>
                <w:spacing w:val="-4"/>
                <w:kern w:val="2"/>
                <w:sz w:val="24"/>
                <w:szCs w:val="24"/>
                <w:lang w:val="en-US" w:eastAsia="zh-CN" w:bidi="ar-SA"/>
              </w:rPr>
              <w:t>本项目用地已纳入《辽宁省喀喇沁左翼蒙古族自治县国土空间总体规划（2021-2035年）》，详见附图。</w:t>
            </w:r>
          </w:p>
          <w:p w14:paraId="4AEDB58B">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因此，从环境角度来看本项目选址合理。</w:t>
            </w:r>
          </w:p>
          <w:p w14:paraId="2DA117F2">
            <w:pPr>
              <w:autoSpaceDE w:val="0"/>
              <w:autoSpaceDN w:val="0"/>
              <w:adjustRightInd w:val="0"/>
              <w:snapToGrid w:val="0"/>
              <w:spacing w:line="360" w:lineRule="auto"/>
              <w:ind w:firstLine="482" w:firstLineChars="200"/>
              <w:rPr>
                <w:b/>
                <w:bCs/>
                <w:color w:val="auto"/>
                <w:kern w:val="0"/>
                <w:sz w:val="24"/>
              </w:rPr>
            </w:pPr>
            <w:r>
              <w:rPr>
                <w:rFonts w:hint="eastAsia"/>
                <w:b/>
                <w:bCs/>
                <w:color w:val="auto"/>
                <w:kern w:val="0"/>
                <w:sz w:val="24"/>
                <w:lang w:val="en-US" w:eastAsia="zh-CN"/>
              </w:rPr>
              <w:t>3、</w:t>
            </w:r>
            <w:r>
              <w:rPr>
                <w:b/>
                <w:bCs/>
                <w:color w:val="auto"/>
                <w:kern w:val="0"/>
                <w:sz w:val="24"/>
              </w:rPr>
              <w:t>与“三线一单”符合性分析</w:t>
            </w:r>
          </w:p>
          <w:p w14:paraId="517D6F21">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根据《朝阳市人民政府关于实施“三线一单”生态环境分区管控的意见》（朝政发</w:t>
            </w:r>
            <w:r>
              <w:rPr>
                <w:rFonts w:hint="eastAsia" w:ascii="Times New Roman" w:hAnsi="Times New Roman" w:eastAsia="宋体" w:cs="Times New Roman"/>
                <w:color w:val="auto"/>
                <w:lang w:val="en-US" w:eastAsia="zh-CN"/>
              </w:rPr>
              <w:t>〔2021〕13号</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highlight w:val="none"/>
                <w:lang w:val="en-US" w:eastAsia="zh-CN"/>
              </w:rPr>
              <w:t>《关于发布朝阳市生态环境分区管控动态更新方案（2023年）的通告》</w:t>
            </w:r>
            <w:r>
              <w:rPr>
                <w:rFonts w:hint="default" w:ascii="Times New Roman" w:hAnsi="Times New Roman" w:eastAsia="宋体" w:cs="Times New Roman"/>
                <w:color w:val="auto"/>
                <w:spacing w:val="9"/>
                <w:sz w:val="24"/>
                <w:szCs w:val="24"/>
              </w:rPr>
              <w:t>（朝环发〔2024〕45号</w:t>
            </w:r>
            <w:r>
              <w:rPr>
                <w:rFonts w:hint="default" w:ascii="Times New Roman" w:hAnsi="Times New Roman" w:eastAsia="宋体" w:cs="Times New Roman"/>
                <w:color w:val="auto"/>
                <w:spacing w:val="19"/>
                <w:sz w:val="24"/>
                <w:szCs w:val="24"/>
              </w:rPr>
              <w:t>）</w:t>
            </w:r>
            <w:r>
              <w:rPr>
                <w:rFonts w:hint="default" w:ascii="Times New Roman" w:hAnsi="Times New Roman" w:eastAsia="宋体" w:cs="Times New Roman"/>
                <w:color w:val="auto"/>
                <w:lang w:val="en-US" w:eastAsia="zh-CN"/>
              </w:rPr>
              <w:t>，以及本次扩建项目情况进行</w:t>
            </w:r>
            <w:r>
              <w:rPr>
                <w:rFonts w:hint="eastAsia" w:ascii="Times New Roman" w:hAnsi="Times New Roman" w:eastAsia="宋体" w:cs="Times New Roman"/>
                <w:color w:val="auto"/>
                <w:lang w:val="en-US" w:eastAsia="zh-CN"/>
              </w:rPr>
              <w:t>“三线一单”</w:t>
            </w:r>
            <w:r>
              <w:rPr>
                <w:rFonts w:hint="default" w:ascii="Times New Roman" w:hAnsi="Times New Roman" w:eastAsia="宋体" w:cs="Times New Roman"/>
                <w:color w:val="auto"/>
                <w:lang w:val="en-US" w:eastAsia="zh-CN"/>
              </w:rPr>
              <w:t>符合性分析。</w:t>
            </w:r>
          </w:p>
          <w:p w14:paraId="749E680B">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（1）与生态保护红线及生态功能区符合性分析</w:t>
            </w:r>
          </w:p>
          <w:p w14:paraId="48772B2D">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朝阳市生态保护红线将包括省级以上自然保护区和重要饮用水源地、生态功能区红线、生态敏感区红线。生态功能区包括水源涵养区、土壤保持区、防风固沙区、生物多样性保护区。敏感区、脆弱区生态保护红线包括水土流失敏感区和土地沙化敏感区、脆弱区。</w:t>
            </w:r>
          </w:p>
          <w:p w14:paraId="5EA78597">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符合性分析：本项目位于辽宁省朝阳市喀左县大城子镇小城子村，选址范围内不涉及自然保护区、森林公园、风景名胜区、世界</w:t>
            </w:r>
            <w:r>
              <w:rPr>
                <w:rFonts w:hint="eastAsia" w:ascii="Times New Roman" w:hAnsi="Times New Roman" w:eastAsia="宋体" w:cs="Times New Roman"/>
                <w:color w:val="auto"/>
                <w:lang w:val="en-US" w:eastAsia="zh-CN"/>
              </w:rPr>
              <w:t>文化和自然遗产</w:t>
            </w:r>
            <w:r>
              <w:rPr>
                <w:rFonts w:hint="default" w:ascii="Times New Roman" w:hAnsi="Times New Roman" w:eastAsia="宋体" w:cs="Times New Roman"/>
                <w:color w:val="auto"/>
                <w:lang w:val="en-US" w:eastAsia="zh-CN"/>
              </w:rPr>
              <w:t>、地质公园等，并且不在生态功能区生态红线和生态环境敏感区、脆弱区生态红线内，符合生态保护红线要求。</w:t>
            </w:r>
          </w:p>
          <w:p w14:paraId="1F07F1BB">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（2）与生态环境分区管控符合性分析</w:t>
            </w:r>
          </w:p>
          <w:p w14:paraId="170E4A9D">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本项目位于辽宁省朝阳市喀左县大城子镇小城子村，根据《朝阳市“三线一单”环境管控单元分布》可知，属于生态环境管控单元中的一般管控区。本项目属于“C2671 </w:t>
            </w:r>
            <w:bookmarkStart w:id="7" w:name="OLE_LINK184"/>
            <w:r>
              <w:rPr>
                <w:rFonts w:hint="default" w:ascii="Times New Roman" w:hAnsi="Times New Roman" w:eastAsia="宋体" w:cs="Times New Roman"/>
                <w:color w:val="auto"/>
                <w:lang w:val="en-US" w:eastAsia="zh-CN"/>
              </w:rPr>
              <w:t>炸药及火工产品制造</w:t>
            </w:r>
            <w:bookmarkEnd w:id="7"/>
            <w:r>
              <w:rPr>
                <w:rFonts w:hint="default" w:ascii="Times New Roman" w:hAnsi="Times New Roman" w:eastAsia="宋体" w:cs="Times New Roman"/>
                <w:color w:val="auto"/>
                <w:lang w:val="en-US" w:eastAsia="zh-CN"/>
              </w:rPr>
              <w:t>”，项目在建设过程中能够落实各项生态环境保护的基本要求，与“一般管控单元”的分区管控要求相符。</w:t>
            </w:r>
          </w:p>
          <w:p w14:paraId="377F733F">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（3）与环境质量底线符合性分析</w:t>
            </w:r>
          </w:p>
          <w:p w14:paraId="140DBA99">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本项目位于辽宁省朝阳市喀左县大城子镇小城子村，朝阳市202</w:t>
            </w:r>
            <w:r>
              <w:rPr>
                <w:rFonts w:hint="eastAsia" w:ascii="Times New Roman" w:hAnsi="Times New Roman" w:eastAsia="宋体" w:cs="Times New Roman"/>
                <w:color w:val="auto"/>
                <w:lang w:val="en-US" w:eastAsia="zh-CN"/>
              </w:rPr>
              <w:t>4</w:t>
            </w:r>
            <w:r>
              <w:rPr>
                <w:rFonts w:hint="default" w:ascii="Times New Roman" w:hAnsi="Times New Roman" w:eastAsia="宋体" w:cs="Times New Roman"/>
                <w:color w:val="auto"/>
                <w:lang w:val="en-US" w:eastAsia="zh-CN"/>
              </w:rPr>
              <w:t>年为环境质量达标区，项目区域环境空气功能区划为二类区，执行《环境空气质量标准》（GB3095-20</w:t>
            </w:r>
            <w:r>
              <w:rPr>
                <w:rFonts w:hint="eastAsia" w:ascii="Times New Roman" w:hAnsi="Times New Roman" w:eastAsia="宋体" w:cs="Times New Roman"/>
                <w:color w:val="auto"/>
                <w:lang w:val="en-US" w:eastAsia="zh-CN"/>
              </w:rPr>
              <w:t>26</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过渡期</w:t>
            </w:r>
            <w:r>
              <w:rPr>
                <w:rFonts w:hint="default" w:ascii="Times New Roman" w:hAnsi="Times New Roman" w:eastAsia="宋体" w:cs="Times New Roman"/>
                <w:color w:val="auto"/>
                <w:lang w:val="en-US" w:eastAsia="zh-CN"/>
              </w:rPr>
              <w:t>二级标准。</w:t>
            </w:r>
          </w:p>
          <w:p w14:paraId="6EF71AE9">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本项目生产废水全部综合利用不外排；不新增生活污水。</w:t>
            </w:r>
          </w:p>
          <w:p w14:paraId="62051A22">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综上所述，本项目的建设与环境质量底线不冲突。</w:t>
            </w:r>
          </w:p>
          <w:p w14:paraId="585B5E49">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（4）与资源利用上线符合性分析</w:t>
            </w:r>
          </w:p>
          <w:p w14:paraId="2128F4F4">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本项目营运期能源消耗主要为一定量的电力、水等，所需材料均为外购，可满足项目需求，能源消耗相对区域能源使用量较小，不触及资源利用上限。</w:t>
            </w:r>
          </w:p>
          <w:p w14:paraId="6C0A64BC">
            <w:pPr>
              <w:pStyle w:val="41"/>
              <w:spacing w:after="0" w:line="360" w:lineRule="auto"/>
              <w:ind w:left="0" w:leftChars="0"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综上所述，本项目建设与资源利用上线无冲突。</w:t>
            </w:r>
          </w:p>
          <w:p w14:paraId="622C1208">
            <w:pPr>
              <w:pStyle w:val="115"/>
              <w:spacing w:before="25" w:line="228" w:lineRule="auto"/>
              <w:ind w:left="537"/>
              <w:rPr>
                <w:rFonts w:hint="default" w:ascii="Times New Roman" w:hAnsi="Times New Roman" w:cs="Times New Roman"/>
                <w:color w:val="auto"/>
                <w:sz w:val="24"/>
                <w:szCs w:val="24"/>
              </w:rPr>
            </w:pPr>
            <w:r>
              <w:rPr>
                <w:rFonts w:hint="default" w:ascii="Times New Roman" w:hAnsi="Times New Roman" w:cs="Times New Roman"/>
                <w:color w:val="auto"/>
                <w:spacing w:val="8"/>
                <w:sz w:val="24"/>
                <w:szCs w:val="24"/>
              </w:rPr>
              <w:t>（</w:t>
            </w:r>
            <w:r>
              <w:rPr>
                <w:rFonts w:hint="default" w:ascii="Times New Roman" w:hAnsi="Times New Roman" w:eastAsia="Times New Roman" w:cs="Times New Roman"/>
                <w:color w:val="auto"/>
                <w:spacing w:val="8"/>
                <w:sz w:val="24"/>
                <w:szCs w:val="24"/>
              </w:rPr>
              <w:t>5</w:t>
            </w:r>
            <w:r>
              <w:rPr>
                <w:rFonts w:hint="default" w:ascii="Times New Roman" w:hAnsi="Times New Roman" w:cs="Times New Roman"/>
                <w:color w:val="auto"/>
                <w:spacing w:val="8"/>
                <w:sz w:val="24"/>
                <w:szCs w:val="24"/>
              </w:rPr>
              <w:t>）与环境准入负面清单符合性分析</w:t>
            </w:r>
          </w:p>
          <w:p w14:paraId="3A14E80A">
            <w:pPr>
              <w:pStyle w:val="115"/>
              <w:spacing w:before="162" w:line="368" w:lineRule="auto"/>
              <w:ind w:left="107" w:right="103" w:firstLine="419"/>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5"/>
                <w:sz w:val="24"/>
                <w:szCs w:val="24"/>
              </w:rPr>
              <w:t>朝阳市生态环境局于</w:t>
            </w:r>
            <w:r>
              <w:rPr>
                <w:rFonts w:hint="default" w:ascii="Times New Roman" w:hAnsi="Times New Roman" w:eastAsia="宋体" w:cs="Times New Roman"/>
                <w:color w:val="auto"/>
                <w:spacing w:val="5"/>
                <w:sz w:val="24"/>
                <w:szCs w:val="24"/>
              </w:rPr>
              <w:t>202</w:t>
            </w:r>
            <w:r>
              <w:rPr>
                <w:rFonts w:hint="eastAsia" w:ascii="Times New Roman" w:hAnsi="Times New Roman" w:eastAsia="宋体" w:cs="Times New Roman"/>
                <w:color w:val="auto"/>
                <w:spacing w:val="5"/>
                <w:sz w:val="24"/>
                <w:szCs w:val="24"/>
                <w:lang w:val="en-US" w:eastAsia="zh-CN"/>
              </w:rPr>
              <w:t>4</w:t>
            </w:r>
            <w:r>
              <w:rPr>
                <w:rFonts w:hint="default" w:ascii="Times New Roman" w:hAnsi="Times New Roman" w:eastAsia="宋体" w:cs="Times New Roman"/>
                <w:color w:val="auto"/>
                <w:spacing w:val="5"/>
                <w:sz w:val="24"/>
                <w:szCs w:val="24"/>
              </w:rPr>
              <w:t>年</w:t>
            </w:r>
            <w:r>
              <w:rPr>
                <w:rFonts w:hint="eastAsia" w:ascii="Times New Roman" w:hAnsi="Times New Roman" w:eastAsia="宋体" w:cs="Times New Roman"/>
                <w:color w:val="auto"/>
                <w:spacing w:val="5"/>
                <w:sz w:val="24"/>
                <w:szCs w:val="24"/>
                <w:lang w:val="en-US" w:eastAsia="zh-CN"/>
              </w:rPr>
              <w:t>12</w:t>
            </w:r>
            <w:r>
              <w:rPr>
                <w:rFonts w:hint="default" w:ascii="Times New Roman" w:hAnsi="Times New Roman" w:eastAsia="宋体" w:cs="Times New Roman"/>
                <w:color w:val="auto"/>
                <w:spacing w:val="5"/>
                <w:sz w:val="24"/>
                <w:szCs w:val="24"/>
              </w:rPr>
              <w:t>月发布了《</w:t>
            </w:r>
            <w:r>
              <w:rPr>
                <w:rFonts w:hint="default" w:ascii="Times New Roman" w:hAnsi="Times New Roman" w:cs="Times New Roman"/>
                <w:color w:val="auto"/>
                <w:spacing w:val="5"/>
                <w:sz w:val="24"/>
                <w:szCs w:val="24"/>
              </w:rPr>
              <w:t>关于发布《朝阳市生态环境分区管控动态更新方案（2023年）》的通告</w:t>
            </w:r>
            <w:r>
              <w:rPr>
                <w:rFonts w:hint="default" w:ascii="Times New Roman" w:hAnsi="Times New Roman" w:cs="Times New Roman"/>
                <w:color w:val="auto"/>
                <w:spacing w:val="9"/>
                <w:sz w:val="24"/>
                <w:szCs w:val="24"/>
              </w:rPr>
              <w:t>》（朝环发〔2024〕45号</w:t>
            </w:r>
            <w:r>
              <w:rPr>
                <w:rFonts w:hint="default" w:ascii="Times New Roman" w:hAnsi="Times New Roman" w:cs="Times New Roman"/>
                <w:color w:val="auto"/>
                <w:spacing w:val="19"/>
                <w:sz w:val="24"/>
                <w:szCs w:val="24"/>
              </w:rPr>
              <w:t>），</w:t>
            </w:r>
            <w:r>
              <w:rPr>
                <w:rFonts w:hint="eastAsia" w:ascii="Times New Roman" w:hAnsi="Times New Roman" w:cs="Times New Roman"/>
                <w:color w:val="auto"/>
                <w:spacing w:val="10"/>
                <w:sz w:val="24"/>
                <w:szCs w:val="24"/>
                <w:lang w:val="en-US" w:eastAsia="zh-CN"/>
              </w:rPr>
              <w:t>本次</w:t>
            </w:r>
            <w:r>
              <w:rPr>
                <w:rFonts w:hint="default" w:ascii="Times New Roman" w:hAnsi="Times New Roman" w:cs="Times New Roman"/>
                <w:color w:val="auto"/>
                <w:spacing w:val="10"/>
                <w:sz w:val="24"/>
                <w:szCs w:val="24"/>
              </w:rPr>
              <w:t>扩建项目与朝阳市管控单元生态环境</w:t>
            </w:r>
            <w:r>
              <w:rPr>
                <w:rFonts w:hint="default" w:ascii="Times New Roman" w:hAnsi="Times New Roman" w:cs="Times New Roman"/>
                <w:color w:val="auto"/>
                <w:spacing w:val="5"/>
                <w:sz w:val="24"/>
                <w:szCs w:val="24"/>
              </w:rPr>
              <w:t>准入清单符合性分析见</w:t>
            </w:r>
            <w:r>
              <w:rPr>
                <w:rFonts w:hint="default" w:ascii="Times New Roman" w:hAnsi="Times New Roman" w:cs="Times New Roman"/>
                <w:color w:val="auto"/>
                <w:spacing w:val="5"/>
                <w:sz w:val="24"/>
                <w:szCs w:val="24"/>
                <w:highlight w:val="none"/>
              </w:rPr>
              <w:t>表</w:t>
            </w:r>
            <w:r>
              <w:rPr>
                <w:rFonts w:hint="eastAsia" w:ascii="Times New Roman" w:hAnsi="Times New Roman" w:cs="Times New Roman"/>
                <w:b/>
                <w:bCs/>
                <w:color w:val="auto"/>
                <w:spacing w:val="-12"/>
                <w:sz w:val="24"/>
                <w:szCs w:val="24"/>
                <w:highlight w:val="none"/>
                <w:lang w:val="en-US" w:eastAsia="zh-CN"/>
              </w:rPr>
              <w:t>1-2</w:t>
            </w:r>
            <w:r>
              <w:rPr>
                <w:rFonts w:hint="default" w:ascii="Times New Roman" w:hAnsi="Times New Roman" w:cs="Times New Roman"/>
                <w:color w:val="auto"/>
                <w:spacing w:val="5"/>
                <w:sz w:val="24"/>
                <w:szCs w:val="24"/>
                <w:highlight w:val="none"/>
              </w:rPr>
              <w:t>。</w:t>
            </w:r>
          </w:p>
          <w:p w14:paraId="10571572">
            <w:pPr>
              <w:pStyle w:val="115"/>
              <w:spacing w:before="37" w:line="224" w:lineRule="auto"/>
              <w:ind w:firstLine="765" w:firstLineChars="300"/>
              <w:rPr>
                <w:rFonts w:hint="default" w:ascii="Times New Roman" w:hAnsi="Times New Roman" w:cs="Times New Roman"/>
                <w:color w:val="auto"/>
                <w:sz w:val="24"/>
                <w:szCs w:val="24"/>
              </w:rPr>
            </w:pPr>
            <w:r>
              <w:rPr>
                <w:rFonts w:hint="default" w:ascii="Times New Roman" w:hAnsi="Times New Roman" w:cs="Times New Roman"/>
                <w:b/>
                <w:bCs/>
                <w:color w:val="auto"/>
                <w:spacing w:val="7"/>
                <w:sz w:val="24"/>
                <w:szCs w:val="24"/>
              </w:rPr>
              <w:t>表</w:t>
            </w:r>
            <w:r>
              <w:rPr>
                <w:rFonts w:hint="eastAsia" w:ascii="Times New Roman" w:hAnsi="Times New Roman" w:cs="Times New Roman"/>
                <w:b/>
                <w:bCs/>
                <w:color w:val="auto"/>
                <w:spacing w:val="10"/>
                <w:sz w:val="24"/>
                <w:szCs w:val="24"/>
                <w:lang w:val="en-US" w:eastAsia="zh-CN"/>
              </w:rPr>
              <w:t>1-2</w:t>
            </w:r>
            <w:r>
              <w:rPr>
                <w:rFonts w:hint="default" w:ascii="Times New Roman" w:hAnsi="Times New Roman" w:eastAsia="宋体" w:cs="Times New Roman"/>
                <w:b/>
                <w:bCs/>
                <w:color w:val="auto"/>
                <w:spacing w:val="10"/>
                <w:sz w:val="24"/>
                <w:szCs w:val="24"/>
              </w:rPr>
              <w:t xml:space="preserve"> </w:t>
            </w:r>
            <w:r>
              <w:rPr>
                <w:rFonts w:hint="default" w:ascii="Times New Roman" w:hAnsi="Times New Roman" w:cs="Times New Roman"/>
                <w:b/>
                <w:bCs/>
                <w:color w:val="auto"/>
                <w:spacing w:val="7"/>
                <w:sz w:val="24"/>
                <w:szCs w:val="24"/>
              </w:rPr>
              <w:t>与朝阳市管控单元生态环境准入清单符合性</w:t>
            </w:r>
            <w:r>
              <w:rPr>
                <w:rFonts w:hint="default" w:ascii="Times New Roman" w:hAnsi="Times New Roman" w:cs="Times New Roman"/>
                <w:b/>
                <w:bCs/>
                <w:color w:val="auto"/>
                <w:spacing w:val="6"/>
                <w:sz w:val="24"/>
                <w:szCs w:val="24"/>
              </w:rPr>
              <w:t>分析</w:t>
            </w:r>
          </w:p>
          <w:tbl>
            <w:tblPr>
              <w:tblStyle w:val="85"/>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22"/>
              <w:gridCol w:w="428"/>
              <w:gridCol w:w="286"/>
              <w:gridCol w:w="343"/>
              <w:gridCol w:w="352"/>
              <w:gridCol w:w="2438"/>
              <w:gridCol w:w="2139"/>
              <w:gridCol w:w="250"/>
            </w:tblGrid>
            <w:tr w14:paraId="083FFD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31" w:type="pct"/>
                  <w:tcBorders>
                    <w:tl2br w:val="nil"/>
                    <w:tr2bl w:val="nil"/>
                  </w:tcBorders>
                  <w:vAlign w:val="center"/>
                </w:tcPr>
                <w:p w14:paraId="7F3599D2">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管控单元编码</w:t>
                  </w:r>
                </w:p>
              </w:tc>
              <w:tc>
                <w:tcPr>
                  <w:tcW w:w="272" w:type="pct"/>
                  <w:tcBorders>
                    <w:tl2br w:val="nil"/>
                    <w:tr2bl w:val="nil"/>
                  </w:tcBorders>
                  <w:vAlign w:val="center"/>
                </w:tcPr>
                <w:p w14:paraId="65B1C3B4">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管控单元名称</w:t>
                  </w:r>
                </w:p>
              </w:tc>
              <w:tc>
                <w:tcPr>
                  <w:tcW w:w="182" w:type="pct"/>
                  <w:tcBorders>
                    <w:tl2br w:val="nil"/>
                    <w:tr2bl w:val="nil"/>
                  </w:tcBorders>
                  <w:vAlign w:val="center"/>
                </w:tcPr>
                <w:p w14:paraId="3F61192E">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区县</w:t>
                  </w:r>
                </w:p>
              </w:tc>
              <w:tc>
                <w:tcPr>
                  <w:tcW w:w="218" w:type="pct"/>
                  <w:tcBorders>
                    <w:tl2br w:val="nil"/>
                    <w:tr2bl w:val="nil"/>
                  </w:tcBorders>
                  <w:vAlign w:val="center"/>
                </w:tcPr>
                <w:p w14:paraId="1C667889">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管控单元分类</w:t>
                  </w:r>
                </w:p>
              </w:tc>
              <w:tc>
                <w:tcPr>
                  <w:tcW w:w="1774" w:type="pct"/>
                  <w:gridSpan w:val="2"/>
                  <w:tcBorders>
                    <w:tl2br w:val="nil"/>
                    <w:tr2bl w:val="nil"/>
                  </w:tcBorders>
                  <w:vAlign w:val="center"/>
                </w:tcPr>
                <w:p w14:paraId="76E70CF9">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生态环境管控要求</w:t>
                  </w:r>
                </w:p>
              </w:tc>
              <w:tc>
                <w:tcPr>
                  <w:tcW w:w="1360" w:type="pct"/>
                  <w:tcBorders>
                    <w:tl2br w:val="nil"/>
                    <w:tr2bl w:val="nil"/>
                  </w:tcBorders>
                  <w:vAlign w:val="center"/>
                </w:tcPr>
                <w:p w14:paraId="6DD7987A">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本项目情况</w:t>
                  </w:r>
                </w:p>
              </w:tc>
              <w:tc>
                <w:tcPr>
                  <w:tcW w:w="159" w:type="pct"/>
                  <w:tcBorders>
                    <w:tl2br w:val="nil"/>
                    <w:tr2bl w:val="nil"/>
                  </w:tcBorders>
                  <w:vAlign w:val="center"/>
                </w:tcPr>
                <w:p w14:paraId="50F5F207">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符合</w:t>
                  </w:r>
                  <w:r>
                    <w:rPr>
                      <w:rFonts w:hint="default" w:ascii="Times New Roman" w:hAnsi="Times New Roman" w:cs="Times New Roman"/>
                      <w:color w:val="auto"/>
                      <w:spacing w:val="-35"/>
                      <w:sz w:val="21"/>
                      <w:szCs w:val="21"/>
                    </w:rPr>
                    <w:t xml:space="preserve"> </w:t>
                  </w:r>
                  <w:r>
                    <w:rPr>
                      <w:rFonts w:hint="default" w:ascii="Times New Roman" w:hAnsi="Times New Roman" w:cs="Times New Roman"/>
                      <w:b/>
                      <w:bCs/>
                      <w:color w:val="auto"/>
                      <w:spacing w:val="6"/>
                      <w:sz w:val="21"/>
                      <w:szCs w:val="21"/>
                    </w:rPr>
                    <w:t>性</w:t>
                  </w:r>
                </w:p>
              </w:tc>
            </w:tr>
            <w:tr w14:paraId="553188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31" w:type="pct"/>
                  <w:vMerge w:val="restart"/>
                  <w:tcBorders>
                    <w:tl2br w:val="nil"/>
                    <w:tr2bl w:val="nil"/>
                  </w:tcBorders>
                  <w:vAlign w:val="center"/>
                </w:tcPr>
                <w:p w14:paraId="4D0341D7">
                  <w:pPr>
                    <w:keepNext w:val="0"/>
                    <w:keepLines w:val="0"/>
                    <w:pageBreakBefore w:val="0"/>
                    <w:widowControl w:val="0"/>
                    <w:kinsoku/>
                    <w:wordWrap/>
                    <w:overflowPunct/>
                    <w:topLinePunct w:val="0"/>
                    <w:autoSpaceDE/>
                    <w:autoSpaceDN/>
                    <w:bidi w:val="0"/>
                    <w:adjustRightInd/>
                    <w:snapToGrid/>
                    <w:spacing w:line="240" w:lineRule="auto"/>
                    <w:ind w:left="0" w:right="0" w:firstLine="11"/>
                    <w:jc w:val="center"/>
                    <w:textAlignment w:val="auto"/>
                    <w:rPr>
                      <w:rFonts w:hint="default" w:ascii="Times New Roman" w:hAnsi="Times New Roman" w:eastAsia="Times New Roman" w:cs="Times New Roman"/>
                      <w:color w:val="auto"/>
                      <w:sz w:val="21"/>
                      <w:szCs w:val="21"/>
                    </w:rPr>
                  </w:pPr>
                  <w:bookmarkStart w:id="8" w:name="OLE_LINK194"/>
                  <w:bookmarkStart w:id="9" w:name="OLE_LINK195" w:colFirst="0" w:colLast="1"/>
                  <w:r>
                    <w:rPr>
                      <w:rFonts w:hint="default" w:ascii="Times New Roman" w:hAnsi="Times New Roman" w:eastAsia="Times New Roman" w:cs="Times New Roman"/>
                      <w:color w:val="auto"/>
                      <w:spacing w:val="2"/>
                      <w:sz w:val="21"/>
                      <w:szCs w:val="21"/>
                    </w:rPr>
                    <w:t>ZH</w:t>
                  </w:r>
                  <w:r>
                    <w:rPr>
                      <w:rFonts w:hint="default" w:ascii="Times New Roman" w:hAnsi="Times New Roman" w:eastAsia="Times New Roman" w:cs="Times New Roman"/>
                      <w:color w:val="auto"/>
                      <w:spacing w:val="24"/>
                      <w:sz w:val="21"/>
                      <w:szCs w:val="21"/>
                    </w:rPr>
                    <w:t>2</w:t>
                  </w:r>
                  <w:r>
                    <w:rPr>
                      <w:rFonts w:hint="default" w:ascii="Times New Roman" w:hAnsi="Times New Roman" w:eastAsia="Times New Roman" w:cs="Times New Roman"/>
                      <w:color w:val="auto"/>
                      <w:spacing w:val="29"/>
                      <w:sz w:val="21"/>
                      <w:szCs w:val="21"/>
                    </w:rPr>
                    <w:t>1</w:t>
                  </w:r>
                  <w:r>
                    <w:rPr>
                      <w:rFonts w:hint="default" w:ascii="Times New Roman" w:hAnsi="Times New Roman" w:eastAsia="Times New Roman" w:cs="Times New Roman"/>
                      <w:color w:val="auto"/>
                      <w:spacing w:val="24"/>
                      <w:sz w:val="21"/>
                      <w:szCs w:val="21"/>
                    </w:rPr>
                    <w:t>132430002</w:t>
                  </w:r>
                  <w:bookmarkEnd w:id="8"/>
                </w:p>
              </w:tc>
              <w:tc>
                <w:tcPr>
                  <w:tcW w:w="272" w:type="pct"/>
                  <w:vMerge w:val="restart"/>
                  <w:tcBorders>
                    <w:tl2br w:val="nil"/>
                    <w:tr2bl w:val="nil"/>
                  </w:tcBorders>
                  <w:vAlign w:val="center"/>
                </w:tcPr>
                <w:p w14:paraId="2ADECCDD">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朝阳市喀喇沁左翼蒙古族自治县</w:t>
                  </w:r>
                </w:p>
                <w:p w14:paraId="64826B59">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position w:val="-4"/>
                      <w:sz w:val="21"/>
                      <w:szCs w:val="21"/>
                    </w:rPr>
                    <w:t>一</w:t>
                  </w:r>
                </w:p>
                <w:p w14:paraId="5A69CF3D">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cs="Times New Roman"/>
                      <w:color w:val="auto"/>
                      <w:spacing w:val="1"/>
                      <w:sz w:val="21"/>
                      <w:szCs w:val="21"/>
                    </w:rPr>
                    <w:t>般管控</w:t>
                  </w:r>
                  <w:r>
                    <w:rPr>
                      <w:rFonts w:hint="default" w:ascii="Times New Roman" w:hAnsi="Times New Roman" w:cs="Times New Roman"/>
                      <w:color w:val="auto"/>
                      <w:spacing w:val="28"/>
                      <w:sz w:val="21"/>
                      <w:szCs w:val="21"/>
                    </w:rPr>
                    <w:t>区</w:t>
                  </w:r>
                  <w:r>
                    <w:rPr>
                      <w:rFonts w:hint="default" w:ascii="Times New Roman" w:hAnsi="Times New Roman" w:eastAsia="Times New Roman" w:cs="Times New Roman"/>
                      <w:color w:val="auto"/>
                      <w:spacing w:val="16"/>
                      <w:w w:val="134"/>
                      <w:sz w:val="21"/>
                      <w:szCs w:val="21"/>
                    </w:rPr>
                    <w:t>2</w:t>
                  </w:r>
                </w:p>
              </w:tc>
              <w:tc>
                <w:tcPr>
                  <w:tcW w:w="182" w:type="pct"/>
                  <w:vMerge w:val="restart"/>
                  <w:tcBorders>
                    <w:tl2br w:val="nil"/>
                    <w:tr2bl w:val="nil"/>
                  </w:tcBorders>
                  <w:textDirection w:val="tbRlV"/>
                  <w:vAlign w:val="center"/>
                </w:tcPr>
                <w:p w14:paraId="18A1F7BE">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喀喇沁左翼蒙古族</w:t>
                  </w:r>
                  <w:r>
                    <w:rPr>
                      <w:rFonts w:hint="default" w:ascii="Times New Roman" w:hAnsi="Times New Roman" w:cs="Times New Roman"/>
                      <w:color w:val="auto"/>
                      <w:spacing w:val="8"/>
                      <w:position w:val="1"/>
                      <w:sz w:val="21"/>
                      <w:szCs w:val="21"/>
                    </w:rPr>
                    <w:t>自</w:t>
                  </w:r>
                  <w:r>
                    <w:rPr>
                      <w:rFonts w:hint="default" w:ascii="Times New Roman" w:hAnsi="Times New Roman" w:cs="Times New Roman"/>
                      <w:color w:val="auto"/>
                      <w:spacing w:val="8"/>
                      <w:sz w:val="21"/>
                      <w:szCs w:val="21"/>
                    </w:rPr>
                    <w:t>治县</w:t>
                  </w:r>
                </w:p>
              </w:tc>
              <w:tc>
                <w:tcPr>
                  <w:tcW w:w="218" w:type="pct"/>
                  <w:vMerge w:val="restart"/>
                  <w:tcBorders>
                    <w:tl2br w:val="nil"/>
                    <w:tr2bl w:val="nil"/>
                  </w:tcBorders>
                  <w:textDirection w:val="tbRlV"/>
                  <w:vAlign w:val="center"/>
                </w:tcPr>
                <w:p w14:paraId="779ADAE1">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pacing w:val="8"/>
                      <w:sz w:val="21"/>
                      <w:szCs w:val="21"/>
                    </w:rPr>
                    <w:t>一般管控区</w:t>
                  </w:r>
                </w:p>
              </w:tc>
              <w:tc>
                <w:tcPr>
                  <w:tcW w:w="224" w:type="pct"/>
                  <w:tcBorders>
                    <w:tl2br w:val="nil"/>
                    <w:tr2bl w:val="nil"/>
                  </w:tcBorders>
                  <w:textDirection w:val="tbRlV"/>
                  <w:vAlign w:val="center"/>
                </w:tcPr>
                <w:p w14:paraId="4D2E26FF">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空间布局约束</w:t>
                  </w:r>
                </w:p>
              </w:tc>
              <w:tc>
                <w:tcPr>
                  <w:tcW w:w="1549" w:type="pct"/>
                  <w:tcBorders>
                    <w:tl2br w:val="nil"/>
                    <w:tr2bl w:val="nil"/>
                  </w:tcBorders>
                  <w:vAlign w:val="center"/>
                </w:tcPr>
                <w:p w14:paraId="5ECF380C">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1.在自然保护区的核心区和缓冲区内，不得建设任何生产设施。在自然保护区的实验区内，不得建设污染环境、破坏资源或者景观的生产设施；建设其他项目，其污染物排放不得超过国家和地方规定的污染物排放标准。</w:t>
                  </w:r>
                </w:p>
                <w:p w14:paraId="0CDD4197">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2.严格生活垃圾处置、陶瓷制造、有色金属矿采选及冶炼等行业准入，加强现有重点行业管理，整合矿产资源，逐步淘汰落后产能。</w:t>
                  </w:r>
                </w:p>
                <w:p w14:paraId="28AF1BDC">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3.坚持把优势资源向优势企业配置，关闭规模小、储量低、开采工艺落后、环境影响大以及手续不全的矿山采选企业，淘汰落后产能。</w:t>
                  </w:r>
                </w:p>
                <w:p w14:paraId="3FC675C8">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4.基本农田，实行严格保护，确保其面积不减少、土壤环境质量不下降，除法律规定的重点建设项目选址确实无法避让外，其他任何建设不得占用。</w:t>
                  </w:r>
                </w:p>
              </w:tc>
              <w:tc>
                <w:tcPr>
                  <w:tcW w:w="1360" w:type="pct"/>
                  <w:tcBorders>
                    <w:tl2br w:val="nil"/>
                    <w:tr2bl w:val="nil"/>
                  </w:tcBorders>
                  <w:vAlign w:val="center"/>
                </w:tcPr>
                <w:p w14:paraId="6F1B956A">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firstLine="1"/>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本项目不在自然保护区范围内建设，项目产生的废气、噪声等其他污染物均能得到有效处理后达标排放。本项目为炸药及火工产品制造，不属于《产业结构调整</w:t>
                  </w:r>
                  <w:r>
                    <w:rPr>
                      <w:rFonts w:hint="default" w:ascii="Times New Roman" w:hAnsi="Times New Roman" w:cs="Times New Roman"/>
                      <w:color w:val="auto"/>
                      <w:spacing w:val="-15"/>
                      <w:sz w:val="21"/>
                      <w:szCs w:val="21"/>
                    </w:rPr>
                    <w:t>指导目录》中</w:t>
                  </w:r>
                  <w:r>
                    <w:rPr>
                      <w:rFonts w:hint="default" w:ascii="Times New Roman" w:hAnsi="Times New Roman" w:eastAsia="宋体" w:cs="Times New Roman"/>
                      <w:color w:val="auto"/>
                      <w:kern w:val="0"/>
                      <w:sz w:val="21"/>
                      <w:szCs w:val="21"/>
                      <w:lang w:val="zh-CN" w:eastAsia="zh-CN" w:bidi="ar-SA"/>
                    </w:rPr>
                    <w:t>鼓励类、限制类和淘汰类</w:t>
                  </w:r>
                  <w:r>
                    <w:rPr>
                      <w:rFonts w:hint="eastAsia" w:ascii="Times New Roman" w:hAnsi="Times New Roman" w:cs="Times New Roman"/>
                      <w:color w:val="auto"/>
                      <w:spacing w:val="4"/>
                      <w:sz w:val="21"/>
                      <w:szCs w:val="21"/>
                      <w:lang w:eastAsia="zh-CN"/>
                    </w:rPr>
                    <w:t>，</w:t>
                  </w:r>
                  <w:r>
                    <w:rPr>
                      <w:rFonts w:hint="eastAsia" w:ascii="Times New Roman" w:hAnsi="Times New Roman" w:cs="Times New Roman"/>
                      <w:color w:val="auto"/>
                      <w:spacing w:val="4"/>
                      <w:sz w:val="21"/>
                      <w:szCs w:val="21"/>
                      <w:lang w:val="en-US" w:eastAsia="zh-CN"/>
                    </w:rPr>
                    <w:t>为</w:t>
                  </w:r>
                  <w:r>
                    <w:rPr>
                      <w:rFonts w:hint="eastAsia" w:ascii="Times New Roman" w:hAnsi="Times New Roman" w:cs="Times New Roman"/>
                      <w:color w:val="auto"/>
                      <w:spacing w:val="4"/>
                      <w:sz w:val="21"/>
                      <w:szCs w:val="21"/>
                      <w:highlight w:val="none"/>
                      <w:lang w:val="en-US" w:eastAsia="zh-CN"/>
                    </w:rPr>
                    <w:t>允许类</w:t>
                  </w:r>
                  <w:r>
                    <w:rPr>
                      <w:rFonts w:hint="default" w:ascii="Times New Roman" w:hAnsi="Times New Roman" w:cs="Times New Roman"/>
                      <w:color w:val="auto"/>
                      <w:spacing w:val="4"/>
                      <w:sz w:val="21"/>
                      <w:szCs w:val="21"/>
                      <w:highlight w:val="none"/>
                    </w:rPr>
                    <w:t>。</w:t>
                  </w:r>
                  <w:r>
                    <w:rPr>
                      <w:rFonts w:hint="default" w:ascii="Times New Roman" w:hAnsi="Times New Roman" w:cs="Times New Roman"/>
                      <w:color w:val="auto"/>
                      <w:spacing w:val="4"/>
                      <w:sz w:val="21"/>
                      <w:szCs w:val="21"/>
                    </w:rPr>
                    <w:t>项目</w:t>
                  </w:r>
                  <w:r>
                    <w:rPr>
                      <w:rFonts w:hint="eastAsia" w:ascii="Times New Roman" w:hAnsi="Times New Roman" w:cs="Times New Roman"/>
                      <w:color w:val="auto"/>
                      <w:spacing w:val="4"/>
                      <w:sz w:val="21"/>
                      <w:szCs w:val="21"/>
                      <w:lang w:val="en-US" w:eastAsia="zh-CN"/>
                    </w:rPr>
                    <w:t>在现有厂区西侧新增占地，</w:t>
                  </w:r>
                  <w:r>
                    <w:rPr>
                      <w:rFonts w:hint="default" w:ascii="Times New Roman" w:hAnsi="Times New Roman" w:cs="Times New Roman"/>
                      <w:color w:val="auto"/>
                      <w:spacing w:val="4"/>
                      <w:sz w:val="21"/>
                      <w:szCs w:val="21"/>
                      <w:lang w:val="en-US" w:eastAsia="zh-CN"/>
                    </w:rPr>
                    <w:t>用地为工业用地，不</w:t>
                  </w:r>
                  <w:r>
                    <w:rPr>
                      <w:rFonts w:hint="default" w:ascii="Times New Roman" w:hAnsi="Times New Roman" w:cs="Times New Roman"/>
                      <w:color w:val="auto"/>
                      <w:spacing w:val="5"/>
                      <w:sz w:val="21"/>
                      <w:szCs w:val="21"/>
                    </w:rPr>
                    <w:t>占用</w:t>
                  </w:r>
                  <w:r>
                    <w:rPr>
                      <w:rFonts w:hint="default" w:ascii="Times New Roman" w:hAnsi="Times New Roman" w:cs="Times New Roman"/>
                      <w:color w:val="auto"/>
                      <w:spacing w:val="7"/>
                      <w:sz w:val="21"/>
                      <w:szCs w:val="21"/>
                    </w:rPr>
                    <w:t>基本农田。</w:t>
                  </w:r>
                </w:p>
              </w:tc>
              <w:tc>
                <w:tcPr>
                  <w:tcW w:w="159" w:type="pct"/>
                  <w:tcBorders>
                    <w:tl2br w:val="nil"/>
                    <w:tr2bl w:val="nil"/>
                  </w:tcBorders>
                  <w:vAlign w:val="center"/>
                </w:tcPr>
                <w:p w14:paraId="65BFEBE3">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符合</w:t>
                  </w:r>
                </w:p>
              </w:tc>
            </w:tr>
            <w:bookmarkEnd w:id="9"/>
            <w:tr w14:paraId="655097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31" w:type="pct"/>
                  <w:vMerge w:val="continue"/>
                  <w:tcBorders>
                    <w:tl2br w:val="nil"/>
                    <w:tr2bl w:val="nil"/>
                  </w:tcBorders>
                  <w:vAlign w:val="center"/>
                </w:tcPr>
                <w:p w14:paraId="1CFF348E">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72" w:type="pct"/>
                  <w:vMerge w:val="continue"/>
                  <w:tcBorders>
                    <w:tl2br w:val="nil"/>
                    <w:tr2bl w:val="nil"/>
                  </w:tcBorders>
                  <w:vAlign w:val="center"/>
                </w:tcPr>
                <w:p w14:paraId="1736E4DA">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182" w:type="pct"/>
                  <w:vMerge w:val="continue"/>
                  <w:tcBorders>
                    <w:tl2br w:val="nil"/>
                    <w:tr2bl w:val="nil"/>
                  </w:tcBorders>
                  <w:textDirection w:val="tbRlV"/>
                  <w:vAlign w:val="center"/>
                </w:tcPr>
                <w:p w14:paraId="17F51D8E">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18" w:type="pct"/>
                  <w:vMerge w:val="continue"/>
                  <w:tcBorders>
                    <w:tl2br w:val="nil"/>
                    <w:tr2bl w:val="nil"/>
                  </w:tcBorders>
                  <w:textDirection w:val="tbRlV"/>
                  <w:vAlign w:val="center"/>
                </w:tcPr>
                <w:p w14:paraId="45317E0F">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24" w:type="pct"/>
                  <w:tcBorders>
                    <w:tl2br w:val="nil"/>
                    <w:tr2bl w:val="nil"/>
                  </w:tcBorders>
                  <w:vAlign w:val="center"/>
                </w:tcPr>
                <w:p w14:paraId="746E5EC9">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污染物排放管控</w:t>
                  </w:r>
                </w:p>
              </w:tc>
              <w:tc>
                <w:tcPr>
                  <w:tcW w:w="1549" w:type="pct"/>
                  <w:tcBorders>
                    <w:tl2br w:val="nil"/>
                    <w:tr2bl w:val="nil"/>
                  </w:tcBorders>
                  <w:vAlign w:val="center"/>
                </w:tcPr>
                <w:p w14:paraId="6A7B0ED6">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pacing w:val="9"/>
                      <w:sz w:val="21"/>
                      <w:szCs w:val="21"/>
                    </w:rPr>
                  </w:pPr>
                  <w:r>
                    <w:rPr>
                      <w:rFonts w:hint="default" w:ascii="Times New Roman" w:hAnsi="Times New Roman" w:cs="Times New Roman"/>
                      <w:color w:val="auto"/>
                      <w:spacing w:val="9"/>
                      <w:sz w:val="21"/>
                      <w:szCs w:val="21"/>
                    </w:rPr>
                    <w:t>1.在自然保护区的实验区内已经建成的设施，其污染物排放超过国家和地方规定的排放标准的，应当限期治理；造成损害的，必须采取补救措施。在自然保护区的外围保护地带建设的项目，不得损害自然保护区内的环境质量；已造成损害的，应当限期治理。</w:t>
                  </w:r>
                </w:p>
                <w:p w14:paraId="5348D7BA">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pacing w:val="9"/>
                      <w:sz w:val="21"/>
                      <w:szCs w:val="21"/>
                    </w:rPr>
                  </w:pPr>
                  <w:r>
                    <w:rPr>
                      <w:rFonts w:hint="default" w:ascii="Times New Roman" w:hAnsi="Times New Roman" w:cs="Times New Roman"/>
                      <w:color w:val="auto"/>
                      <w:spacing w:val="9"/>
                      <w:sz w:val="21"/>
                      <w:szCs w:val="21"/>
                    </w:rPr>
                    <w:t>2.从2021年1月1日起，全面执行国家排放标准大气污染物特别排放限值；推进清洁取暖改造，推广使用天然气、液化石油气、太阳能、电能等清洁能源；推进柴油货车等高排放车辆深度治理；推进道路硬化，综合整治扬尘污染。</w:t>
                  </w:r>
                </w:p>
                <w:p w14:paraId="0B0AA3E6">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pacing w:val="9"/>
                      <w:sz w:val="21"/>
                      <w:szCs w:val="21"/>
                    </w:rPr>
                  </w:pPr>
                  <w:r>
                    <w:rPr>
                      <w:rFonts w:hint="default" w:ascii="Times New Roman" w:hAnsi="Times New Roman" w:cs="Times New Roman"/>
                      <w:color w:val="auto"/>
                      <w:spacing w:val="9"/>
                      <w:sz w:val="21"/>
                      <w:szCs w:val="21"/>
                    </w:rPr>
                    <w:t>3.加大矿区生态和地质环境整治力度，重点实施闭坑露天矿、矸石山、尾矿库等综合治理，控制和消除环境安全隐患。</w:t>
                  </w:r>
                </w:p>
                <w:p w14:paraId="0EE6FDBE">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4.加强农业面源污染防治，加大种养业特别是规模化畜禽养殖污染防治力度，引导农民使用生物农药或高效、低毒、低残留农药，对农药包装进行无害化处理。</w:t>
                  </w:r>
                </w:p>
              </w:tc>
              <w:tc>
                <w:tcPr>
                  <w:tcW w:w="1360" w:type="pct"/>
                  <w:tcBorders>
                    <w:tl2br w:val="nil"/>
                    <w:tr2bl w:val="nil"/>
                  </w:tcBorders>
                  <w:vAlign w:val="center"/>
                </w:tcPr>
                <w:p w14:paraId="595F8B0D">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本项目不在自然保护区内建设，污染物的排放均能达到排放标准。本项目全面执行国家排放标准大气污染物特</w:t>
                  </w:r>
                  <w:r>
                    <w:rPr>
                      <w:rFonts w:hint="default" w:ascii="Times New Roman" w:hAnsi="Times New Roman" w:cs="Times New Roman"/>
                      <w:color w:val="auto"/>
                      <w:spacing w:val="6"/>
                      <w:sz w:val="21"/>
                      <w:szCs w:val="21"/>
                    </w:rPr>
                    <w:t>别排放限值。</w:t>
                  </w:r>
                </w:p>
              </w:tc>
              <w:tc>
                <w:tcPr>
                  <w:tcW w:w="159" w:type="pct"/>
                  <w:tcBorders>
                    <w:tl2br w:val="nil"/>
                    <w:tr2bl w:val="nil"/>
                  </w:tcBorders>
                  <w:vAlign w:val="center"/>
                </w:tcPr>
                <w:p w14:paraId="644AC301">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符合</w:t>
                  </w:r>
                </w:p>
              </w:tc>
            </w:tr>
            <w:tr w14:paraId="67CF07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31" w:type="pct"/>
                  <w:vMerge w:val="continue"/>
                  <w:tcBorders>
                    <w:tl2br w:val="nil"/>
                    <w:tr2bl w:val="nil"/>
                  </w:tcBorders>
                  <w:vAlign w:val="center"/>
                </w:tcPr>
                <w:p w14:paraId="30FBF389">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72" w:type="pct"/>
                  <w:vMerge w:val="continue"/>
                  <w:tcBorders>
                    <w:tl2br w:val="nil"/>
                    <w:tr2bl w:val="nil"/>
                  </w:tcBorders>
                  <w:vAlign w:val="center"/>
                </w:tcPr>
                <w:p w14:paraId="1156480F">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182" w:type="pct"/>
                  <w:vMerge w:val="continue"/>
                  <w:tcBorders>
                    <w:tl2br w:val="nil"/>
                    <w:tr2bl w:val="nil"/>
                  </w:tcBorders>
                  <w:textDirection w:val="tbRlV"/>
                  <w:vAlign w:val="center"/>
                </w:tcPr>
                <w:p w14:paraId="7592965E">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18" w:type="pct"/>
                  <w:vMerge w:val="continue"/>
                  <w:tcBorders>
                    <w:tl2br w:val="nil"/>
                    <w:tr2bl w:val="nil"/>
                  </w:tcBorders>
                  <w:textDirection w:val="tbRlV"/>
                  <w:vAlign w:val="center"/>
                </w:tcPr>
                <w:p w14:paraId="0CBEEC03">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24" w:type="pct"/>
                  <w:tcBorders>
                    <w:tl2br w:val="nil"/>
                    <w:tr2bl w:val="nil"/>
                  </w:tcBorders>
                  <w:vAlign w:val="center"/>
                </w:tcPr>
                <w:p w14:paraId="42467411">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环境风险防范</w:t>
                  </w:r>
                </w:p>
              </w:tc>
              <w:tc>
                <w:tcPr>
                  <w:tcW w:w="1549" w:type="pct"/>
                  <w:tcBorders>
                    <w:tl2br w:val="nil"/>
                    <w:tr2bl w:val="nil"/>
                  </w:tcBorders>
                  <w:vAlign w:val="center"/>
                </w:tcPr>
                <w:p w14:paraId="5E006A76">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jc w:val="center"/>
                    <w:textAlignment w:val="auto"/>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1.对现有涉废气排放工业、企业加强监督管理和执法检查。</w:t>
                  </w:r>
                </w:p>
                <w:p w14:paraId="301ED67C">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jc w:val="center"/>
                    <w:textAlignment w:val="auto"/>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2.加强化工企业的固体废物、危险废物管控，企业产生的工业废物堆存处置场所，完善防扬散、防流失、防渗漏等设施，引导有关企业采用先进适用加工工艺、集聚发展，集中建设和运营污染治理设施，防止污染土壤和地下水。</w:t>
                  </w:r>
                </w:p>
                <w:p w14:paraId="4133426D">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4"/>
                      <w:sz w:val="21"/>
                      <w:szCs w:val="21"/>
                    </w:rPr>
                    <w:t>3.对拟收回土地使用权的，以及用途拟变更为居住和商业、学校、医疗、养老机构等公共设施的有色金属冶炼、石油加工、化工、焦化、电镀、制革等行业企业用地，由土地使用权人委托开展土壤环境状况调查评估。</w:t>
                  </w:r>
                </w:p>
              </w:tc>
              <w:tc>
                <w:tcPr>
                  <w:tcW w:w="1360" w:type="pct"/>
                  <w:tcBorders>
                    <w:tl2br w:val="nil"/>
                    <w:tr2bl w:val="nil"/>
                  </w:tcBorders>
                  <w:vAlign w:val="center"/>
                </w:tcPr>
                <w:p w14:paraId="44BB71AE">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firstLine="4"/>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highlight w:val="none"/>
                      <w:lang w:val="en-US" w:eastAsia="zh-CN"/>
                    </w:rPr>
                    <w:t>珍珠岩</w:t>
                  </w:r>
                  <w:r>
                    <w:rPr>
                      <w:rFonts w:hint="eastAsia" w:ascii="Times New Roman" w:hAnsi="Times New Roman" w:eastAsia="宋体"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lang w:val="en-US" w:eastAsia="zh-CN"/>
                    </w:rPr>
                    <w:t>包装袋</w:t>
                  </w:r>
                  <w:r>
                    <w:rPr>
                      <w:rFonts w:hint="eastAsia" w:ascii="Times New Roman" w:hAnsi="Times New Roman" w:eastAsia="宋体" w:cs="Times New Roman"/>
                      <w:color w:val="auto"/>
                      <w:sz w:val="21"/>
                      <w:szCs w:val="21"/>
                      <w:highlight w:val="none"/>
                      <w:lang w:val="en-US" w:eastAsia="zh-CN"/>
                    </w:rPr>
                    <w:t>集中收集于车间外的一般固废收集箱，定期外售</w:t>
                  </w:r>
                  <w:r>
                    <w:rPr>
                      <w:rFonts w:hint="eastAsia"/>
                      <w:color w:val="auto"/>
                      <w:kern w:val="0"/>
                      <w:szCs w:val="21"/>
                      <w:lang w:bidi="ar"/>
                    </w:rPr>
                    <w:t>；</w:t>
                  </w:r>
                  <w:r>
                    <w:rPr>
                      <w:rFonts w:hint="default" w:ascii="Times New Roman" w:hAnsi="Times New Roman" w:cs="Times New Roman"/>
                      <w:color w:val="auto"/>
                      <w:sz w:val="21"/>
                      <w:szCs w:val="21"/>
                      <w:highlight w:val="none"/>
                      <w:lang w:val="en-US" w:eastAsia="zh-CN"/>
                    </w:rPr>
                    <w:t>硝酸钠废</w:t>
                  </w:r>
                  <w:r>
                    <w:rPr>
                      <w:rFonts w:hint="eastAsia" w:ascii="Times New Roman" w:hAnsi="Times New Roman" w:cs="Times New Roman"/>
                      <w:color w:val="auto"/>
                      <w:sz w:val="21"/>
                      <w:szCs w:val="21"/>
                      <w:highlight w:val="none"/>
                      <w:lang w:val="en-US" w:eastAsia="zh-CN"/>
                    </w:rPr>
                    <w:t>包装袋</w:t>
                  </w:r>
                  <w:r>
                    <w:rPr>
                      <w:rFonts w:hint="default" w:ascii="Times New Roman" w:hAnsi="Times New Roman" w:cs="Times New Roman"/>
                      <w:color w:val="auto"/>
                      <w:sz w:val="21"/>
                      <w:szCs w:val="21"/>
                      <w:highlight w:val="none"/>
                      <w:lang w:val="en-US" w:eastAsia="zh-CN"/>
                    </w:rPr>
                    <w:t>、滤渣、废滤网、</w:t>
                  </w:r>
                  <w:r>
                    <w:rPr>
                      <w:rFonts w:hint="eastAsia" w:ascii="Times New Roman" w:hAnsi="Times New Roman" w:cs="Times New Roman"/>
                      <w:color w:val="auto"/>
                      <w:sz w:val="21"/>
                      <w:szCs w:val="21"/>
                      <w:highlight w:val="none"/>
                      <w:lang w:val="en-US" w:eastAsia="zh-CN"/>
                    </w:rPr>
                    <w:t>废包装瓶、</w:t>
                  </w:r>
                  <w:r>
                    <w:rPr>
                      <w:rFonts w:hint="default" w:ascii="Times New Roman" w:hAnsi="Times New Roman" w:cs="Times New Roman"/>
                      <w:color w:val="auto"/>
                      <w:sz w:val="21"/>
                      <w:szCs w:val="21"/>
                      <w:highlight w:val="none"/>
                      <w:lang w:val="en-US" w:eastAsia="zh-CN"/>
                    </w:rPr>
                    <w:t>废机油、</w:t>
                  </w:r>
                  <w:r>
                    <w:rPr>
                      <w:rFonts w:hint="eastAsia" w:cs="Times New Roman"/>
                      <w:color w:val="auto"/>
                      <w:sz w:val="21"/>
                      <w:szCs w:val="21"/>
                      <w:highlight w:val="none"/>
                      <w:lang w:val="en-US" w:eastAsia="zh-CN"/>
                    </w:rPr>
                    <w:t>废油桶、</w:t>
                  </w:r>
                  <w:r>
                    <w:rPr>
                      <w:rFonts w:hint="default" w:ascii="Times New Roman" w:hAnsi="Times New Roman" w:cs="Times New Roman"/>
                      <w:color w:val="auto"/>
                      <w:sz w:val="21"/>
                      <w:szCs w:val="21"/>
                      <w:highlight w:val="none"/>
                      <w:lang w:val="en-US" w:eastAsia="zh-CN"/>
                    </w:rPr>
                    <w:t>含油抹布</w:t>
                  </w:r>
                  <w:r>
                    <w:rPr>
                      <w:rFonts w:hint="eastAsia" w:ascii="Times New Roman" w:hAnsi="Times New Roman" w:cs="Times New Roman"/>
                      <w:color w:val="auto"/>
                      <w:sz w:val="21"/>
                      <w:szCs w:val="21"/>
                      <w:highlight w:val="none"/>
                      <w:lang w:val="en-US" w:eastAsia="zh-CN"/>
                    </w:rPr>
                    <w:t>、隔油沉淀池污泥</w:t>
                  </w:r>
                  <w:r>
                    <w:rPr>
                      <w:rFonts w:hint="default" w:ascii="Times New Roman" w:hAnsi="Times New Roman" w:cs="Times New Roman"/>
                      <w:color w:val="auto"/>
                      <w:sz w:val="21"/>
                      <w:szCs w:val="21"/>
                      <w:highlight w:val="none"/>
                      <w:lang w:val="en-US" w:eastAsia="zh-CN"/>
                    </w:rPr>
                    <w:t>分类收集后依托现有</w:t>
                  </w:r>
                  <w:r>
                    <w:rPr>
                      <w:rFonts w:hint="eastAsia" w:ascii="Times New Roman" w:hAnsi="Times New Roman" w:cs="Times New Roman"/>
                      <w:color w:val="auto"/>
                      <w:sz w:val="21"/>
                      <w:szCs w:val="21"/>
                      <w:highlight w:val="none"/>
                      <w:lang w:val="en-US" w:eastAsia="zh-CN"/>
                    </w:rPr>
                    <w:t>15m</w:t>
                  </w:r>
                  <w:r>
                    <w:rPr>
                      <w:rFonts w:hint="eastAsia"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rPr>
                    <w:t>危废</w:t>
                  </w:r>
                  <w:r>
                    <w:rPr>
                      <w:rFonts w:hint="eastAsia" w:ascii="Times New Roman" w:hAnsi="Times New Roman" w:cs="Times New Roman"/>
                      <w:color w:val="auto"/>
                      <w:sz w:val="21"/>
                      <w:szCs w:val="21"/>
                      <w:highlight w:val="none"/>
                      <w:lang w:val="en-US" w:eastAsia="zh-CN"/>
                    </w:rPr>
                    <w:t>贮存点</w:t>
                  </w:r>
                  <w:r>
                    <w:rPr>
                      <w:rFonts w:hint="default" w:ascii="Times New Roman" w:hAnsi="Times New Roman" w:cs="Times New Roman"/>
                      <w:color w:val="auto"/>
                      <w:sz w:val="21"/>
                      <w:szCs w:val="21"/>
                      <w:highlight w:val="none"/>
                      <w:lang w:val="en-US" w:eastAsia="zh-CN"/>
                    </w:rPr>
                    <w:t>暂存，定期委托有资质单位外运处置。</w:t>
                  </w:r>
                  <w:r>
                    <w:rPr>
                      <w:rFonts w:hint="eastAsia" w:ascii="Times New Roman" w:hAnsi="Times New Roman" w:eastAsia="宋体" w:cs="Times New Roman"/>
                      <w:color w:val="auto"/>
                      <w:sz w:val="21"/>
                      <w:szCs w:val="21"/>
                      <w:highlight w:val="none"/>
                      <w:lang w:val="en-US" w:eastAsia="zh-CN"/>
                    </w:rPr>
                    <w:t>废炸药包装在危险品销毁场进行烧毁法销毁。</w:t>
                  </w:r>
                </w:p>
              </w:tc>
              <w:tc>
                <w:tcPr>
                  <w:tcW w:w="159" w:type="pct"/>
                  <w:tcBorders>
                    <w:tl2br w:val="nil"/>
                    <w:tr2bl w:val="nil"/>
                  </w:tcBorders>
                  <w:vAlign w:val="center"/>
                </w:tcPr>
                <w:p w14:paraId="0A4374E6">
                  <w:pPr>
                    <w:pStyle w:val="115"/>
                    <w:keepNext w:val="0"/>
                    <w:keepLines w:val="0"/>
                    <w:pageBreakBefore w:val="0"/>
                    <w:widowControl w:val="0"/>
                    <w:kinsoku/>
                    <w:wordWrap/>
                    <w:overflowPunct/>
                    <w:topLinePunct w:val="0"/>
                    <w:autoSpaceDE w:val="0"/>
                    <w:autoSpaceDN w:val="0"/>
                    <w:bidi w:val="0"/>
                    <w:adjustRightInd/>
                    <w:snapToGrid/>
                    <w:spacing w:line="240" w:lineRule="auto"/>
                    <w:ind w:left="0" w:right="0"/>
                    <w:jc w:val="center"/>
                    <w:textAlignment w:val="auto"/>
                    <w:rPr>
                      <w:rFonts w:hint="default" w:ascii="Times New Roman" w:hAnsi="Times New Roman" w:eastAsia="宋体" w:cs="Times New Roman"/>
                      <w:color w:val="auto"/>
                      <w:spacing w:val="8"/>
                      <w:sz w:val="21"/>
                      <w:szCs w:val="21"/>
                      <w:lang w:val="en-US" w:eastAsia="zh-CN"/>
                    </w:rPr>
                  </w:pPr>
                  <w:r>
                    <w:rPr>
                      <w:rFonts w:hint="default" w:ascii="Times New Roman" w:hAnsi="Times New Roman" w:cs="Times New Roman"/>
                      <w:color w:val="auto"/>
                      <w:spacing w:val="8"/>
                      <w:sz w:val="21"/>
                      <w:szCs w:val="21"/>
                      <w:lang w:val="en-US" w:eastAsia="zh-CN"/>
                    </w:rPr>
                    <w:t>符合</w:t>
                  </w:r>
                </w:p>
              </w:tc>
            </w:tr>
            <w:tr w14:paraId="63F220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1031" w:type="pct"/>
                  <w:vMerge w:val="continue"/>
                  <w:tcBorders>
                    <w:tl2br w:val="nil"/>
                    <w:tr2bl w:val="nil"/>
                  </w:tcBorders>
                  <w:vAlign w:val="center"/>
                </w:tcPr>
                <w:p w14:paraId="659187CE">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72" w:type="pct"/>
                  <w:vMerge w:val="continue"/>
                  <w:tcBorders>
                    <w:tl2br w:val="nil"/>
                    <w:tr2bl w:val="nil"/>
                  </w:tcBorders>
                  <w:vAlign w:val="center"/>
                </w:tcPr>
                <w:p w14:paraId="08658591">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182" w:type="pct"/>
                  <w:vMerge w:val="continue"/>
                  <w:tcBorders>
                    <w:tl2br w:val="nil"/>
                    <w:tr2bl w:val="nil"/>
                  </w:tcBorders>
                  <w:textDirection w:val="tbRlV"/>
                  <w:vAlign w:val="center"/>
                </w:tcPr>
                <w:p w14:paraId="551CD634">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18" w:type="pct"/>
                  <w:vMerge w:val="continue"/>
                  <w:tcBorders>
                    <w:tl2br w:val="nil"/>
                    <w:tr2bl w:val="nil"/>
                  </w:tcBorders>
                  <w:textDirection w:val="tbRlV"/>
                  <w:vAlign w:val="center"/>
                </w:tcPr>
                <w:p w14:paraId="373263B0">
                  <w:pPr>
                    <w:keepNext w:val="0"/>
                    <w:keepLines w:val="0"/>
                    <w:pageBreakBefore w:val="0"/>
                    <w:widowControl w:val="0"/>
                    <w:kinsoku/>
                    <w:wordWrap/>
                    <w:overflowPunct/>
                    <w:topLinePunct w:val="0"/>
                    <w:autoSpaceDE w:val="0"/>
                    <w:autoSpaceDN w:val="0"/>
                    <w:bidi w:val="0"/>
                    <w:adjustRightInd/>
                    <w:snapToGrid/>
                    <w:spacing w:line="240" w:lineRule="auto"/>
                    <w:ind w:left="0" w:right="0"/>
                    <w:textAlignment w:val="auto"/>
                    <w:rPr>
                      <w:rFonts w:hint="default" w:ascii="Times New Roman" w:hAnsi="Times New Roman" w:cs="Times New Roman"/>
                      <w:color w:val="auto"/>
                      <w:sz w:val="21"/>
                      <w:szCs w:val="21"/>
                    </w:rPr>
                  </w:pPr>
                </w:p>
              </w:tc>
              <w:tc>
                <w:tcPr>
                  <w:tcW w:w="224" w:type="pct"/>
                  <w:tcBorders>
                    <w:tl2br w:val="nil"/>
                    <w:tr2bl w:val="nil"/>
                  </w:tcBorders>
                  <w:vAlign w:val="center"/>
                </w:tcPr>
                <w:p w14:paraId="3CA1ABA5">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资源利用效率</w:t>
                  </w:r>
                </w:p>
              </w:tc>
              <w:tc>
                <w:tcPr>
                  <w:tcW w:w="1549" w:type="pct"/>
                  <w:tcBorders>
                    <w:tl2br w:val="nil"/>
                    <w:tr2bl w:val="nil"/>
                  </w:tcBorders>
                  <w:vAlign w:val="center"/>
                </w:tcPr>
                <w:p w14:paraId="4EE87A2E">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textAlignment w:val="auto"/>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1.推动能源结构优化，加快发展清洁能源、可再生能源。</w:t>
                  </w:r>
                </w:p>
                <w:p w14:paraId="037B54A6">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textAlignment w:val="auto"/>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rPr>
                    <w:t>2.加快供水管网改造，降低人均生活用水量；加强农业节水，提高农业灌溉用水效率。</w:t>
                  </w:r>
                </w:p>
                <w:p w14:paraId="7FF2DF2D">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4"/>
                      <w:sz w:val="21"/>
                      <w:szCs w:val="21"/>
                    </w:rPr>
                    <w:t>3.推进畜禽粪污、餐厨废弃物等垃圾集中处理和资源化利用。实行最严格耕地保护和节约集约用地制度，严控生态保护红线管控区内土地用途，强化存量用地处置。在开发利用时要注意林地、自然保护区、水域等禁止开发要求，重视</w:t>
                  </w:r>
                  <w:r>
                    <w:rPr>
                      <w:rFonts w:hint="eastAsia" w:ascii="Times New Roman" w:hAnsi="Times New Roman" w:cs="Times New Roman"/>
                      <w:color w:val="auto"/>
                      <w:spacing w:val="4"/>
                      <w:sz w:val="21"/>
                      <w:szCs w:val="21"/>
                      <w:lang w:eastAsia="zh-CN"/>
                    </w:rPr>
                    <w:t>生态环境保护</w:t>
                  </w:r>
                  <w:r>
                    <w:rPr>
                      <w:rFonts w:hint="default" w:ascii="Times New Roman" w:hAnsi="Times New Roman" w:cs="Times New Roman"/>
                      <w:color w:val="auto"/>
                      <w:spacing w:val="4"/>
                      <w:sz w:val="21"/>
                      <w:szCs w:val="21"/>
                    </w:rPr>
                    <w:t>，提升防风固沙功能红线区内禁止新建、扩建建设用地占用防风固沙林地、草地，已有重污染企业逐步退出</w:t>
                  </w:r>
                  <w:r>
                    <w:rPr>
                      <w:rFonts w:hint="eastAsia" w:ascii="Times New Roman" w:hAnsi="Times New Roman" w:cs="Times New Roman"/>
                      <w:color w:val="auto"/>
                      <w:spacing w:val="4"/>
                      <w:sz w:val="21"/>
                      <w:szCs w:val="21"/>
                      <w:lang w:eastAsia="zh-CN"/>
                    </w:rPr>
                    <w:t>。</w:t>
                  </w:r>
                </w:p>
              </w:tc>
              <w:tc>
                <w:tcPr>
                  <w:tcW w:w="1360" w:type="pct"/>
                  <w:tcBorders>
                    <w:tl2br w:val="nil"/>
                    <w:tr2bl w:val="nil"/>
                  </w:tcBorders>
                  <w:vAlign w:val="center"/>
                </w:tcPr>
                <w:p w14:paraId="368894D6">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1" w:firstLineChars="0"/>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8"/>
                      <w:sz w:val="21"/>
                      <w:szCs w:val="21"/>
                    </w:rPr>
                    <w:t>本项目将严格实施水资源总量控制，严格计划用水管理；项目工业废水不外排，不会对地表水产</w:t>
                  </w:r>
                  <w:r>
                    <w:rPr>
                      <w:rFonts w:hint="default" w:ascii="Times New Roman" w:hAnsi="Times New Roman" w:cs="Times New Roman"/>
                      <w:color w:val="auto"/>
                      <w:spacing w:val="6"/>
                      <w:sz w:val="21"/>
                      <w:szCs w:val="21"/>
                    </w:rPr>
                    <w:t>生重大影响。</w:t>
                  </w:r>
                  <w:r>
                    <w:rPr>
                      <w:rFonts w:hint="default" w:ascii="Times New Roman" w:hAnsi="Times New Roman" w:cs="Times New Roman"/>
                      <w:color w:val="auto"/>
                      <w:spacing w:val="4"/>
                      <w:sz w:val="21"/>
                      <w:szCs w:val="21"/>
                    </w:rPr>
                    <w:t>项目</w:t>
                  </w:r>
                  <w:r>
                    <w:rPr>
                      <w:rFonts w:hint="eastAsia" w:ascii="Times New Roman" w:hAnsi="Times New Roman" w:cs="Times New Roman"/>
                      <w:color w:val="auto"/>
                      <w:spacing w:val="4"/>
                      <w:sz w:val="21"/>
                      <w:szCs w:val="21"/>
                      <w:lang w:val="en-US" w:eastAsia="zh-CN"/>
                    </w:rPr>
                    <w:t>在现有厂区西侧新增占地，</w:t>
                  </w:r>
                  <w:r>
                    <w:rPr>
                      <w:rFonts w:hint="default" w:ascii="Times New Roman" w:hAnsi="Times New Roman" w:cs="Times New Roman"/>
                      <w:color w:val="auto"/>
                      <w:spacing w:val="4"/>
                      <w:sz w:val="21"/>
                      <w:szCs w:val="21"/>
                      <w:lang w:val="en-US" w:eastAsia="zh-CN"/>
                    </w:rPr>
                    <w:t>用地为工业用地，</w:t>
                  </w:r>
                  <w:r>
                    <w:rPr>
                      <w:rFonts w:hint="eastAsia" w:ascii="Times New Roman" w:hAnsi="Times New Roman" w:cs="Times New Roman"/>
                      <w:color w:val="auto"/>
                      <w:spacing w:val="4"/>
                      <w:sz w:val="21"/>
                      <w:szCs w:val="21"/>
                      <w:lang w:val="en-US" w:eastAsia="zh-CN"/>
                    </w:rPr>
                    <w:t>不占用</w:t>
                  </w:r>
                  <w:r>
                    <w:rPr>
                      <w:rFonts w:hint="default" w:ascii="Times New Roman" w:hAnsi="Times New Roman" w:cs="Times New Roman"/>
                      <w:color w:val="auto"/>
                      <w:spacing w:val="4"/>
                      <w:sz w:val="21"/>
                      <w:szCs w:val="21"/>
                    </w:rPr>
                    <w:t>防风固沙功能红线区内</w:t>
                  </w:r>
                  <w:r>
                    <w:rPr>
                      <w:rFonts w:hint="eastAsia" w:ascii="Times New Roman" w:hAnsi="Times New Roman" w:cs="Times New Roman"/>
                      <w:color w:val="auto"/>
                      <w:spacing w:val="4"/>
                      <w:sz w:val="21"/>
                      <w:szCs w:val="21"/>
                      <w:lang w:val="en-US" w:eastAsia="zh-CN"/>
                    </w:rPr>
                    <w:t>林地、草地</w:t>
                  </w:r>
                  <w:r>
                    <w:rPr>
                      <w:rFonts w:hint="eastAsia" w:ascii="Times New Roman" w:hAnsi="Times New Roman" w:cs="Times New Roman"/>
                      <w:color w:val="auto"/>
                      <w:spacing w:val="4"/>
                      <w:sz w:val="21"/>
                      <w:szCs w:val="21"/>
                      <w:lang w:eastAsia="zh-CN"/>
                    </w:rPr>
                    <w:t>。</w:t>
                  </w:r>
                </w:p>
              </w:tc>
              <w:tc>
                <w:tcPr>
                  <w:tcW w:w="159" w:type="pct"/>
                  <w:tcBorders>
                    <w:tl2br w:val="nil"/>
                    <w:tr2bl w:val="nil"/>
                  </w:tcBorders>
                  <w:vAlign w:val="center"/>
                </w:tcPr>
                <w:p w14:paraId="40C64882">
                  <w:pPr>
                    <w:pStyle w:val="115"/>
                    <w:keepNext w:val="0"/>
                    <w:keepLines w:val="0"/>
                    <w:pageBreakBefore w:val="0"/>
                    <w:widowControl w:val="0"/>
                    <w:kinsoku/>
                    <w:wordWrap/>
                    <w:overflowPunct/>
                    <w:topLinePunct w:val="0"/>
                    <w:autoSpaceDE w:val="0"/>
                    <w:autoSpaceDN w:val="0"/>
                    <w:bidi w:val="0"/>
                    <w:adjustRightInd/>
                    <w:snapToGrid/>
                    <w:spacing w:line="240" w:lineRule="auto"/>
                    <w:ind w:left="0" w:leftChars="0" w:right="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符</w:t>
                  </w:r>
                  <w:r>
                    <w:rPr>
                      <w:rFonts w:hint="default" w:ascii="Times New Roman" w:hAnsi="Times New Roman" w:cs="Times New Roman"/>
                      <w:color w:val="auto"/>
                      <w:spacing w:val="-38"/>
                      <w:sz w:val="21"/>
                      <w:szCs w:val="21"/>
                    </w:rPr>
                    <w:t xml:space="preserve"> </w:t>
                  </w:r>
                  <w:r>
                    <w:rPr>
                      <w:rFonts w:hint="default" w:ascii="Times New Roman" w:hAnsi="Times New Roman" w:cs="Times New Roman"/>
                      <w:color w:val="auto"/>
                      <w:spacing w:val="8"/>
                      <w:sz w:val="21"/>
                      <w:szCs w:val="21"/>
                    </w:rPr>
                    <w:t>合</w:t>
                  </w:r>
                </w:p>
              </w:tc>
            </w:tr>
          </w:tbl>
          <w:p w14:paraId="3132E11D">
            <w:pPr>
              <w:pStyle w:val="115"/>
              <w:spacing w:before="27" w:line="356" w:lineRule="auto"/>
              <w:ind w:left="108" w:right="6" w:firstLine="480"/>
              <w:rPr>
                <w:rFonts w:hint="default" w:ascii="宋体" w:hAnsi="宋体" w:eastAsia="宋体" w:cs="宋体"/>
                <w:color w:val="auto"/>
                <w:spacing w:val="-5"/>
                <w:lang w:eastAsia="zh-CN"/>
              </w:rPr>
            </w:pPr>
            <w:r>
              <w:rPr>
                <w:rFonts w:hint="default" w:ascii="宋体" w:hAnsi="宋体" w:eastAsia="宋体" w:cs="宋体"/>
                <w:color w:val="auto"/>
                <w:spacing w:val="-5"/>
                <w:lang w:eastAsia="zh-CN"/>
              </w:rPr>
              <w:t>综上，本项目不在生态保护红线内，不在自然保护区等生态保护目标范围内，不占用基本农田，符合朝阳市人民政府关于实施“三线一单”生态环境分区管控的意见</w:t>
            </w:r>
            <w:r>
              <w:rPr>
                <w:rFonts w:hint="eastAsia" w:ascii="宋体" w:hAnsi="宋体" w:eastAsia="宋体" w:cs="宋体"/>
                <w:color w:val="auto"/>
                <w:spacing w:val="-5"/>
                <w:lang w:eastAsia="zh-CN"/>
              </w:rPr>
              <w:t>。</w:t>
            </w:r>
          </w:p>
          <w:p w14:paraId="4195A0CD">
            <w:pPr>
              <w:pStyle w:val="41"/>
              <w:spacing w:after="0" w:line="360" w:lineRule="auto"/>
              <w:ind w:left="0" w:leftChars="0" w:firstLine="0" w:firstLineChars="0"/>
              <w:rPr>
                <w:rFonts w:hint="default" w:ascii="Times New Roman" w:hAnsi="Times New Roman" w:eastAsia="宋体" w:cs="Times New Roman"/>
                <w:b/>
                <w:bCs/>
                <w:color w:val="auto"/>
                <w:spacing w:val="10"/>
                <w:sz w:val="24"/>
                <w:szCs w:val="24"/>
              </w:rPr>
            </w:pPr>
            <w:r>
              <w:rPr>
                <w:rFonts w:hint="eastAsia" w:ascii="Times New Roman" w:hAnsi="Times New Roman" w:eastAsia="宋体" w:cs="Times New Roman"/>
                <w:b/>
                <w:bCs/>
                <w:color w:val="auto"/>
                <w:spacing w:val="10"/>
                <w:sz w:val="24"/>
                <w:szCs w:val="24"/>
                <w:lang w:val="en-US" w:eastAsia="zh-CN"/>
              </w:rPr>
              <w:t>4、</w:t>
            </w:r>
            <w:r>
              <w:rPr>
                <w:rFonts w:hint="default" w:ascii="Times New Roman" w:hAnsi="Times New Roman" w:eastAsia="宋体" w:cs="Times New Roman"/>
                <w:b/>
                <w:bCs/>
                <w:color w:val="auto"/>
                <w:spacing w:val="10"/>
                <w:sz w:val="24"/>
                <w:szCs w:val="24"/>
              </w:rPr>
              <w:t>与</w:t>
            </w:r>
            <w:r>
              <w:rPr>
                <w:rFonts w:hint="eastAsia" w:ascii="Times New Roman" w:hAnsi="Times New Roman" w:eastAsia="宋体" w:cs="Times New Roman"/>
                <w:b/>
                <w:bCs/>
                <w:color w:val="auto"/>
                <w:spacing w:val="10"/>
                <w:sz w:val="24"/>
                <w:szCs w:val="24"/>
                <w:lang w:eastAsia="zh-CN"/>
              </w:rPr>
              <w:t>《中共中央 国务院</w:t>
            </w:r>
            <w:r>
              <w:rPr>
                <w:rFonts w:hint="default" w:ascii="Times New Roman" w:hAnsi="Times New Roman" w:eastAsia="宋体" w:cs="Times New Roman"/>
                <w:b/>
                <w:bCs/>
                <w:color w:val="auto"/>
                <w:spacing w:val="10"/>
                <w:sz w:val="24"/>
                <w:szCs w:val="24"/>
              </w:rPr>
              <w:t>关于深入打好污染防治攻坚战的意见</w:t>
            </w:r>
            <w:r>
              <w:rPr>
                <w:rFonts w:hint="eastAsia" w:ascii="Times New Roman" w:hAnsi="Times New Roman" w:eastAsia="宋体" w:cs="Times New Roman"/>
                <w:b/>
                <w:bCs/>
                <w:color w:val="auto"/>
                <w:spacing w:val="10"/>
                <w:sz w:val="24"/>
                <w:szCs w:val="24"/>
                <w:lang w:eastAsia="zh-CN"/>
              </w:rPr>
              <w:t>》</w:t>
            </w:r>
            <w:r>
              <w:rPr>
                <w:rFonts w:hint="default" w:ascii="Times New Roman" w:hAnsi="Times New Roman" w:eastAsia="宋体" w:cs="Times New Roman"/>
                <w:b/>
                <w:bCs/>
                <w:color w:val="auto"/>
                <w:spacing w:val="10"/>
                <w:sz w:val="24"/>
                <w:szCs w:val="24"/>
              </w:rPr>
              <w:t>的相符性分析</w:t>
            </w:r>
          </w:p>
          <w:p w14:paraId="010BE88B">
            <w:pPr>
              <w:pStyle w:val="41"/>
              <w:spacing w:after="0" w:line="360" w:lineRule="auto"/>
              <w:ind w:left="0" w:leftChars="0" w:firstLine="520" w:firstLineChars="200"/>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本项目与</w:t>
            </w:r>
            <w:bookmarkStart w:id="10" w:name="OLE_LINK180"/>
            <w:r>
              <w:rPr>
                <w:rFonts w:hint="eastAsia" w:ascii="Times New Roman" w:hAnsi="Times New Roman" w:eastAsia="宋体" w:cs="Times New Roman"/>
                <w:color w:val="auto"/>
                <w:spacing w:val="10"/>
                <w:sz w:val="24"/>
                <w:szCs w:val="24"/>
                <w:lang w:eastAsia="zh-CN"/>
              </w:rPr>
              <w:t>《中共中央 国务院</w:t>
            </w:r>
            <w:r>
              <w:rPr>
                <w:rFonts w:hint="default" w:ascii="Times New Roman" w:hAnsi="Times New Roman" w:eastAsia="宋体" w:cs="Times New Roman"/>
                <w:color w:val="auto"/>
                <w:spacing w:val="10"/>
                <w:sz w:val="24"/>
                <w:szCs w:val="24"/>
              </w:rPr>
              <w:t>关于深入打好污染防治攻坚战的意见》</w:t>
            </w:r>
            <w:r>
              <w:rPr>
                <w:rFonts w:hint="eastAsia"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中发</w:t>
            </w:r>
            <w:r>
              <w:rPr>
                <w:rFonts w:hint="eastAsia" w:ascii="Times New Roman" w:hAnsi="Times New Roman" w:eastAsia="宋体" w:cs="Times New Roman"/>
                <w:color w:val="auto"/>
                <w:spacing w:val="10"/>
                <w:sz w:val="24"/>
                <w:szCs w:val="24"/>
                <w:lang w:eastAsia="zh-CN"/>
              </w:rPr>
              <w:t>〔2021〕40号）</w:t>
            </w:r>
            <w:bookmarkEnd w:id="10"/>
            <w:r>
              <w:rPr>
                <w:rFonts w:hint="default" w:ascii="Times New Roman" w:hAnsi="Times New Roman" w:eastAsia="宋体" w:cs="Times New Roman"/>
                <w:color w:val="auto"/>
                <w:spacing w:val="10"/>
                <w:sz w:val="24"/>
                <w:szCs w:val="24"/>
              </w:rPr>
              <w:t>的符合性分析详见下表。</w:t>
            </w:r>
          </w:p>
          <w:p w14:paraId="2A91A06B">
            <w:pPr>
              <w:pStyle w:val="115"/>
              <w:spacing w:before="52" w:line="224" w:lineRule="auto"/>
              <w:jc w:val="center"/>
              <w:rPr>
                <w:color w:val="auto"/>
                <w:sz w:val="21"/>
                <w:szCs w:val="21"/>
              </w:rPr>
            </w:pPr>
            <w:r>
              <w:rPr>
                <w:rFonts w:hint="default" w:ascii="Times New Roman" w:hAnsi="Times New Roman" w:cs="Times New Roman"/>
                <w:b/>
                <w:bCs/>
                <w:color w:val="auto"/>
                <w:spacing w:val="8"/>
                <w:sz w:val="21"/>
                <w:szCs w:val="21"/>
              </w:rPr>
              <w:t>表</w:t>
            </w:r>
            <w:r>
              <w:rPr>
                <w:rFonts w:hint="eastAsia" w:ascii="Times New Roman" w:hAnsi="Times New Roman" w:cs="Times New Roman"/>
                <w:b/>
                <w:bCs/>
                <w:color w:val="auto"/>
                <w:spacing w:val="4"/>
                <w:sz w:val="21"/>
                <w:szCs w:val="21"/>
                <w:lang w:val="en-US" w:eastAsia="zh-CN"/>
              </w:rPr>
              <w:t>1-3</w:t>
            </w:r>
            <w:r>
              <w:rPr>
                <w:rFonts w:hint="default" w:ascii="Times New Roman" w:hAnsi="Times New Roman" w:eastAsia="宋体" w:cs="Times New Roman"/>
                <w:b/>
                <w:bCs/>
                <w:color w:val="auto"/>
                <w:spacing w:val="4"/>
                <w:sz w:val="21"/>
                <w:szCs w:val="21"/>
              </w:rPr>
              <w:t xml:space="preserve"> </w:t>
            </w:r>
            <w:r>
              <w:rPr>
                <w:rFonts w:hint="default" w:ascii="Times New Roman" w:hAnsi="Times New Roman" w:cs="Times New Roman"/>
                <w:b/>
                <w:bCs/>
                <w:color w:val="auto"/>
                <w:spacing w:val="8"/>
                <w:sz w:val="21"/>
                <w:szCs w:val="21"/>
              </w:rPr>
              <w:t>与</w:t>
            </w:r>
            <w:r>
              <w:rPr>
                <w:rFonts w:hint="eastAsia" w:ascii="Times New Roman" w:hAnsi="Times New Roman" w:cs="Times New Roman"/>
                <w:b/>
                <w:bCs/>
                <w:color w:val="auto"/>
                <w:spacing w:val="8"/>
                <w:sz w:val="21"/>
                <w:szCs w:val="21"/>
                <w:lang w:eastAsia="zh-CN"/>
              </w:rPr>
              <w:t>《中共中央 国务院</w:t>
            </w:r>
            <w:r>
              <w:rPr>
                <w:rFonts w:hint="default" w:ascii="Times New Roman" w:hAnsi="Times New Roman" w:cs="Times New Roman"/>
                <w:b/>
                <w:bCs/>
                <w:color w:val="auto"/>
                <w:spacing w:val="8"/>
                <w:sz w:val="21"/>
                <w:szCs w:val="21"/>
              </w:rPr>
              <w:t>关于深</w:t>
            </w:r>
            <w:r>
              <w:rPr>
                <w:rFonts w:hint="default" w:ascii="Times New Roman" w:hAnsi="Times New Roman" w:cs="Times New Roman"/>
                <w:b/>
                <w:bCs/>
                <w:color w:val="auto"/>
                <w:spacing w:val="7"/>
                <w:sz w:val="21"/>
                <w:szCs w:val="21"/>
              </w:rPr>
              <w:t>入打好污染防治攻坚战的意见</w:t>
            </w:r>
            <w:r>
              <w:rPr>
                <w:rFonts w:hint="eastAsia" w:ascii="Times New Roman" w:hAnsi="Times New Roman" w:cs="Times New Roman"/>
                <w:b/>
                <w:bCs/>
                <w:color w:val="auto"/>
                <w:spacing w:val="7"/>
                <w:sz w:val="21"/>
                <w:szCs w:val="21"/>
                <w:lang w:eastAsia="zh-CN"/>
              </w:rPr>
              <w:t>》</w:t>
            </w:r>
            <w:r>
              <w:rPr>
                <w:rFonts w:hint="default" w:ascii="Times New Roman" w:hAnsi="Times New Roman" w:cs="Times New Roman"/>
                <w:b/>
                <w:bCs/>
                <w:color w:val="auto"/>
                <w:spacing w:val="7"/>
                <w:sz w:val="21"/>
                <w:szCs w:val="21"/>
              </w:rPr>
              <w:t>相符性分析</w:t>
            </w:r>
          </w:p>
          <w:tbl>
            <w:tblPr>
              <w:tblStyle w:val="85"/>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03"/>
              <w:gridCol w:w="4749"/>
              <w:gridCol w:w="1744"/>
              <w:gridCol w:w="761"/>
            </w:tblGrid>
            <w:tr w14:paraId="2EB80F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384" w:type="pct"/>
                  <w:tcBorders>
                    <w:tl2br w:val="nil"/>
                    <w:tr2bl w:val="nil"/>
                  </w:tcBorders>
                  <w:textDirection w:val="tbRlV"/>
                  <w:vAlign w:val="center"/>
                </w:tcPr>
                <w:p w14:paraId="5BBF7DA3">
                  <w:pPr>
                    <w:pStyle w:val="115"/>
                    <w:autoSpaceDE w:val="0"/>
                    <w:autoSpaceDN w:val="0"/>
                    <w:spacing w:before="204" w:line="218" w:lineRule="auto"/>
                    <w:ind w:left="55"/>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序</w:t>
                  </w:r>
                  <w:r>
                    <w:rPr>
                      <w:rFonts w:hint="default" w:ascii="Times New Roman" w:hAnsi="Times New Roman" w:cs="Times New Roman"/>
                      <w:color w:val="auto"/>
                      <w:spacing w:val="-38"/>
                      <w:sz w:val="21"/>
                      <w:szCs w:val="21"/>
                    </w:rPr>
                    <w:t xml:space="preserve"> </w:t>
                  </w:r>
                  <w:r>
                    <w:rPr>
                      <w:rFonts w:hint="default" w:ascii="Times New Roman" w:hAnsi="Times New Roman" w:cs="Times New Roman"/>
                      <w:b/>
                      <w:bCs/>
                      <w:color w:val="auto"/>
                      <w:spacing w:val="6"/>
                      <w:sz w:val="21"/>
                      <w:szCs w:val="21"/>
                    </w:rPr>
                    <w:t>号</w:t>
                  </w:r>
                </w:p>
              </w:tc>
              <w:tc>
                <w:tcPr>
                  <w:tcW w:w="3021" w:type="pct"/>
                  <w:tcBorders>
                    <w:tl2br w:val="nil"/>
                    <w:tr2bl w:val="nil"/>
                  </w:tcBorders>
                  <w:vAlign w:val="center"/>
                </w:tcPr>
                <w:p w14:paraId="7616C4CB">
                  <w:pPr>
                    <w:pStyle w:val="115"/>
                    <w:autoSpaceDE w:val="0"/>
                    <w:autoSpaceDN w:val="0"/>
                    <w:spacing w:before="189" w:line="228" w:lineRule="auto"/>
                    <w:ind w:left="1995"/>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文件要求</w:t>
                  </w:r>
                </w:p>
              </w:tc>
              <w:tc>
                <w:tcPr>
                  <w:tcW w:w="1109" w:type="pct"/>
                  <w:tcBorders>
                    <w:tl2br w:val="nil"/>
                    <w:tr2bl w:val="nil"/>
                  </w:tcBorders>
                  <w:vAlign w:val="center"/>
                </w:tcPr>
                <w:p w14:paraId="48E35C7D">
                  <w:pPr>
                    <w:pStyle w:val="115"/>
                    <w:autoSpaceDE w:val="0"/>
                    <w:autoSpaceDN w:val="0"/>
                    <w:spacing w:before="189" w:line="227" w:lineRule="auto"/>
                    <w:ind w:left="393"/>
                    <w:rPr>
                      <w:rFonts w:hint="default" w:ascii="Times New Roman" w:hAnsi="Times New Roman" w:cs="Times New Roman"/>
                      <w:color w:val="auto"/>
                      <w:sz w:val="21"/>
                      <w:szCs w:val="21"/>
                    </w:rPr>
                  </w:pPr>
                  <w:r>
                    <w:rPr>
                      <w:rFonts w:hint="default" w:ascii="Times New Roman" w:hAnsi="Times New Roman" w:cs="Times New Roman"/>
                      <w:b/>
                      <w:bCs/>
                      <w:color w:val="auto"/>
                      <w:spacing w:val="6"/>
                      <w:sz w:val="21"/>
                      <w:szCs w:val="21"/>
                    </w:rPr>
                    <w:t>本项目情况</w:t>
                  </w:r>
                </w:p>
              </w:tc>
              <w:tc>
                <w:tcPr>
                  <w:tcW w:w="484" w:type="pct"/>
                  <w:tcBorders>
                    <w:tl2br w:val="nil"/>
                    <w:tr2bl w:val="nil"/>
                  </w:tcBorders>
                  <w:vAlign w:val="center"/>
                </w:tcPr>
                <w:p w14:paraId="402A7EF6">
                  <w:pPr>
                    <w:pStyle w:val="115"/>
                    <w:autoSpaceDE w:val="0"/>
                    <w:autoSpaceDN w:val="0"/>
                    <w:spacing w:before="54" w:line="235" w:lineRule="auto"/>
                    <w:ind w:left="158" w:right="150" w:firstLine="1"/>
                    <w:jc w:val="center"/>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符合性</w:t>
                  </w:r>
                </w:p>
              </w:tc>
            </w:tr>
            <w:tr w14:paraId="2B334E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384" w:type="pct"/>
                  <w:tcBorders>
                    <w:tl2br w:val="nil"/>
                    <w:tr2bl w:val="nil"/>
                  </w:tcBorders>
                  <w:vAlign w:val="center"/>
                </w:tcPr>
                <w:p w14:paraId="4E4B77C6">
                  <w:pPr>
                    <w:autoSpaceDE w:val="0"/>
                    <w:autoSpaceDN w:val="0"/>
                    <w:spacing w:line="240" w:lineRule="auto"/>
                    <w:ind w:left="0" w:right="0" w:firstLine="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3021" w:type="pct"/>
                  <w:tcBorders>
                    <w:tl2br w:val="nil"/>
                    <w:tr2bl w:val="nil"/>
                  </w:tcBorders>
                  <w:vAlign w:val="center"/>
                </w:tcPr>
                <w:p w14:paraId="4BF60ED3">
                  <w:pPr>
                    <w:pStyle w:val="115"/>
                    <w:autoSpaceDE w:val="0"/>
                    <w:autoSpaceDN w:val="0"/>
                    <w:spacing w:line="240" w:lineRule="auto"/>
                    <w:ind w:left="0" w:right="0" w:firstLine="0"/>
                    <w:jc w:val="center"/>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（六）推动能源清洁低碳转型。在保障能源安全的前提下，加快煤炭减量步伐，实施可再生能源</w:t>
                  </w:r>
                  <w:r>
                    <w:rPr>
                      <w:rFonts w:hint="default" w:ascii="Times New Roman" w:hAnsi="Times New Roman" w:cs="Times New Roman"/>
                      <w:color w:val="auto"/>
                      <w:spacing w:val="7"/>
                      <w:sz w:val="21"/>
                      <w:szCs w:val="21"/>
                    </w:rPr>
                    <w:t>行动。</w:t>
                  </w:r>
                  <w:r>
                    <w:rPr>
                      <w:rFonts w:hint="eastAsia" w:ascii="Times New Roman" w:hAnsi="Times New Roman" w:cs="Times New Roman"/>
                      <w:color w:val="auto"/>
                      <w:spacing w:val="7"/>
                      <w:sz w:val="21"/>
                      <w:szCs w:val="21"/>
                      <w:lang w:eastAsia="zh-CN"/>
                    </w:rPr>
                    <w:t>“十四五”时期</w:t>
                  </w:r>
                  <w:r>
                    <w:rPr>
                      <w:rFonts w:hint="default" w:ascii="Times New Roman" w:hAnsi="Times New Roman" w:cs="Times New Roman"/>
                      <w:color w:val="auto"/>
                      <w:spacing w:val="7"/>
                      <w:sz w:val="21"/>
                      <w:szCs w:val="21"/>
                    </w:rPr>
                    <w:t>，严控煤炭消费增长，非化石能源消费比重提高到20%左右，京津冀及周边地区、长三角地区煤炭消费量分别下降10%、5%左右，汾渭平原煤炭消费量实现负增长。原则上不再新增自备燃煤机组，支持自备燃煤机组实施清洁能源替代，鼓励自备电厂转为公用电厂。坚持“增气减煤”同步，新增天然气优先保障居民生活和清洁取暖需求。提高电能占终端能源消费比重。重点区域的平原地区散煤基本清零。有序扩大清洁取暖试点城市范围，稳步提升北方地区清洁取暖水平。</w:t>
                  </w:r>
                </w:p>
              </w:tc>
              <w:tc>
                <w:tcPr>
                  <w:tcW w:w="1109" w:type="pct"/>
                  <w:tcBorders>
                    <w:tl2br w:val="nil"/>
                    <w:tr2bl w:val="nil"/>
                  </w:tcBorders>
                  <w:vAlign w:val="center"/>
                </w:tcPr>
                <w:p w14:paraId="01A7B875">
                  <w:pPr>
                    <w:pStyle w:val="115"/>
                    <w:autoSpaceDE w:val="0"/>
                    <w:autoSpaceDN w:val="0"/>
                    <w:spacing w:line="240" w:lineRule="auto"/>
                    <w:ind w:left="0" w:right="0"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8"/>
                      <w:sz w:val="21"/>
                      <w:szCs w:val="21"/>
                    </w:rPr>
                    <w:t>本项目供暖</w:t>
                  </w:r>
                  <w:r>
                    <w:rPr>
                      <w:rFonts w:hint="eastAsia" w:ascii="Times New Roman" w:hAnsi="Times New Roman" w:cs="Times New Roman"/>
                      <w:color w:val="auto"/>
                      <w:spacing w:val="8"/>
                      <w:sz w:val="21"/>
                      <w:szCs w:val="21"/>
                      <w:lang w:val="en-US" w:eastAsia="zh-CN"/>
                    </w:rPr>
                    <w:t>依托厂内2台</w:t>
                  </w:r>
                  <w:r>
                    <w:rPr>
                      <w:rFonts w:hint="default" w:ascii="Times New Roman" w:hAnsi="Times New Roman" w:eastAsia="宋体" w:cs="Times New Roman"/>
                      <w:color w:val="auto"/>
                      <w:sz w:val="21"/>
                      <w:szCs w:val="21"/>
                      <w:highlight w:val="none"/>
                      <w:lang w:val="en-US" w:eastAsia="zh-CN"/>
                    </w:rPr>
                    <w:t>6t燃气蒸汽锅炉</w:t>
                  </w:r>
                  <w:r>
                    <w:rPr>
                      <w:rFonts w:hint="eastAsia" w:cs="Times New Roman"/>
                      <w:color w:val="auto"/>
                      <w:sz w:val="21"/>
                      <w:szCs w:val="21"/>
                      <w:highlight w:val="none"/>
                      <w:lang w:val="en-US" w:eastAsia="zh-CN"/>
                    </w:rPr>
                    <w:t>（一用一备）</w:t>
                  </w:r>
                </w:p>
                <w:p w14:paraId="6C76FEAA">
                  <w:pPr>
                    <w:pStyle w:val="115"/>
                    <w:autoSpaceDE w:val="0"/>
                    <w:autoSpaceDN w:val="0"/>
                    <w:spacing w:line="240" w:lineRule="auto"/>
                    <w:ind w:left="0" w:right="0" w:firstLine="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pacing w:val="4"/>
                      <w:sz w:val="21"/>
                      <w:szCs w:val="21"/>
                    </w:rPr>
                    <w:t>本项目不使用</w:t>
                  </w:r>
                  <w:r>
                    <w:rPr>
                      <w:rFonts w:hint="eastAsia" w:ascii="Times New Roman" w:hAnsi="Times New Roman" w:cs="Times New Roman"/>
                      <w:color w:val="auto"/>
                      <w:spacing w:val="4"/>
                      <w:sz w:val="21"/>
                      <w:szCs w:val="21"/>
                      <w:lang w:val="en-US" w:eastAsia="zh-CN"/>
                    </w:rPr>
                    <w:t>燃</w:t>
                  </w:r>
                  <w:r>
                    <w:rPr>
                      <w:rFonts w:hint="default" w:ascii="Times New Roman" w:hAnsi="Times New Roman" w:cs="Times New Roman"/>
                      <w:color w:val="auto"/>
                      <w:spacing w:val="4"/>
                      <w:sz w:val="21"/>
                      <w:szCs w:val="21"/>
                    </w:rPr>
                    <w:t>煤。</w:t>
                  </w:r>
                </w:p>
              </w:tc>
              <w:tc>
                <w:tcPr>
                  <w:tcW w:w="484" w:type="pct"/>
                  <w:tcBorders>
                    <w:tl2br w:val="nil"/>
                    <w:tr2bl w:val="nil"/>
                  </w:tcBorders>
                  <w:vAlign w:val="center"/>
                </w:tcPr>
                <w:p w14:paraId="4EF80F60">
                  <w:pPr>
                    <w:pStyle w:val="115"/>
                    <w:autoSpaceDE w:val="0"/>
                    <w:autoSpaceDN w:val="0"/>
                    <w:spacing w:line="240" w:lineRule="auto"/>
                    <w:ind w:left="0" w:right="0" w:firstLine="0"/>
                    <w:jc w:val="center"/>
                    <w:rPr>
                      <w:rFonts w:hint="default" w:ascii="Times New Roman" w:hAnsi="Times New Roman" w:cs="Times New Roman"/>
                      <w:color w:val="auto"/>
                      <w:sz w:val="21"/>
                      <w:szCs w:val="21"/>
                    </w:rPr>
                  </w:pPr>
                  <w:bookmarkStart w:id="11" w:name="OLE_LINK177"/>
                  <w:r>
                    <w:rPr>
                      <w:rFonts w:hint="default" w:ascii="Times New Roman" w:hAnsi="Times New Roman" w:cs="Times New Roman"/>
                      <w:color w:val="auto"/>
                      <w:spacing w:val="3"/>
                      <w:sz w:val="21"/>
                      <w:szCs w:val="21"/>
                    </w:rPr>
                    <w:t>符合</w:t>
                  </w:r>
                  <w:bookmarkEnd w:id="11"/>
                </w:p>
              </w:tc>
            </w:tr>
            <w:tr w14:paraId="2AC5E0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384" w:type="pct"/>
                  <w:tcBorders>
                    <w:tl2br w:val="nil"/>
                    <w:tr2bl w:val="nil"/>
                  </w:tcBorders>
                  <w:vAlign w:val="center"/>
                </w:tcPr>
                <w:p w14:paraId="543BAC69">
                  <w:pPr>
                    <w:autoSpaceDE w:val="0"/>
                    <w:autoSpaceDN w:val="0"/>
                    <w:spacing w:line="240" w:lineRule="auto"/>
                    <w:ind w:left="0" w:leftChars="0" w:right="0" w:firstLine="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2</w:t>
                  </w:r>
                </w:p>
              </w:tc>
              <w:tc>
                <w:tcPr>
                  <w:tcW w:w="3021" w:type="pct"/>
                  <w:tcBorders>
                    <w:tl2br w:val="nil"/>
                    <w:tr2bl w:val="nil"/>
                  </w:tcBorders>
                  <w:vAlign w:val="center"/>
                </w:tcPr>
                <w:p w14:paraId="6055FDDA">
                  <w:pPr>
                    <w:pStyle w:val="115"/>
                    <w:autoSpaceDE w:val="0"/>
                    <w:autoSpaceDN w:val="0"/>
                    <w:spacing w:line="240" w:lineRule="auto"/>
                    <w:ind w:left="0" w:right="0" w:firstLine="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（七）坚决遏制高耗能高排放项目盲目发展。严把高耗能高排放项目准入关口，严格落实污染物排放</w:t>
                  </w:r>
                  <w:r>
                    <w:rPr>
                      <w:rFonts w:hint="default" w:ascii="Times New Roman" w:hAnsi="Times New Roman" w:cs="Times New Roman"/>
                      <w:color w:val="auto"/>
                      <w:spacing w:val="14"/>
                      <w:sz w:val="21"/>
                      <w:szCs w:val="21"/>
                    </w:rPr>
                    <w:t>区域削减要求，对不符合规定的项目坚决停批停</w:t>
                  </w:r>
                  <w:r>
                    <w:rPr>
                      <w:rFonts w:hint="default" w:ascii="Times New Roman" w:hAnsi="Times New Roman" w:cs="Times New Roman"/>
                      <w:color w:val="auto"/>
                      <w:spacing w:val="8"/>
                      <w:sz w:val="21"/>
                      <w:szCs w:val="21"/>
                    </w:rPr>
                    <w:t>建。依法依规淘汰落后产能和化解过剩产能。推动高炉－转炉长流程炼钢转型为电炉短流程炼钢。重</w:t>
                  </w:r>
                  <w:r>
                    <w:rPr>
                      <w:rFonts w:hint="default" w:ascii="Times New Roman" w:hAnsi="Times New Roman" w:cs="Times New Roman"/>
                      <w:color w:val="auto"/>
                      <w:spacing w:val="2"/>
                      <w:sz w:val="21"/>
                      <w:szCs w:val="21"/>
                    </w:rPr>
                    <w:t>点区域严禁新增钢铁、焦化、水泥熟料、平板玻璃、</w:t>
                  </w:r>
                  <w:r>
                    <w:rPr>
                      <w:rFonts w:hint="default" w:ascii="Times New Roman" w:hAnsi="Times New Roman" w:cs="Times New Roman"/>
                      <w:color w:val="auto"/>
                      <w:spacing w:val="7"/>
                      <w:sz w:val="21"/>
                      <w:szCs w:val="21"/>
                    </w:rPr>
                    <w:t>电解铝、氧化铝、煤化工产能，合理控制煤制油气</w:t>
                  </w:r>
                  <w:r>
                    <w:rPr>
                      <w:rFonts w:hint="default" w:ascii="Times New Roman" w:hAnsi="Times New Roman" w:cs="Times New Roman"/>
                      <w:color w:val="auto"/>
                      <w:spacing w:val="8"/>
                      <w:sz w:val="21"/>
                      <w:szCs w:val="21"/>
                    </w:rPr>
                    <w:t>产能规模，严控新增炼油产能。</w:t>
                  </w:r>
                </w:p>
              </w:tc>
              <w:tc>
                <w:tcPr>
                  <w:tcW w:w="1109" w:type="pct"/>
                  <w:tcBorders>
                    <w:tl2br w:val="nil"/>
                    <w:tr2bl w:val="nil"/>
                  </w:tcBorders>
                  <w:vAlign w:val="center"/>
                </w:tcPr>
                <w:p w14:paraId="05738DC2">
                  <w:pPr>
                    <w:pStyle w:val="115"/>
                    <w:autoSpaceDE w:val="0"/>
                    <w:autoSpaceDN w:val="0"/>
                    <w:spacing w:line="240" w:lineRule="auto"/>
                    <w:ind w:left="0" w:leftChars="0" w:righ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6"/>
                      <w:sz w:val="21"/>
                      <w:szCs w:val="21"/>
                    </w:rPr>
                    <w:t>本项目</w:t>
                  </w:r>
                  <w:r>
                    <w:rPr>
                      <w:rFonts w:hint="eastAsia" w:ascii="Times New Roman" w:hAnsi="Times New Roman" w:cs="Times New Roman"/>
                      <w:color w:val="auto"/>
                      <w:spacing w:val="6"/>
                      <w:sz w:val="21"/>
                      <w:szCs w:val="21"/>
                      <w:lang w:val="en-US" w:eastAsia="zh-CN"/>
                    </w:rPr>
                    <w:t>不属于高耗能高排放项目。</w:t>
                  </w:r>
                </w:p>
              </w:tc>
              <w:tc>
                <w:tcPr>
                  <w:tcW w:w="484" w:type="pct"/>
                  <w:tcBorders>
                    <w:tl2br w:val="nil"/>
                    <w:tr2bl w:val="nil"/>
                  </w:tcBorders>
                  <w:vAlign w:val="center"/>
                </w:tcPr>
                <w:p w14:paraId="62E26662">
                  <w:pPr>
                    <w:autoSpaceDE w:val="0"/>
                    <w:autoSpaceDN w:val="0"/>
                    <w:spacing w:line="240" w:lineRule="auto"/>
                    <w:ind w:left="0" w:right="0" w:firstLine="0"/>
                    <w:jc w:val="center"/>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符合</w:t>
                  </w:r>
                </w:p>
              </w:tc>
            </w:tr>
            <w:tr w14:paraId="1DD4CF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384" w:type="pct"/>
                  <w:tcBorders>
                    <w:tl2br w:val="nil"/>
                    <w:tr2bl w:val="nil"/>
                  </w:tcBorders>
                  <w:vAlign w:val="center"/>
                </w:tcPr>
                <w:p w14:paraId="24BAADB4">
                  <w:pPr>
                    <w:autoSpaceDE w:val="0"/>
                    <w:autoSpaceDN w:val="0"/>
                    <w:spacing w:line="240" w:lineRule="auto"/>
                    <w:ind w:left="0" w:leftChars="0" w:right="0" w:firstLine="0"/>
                    <w:jc w:val="center"/>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3</w:t>
                  </w:r>
                </w:p>
              </w:tc>
              <w:tc>
                <w:tcPr>
                  <w:tcW w:w="3021" w:type="pct"/>
                  <w:tcBorders>
                    <w:tl2br w:val="nil"/>
                    <w:tr2bl w:val="nil"/>
                  </w:tcBorders>
                  <w:vAlign w:val="center"/>
                </w:tcPr>
                <w:p w14:paraId="07FD75C8">
                  <w:pPr>
                    <w:pStyle w:val="115"/>
                    <w:autoSpaceDE w:val="0"/>
                    <w:autoSpaceDN w:val="0"/>
                    <w:spacing w:line="240" w:lineRule="auto"/>
                    <w:ind w:left="0" w:right="0" w:firstLine="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（八）推进清洁生产和能源</w:t>
                  </w:r>
                  <w:r>
                    <w:rPr>
                      <w:rFonts w:hint="eastAsia" w:ascii="Times New Roman" w:hAnsi="Times New Roman" w:cs="Times New Roman"/>
                      <w:color w:val="auto"/>
                      <w:spacing w:val="8"/>
                      <w:sz w:val="21"/>
                      <w:szCs w:val="21"/>
                      <w:lang w:eastAsia="zh-CN"/>
                    </w:rPr>
                    <w:t>资源节约集约利用</w:t>
                  </w:r>
                  <w:r>
                    <w:rPr>
                      <w:rFonts w:hint="default" w:ascii="Times New Roman" w:hAnsi="Times New Roman" w:cs="Times New Roman"/>
                      <w:color w:val="auto"/>
                      <w:spacing w:val="8"/>
                      <w:sz w:val="21"/>
                      <w:szCs w:val="21"/>
                    </w:rPr>
                    <w:t>。引</w:t>
                  </w:r>
                  <w:r>
                    <w:rPr>
                      <w:rFonts w:hint="default" w:ascii="Times New Roman" w:hAnsi="Times New Roman" w:cs="Times New Roman"/>
                      <w:color w:val="auto"/>
                      <w:spacing w:val="9"/>
                      <w:sz w:val="21"/>
                      <w:szCs w:val="21"/>
                    </w:rPr>
                    <w:t>导重点行业深入实施清洁生产改造，依法开</w:t>
                  </w:r>
                  <w:r>
                    <w:rPr>
                      <w:rFonts w:hint="default" w:ascii="Times New Roman" w:hAnsi="Times New Roman" w:cs="Times New Roman"/>
                      <w:color w:val="auto"/>
                      <w:spacing w:val="8"/>
                      <w:sz w:val="21"/>
                      <w:szCs w:val="21"/>
                    </w:rPr>
                    <w:t>展自愿</w:t>
                  </w:r>
                  <w:r>
                    <w:rPr>
                      <w:rFonts w:hint="default" w:ascii="Times New Roman" w:hAnsi="Times New Roman" w:cs="Times New Roman"/>
                      <w:color w:val="auto"/>
                      <w:spacing w:val="9"/>
                      <w:sz w:val="21"/>
                      <w:szCs w:val="21"/>
                    </w:rPr>
                    <w:t>性清洁生产评价认证。大力推行绿色制造，构建资</w:t>
                  </w:r>
                  <w:r>
                    <w:rPr>
                      <w:rFonts w:hint="default" w:ascii="Times New Roman" w:hAnsi="Times New Roman" w:cs="Times New Roman"/>
                      <w:color w:val="auto"/>
                      <w:spacing w:val="8"/>
                      <w:sz w:val="21"/>
                      <w:szCs w:val="21"/>
                    </w:rPr>
                    <w:t>源循环利用体系。推动煤炭等化石能源清洁高效利</w:t>
                  </w:r>
                  <w:r>
                    <w:rPr>
                      <w:rFonts w:hint="default" w:ascii="Times New Roman" w:hAnsi="Times New Roman" w:cs="Times New Roman"/>
                      <w:color w:val="auto"/>
                      <w:spacing w:val="9"/>
                      <w:sz w:val="21"/>
                      <w:szCs w:val="21"/>
                    </w:rPr>
                    <w:t>用。加强重点领域节能，提高能源使用效率</w:t>
                  </w:r>
                  <w:r>
                    <w:rPr>
                      <w:rFonts w:hint="default" w:ascii="Times New Roman" w:hAnsi="Times New Roman" w:cs="Times New Roman"/>
                      <w:color w:val="auto"/>
                      <w:spacing w:val="8"/>
                      <w:sz w:val="21"/>
                      <w:szCs w:val="21"/>
                    </w:rPr>
                    <w:t>。实施</w:t>
                  </w:r>
                  <w:r>
                    <w:rPr>
                      <w:rFonts w:hint="default" w:ascii="Times New Roman" w:hAnsi="Times New Roman" w:cs="Times New Roman"/>
                      <w:color w:val="auto"/>
                      <w:spacing w:val="3"/>
                      <w:sz w:val="21"/>
                      <w:szCs w:val="21"/>
                    </w:rPr>
                    <w:t>国家节水行动，强化农业节水增效、工业节</w:t>
                  </w:r>
                  <w:r>
                    <w:rPr>
                      <w:rFonts w:hint="default" w:ascii="Times New Roman" w:hAnsi="Times New Roman" w:cs="Times New Roman"/>
                      <w:color w:val="auto"/>
                      <w:spacing w:val="2"/>
                      <w:sz w:val="21"/>
                      <w:szCs w:val="21"/>
                    </w:rPr>
                    <w:t>水减排、</w:t>
                  </w:r>
                  <w:r>
                    <w:rPr>
                      <w:rFonts w:hint="default" w:ascii="Times New Roman" w:hAnsi="Times New Roman" w:cs="Times New Roman"/>
                      <w:color w:val="auto"/>
                      <w:spacing w:val="9"/>
                      <w:sz w:val="21"/>
                      <w:szCs w:val="21"/>
                    </w:rPr>
                    <w:t>城镇节水降损。推进污水资源化利用和海水淡化规</w:t>
                  </w:r>
                  <w:r>
                    <w:rPr>
                      <w:rFonts w:hint="default" w:ascii="Times New Roman" w:hAnsi="Times New Roman" w:cs="Times New Roman"/>
                      <w:color w:val="auto"/>
                      <w:spacing w:val="6"/>
                      <w:sz w:val="21"/>
                      <w:szCs w:val="21"/>
                    </w:rPr>
                    <w:t>模化利用。</w:t>
                  </w:r>
                </w:p>
              </w:tc>
              <w:tc>
                <w:tcPr>
                  <w:tcW w:w="1109" w:type="pct"/>
                  <w:tcBorders>
                    <w:tl2br w:val="nil"/>
                    <w:tr2bl w:val="nil"/>
                  </w:tcBorders>
                  <w:vAlign w:val="center"/>
                </w:tcPr>
                <w:p w14:paraId="23B2F115">
                  <w:pPr>
                    <w:pStyle w:val="115"/>
                    <w:autoSpaceDE w:val="0"/>
                    <w:autoSpaceDN w:val="0"/>
                    <w:spacing w:line="240" w:lineRule="auto"/>
                    <w:ind w:left="0" w:right="0" w:firstLine="0"/>
                    <w:jc w:val="center"/>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本项目不涉及煤</w:t>
                  </w:r>
                  <w:r>
                    <w:rPr>
                      <w:rFonts w:hint="default" w:ascii="Times New Roman" w:hAnsi="Times New Roman" w:cs="Times New Roman"/>
                      <w:color w:val="auto"/>
                      <w:spacing w:val="-1"/>
                      <w:sz w:val="21"/>
                      <w:szCs w:val="21"/>
                    </w:rPr>
                    <w:t>炭的使用。项目主</w:t>
                  </w:r>
                  <w:r>
                    <w:rPr>
                      <w:rFonts w:hint="default" w:ascii="Times New Roman" w:hAnsi="Times New Roman" w:cs="Times New Roman"/>
                      <w:color w:val="auto"/>
                      <w:spacing w:val="8"/>
                      <w:sz w:val="21"/>
                      <w:szCs w:val="21"/>
                    </w:rPr>
                    <w:t>要用水为生活用</w:t>
                  </w:r>
                  <w:r>
                    <w:rPr>
                      <w:rFonts w:hint="default" w:ascii="Times New Roman" w:hAnsi="Times New Roman" w:cs="Times New Roman"/>
                      <w:color w:val="auto"/>
                      <w:sz w:val="21"/>
                      <w:szCs w:val="21"/>
                    </w:rPr>
                    <w:t>水和生产用水，生</w:t>
                  </w:r>
                  <w:r>
                    <w:rPr>
                      <w:rFonts w:hint="default" w:ascii="Times New Roman" w:hAnsi="Times New Roman" w:cs="Times New Roman"/>
                      <w:color w:val="auto"/>
                      <w:spacing w:val="8"/>
                      <w:sz w:val="21"/>
                      <w:szCs w:val="21"/>
                    </w:rPr>
                    <w:t>产废水</w:t>
                  </w:r>
                  <w:r>
                    <w:rPr>
                      <w:rFonts w:hint="eastAsia" w:ascii="Times New Roman" w:hAnsi="Times New Roman" w:cs="Times New Roman"/>
                      <w:color w:val="auto"/>
                      <w:spacing w:val="8"/>
                      <w:sz w:val="21"/>
                      <w:szCs w:val="21"/>
                      <w:lang w:val="en-US" w:eastAsia="zh-CN"/>
                    </w:rPr>
                    <w:t>预处理后依</w:t>
                  </w:r>
                  <w:r>
                    <w:rPr>
                      <w:rFonts w:hint="default" w:ascii="Times New Roman" w:hAnsi="Times New Roman" w:cs="Times New Roman"/>
                      <w:color w:val="auto"/>
                      <w:spacing w:val="8"/>
                      <w:sz w:val="21"/>
                      <w:szCs w:val="21"/>
                    </w:rPr>
                    <w:t>托</w:t>
                  </w:r>
                  <w:r>
                    <w:rPr>
                      <w:rFonts w:hint="eastAsia" w:ascii="Times New Roman" w:hAnsi="Times New Roman" w:cs="Times New Roman"/>
                      <w:color w:val="auto"/>
                      <w:spacing w:val="8"/>
                      <w:sz w:val="21"/>
                      <w:szCs w:val="21"/>
                      <w:lang w:eastAsia="zh-CN"/>
                    </w:rPr>
                    <w:t>辽宁红山</w:t>
                  </w:r>
                  <w:r>
                    <w:rPr>
                      <w:rFonts w:hint="default" w:ascii="Times New Roman" w:hAnsi="Times New Roman" w:cs="Times New Roman"/>
                      <w:color w:val="auto"/>
                      <w:spacing w:val="7"/>
                      <w:sz w:val="21"/>
                      <w:szCs w:val="21"/>
                    </w:rPr>
                    <w:t>地埋式一体化污水处理站</w:t>
                  </w:r>
                </w:p>
                <w:p w14:paraId="726458ED">
                  <w:pPr>
                    <w:pStyle w:val="115"/>
                    <w:autoSpaceDE w:val="0"/>
                    <w:autoSpaceDN w:val="0"/>
                    <w:spacing w:line="240" w:lineRule="auto"/>
                    <w:ind w:left="0" w:right="0" w:firstLine="0"/>
                    <w:jc w:val="center"/>
                    <w:rPr>
                      <w:rFonts w:hint="default" w:ascii="Times New Roman" w:hAnsi="Times New Roman" w:eastAsia="宋体" w:cs="Times New Roman"/>
                      <w:color w:val="auto"/>
                      <w:kern w:val="2"/>
                      <w:sz w:val="21"/>
                      <w:szCs w:val="21"/>
                      <w:lang w:val="en-US" w:eastAsia="en-US" w:bidi="ar-SA"/>
                    </w:rPr>
                  </w:pP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default" w:ascii="Times New Roman" w:hAnsi="Times New Roman" w:eastAsia="Times New Roman" w:cs="Times New Roman"/>
                      <w:color w:val="auto"/>
                      <w:spacing w:val="5"/>
                      <w:sz w:val="21"/>
                      <w:szCs w:val="21"/>
                    </w:rPr>
                    <w:t>A/O</w:t>
                  </w:r>
                  <w:r>
                    <w:rPr>
                      <w:rFonts w:hint="default" w:ascii="Times New Roman" w:hAnsi="Times New Roman" w:cs="Times New Roman"/>
                      <w:color w:val="auto"/>
                      <w:spacing w:val="5"/>
                      <w:sz w:val="21"/>
                      <w:szCs w:val="21"/>
                    </w:rPr>
                    <w:t>）法</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处理</w:t>
                  </w:r>
                  <w:r>
                    <w:rPr>
                      <w:rFonts w:hint="default" w:ascii="Times New Roman" w:hAnsi="Times New Roman" w:cs="Times New Roman"/>
                      <w:color w:val="auto"/>
                      <w:spacing w:val="7"/>
                      <w:sz w:val="21"/>
                      <w:szCs w:val="21"/>
                    </w:rPr>
                    <w:t>后用于</w:t>
                  </w:r>
                  <w:r>
                    <w:rPr>
                      <w:rFonts w:hint="eastAsia" w:ascii="Times New Roman" w:hAnsi="Times New Roman" w:cs="Times New Roman"/>
                      <w:color w:val="auto"/>
                      <w:spacing w:val="7"/>
                      <w:sz w:val="21"/>
                      <w:szCs w:val="21"/>
                      <w:lang w:val="en-US" w:eastAsia="zh-CN"/>
                    </w:rPr>
                    <w:t>道路洒扫</w:t>
                  </w:r>
                  <w:r>
                    <w:rPr>
                      <w:rFonts w:hint="default" w:ascii="Times New Roman" w:hAnsi="Times New Roman" w:cs="Times New Roman"/>
                      <w:color w:val="auto"/>
                      <w:spacing w:val="7"/>
                      <w:sz w:val="21"/>
                      <w:szCs w:val="21"/>
                    </w:rPr>
                    <w:t>。</w:t>
                  </w:r>
                </w:p>
              </w:tc>
              <w:tc>
                <w:tcPr>
                  <w:tcW w:w="484" w:type="pct"/>
                  <w:tcBorders>
                    <w:tl2br w:val="nil"/>
                    <w:tr2bl w:val="nil"/>
                  </w:tcBorders>
                  <w:vAlign w:val="center"/>
                </w:tcPr>
                <w:p w14:paraId="54E0D136">
                  <w:pPr>
                    <w:autoSpaceDE w:val="0"/>
                    <w:autoSpaceDN w:val="0"/>
                    <w:spacing w:line="240" w:lineRule="auto"/>
                    <w:ind w:left="0" w:right="0" w:firstLine="0"/>
                    <w:jc w:val="center"/>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符合</w:t>
                  </w:r>
                </w:p>
              </w:tc>
            </w:tr>
            <w:tr w14:paraId="4655AB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384" w:type="pct"/>
                  <w:tcBorders>
                    <w:tl2br w:val="nil"/>
                    <w:tr2bl w:val="nil"/>
                  </w:tcBorders>
                  <w:vAlign w:val="center"/>
                </w:tcPr>
                <w:p w14:paraId="4532A85D">
                  <w:pPr>
                    <w:keepNext w:val="0"/>
                    <w:keepLines w:val="0"/>
                    <w:pageBreakBefore w:val="0"/>
                    <w:widowControl w:val="0"/>
                    <w:kinsoku/>
                    <w:wordWrap/>
                    <w:overflowPunct/>
                    <w:topLinePunct w:val="0"/>
                    <w:autoSpaceDE w:val="0"/>
                    <w:autoSpaceDN w:val="0"/>
                    <w:bidi w:val="0"/>
                    <w:adjustRightInd/>
                    <w:snapToGrid/>
                    <w:spacing w:line="240" w:lineRule="auto"/>
                    <w:ind w:left="0" w:leftChars="0" w:right="0" w:firstLine="0"/>
                    <w:jc w:val="center"/>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1"/>
                      <w:sz w:val="21"/>
                      <w:szCs w:val="21"/>
                    </w:rPr>
                    <w:t>4</w:t>
                  </w:r>
                </w:p>
              </w:tc>
              <w:tc>
                <w:tcPr>
                  <w:tcW w:w="3021" w:type="pct"/>
                  <w:tcBorders>
                    <w:tl2br w:val="nil"/>
                    <w:tr2bl w:val="nil"/>
                  </w:tcBorders>
                  <w:vAlign w:val="center"/>
                </w:tcPr>
                <w:p w14:paraId="08D65D65">
                  <w:pPr>
                    <w:pStyle w:val="115"/>
                    <w:autoSpaceDE w:val="0"/>
                    <w:autoSpaceDN w:val="0"/>
                    <w:spacing w:line="240" w:lineRule="auto"/>
                    <w:ind w:left="0" w:right="0" w:firstLine="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（九）加强生态环境分区管控。衔接国土空间规划分区和用途管制要求，将生态保护红线、环境质量</w:t>
                  </w:r>
                  <w:r>
                    <w:rPr>
                      <w:rFonts w:hint="default" w:ascii="Times New Roman" w:hAnsi="Times New Roman" w:cs="Times New Roman"/>
                      <w:color w:val="auto"/>
                      <w:spacing w:val="14"/>
                      <w:sz w:val="21"/>
                      <w:szCs w:val="21"/>
                    </w:rPr>
                    <w:t>底线、资源利用上线的硬约束落实到环境管控单</w:t>
                  </w:r>
                  <w:r>
                    <w:rPr>
                      <w:rFonts w:hint="default" w:ascii="Times New Roman" w:hAnsi="Times New Roman" w:cs="Times New Roman"/>
                      <w:color w:val="auto"/>
                      <w:spacing w:val="8"/>
                      <w:sz w:val="21"/>
                      <w:szCs w:val="21"/>
                    </w:rPr>
                    <w:t>元，建立差别化的生态环境准入清单，加强“三线</w:t>
                  </w:r>
                  <w:r>
                    <w:rPr>
                      <w:rFonts w:hint="default" w:ascii="Times New Roman" w:hAnsi="Times New Roman" w:cs="Times New Roman"/>
                      <w:color w:val="auto"/>
                      <w:spacing w:val="7"/>
                      <w:sz w:val="21"/>
                      <w:szCs w:val="21"/>
                    </w:rPr>
                    <w:t>一单”成果在政策制定、环境准入、园区管理、执</w:t>
                  </w:r>
                  <w:r>
                    <w:rPr>
                      <w:rFonts w:hint="default" w:ascii="Times New Roman" w:hAnsi="Times New Roman" w:cs="Times New Roman"/>
                      <w:color w:val="auto"/>
                      <w:spacing w:val="8"/>
                      <w:sz w:val="21"/>
                      <w:szCs w:val="21"/>
                    </w:rPr>
                    <w:t>法监管等方面的应用。健全以环评制度为主体的源</w:t>
                  </w:r>
                  <w:r>
                    <w:rPr>
                      <w:rFonts w:hint="default" w:ascii="Times New Roman" w:hAnsi="Times New Roman" w:cs="Times New Roman"/>
                      <w:color w:val="auto"/>
                      <w:spacing w:val="9"/>
                      <w:sz w:val="21"/>
                      <w:szCs w:val="21"/>
                    </w:rPr>
                    <w:t>头预防体系，严格规划环评审查和项目环评</w:t>
                  </w:r>
                  <w:r>
                    <w:rPr>
                      <w:rFonts w:hint="default" w:ascii="Times New Roman" w:hAnsi="Times New Roman" w:cs="Times New Roman"/>
                      <w:color w:val="auto"/>
                      <w:spacing w:val="8"/>
                      <w:sz w:val="21"/>
                      <w:szCs w:val="21"/>
                    </w:rPr>
                    <w:t>准入，</w:t>
                  </w:r>
                  <w:r>
                    <w:rPr>
                      <w:rFonts w:hint="default" w:ascii="Times New Roman" w:hAnsi="Times New Roman" w:cs="Times New Roman"/>
                      <w:color w:val="auto"/>
                      <w:spacing w:val="14"/>
                      <w:sz w:val="21"/>
                      <w:szCs w:val="21"/>
                    </w:rPr>
                    <w:t>开展重大经济技术政策的生态环境影响分析和重</w:t>
                  </w:r>
                  <w:r>
                    <w:rPr>
                      <w:rFonts w:hint="default" w:ascii="Times New Roman" w:hAnsi="Times New Roman" w:cs="Times New Roman"/>
                      <w:color w:val="auto"/>
                      <w:spacing w:val="8"/>
                      <w:sz w:val="21"/>
                      <w:szCs w:val="21"/>
                    </w:rPr>
                    <w:t>大生态环境政策的社会经济影响评估。</w:t>
                  </w:r>
                </w:p>
              </w:tc>
              <w:tc>
                <w:tcPr>
                  <w:tcW w:w="1109" w:type="pct"/>
                  <w:tcBorders>
                    <w:tl2br w:val="nil"/>
                    <w:tr2bl w:val="nil"/>
                  </w:tcBorders>
                  <w:vAlign w:val="center"/>
                </w:tcPr>
                <w:p w14:paraId="32680F90">
                  <w:pPr>
                    <w:pStyle w:val="115"/>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项目符合朝阳市</w:t>
                  </w:r>
                  <w:r>
                    <w:rPr>
                      <w:rFonts w:hint="default" w:ascii="Times New Roman" w:hAnsi="Times New Roman" w:cs="Times New Roman"/>
                      <w:color w:val="auto"/>
                      <w:spacing w:val="-3"/>
                      <w:sz w:val="21"/>
                      <w:szCs w:val="21"/>
                    </w:rPr>
                    <w:t>“三线一单”生态</w:t>
                  </w:r>
                  <w:r>
                    <w:rPr>
                      <w:rFonts w:hint="default" w:ascii="Times New Roman" w:hAnsi="Times New Roman" w:cs="Times New Roman"/>
                      <w:color w:val="auto"/>
                      <w:spacing w:val="20"/>
                      <w:sz w:val="21"/>
                      <w:szCs w:val="21"/>
                    </w:rPr>
                    <w:t>环</w:t>
                  </w:r>
                  <w:r>
                    <w:rPr>
                      <w:rFonts w:hint="default" w:ascii="Times New Roman" w:hAnsi="Times New Roman" w:cs="Times New Roman"/>
                      <w:color w:val="auto"/>
                      <w:spacing w:val="20"/>
                      <w:sz w:val="21"/>
                      <w:szCs w:val="21"/>
                      <w:highlight w:val="none"/>
                    </w:rPr>
                    <w:t>境分区管控要</w:t>
                  </w:r>
                  <w:r>
                    <w:rPr>
                      <w:rFonts w:hint="default" w:ascii="Times New Roman" w:hAnsi="Times New Roman" w:cs="Times New Roman"/>
                      <w:color w:val="auto"/>
                      <w:spacing w:val="1"/>
                      <w:sz w:val="21"/>
                      <w:szCs w:val="21"/>
                      <w:highlight w:val="none"/>
                    </w:rPr>
                    <w:t>求，也符合喀左市</w:t>
                  </w:r>
                  <w:r>
                    <w:rPr>
                      <w:rFonts w:hint="default" w:ascii="Times New Roman" w:hAnsi="Times New Roman" w:cs="Times New Roman"/>
                      <w:color w:val="auto"/>
                      <w:spacing w:val="18"/>
                      <w:sz w:val="21"/>
                      <w:szCs w:val="21"/>
                      <w:highlight w:val="none"/>
                    </w:rPr>
                    <w:t>一般管控</w:t>
                  </w:r>
                  <w:r>
                    <w:rPr>
                      <w:rFonts w:hint="eastAsia" w:ascii="Times New Roman" w:hAnsi="Times New Roman" w:cs="Times New Roman"/>
                      <w:color w:val="auto"/>
                      <w:spacing w:val="18"/>
                      <w:sz w:val="21"/>
                      <w:szCs w:val="21"/>
                      <w:highlight w:val="none"/>
                      <w:lang w:val="en-US" w:eastAsia="zh-CN"/>
                    </w:rPr>
                    <w:t>区要求</w:t>
                  </w:r>
                  <w:r>
                    <w:rPr>
                      <w:rFonts w:hint="default" w:ascii="Times New Roman" w:hAnsi="Times New Roman" w:cs="Times New Roman"/>
                      <w:color w:val="auto"/>
                      <w:spacing w:val="18"/>
                      <w:sz w:val="21"/>
                      <w:szCs w:val="21"/>
                      <w:highlight w:val="none"/>
                    </w:rPr>
                    <w:t>。</w:t>
                  </w:r>
                </w:p>
              </w:tc>
              <w:tc>
                <w:tcPr>
                  <w:tcW w:w="484" w:type="pct"/>
                  <w:tcBorders>
                    <w:tl2br w:val="nil"/>
                    <w:tr2bl w:val="nil"/>
                  </w:tcBorders>
                  <w:vAlign w:val="center"/>
                </w:tcPr>
                <w:p w14:paraId="53BEBCC7">
                  <w:pPr>
                    <w:autoSpaceDE w:val="0"/>
                    <w:autoSpaceDN w:val="0"/>
                    <w:spacing w:line="240" w:lineRule="auto"/>
                    <w:ind w:left="0" w:right="0" w:firstLine="0"/>
                    <w:jc w:val="center"/>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符合</w:t>
                  </w:r>
                </w:p>
              </w:tc>
            </w:tr>
            <w:tr w14:paraId="1F5FF5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384" w:type="pct"/>
                  <w:tcBorders>
                    <w:tl2br w:val="nil"/>
                    <w:tr2bl w:val="nil"/>
                  </w:tcBorders>
                  <w:vAlign w:val="center"/>
                </w:tcPr>
                <w:p w14:paraId="24AE896D">
                  <w:pPr>
                    <w:keepNext w:val="0"/>
                    <w:keepLines w:val="0"/>
                    <w:pageBreakBefore w:val="0"/>
                    <w:widowControl w:val="0"/>
                    <w:kinsoku/>
                    <w:wordWrap/>
                    <w:overflowPunct/>
                    <w:topLinePunct w:val="0"/>
                    <w:autoSpaceDE w:val="0"/>
                    <w:autoSpaceDN w:val="0"/>
                    <w:bidi w:val="0"/>
                    <w:adjustRightInd/>
                    <w:snapToGrid/>
                    <w:spacing w:line="192" w:lineRule="auto"/>
                    <w:ind w:left="0" w:leftChars="0"/>
                    <w:jc w:val="center"/>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5</w:t>
                  </w:r>
                </w:p>
              </w:tc>
              <w:tc>
                <w:tcPr>
                  <w:tcW w:w="3021" w:type="pct"/>
                  <w:tcBorders>
                    <w:tl2br w:val="nil"/>
                    <w:tr2bl w:val="nil"/>
                  </w:tcBorders>
                  <w:vAlign w:val="center"/>
                </w:tcPr>
                <w:p w14:paraId="128D9E53">
                  <w:pPr>
                    <w:pStyle w:val="115"/>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（十一）着力打好重污染天气消除攻坚战。聚焦秋</w:t>
                  </w:r>
                  <w:r>
                    <w:rPr>
                      <w:rFonts w:hint="default" w:ascii="Times New Roman" w:hAnsi="Times New Roman" w:cs="Times New Roman"/>
                      <w:color w:val="auto"/>
                      <w:spacing w:val="9"/>
                      <w:sz w:val="21"/>
                      <w:szCs w:val="21"/>
                    </w:rPr>
                    <w:t>冬季细颗粒物污染，加大重点区域、重点行</w:t>
                  </w:r>
                  <w:r>
                    <w:rPr>
                      <w:rFonts w:hint="default" w:ascii="Times New Roman" w:hAnsi="Times New Roman" w:cs="Times New Roman"/>
                      <w:color w:val="auto"/>
                      <w:spacing w:val="8"/>
                      <w:sz w:val="21"/>
                      <w:szCs w:val="21"/>
                    </w:rPr>
                    <w:t>业结构</w:t>
                  </w:r>
                  <w:r>
                    <w:rPr>
                      <w:rFonts w:hint="default" w:ascii="Times New Roman" w:hAnsi="Times New Roman" w:cs="Times New Roman"/>
                      <w:color w:val="auto"/>
                      <w:spacing w:val="9"/>
                      <w:sz w:val="21"/>
                      <w:szCs w:val="21"/>
                    </w:rPr>
                    <w:t>调整和污染治理力度。京津冀及周边地区、汾渭平原持续开展秋冬季大气污染综合治理专项行动。东北地区加强秸秆禁烧管控和采暖燃煤污染治理。天山北坡城市群加强兵地协作，钢铁、有色金属、化</w:t>
                  </w:r>
                  <w:r>
                    <w:rPr>
                      <w:rFonts w:hint="default" w:ascii="Times New Roman" w:hAnsi="Times New Roman" w:cs="Times New Roman"/>
                      <w:color w:val="auto"/>
                      <w:spacing w:val="14"/>
                      <w:sz w:val="21"/>
                      <w:szCs w:val="21"/>
                    </w:rPr>
                    <w:t>工等行业参照重点区域执行重污染天气应急减排</w:t>
                  </w:r>
                  <w:r>
                    <w:rPr>
                      <w:rFonts w:hint="default" w:ascii="Times New Roman" w:hAnsi="Times New Roman" w:cs="Times New Roman"/>
                      <w:color w:val="auto"/>
                      <w:spacing w:val="9"/>
                      <w:sz w:val="21"/>
                      <w:szCs w:val="21"/>
                    </w:rPr>
                    <w:t>措施。科学调整大气污染防治重点区域范围</w:t>
                  </w:r>
                  <w:r>
                    <w:rPr>
                      <w:rFonts w:hint="default" w:ascii="Times New Roman" w:hAnsi="Times New Roman" w:cs="Times New Roman"/>
                      <w:color w:val="auto"/>
                      <w:spacing w:val="8"/>
                      <w:sz w:val="21"/>
                      <w:szCs w:val="21"/>
                    </w:rPr>
                    <w:t>，构建</w:t>
                  </w:r>
                  <w:r>
                    <w:rPr>
                      <w:rFonts w:hint="default" w:ascii="Times New Roman" w:hAnsi="Times New Roman" w:cs="Times New Roman"/>
                      <w:color w:val="auto"/>
                      <w:spacing w:val="9"/>
                      <w:sz w:val="21"/>
                      <w:szCs w:val="21"/>
                    </w:rPr>
                    <w:t>省市县三级重污染天气应急预案体系，实施重点行业企业绩效分级管理，依法严厉打击不落实</w:t>
                  </w:r>
                  <w:r>
                    <w:rPr>
                      <w:rFonts w:hint="default" w:ascii="Times New Roman" w:hAnsi="Times New Roman" w:cs="Times New Roman"/>
                      <w:color w:val="auto"/>
                      <w:spacing w:val="8"/>
                      <w:sz w:val="21"/>
                      <w:szCs w:val="21"/>
                    </w:rPr>
                    <w:t>应急减</w:t>
                  </w:r>
                  <w:r>
                    <w:rPr>
                      <w:rFonts w:hint="default" w:ascii="Times New Roman" w:hAnsi="Times New Roman" w:cs="Times New Roman"/>
                      <w:color w:val="auto"/>
                      <w:spacing w:val="10"/>
                      <w:sz w:val="21"/>
                      <w:szCs w:val="21"/>
                    </w:rPr>
                    <w:t>排措施行为。到</w:t>
                  </w:r>
                  <w:r>
                    <w:rPr>
                      <w:rFonts w:hint="default" w:ascii="Times New Roman" w:hAnsi="Times New Roman" w:eastAsia="Times New Roman" w:cs="Times New Roman"/>
                      <w:color w:val="auto"/>
                      <w:spacing w:val="10"/>
                      <w:sz w:val="21"/>
                      <w:szCs w:val="21"/>
                    </w:rPr>
                    <w:t>2025</w:t>
                  </w:r>
                  <w:r>
                    <w:rPr>
                      <w:rFonts w:hint="default" w:ascii="Times New Roman" w:hAnsi="Times New Roman" w:cs="Times New Roman"/>
                      <w:color w:val="auto"/>
                      <w:spacing w:val="10"/>
                      <w:sz w:val="21"/>
                      <w:szCs w:val="21"/>
                    </w:rPr>
                    <w:t>年，全国重度及以上污染天数比率控制在1%以内。</w:t>
                  </w:r>
                </w:p>
              </w:tc>
              <w:tc>
                <w:tcPr>
                  <w:tcW w:w="1109" w:type="pct"/>
                  <w:tcBorders>
                    <w:tl2br w:val="nil"/>
                    <w:tr2bl w:val="nil"/>
                  </w:tcBorders>
                  <w:vAlign w:val="center"/>
                </w:tcPr>
                <w:p w14:paraId="02432C95">
                  <w:pPr>
                    <w:pStyle w:val="115"/>
                    <w:autoSpaceDE w:val="0"/>
                    <w:autoSpaceDN w:val="0"/>
                    <w:spacing w:line="240" w:lineRule="auto"/>
                    <w:ind w:left="0" w:right="0"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8"/>
                      <w:sz w:val="21"/>
                      <w:szCs w:val="21"/>
                    </w:rPr>
                    <w:t>本项目供暖</w:t>
                  </w:r>
                  <w:r>
                    <w:rPr>
                      <w:rFonts w:hint="eastAsia" w:ascii="Times New Roman" w:hAnsi="Times New Roman" w:cs="Times New Roman"/>
                      <w:color w:val="auto"/>
                      <w:spacing w:val="8"/>
                      <w:sz w:val="21"/>
                      <w:szCs w:val="21"/>
                      <w:lang w:val="en-US" w:eastAsia="zh-CN"/>
                    </w:rPr>
                    <w:t>依托厂内2台</w:t>
                  </w:r>
                  <w:r>
                    <w:rPr>
                      <w:rFonts w:hint="default" w:ascii="Times New Roman" w:hAnsi="Times New Roman" w:eastAsia="宋体" w:cs="Times New Roman"/>
                      <w:color w:val="auto"/>
                      <w:sz w:val="21"/>
                      <w:szCs w:val="21"/>
                      <w:highlight w:val="none"/>
                      <w:lang w:val="en-US" w:eastAsia="zh-CN"/>
                    </w:rPr>
                    <w:t>6t燃气蒸汽锅炉</w:t>
                  </w:r>
                  <w:r>
                    <w:rPr>
                      <w:rFonts w:hint="eastAsia" w:cs="Times New Roman"/>
                      <w:color w:val="auto"/>
                      <w:sz w:val="21"/>
                      <w:szCs w:val="21"/>
                      <w:highlight w:val="none"/>
                      <w:lang w:val="en-US" w:eastAsia="zh-CN"/>
                    </w:rPr>
                    <w:t>（一用一备）</w:t>
                  </w:r>
                </w:p>
                <w:p w14:paraId="5C019FE2">
                  <w:pPr>
                    <w:pStyle w:val="115"/>
                    <w:autoSpaceDE w:val="0"/>
                    <w:autoSpaceDN w:val="0"/>
                    <w:spacing w:line="240" w:lineRule="auto"/>
                    <w:ind w:left="0" w:right="0" w:firstLine="0"/>
                    <w:jc w:val="center"/>
                    <w:rPr>
                      <w:rFonts w:hint="default" w:ascii="Times New Roman" w:hAnsi="Times New Roman" w:eastAsia="宋体" w:cs="Times New Roman"/>
                      <w:color w:val="auto"/>
                      <w:kern w:val="2"/>
                      <w:sz w:val="21"/>
                      <w:szCs w:val="21"/>
                      <w:lang w:val="en-US" w:eastAsia="en-US" w:bidi="ar-SA"/>
                    </w:rPr>
                  </w:pP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pacing w:val="4"/>
                      <w:sz w:val="21"/>
                      <w:szCs w:val="21"/>
                    </w:rPr>
                    <w:t>本项目不使用</w:t>
                  </w:r>
                  <w:r>
                    <w:rPr>
                      <w:rFonts w:hint="eastAsia" w:ascii="Times New Roman" w:hAnsi="Times New Roman" w:cs="Times New Roman"/>
                      <w:color w:val="auto"/>
                      <w:spacing w:val="4"/>
                      <w:sz w:val="21"/>
                      <w:szCs w:val="21"/>
                      <w:lang w:val="en-US" w:eastAsia="zh-CN"/>
                    </w:rPr>
                    <w:t>燃</w:t>
                  </w:r>
                  <w:r>
                    <w:rPr>
                      <w:rFonts w:hint="default" w:ascii="Times New Roman" w:hAnsi="Times New Roman" w:cs="Times New Roman"/>
                      <w:color w:val="auto"/>
                      <w:spacing w:val="4"/>
                      <w:sz w:val="21"/>
                      <w:szCs w:val="21"/>
                    </w:rPr>
                    <w:t>煤。</w:t>
                  </w:r>
                </w:p>
              </w:tc>
              <w:tc>
                <w:tcPr>
                  <w:tcW w:w="484" w:type="pct"/>
                  <w:tcBorders>
                    <w:tl2br w:val="nil"/>
                    <w:tr2bl w:val="nil"/>
                  </w:tcBorders>
                  <w:vAlign w:val="center"/>
                </w:tcPr>
                <w:p w14:paraId="02787DE7">
                  <w:pPr>
                    <w:autoSpaceDE w:val="0"/>
                    <w:autoSpaceDN w:val="0"/>
                    <w:spacing w:line="240" w:lineRule="auto"/>
                    <w:ind w:left="0" w:right="0" w:firstLine="0"/>
                    <w:jc w:val="center"/>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符合</w:t>
                  </w:r>
                </w:p>
              </w:tc>
            </w:tr>
            <w:tr w14:paraId="52D7FA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384" w:type="pct"/>
                  <w:tcBorders>
                    <w:tl2br w:val="nil"/>
                    <w:tr2bl w:val="nil"/>
                  </w:tcBorders>
                  <w:vAlign w:val="center"/>
                </w:tcPr>
                <w:p w14:paraId="3B75D159">
                  <w:pPr>
                    <w:keepNext w:val="0"/>
                    <w:keepLines w:val="0"/>
                    <w:pageBreakBefore w:val="0"/>
                    <w:widowControl w:val="0"/>
                    <w:kinsoku/>
                    <w:wordWrap/>
                    <w:overflowPunct/>
                    <w:topLinePunct w:val="0"/>
                    <w:autoSpaceDE w:val="0"/>
                    <w:autoSpaceDN w:val="0"/>
                    <w:bidi w:val="0"/>
                    <w:adjustRightInd/>
                    <w:snapToGrid/>
                    <w:spacing w:line="195" w:lineRule="auto"/>
                    <w:ind w:left="0" w:leftChars="0"/>
                    <w:jc w:val="center"/>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6</w:t>
                  </w:r>
                </w:p>
              </w:tc>
              <w:tc>
                <w:tcPr>
                  <w:tcW w:w="3021" w:type="pct"/>
                  <w:tcBorders>
                    <w:tl2br w:val="nil"/>
                    <w:tr2bl w:val="nil"/>
                  </w:tcBorders>
                  <w:vAlign w:val="center"/>
                </w:tcPr>
                <w:p w14:paraId="756E346B">
                  <w:pPr>
                    <w:pStyle w:val="115"/>
                    <w:autoSpaceDE w:val="0"/>
                    <w:autoSpaceDN w:val="0"/>
                    <w:spacing w:before="26" w:line="250" w:lineRule="auto"/>
                    <w:ind w:left="108" w:right="34" w:firstLine="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（十二）着力打好臭氧污染防治攻坚战。聚焦夏秋季臭氧污染，大力推进挥发性有机物和氮氧化物协</w:t>
                  </w:r>
                  <w:r>
                    <w:rPr>
                      <w:rFonts w:hint="default" w:ascii="Times New Roman" w:hAnsi="Times New Roman" w:cs="Times New Roman"/>
                      <w:color w:val="auto"/>
                      <w:spacing w:val="10"/>
                      <w:sz w:val="21"/>
                      <w:szCs w:val="21"/>
                    </w:rPr>
                    <w:t>同减排。以石化、化工、涂装、医药、包装印刷、</w:t>
                  </w:r>
                  <w:r>
                    <w:rPr>
                      <w:rFonts w:hint="default" w:ascii="Times New Roman" w:hAnsi="Times New Roman" w:cs="Times New Roman"/>
                      <w:color w:val="auto"/>
                      <w:spacing w:val="8"/>
                      <w:sz w:val="21"/>
                      <w:szCs w:val="21"/>
                    </w:rPr>
                    <w:t>油品储运销等行业领域为重点，安全高效推进挥发</w:t>
                  </w:r>
                  <w:r>
                    <w:rPr>
                      <w:rFonts w:hint="default" w:ascii="Times New Roman" w:hAnsi="Times New Roman" w:cs="Times New Roman"/>
                      <w:color w:val="auto"/>
                      <w:spacing w:val="9"/>
                      <w:sz w:val="21"/>
                      <w:szCs w:val="21"/>
                    </w:rPr>
                    <w:t>性有机物综合治理，实施原辅材料和产品源</w:t>
                  </w:r>
                  <w:r>
                    <w:rPr>
                      <w:rFonts w:hint="default" w:ascii="Times New Roman" w:hAnsi="Times New Roman" w:cs="Times New Roman"/>
                      <w:color w:val="auto"/>
                      <w:spacing w:val="8"/>
                      <w:sz w:val="21"/>
                      <w:szCs w:val="21"/>
                    </w:rPr>
                    <w:t>头替代工程。完善挥发性有机物产品标准体系，建立低挥发性有机物含量产品标识制度。完善挥发性有机物</w:t>
                  </w:r>
                  <w:r>
                    <w:rPr>
                      <w:rFonts w:hint="default" w:ascii="Times New Roman" w:hAnsi="Times New Roman" w:cs="Times New Roman"/>
                      <w:color w:val="auto"/>
                      <w:spacing w:val="10"/>
                      <w:sz w:val="21"/>
                      <w:szCs w:val="21"/>
                    </w:rPr>
                    <w:t>监测技术和排放量计算方法，在相关条件成熟后，</w:t>
                  </w:r>
                  <w:r>
                    <w:rPr>
                      <w:rFonts w:hint="default" w:ascii="Times New Roman" w:hAnsi="Times New Roman" w:cs="Times New Roman"/>
                      <w:color w:val="auto"/>
                      <w:spacing w:val="14"/>
                      <w:sz w:val="21"/>
                      <w:szCs w:val="21"/>
                    </w:rPr>
                    <w:t>研究适时将挥发性有机物纳入环境保护税征收范</w:t>
                  </w:r>
                  <w:r>
                    <w:rPr>
                      <w:rFonts w:hint="default" w:ascii="Times New Roman" w:hAnsi="Times New Roman" w:cs="Times New Roman"/>
                      <w:color w:val="auto"/>
                      <w:spacing w:val="2"/>
                      <w:sz w:val="21"/>
                      <w:szCs w:val="21"/>
                    </w:rPr>
                    <w:t>围。推进钢铁、水泥、焦化行业企业超低排放改造，重点区域钢铁、燃煤机组、燃煤锅炉实现超低排放。</w:t>
                  </w:r>
                  <w:r>
                    <w:rPr>
                      <w:rFonts w:hint="default" w:ascii="Times New Roman" w:hAnsi="Times New Roman" w:cs="Times New Roman"/>
                      <w:color w:val="auto"/>
                      <w:spacing w:val="8"/>
                      <w:sz w:val="21"/>
                      <w:szCs w:val="21"/>
                    </w:rPr>
                    <w:t>开展涉气产业集群排查及分类治理，推进企业升级</w:t>
                  </w:r>
                  <w:r>
                    <w:rPr>
                      <w:rFonts w:hint="default" w:ascii="Times New Roman" w:hAnsi="Times New Roman" w:cs="Times New Roman"/>
                      <w:color w:val="auto"/>
                      <w:spacing w:val="10"/>
                      <w:sz w:val="21"/>
                      <w:szCs w:val="21"/>
                    </w:rPr>
                    <w:t>改造和区域环境综合整治。到</w:t>
                  </w:r>
                  <w:r>
                    <w:rPr>
                      <w:rFonts w:hint="default" w:ascii="Times New Roman" w:hAnsi="Times New Roman" w:eastAsia="Times New Roman" w:cs="Times New Roman"/>
                      <w:color w:val="auto"/>
                      <w:spacing w:val="10"/>
                      <w:sz w:val="21"/>
                      <w:szCs w:val="21"/>
                    </w:rPr>
                    <w:t>2025</w:t>
                  </w:r>
                  <w:r>
                    <w:rPr>
                      <w:rFonts w:hint="default" w:ascii="Times New Roman" w:hAnsi="Times New Roman" w:cs="Times New Roman"/>
                      <w:color w:val="auto"/>
                      <w:spacing w:val="10"/>
                      <w:sz w:val="21"/>
                      <w:szCs w:val="21"/>
                    </w:rPr>
                    <w:t>年，挥发性有</w:t>
                  </w:r>
                  <w:r>
                    <w:rPr>
                      <w:rFonts w:hint="default" w:ascii="Times New Roman" w:hAnsi="Times New Roman" w:cs="Times New Roman"/>
                      <w:color w:val="auto"/>
                      <w:spacing w:val="8"/>
                      <w:sz w:val="21"/>
                      <w:szCs w:val="21"/>
                    </w:rPr>
                    <w:t>机物、氮氧化物排放总量比</w:t>
                  </w:r>
                  <w:r>
                    <w:rPr>
                      <w:rFonts w:hint="default" w:ascii="Times New Roman" w:hAnsi="Times New Roman" w:eastAsia="Times New Roman" w:cs="Times New Roman"/>
                      <w:color w:val="auto"/>
                      <w:spacing w:val="8"/>
                      <w:sz w:val="21"/>
                      <w:szCs w:val="21"/>
                    </w:rPr>
                    <w:t>2020</w:t>
                  </w:r>
                  <w:r>
                    <w:rPr>
                      <w:rFonts w:hint="default" w:ascii="Times New Roman" w:hAnsi="Times New Roman" w:cs="Times New Roman"/>
                      <w:color w:val="auto"/>
                      <w:spacing w:val="8"/>
                      <w:sz w:val="21"/>
                      <w:szCs w:val="21"/>
                    </w:rPr>
                    <w:t>年分别下降</w:t>
                  </w:r>
                  <w:r>
                    <w:rPr>
                      <w:rFonts w:hint="default" w:ascii="Times New Roman" w:hAnsi="Times New Roman" w:eastAsia="Times New Roman" w:cs="Times New Roman"/>
                      <w:color w:val="auto"/>
                      <w:spacing w:val="8"/>
                      <w:sz w:val="21"/>
                      <w:szCs w:val="21"/>
                    </w:rPr>
                    <w:t>10%</w:t>
                  </w:r>
                  <w:r>
                    <w:rPr>
                      <w:rFonts w:hint="default" w:ascii="Times New Roman" w:hAnsi="Times New Roman" w:cs="Times New Roman"/>
                      <w:color w:val="auto"/>
                      <w:spacing w:val="8"/>
                      <w:sz w:val="21"/>
                      <w:szCs w:val="21"/>
                    </w:rPr>
                    <w:t>以上，臭氧浓度增长趋势得到有效遏制，实现细颗粒物和臭氧协同控制。</w:t>
                  </w:r>
                </w:p>
              </w:tc>
              <w:tc>
                <w:tcPr>
                  <w:tcW w:w="1109" w:type="pct"/>
                  <w:tcBorders>
                    <w:tl2br w:val="nil"/>
                    <w:tr2bl w:val="nil"/>
                  </w:tcBorders>
                  <w:vAlign w:val="center"/>
                </w:tcPr>
                <w:p w14:paraId="4581A327">
                  <w:pPr>
                    <w:pStyle w:val="115"/>
                    <w:autoSpaceDE w:val="0"/>
                    <w:autoSpaceDN w:val="0"/>
                    <w:spacing w:before="26" w:line="244" w:lineRule="auto"/>
                    <w:ind w:left="230" w:leftChars="0" w:right="39" w:rightChars="0" w:hanging="114" w:firstLineChars="0"/>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本项目</w:t>
                  </w:r>
                  <w:r>
                    <w:rPr>
                      <w:rFonts w:hint="eastAsia" w:ascii="Times New Roman" w:hAnsi="Times New Roman" w:cs="Times New Roman"/>
                      <w:color w:val="auto"/>
                      <w:spacing w:val="8"/>
                      <w:sz w:val="21"/>
                      <w:szCs w:val="21"/>
                      <w:lang w:val="en-US" w:eastAsia="zh-CN"/>
                    </w:rPr>
                    <w:t>挥发性有机物产生量较少，可达标排放</w:t>
                  </w:r>
                  <w:r>
                    <w:rPr>
                      <w:rFonts w:hint="default" w:ascii="Times New Roman" w:hAnsi="Times New Roman" w:cs="Times New Roman"/>
                      <w:color w:val="auto"/>
                      <w:spacing w:val="-1"/>
                      <w:sz w:val="21"/>
                      <w:szCs w:val="21"/>
                    </w:rPr>
                    <w:t>。</w:t>
                  </w:r>
                </w:p>
              </w:tc>
              <w:tc>
                <w:tcPr>
                  <w:tcW w:w="484" w:type="pct"/>
                  <w:tcBorders>
                    <w:tl2br w:val="nil"/>
                    <w:tr2bl w:val="nil"/>
                  </w:tcBorders>
                  <w:vAlign w:val="center"/>
                </w:tcPr>
                <w:p w14:paraId="14CDF70B">
                  <w:pPr>
                    <w:pStyle w:val="115"/>
                    <w:autoSpaceDE w:val="0"/>
                    <w:autoSpaceDN w:val="0"/>
                    <w:spacing w:before="303" w:line="228" w:lineRule="auto"/>
                    <w:ind w:left="158"/>
                    <w:jc w:val="center"/>
                    <w:rPr>
                      <w:rFonts w:hint="default" w:ascii="Times New Roman" w:hAnsi="Times New Roman" w:eastAsia="宋体"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符合</w:t>
                  </w:r>
                </w:p>
              </w:tc>
            </w:tr>
          </w:tbl>
          <w:p w14:paraId="35C0B291">
            <w:pPr>
              <w:numPr>
                <w:ilvl w:val="0"/>
                <w:numId w:val="0"/>
              </w:numPr>
              <w:autoSpaceDE w:val="0"/>
              <w:autoSpaceDN w:val="0"/>
              <w:adjustRightInd w:val="0"/>
              <w:snapToGrid w:val="0"/>
              <w:spacing w:line="360" w:lineRule="auto"/>
              <w:ind w:firstLine="480" w:firstLineChars="200"/>
              <w:rPr>
                <w:rFonts w:ascii="Times New Roman" w:hAnsi="Times New Roman" w:eastAsia="宋体" w:cs="Times New Roman"/>
                <w:b/>
                <w:bCs/>
                <w:color w:val="auto"/>
                <w:spacing w:val="-4"/>
                <w:sz w:val="24"/>
                <w:szCs w:val="24"/>
              </w:rPr>
            </w:pPr>
            <w:r>
              <w:rPr>
                <w:rFonts w:hint="eastAsia"/>
                <w:color w:val="auto"/>
                <w:sz w:val="24"/>
                <w:szCs w:val="24"/>
                <w:lang w:val="en-US" w:eastAsia="zh-CN"/>
              </w:rPr>
              <w:t>综上，本项目符合《中共中央 国务院</w:t>
            </w:r>
            <w:r>
              <w:rPr>
                <w:rFonts w:hint="default" w:ascii="Times New Roman" w:hAnsi="Times New Roman" w:eastAsia="宋体" w:cs="Times New Roman"/>
                <w:color w:val="auto"/>
                <w:spacing w:val="10"/>
                <w:sz w:val="24"/>
                <w:szCs w:val="24"/>
              </w:rPr>
              <w:t>关于深入打好污染防治攻坚战的意见》</w:t>
            </w:r>
            <w:r>
              <w:rPr>
                <w:rFonts w:hint="eastAsia"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中发</w:t>
            </w:r>
            <w:r>
              <w:rPr>
                <w:rFonts w:hint="eastAsia" w:cs="Times New Roman"/>
                <w:color w:val="auto"/>
                <w:spacing w:val="10"/>
                <w:sz w:val="24"/>
                <w:szCs w:val="24"/>
                <w:lang w:eastAsia="zh-CN"/>
              </w:rPr>
              <w:t>〔2021〕40号</w:t>
            </w:r>
            <w:r>
              <w:rPr>
                <w:rFonts w:hint="eastAsia" w:cs="Times New Roman"/>
                <w:b w:val="0"/>
                <w:bCs w:val="0"/>
                <w:color w:val="auto"/>
                <w:spacing w:val="3"/>
                <w:sz w:val="24"/>
                <w:szCs w:val="24"/>
                <w:lang w:eastAsia="zh-CN"/>
              </w:rPr>
              <w:t>）</w:t>
            </w:r>
            <w:r>
              <w:rPr>
                <w:rFonts w:hint="eastAsia" w:ascii="Times New Roman" w:hAnsi="Times New Roman" w:eastAsia="宋体" w:cs="Times New Roman"/>
                <w:b w:val="0"/>
                <w:bCs w:val="0"/>
                <w:color w:val="auto"/>
                <w:sz w:val="24"/>
                <w:szCs w:val="24"/>
                <w:lang w:val="en-US" w:eastAsia="zh-CN"/>
              </w:rPr>
              <w:t>相关要求。</w:t>
            </w:r>
          </w:p>
          <w:p w14:paraId="39C8D316">
            <w:pPr>
              <w:pStyle w:val="41"/>
              <w:spacing w:after="0" w:line="360" w:lineRule="auto"/>
              <w:ind w:left="0" w:leftChars="0" w:firstLine="0" w:firstLineChars="0"/>
              <w:rPr>
                <w:rFonts w:hint="eastAsia"/>
                <w:b/>
                <w:bCs/>
                <w:color w:val="auto"/>
                <w:lang w:val="en-US" w:eastAsia="zh-CN"/>
              </w:rPr>
            </w:pPr>
            <w:r>
              <w:rPr>
                <w:rFonts w:hint="eastAsia"/>
                <w:b/>
                <w:bCs/>
                <w:color w:val="auto"/>
                <w:lang w:val="en-US" w:eastAsia="zh-CN"/>
              </w:rPr>
              <w:t>5、与</w:t>
            </w:r>
            <w:bookmarkStart w:id="12" w:name="OLE_LINK183"/>
            <w:r>
              <w:rPr>
                <w:rFonts w:hint="eastAsia"/>
                <w:b/>
                <w:bCs/>
                <w:color w:val="auto"/>
                <w:lang w:val="en-US" w:eastAsia="zh-CN"/>
              </w:rPr>
              <w:t>《“十三五”挥发性有机物污染防治工作方案》</w:t>
            </w:r>
            <w:bookmarkEnd w:id="12"/>
            <w:r>
              <w:rPr>
                <w:rFonts w:hint="eastAsia"/>
                <w:b/>
                <w:bCs/>
                <w:color w:val="auto"/>
                <w:lang w:val="en-US" w:eastAsia="zh-CN"/>
              </w:rPr>
              <w:t>相符性分析</w:t>
            </w:r>
          </w:p>
          <w:p w14:paraId="6712F0F1">
            <w:pPr>
              <w:pStyle w:val="41"/>
              <w:spacing w:after="0" w:line="360" w:lineRule="auto"/>
              <w:ind w:left="0" w:leftChars="0" w:firstLine="520" w:firstLineChars="200"/>
              <w:rPr>
                <w:rFonts w:hint="eastAsia" w:ascii="Times New Roman" w:hAnsi="Times New Roman" w:eastAsia="宋体" w:cs="Times New Roman"/>
                <w:color w:val="auto"/>
                <w:spacing w:val="10"/>
                <w:sz w:val="24"/>
                <w:szCs w:val="24"/>
                <w:lang w:val="en-US" w:eastAsia="zh-CN"/>
              </w:rPr>
            </w:pPr>
            <w:r>
              <w:rPr>
                <w:rFonts w:hint="eastAsia" w:ascii="Times New Roman" w:hAnsi="Times New Roman" w:eastAsia="宋体" w:cs="Times New Roman"/>
                <w:color w:val="auto"/>
                <w:spacing w:val="10"/>
                <w:sz w:val="24"/>
                <w:szCs w:val="24"/>
                <w:lang w:val="en-US" w:eastAsia="zh-CN"/>
              </w:rPr>
              <w:t>本项目与</w:t>
            </w:r>
            <w:bookmarkStart w:id="13" w:name="OLE_LINK17"/>
            <w:r>
              <w:rPr>
                <w:rFonts w:hint="eastAsia" w:ascii="Times New Roman" w:hAnsi="Times New Roman" w:eastAsia="宋体" w:cs="Times New Roman"/>
                <w:color w:val="auto"/>
                <w:spacing w:val="10"/>
                <w:sz w:val="24"/>
                <w:szCs w:val="24"/>
                <w:lang w:val="en-US" w:eastAsia="zh-CN"/>
              </w:rPr>
              <w:t>《“十三五”挥发性有机物污染防治工作方案》</w:t>
            </w:r>
            <w:bookmarkEnd w:id="13"/>
            <w:r>
              <w:rPr>
                <w:rFonts w:hint="eastAsia" w:ascii="Times New Roman" w:hAnsi="Times New Roman" w:eastAsia="宋体" w:cs="Times New Roman"/>
                <w:color w:val="auto"/>
                <w:spacing w:val="10"/>
                <w:sz w:val="24"/>
                <w:szCs w:val="24"/>
                <w:lang w:val="en-US" w:eastAsia="zh-CN"/>
              </w:rPr>
              <w:t>相符性见表1-4。</w:t>
            </w:r>
          </w:p>
          <w:p w14:paraId="33525163">
            <w:pPr>
              <w:pStyle w:val="115"/>
              <w:spacing w:before="52" w:line="224" w:lineRule="auto"/>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表</w:t>
            </w:r>
            <w:r>
              <w:rPr>
                <w:rFonts w:hint="eastAsia" w:ascii="Times New Roman" w:hAnsi="Times New Roman" w:eastAsia="宋体" w:cs="Times New Roman"/>
                <w:b/>
                <w:bCs/>
                <w:color w:val="auto"/>
                <w:spacing w:val="8"/>
                <w:sz w:val="21"/>
                <w:szCs w:val="21"/>
                <w:lang w:val="en-US" w:eastAsia="zh-CN"/>
              </w:rPr>
              <w:t>1-</w:t>
            </w:r>
            <w:r>
              <w:rPr>
                <w:rFonts w:hint="eastAsia" w:ascii="Times New Roman" w:hAnsi="Times New Roman" w:cs="Times New Roman"/>
                <w:b/>
                <w:bCs/>
                <w:color w:val="auto"/>
                <w:spacing w:val="8"/>
                <w:sz w:val="21"/>
                <w:szCs w:val="21"/>
                <w:lang w:val="en-US" w:eastAsia="zh-CN"/>
              </w:rPr>
              <w:t>4</w:t>
            </w:r>
            <w:r>
              <w:rPr>
                <w:rFonts w:hint="default" w:ascii="Times New Roman" w:hAnsi="Times New Roman" w:eastAsia="宋体" w:cs="Times New Roman"/>
                <w:b/>
                <w:bCs/>
                <w:color w:val="auto"/>
                <w:spacing w:val="8"/>
                <w:sz w:val="21"/>
                <w:szCs w:val="21"/>
              </w:rPr>
              <w:t xml:space="preserve"> 与《“十三五”挥发性有机物污染防治工作方案》符合性分析</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3"/>
              <w:gridCol w:w="4206"/>
              <w:gridCol w:w="2856"/>
              <w:gridCol w:w="431"/>
            </w:tblGrid>
            <w:tr w14:paraId="31535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exact"/>
              </w:trPr>
              <w:tc>
                <w:tcPr>
                  <w:tcW w:w="231" w:type="pct"/>
                  <w:tcBorders>
                    <w:tl2br w:val="nil"/>
                    <w:tr2bl w:val="nil"/>
                  </w:tcBorders>
                  <w:noWrap/>
                  <w:vAlign w:val="center"/>
                </w:tcPr>
                <w:p w14:paraId="667EF2B7">
                  <w:pPr>
                    <w:pStyle w:val="115"/>
                    <w:keepNext w:val="0"/>
                    <w:keepLines w:val="0"/>
                    <w:pageBreakBefore w:val="0"/>
                    <w:widowControl w:val="0"/>
                    <w:kinsoku/>
                    <w:wordWrap/>
                    <w:overflowPunct/>
                    <w:topLinePunct w:val="0"/>
                    <w:autoSpaceDE w:val="0"/>
                    <w:autoSpaceDN w:val="0"/>
                    <w:bidi w:val="0"/>
                    <w:adjustRightInd/>
                    <w:snapToGrid/>
                    <w:spacing w:line="219" w:lineRule="auto"/>
                    <w:ind w:lef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序号</w:t>
                  </w:r>
                </w:p>
              </w:tc>
              <w:tc>
                <w:tcPr>
                  <w:tcW w:w="2676" w:type="pct"/>
                  <w:tcBorders>
                    <w:tl2br w:val="nil"/>
                    <w:tr2bl w:val="nil"/>
                  </w:tcBorders>
                  <w:noWrap/>
                  <w:vAlign w:val="center"/>
                </w:tcPr>
                <w:p w14:paraId="4EB216F4">
                  <w:pPr>
                    <w:pStyle w:val="115"/>
                    <w:keepNext w:val="0"/>
                    <w:keepLines w:val="0"/>
                    <w:pageBreakBefore w:val="0"/>
                    <w:widowControl w:val="0"/>
                    <w:kinsoku/>
                    <w:wordWrap/>
                    <w:overflowPunct/>
                    <w:topLinePunct w:val="0"/>
                    <w:autoSpaceDE w:val="0"/>
                    <w:autoSpaceDN w:val="0"/>
                    <w:bidi w:val="0"/>
                    <w:adjustRightInd/>
                    <w:snapToGrid/>
                    <w:spacing w:line="219" w:lineRule="auto"/>
                    <w:ind w:lef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国家《“十三五”挥发性有机物污染防治工作方案》相关规定</w:t>
                  </w:r>
                </w:p>
              </w:tc>
              <w:tc>
                <w:tcPr>
                  <w:tcW w:w="1817" w:type="pct"/>
                  <w:tcBorders>
                    <w:tl2br w:val="nil"/>
                    <w:tr2bl w:val="nil"/>
                  </w:tcBorders>
                  <w:noWrap/>
                  <w:vAlign w:val="center"/>
                </w:tcPr>
                <w:p w14:paraId="7FB53380">
                  <w:pPr>
                    <w:pStyle w:val="115"/>
                    <w:keepNext w:val="0"/>
                    <w:keepLines w:val="0"/>
                    <w:pageBreakBefore w:val="0"/>
                    <w:widowControl w:val="0"/>
                    <w:kinsoku/>
                    <w:wordWrap/>
                    <w:overflowPunct/>
                    <w:topLinePunct w:val="0"/>
                    <w:autoSpaceDE w:val="0"/>
                    <w:autoSpaceDN w:val="0"/>
                    <w:bidi w:val="0"/>
                    <w:adjustRightInd/>
                    <w:snapToGrid/>
                    <w:spacing w:line="219" w:lineRule="auto"/>
                    <w:ind w:lef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本项目实际情况</w:t>
                  </w:r>
                </w:p>
              </w:tc>
              <w:tc>
                <w:tcPr>
                  <w:tcW w:w="274" w:type="pct"/>
                  <w:tcBorders>
                    <w:tl2br w:val="nil"/>
                    <w:tr2bl w:val="nil"/>
                  </w:tcBorders>
                  <w:noWrap/>
                  <w:vAlign w:val="center"/>
                </w:tcPr>
                <w:p w14:paraId="662F3ACB">
                  <w:pPr>
                    <w:pStyle w:val="115"/>
                    <w:keepNext w:val="0"/>
                    <w:keepLines w:val="0"/>
                    <w:pageBreakBefore w:val="0"/>
                    <w:widowControl w:val="0"/>
                    <w:kinsoku/>
                    <w:wordWrap/>
                    <w:overflowPunct/>
                    <w:topLinePunct w:val="0"/>
                    <w:autoSpaceDE w:val="0"/>
                    <w:autoSpaceDN w:val="0"/>
                    <w:bidi w:val="0"/>
                    <w:adjustRightInd/>
                    <w:snapToGrid/>
                    <w:spacing w:line="219" w:lineRule="auto"/>
                    <w:ind w:left="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符合性</w:t>
                  </w:r>
                </w:p>
              </w:tc>
            </w:tr>
            <w:tr w14:paraId="1A0FE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5000" w:type="pct"/>
                  <w:gridSpan w:val="4"/>
                  <w:tcBorders>
                    <w:tl2br w:val="nil"/>
                    <w:tr2bl w:val="nil"/>
                  </w:tcBorders>
                  <w:noWrap/>
                  <w:vAlign w:val="center"/>
                </w:tcPr>
                <w:p w14:paraId="296F336A">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总体要求与目标</w:t>
                  </w:r>
                </w:p>
              </w:tc>
            </w:tr>
            <w:tr w14:paraId="54E00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31" w:type="pct"/>
                  <w:tcBorders>
                    <w:tl2br w:val="nil"/>
                    <w:tr2bl w:val="nil"/>
                  </w:tcBorders>
                  <w:noWrap/>
                  <w:vAlign w:val="center"/>
                </w:tcPr>
                <w:p w14:paraId="0DA4EBB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676" w:type="pct"/>
                  <w:tcBorders>
                    <w:tl2br w:val="nil"/>
                    <w:tr2bl w:val="nil"/>
                  </w:tcBorders>
                  <w:noWrap/>
                  <w:vAlign w:val="center"/>
                </w:tcPr>
                <w:p w14:paraId="76FF88F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体要求。以改善环境空气质量为核心，以重点地区为主要着力点，以重点行业和重点污染物为主要控制对象，推进VOCs与NOx协同减排，强化新增污染物排放控制，实施固定污染源排污许可，全面加强基础能力建设和政策支持保障，因地制宜，突出重点，源头防控，分业施策，建立VOCs污染防治长效机制，促进环境空气质量持续改善和产业绿色发展。</w:t>
                  </w:r>
                </w:p>
              </w:tc>
              <w:tc>
                <w:tcPr>
                  <w:tcW w:w="1817" w:type="pct"/>
                  <w:tcBorders>
                    <w:tl2br w:val="nil"/>
                    <w:tr2bl w:val="nil"/>
                  </w:tcBorders>
                  <w:noWrap/>
                  <w:vAlign w:val="center"/>
                </w:tcPr>
                <w:p w14:paraId="705F1C64">
                  <w:pPr>
                    <w:spacing w:line="240" w:lineRule="auto"/>
                    <w:ind w:firstLine="0" w:firstLineChars="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val="en-US" w:eastAsia="zh-CN"/>
                    </w:rPr>
                    <w:t>有机</w:t>
                  </w:r>
                  <w:r>
                    <w:rPr>
                      <w:rFonts w:hint="eastAsia" w:ascii="Times New Roman" w:hAnsi="Times New Roman" w:cs="Times New Roman"/>
                      <w:color w:val="auto"/>
                      <w:sz w:val="21"/>
                      <w:szCs w:val="21"/>
                      <w:lang w:val="en-US" w:eastAsia="zh-CN"/>
                    </w:rPr>
                    <w:t>原</w:t>
                  </w:r>
                  <w:r>
                    <w:rPr>
                      <w:rFonts w:hint="default" w:ascii="Times New Roman" w:hAnsi="Times New Roman" w:cs="Times New Roman"/>
                      <w:color w:val="auto"/>
                      <w:sz w:val="21"/>
                      <w:szCs w:val="21"/>
                    </w:rPr>
                    <w:t>料运输均采用密闭管道</w:t>
                  </w:r>
                  <w:bookmarkStart w:id="14" w:name="OLE_LINK181"/>
                  <w:r>
                    <w:rPr>
                      <w:rFonts w:hint="eastAsia" w:ascii="Times New Roman" w:hAnsi="Times New Roman" w:cs="Times New Roman"/>
                      <w:color w:val="auto"/>
                      <w:sz w:val="21"/>
                      <w:szCs w:val="21"/>
                      <w:lang w:val="en-US" w:eastAsia="zh-CN"/>
                    </w:rPr>
                    <w:t>和密闭槽车</w:t>
                  </w:r>
                  <w:bookmarkEnd w:id="14"/>
                  <w:r>
                    <w:rPr>
                      <w:rFonts w:hint="default" w:ascii="Times New Roman" w:hAnsi="Times New Roman" w:cs="Times New Roman"/>
                      <w:color w:val="auto"/>
                      <w:sz w:val="21"/>
                      <w:szCs w:val="21"/>
                    </w:rPr>
                    <w:t>，产生污染物</w:t>
                  </w:r>
                  <w:r>
                    <w:rPr>
                      <w:rFonts w:hint="default" w:ascii="Times New Roman" w:hAnsi="Times New Roman" w:cs="Times New Roman"/>
                      <w:color w:val="auto"/>
                      <w:sz w:val="21"/>
                      <w:szCs w:val="21"/>
                      <w:lang w:val="en-US" w:eastAsia="zh-CN"/>
                    </w:rPr>
                    <w:t>排放量</w:t>
                  </w:r>
                  <w:r>
                    <w:rPr>
                      <w:rFonts w:hint="default" w:ascii="Times New Roman" w:hAnsi="Times New Roman" w:cs="Times New Roman"/>
                      <w:color w:val="auto"/>
                      <w:sz w:val="21"/>
                      <w:szCs w:val="21"/>
                    </w:rPr>
                    <w:t>较小，能够达标排放</w:t>
                  </w:r>
                  <w:r>
                    <w:rPr>
                      <w:rFonts w:hint="eastAsia" w:ascii="Times New Roman" w:hAnsi="Times New Roman" w:cs="Times New Roman"/>
                      <w:color w:val="auto"/>
                      <w:sz w:val="21"/>
                      <w:szCs w:val="21"/>
                      <w:lang w:eastAsia="zh-CN"/>
                    </w:rPr>
                    <w:t>。</w:t>
                  </w:r>
                </w:p>
              </w:tc>
              <w:tc>
                <w:tcPr>
                  <w:tcW w:w="274" w:type="pct"/>
                  <w:tcBorders>
                    <w:tl2br w:val="nil"/>
                    <w:tr2bl w:val="nil"/>
                  </w:tcBorders>
                  <w:noWrap/>
                  <w:vAlign w:val="center"/>
                </w:tcPr>
                <w:p w14:paraId="1EF7D6F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5A9A2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5000" w:type="pct"/>
                  <w:gridSpan w:val="4"/>
                  <w:tcBorders>
                    <w:tl2br w:val="nil"/>
                    <w:tr2bl w:val="nil"/>
                  </w:tcBorders>
                  <w:noWrap/>
                  <w:vAlign w:val="center"/>
                </w:tcPr>
                <w:p w14:paraId="05CB0BF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治理重点</w:t>
                  </w:r>
                </w:p>
              </w:tc>
            </w:tr>
            <w:tr w14:paraId="2869D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31" w:type="pct"/>
                  <w:tcBorders>
                    <w:tl2br w:val="nil"/>
                    <w:tr2bl w:val="nil"/>
                  </w:tcBorders>
                  <w:noWrap/>
                  <w:vAlign w:val="center"/>
                </w:tcPr>
                <w:p w14:paraId="04F89FF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676" w:type="pct"/>
                  <w:tcBorders>
                    <w:tl2br w:val="nil"/>
                    <w:tr2bl w:val="nil"/>
                  </w:tcBorders>
                  <w:noWrap/>
                  <w:vAlign w:val="center"/>
                </w:tcPr>
                <w:p w14:paraId="2636A2C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重点行业。重点推进石化、化工、包装印刷、工业涂装等重点行业以及机动车、油品储运销等交通源VOCs污染防治，实施一批重点工程。各地应结合自身产业结构特征、VOCs排放来源等，确定本地VOCs控制重点行业；充分考虑行业产能利用率、生产工艺特征以及污染物排放情况等，结合环境空气质量季节性变化特征，研究制定行业生产调控措施。</w:t>
                  </w:r>
                </w:p>
              </w:tc>
              <w:tc>
                <w:tcPr>
                  <w:tcW w:w="1817" w:type="pct"/>
                  <w:tcBorders>
                    <w:tl2br w:val="nil"/>
                    <w:tr2bl w:val="nil"/>
                  </w:tcBorders>
                  <w:noWrap/>
                  <w:vAlign w:val="center"/>
                </w:tcPr>
                <w:p w14:paraId="00DEFBCC">
                  <w:pPr>
                    <w:spacing w:line="240" w:lineRule="auto"/>
                    <w:ind w:firstLine="0" w:firstLineChars="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color w:val="auto"/>
                      <w:sz w:val="21"/>
                      <w:szCs w:val="21"/>
                    </w:rPr>
                    <w:t>本项目</w:t>
                  </w:r>
                  <w:r>
                    <w:rPr>
                      <w:rFonts w:hint="eastAsia" w:ascii="Times New Roman" w:hAnsi="Times New Roman" w:cs="Times New Roman"/>
                      <w:color w:val="auto"/>
                      <w:sz w:val="21"/>
                      <w:szCs w:val="21"/>
                      <w:lang w:val="en-US" w:eastAsia="zh-CN"/>
                    </w:rPr>
                    <w:t>原</w:t>
                  </w:r>
                  <w:r>
                    <w:rPr>
                      <w:rFonts w:hint="default" w:ascii="Times New Roman" w:hAnsi="Times New Roman" w:cs="Times New Roman"/>
                      <w:color w:val="auto"/>
                      <w:sz w:val="21"/>
                      <w:szCs w:val="21"/>
                    </w:rPr>
                    <w:t>料运输均采用密闭管道</w:t>
                  </w:r>
                  <w:r>
                    <w:rPr>
                      <w:rFonts w:hint="eastAsia" w:ascii="Times New Roman" w:hAnsi="Times New Roman" w:cs="Times New Roman"/>
                      <w:color w:val="auto"/>
                      <w:sz w:val="21"/>
                      <w:szCs w:val="21"/>
                      <w:lang w:val="en-US" w:eastAsia="zh-CN"/>
                    </w:rPr>
                    <w:t>和密闭槽车</w:t>
                  </w:r>
                  <w:r>
                    <w:rPr>
                      <w:rFonts w:hint="default" w:ascii="Times New Roman" w:hAnsi="Times New Roman" w:cs="Times New Roman"/>
                      <w:color w:val="auto"/>
                      <w:sz w:val="21"/>
                      <w:szCs w:val="21"/>
                    </w:rPr>
                    <w:t>，项目废气产生污染物较</w:t>
                  </w:r>
                  <w:r>
                    <w:rPr>
                      <w:rFonts w:hint="eastAsia" w:cs="Times New Roman"/>
                      <w:color w:val="auto"/>
                      <w:sz w:val="21"/>
                      <w:szCs w:val="21"/>
                      <w:lang w:eastAsia="zh-CN"/>
                    </w:rPr>
                    <w:t>少</w:t>
                  </w:r>
                  <w:r>
                    <w:rPr>
                      <w:rFonts w:hint="default" w:ascii="Times New Roman" w:hAnsi="Times New Roman" w:cs="Times New Roman"/>
                      <w:color w:val="auto"/>
                      <w:sz w:val="21"/>
                      <w:szCs w:val="21"/>
                    </w:rPr>
                    <w:t>，能够达标排放</w:t>
                  </w:r>
                  <w:r>
                    <w:rPr>
                      <w:rFonts w:hint="eastAsia" w:ascii="Times New Roman" w:hAnsi="Times New Roman" w:cs="Times New Roman"/>
                      <w:color w:val="auto"/>
                      <w:sz w:val="21"/>
                      <w:szCs w:val="21"/>
                      <w:lang w:eastAsia="zh-CN"/>
                    </w:rPr>
                    <w:t>。</w:t>
                  </w:r>
                </w:p>
              </w:tc>
              <w:tc>
                <w:tcPr>
                  <w:tcW w:w="274" w:type="pct"/>
                  <w:tcBorders>
                    <w:tl2br w:val="nil"/>
                    <w:tr2bl w:val="nil"/>
                  </w:tcBorders>
                  <w:noWrap/>
                  <w:vAlign w:val="center"/>
                </w:tcPr>
                <w:p w14:paraId="0A07996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28120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31" w:type="pct"/>
                  <w:tcBorders>
                    <w:tl2br w:val="nil"/>
                    <w:tr2bl w:val="nil"/>
                  </w:tcBorders>
                  <w:noWrap/>
                  <w:vAlign w:val="center"/>
                </w:tcPr>
                <w:p w14:paraId="0F06EFB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2676" w:type="pct"/>
                  <w:tcBorders>
                    <w:tl2br w:val="nil"/>
                    <w:tr2bl w:val="nil"/>
                  </w:tcBorders>
                  <w:noWrap/>
                  <w:vAlign w:val="center"/>
                </w:tcPr>
                <w:p w14:paraId="5EE146B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重点污染物。加强活性强的VOCs排放控制，主要为芳香烃、烯烃、炔烃、醛类等。各地应紧密围绕本地环境空气质量改善需求，基于O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和PM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rPr>
                    <w:t>来源解析，确定VOCs控制重点。对于控制O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而言，重点控制污染物主要为间/对</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二甲苯、乙烯、丙烯、甲醛、甲苯、乙醛、1，3-丁二烯、1,2,4-三甲基苯、邻-二甲苯、苯乙烯等；对于控制PM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rPr>
                    <w:t>而言，重点控制污染物主要为甲苯、正十二烷、间/对</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二甲苯、苯乙烯、正十一烷、正癸烷、乙苯、邻</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二甲苯、1，3-丁二烯、甲基环己烷、正壬烷等。同时，要强化苯乙烯、甲硫醇、甲硫醚等恶臭类VOCs的排放控制</w:t>
                  </w:r>
                </w:p>
              </w:tc>
              <w:tc>
                <w:tcPr>
                  <w:tcW w:w="1817" w:type="pct"/>
                  <w:tcBorders>
                    <w:tl2br w:val="nil"/>
                    <w:tr2bl w:val="nil"/>
                  </w:tcBorders>
                  <w:noWrap/>
                  <w:vAlign w:val="center"/>
                </w:tcPr>
                <w:p w14:paraId="50E1EB6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lang w:val="en-US" w:eastAsia="zh-CN"/>
                    </w:rPr>
                    <w:t>不</w:t>
                  </w:r>
                  <w:r>
                    <w:rPr>
                      <w:rFonts w:hint="default" w:ascii="Times New Roman" w:hAnsi="Times New Roman" w:cs="Times New Roman"/>
                      <w:color w:val="auto"/>
                      <w:sz w:val="21"/>
                      <w:szCs w:val="21"/>
                      <w:highlight w:val="none"/>
                    </w:rPr>
                    <w:t>涉及</w:t>
                  </w:r>
                  <w:r>
                    <w:rPr>
                      <w:rFonts w:hint="eastAsia" w:ascii="Times New Roman" w:hAnsi="Times New Roman" w:cs="Times New Roman"/>
                      <w:color w:val="auto"/>
                      <w:sz w:val="21"/>
                      <w:szCs w:val="21"/>
                      <w:highlight w:val="none"/>
                      <w:lang w:val="en-US" w:eastAsia="zh-CN"/>
                    </w:rPr>
                    <w:t>左列</w:t>
                  </w:r>
                  <w:r>
                    <w:rPr>
                      <w:rFonts w:hint="default" w:ascii="Times New Roman" w:hAnsi="Times New Roman" w:cs="Times New Roman"/>
                      <w:color w:val="auto"/>
                      <w:sz w:val="21"/>
                      <w:szCs w:val="21"/>
                      <w:highlight w:val="none"/>
                    </w:rPr>
                    <w:t>废气重点污染物，经相应措施处理后，能够达标排放。</w:t>
                  </w:r>
                </w:p>
              </w:tc>
              <w:tc>
                <w:tcPr>
                  <w:tcW w:w="274" w:type="pct"/>
                  <w:tcBorders>
                    <w:tl2br w:val="nil"/>
                    <w:tr2bl w:val="nil"/>
                  </w:tcBorders>
                  <w:noWrap/>
                  <w:vAlign w:val="center"/>
                </w:tcPr>
                <w:p w14:paraId="38147EC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37A1B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5000" w:type="pct"/>
                  <w:gridSpan w:val="4"/>
                  <w:tcBorders>
                    <w:tl2br w:val="nil"/>
                    <w:tr2bl w:val="nil"/>
                  </w:tcBorders>
                  <w:noWrap/>
                  <w:vAlign w:val="center"/>
                </w:tcPr>
                <w:p w14:paraId="464FA684">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主要任务</w:t>
                  </w:r>
                </w:p>
              </w:tc>
            </w:tr>
            <w:tr w14:paraId="4894F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31" w:type="pct"/>
                  <w:tcBorders>
                    <w:tl2br w:val="nil"/>
                    <w:tr2bl w:val="nil"/>
                  </w:tcBorders>
                  <w:noWrap/>
                  <w:vAlign w:val="center"/>
                </w:tcPr>
                <w:p w14:paraId="14B4677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676" w:type="pct"/>
                  <w:tcBorders>
                    <w:tl2br w:val="nil"/>
                    <w:tr2bl w:val="nil"/>
                  </w:tcBorders>
                  <w:noWrap/>
                  <w:vAlign w:val="center"/>
                </w:tcPr>
                <w:p w14:paraId="4B13D8A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快推进“散乱污”企业综合整治。各地要全面开展涉VOCs排放的“散乱污”企业排查工作，建立管理台账，实施分类处置。列入淘汰类的，依法依规予以取缔，做到“两断三清”，即断水、断电，清除原料、清除产品、清除设备；列入搬迁改造、升级改造类的，按照发展规模化、现代化产业的原则，制定改造提升方案，落实时间表和责任人；对“散乱污”企业集群，要制定总体整改方案，统一标准要求，并向社会公开，同步推进区域环境综合整治和企业升级改造。实行网格化管理，建立由乡、镇、街道党政主要领导为“网格长”的监管制度，明确网格督查员，落实排查和整改责任。京津冀大气污染传输通道城市于2017年9月底前完成“散乱污”企业综合整治工作。重点地区其他城市于2017年底前基本完成涉VOCs“散乱污”企业排查工作，建立管理台账，2018年底前依法依规完成清理整顿工作。涉VOCs排放的“散乱污”企业主要为涂料、油墨、合成革、橡胶制品、塑料制品、化纤生产等化工企业，使用溶剂型涂料、油墨、胶粘剂和其他有机溶剂的印刷、家具、钢结构、人造板、注塑等制造加工企业，以及露天喷涂汽车维修作业等</w:t>
                  </w:r>
                </w:p>
              </w:tc>
              <w:tc>
                <w:tcPr>
                  <w:tcW w:w="1817" w:type="pct"/>
                  <w:tcBorders>
                    <w:tl2br w:val="nil"/>
                    <w:tr2bl w:val="nil"/>
                  </w:tcBorders>
                  <w:noWrap/>
                  <w:vAlign w:val="center"/>
                </w:tcPr>
                <w:p w14:paraId="7CABB30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本项目属于《产业结构调整指导目录（20</w:t>
                  </w:r>
                  <w:r>
                    <w:rPr>
                      <w:rFonts w:hint="eastAsia" w:ascii="Times New Roman" w:hAnsi="Times New Roman" w:cs="Times New Roman"/>
                      <w:color w:val="auto"/>
                      <w:sz w:val="21"/>
                      <w:szCs w:val="21"/>
                      <w:lang w:val="en-US" w:eastAsia="zh-CN"/>
                    </w:rPr>
                    <w:t>24</w:t>
                  </w:r>
                  <w:r>
                    <w:rPr>
                      <w:rFonts w:hint="default" w:ascii="Times New Roman" w:hAnsi="Times New Roman" w:cs="Times New Roman"/>
                      <w:color w:val="auto"/>
                      <w:sz w:val="21"/>
                      <w:szCs w:val="21"/>
                    </w:rPr>
                    <w:t>本）》</w:t>
                  </w:r>
                  <w:r>
                    <w:rPr>
                      <w:rFonts w:hint="default" w:ascii="Times New Roman" w:hAnsi="Times New Roman" w:cs="Times New Roman"/>
                      <w:color w:val="auto"/>
                      <w:sz w:val="21"/>
                      <w:szCs w:val="21"/>
                      <w:lang w:val="en-US" w:eastAsia="zh-CN"/>
                    </w:rPr>
                    <w:t>中</w:t>
                  </w:r>
                  <w:r>
                    <w:rPr>
                      <w:rFonts w:hint="eastAsia" w:cs="Times New Roman"/>
                      <w:color w:val="auto"/>
                      <w:sz w:val="21"/>
                      <w:szCs w:val="21"/>
                      <w:lang w:val="en-US" w:eastAsia="zh-CN"/>
                    </w:rPr>
                    <w:t>允许类</w:t>
                  </w:r>
                  <w:r>
                    <w:rPr>
                      <w:rFonts w:hint="default" w:ascii="Times New Roman" w:hAnsi="Times New Roman" w:cs="Times New Roman"/>
                      <w:color w:val="auto"/>
                      <w:sz w:val="21"/>
                      <w:szCs w:val="21"/>
                    </w:rPr>
                    <w:t>项目。</w:t>
                  </w:r>
                </w:p>
                <w:p w14:paraId="17E4F54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本项目符合国家产业政策，</w:t>
                  </w:r>
                  <w:r>
                    <w:rPr>
                      <w:rFonts w:hint="eastAsia" w:cs="Times New Roman"/>
                      <w:color w:val="auto"/>
                      <w:sz w:val="21"/>
                      <w:szCs w:val="21"/>
                      <w:lang w:val="en-US" w:eastAsia="zh-CN"/>
                    </w:rPr>
                    <w:t>本项目</w:t>
                  </w:r>
                  <w:r>
                    <w:rPr>
                      <w:rFonts w:hint="default" w:ascii="Times New Roman" w:hAnsi="Times New Roman" w:cs="Times New Roman"/>
                      <w:color w:val="auto"/>
                      <w:sz w:val="21"/>
                      <w:szCs w:val="21"/>
                    </w:rPr>
                    <w:t>建成后应建立管理台账，实施分类处置等相关要求</w:t>
                  </w:r>
                </w:p>
              </w:tc>
              <w:tc>
                <w:tcPr>
                  <w:tcW w:w="274" w:type="pct"/>
                  <w:tcBorders>
                    <w:tl2br w:val="nil"/>
                    <w:tr2bl w:val="nil"/>
                  </w:tcBorders>
                  <w:noWrap/>
                  <w:vAlign w:val="center"/>
                </w:tcPr>
                <w:p w14:paraId="3F31710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5DAD8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31" w:type="pct"/>
                  <w:tcBorders>
                    <w:tl2br w:val="nil"/>
                    <w:tr2bl w:val="nil"/>
                  </w:tcBorders>
                  <w:noWrap/>
                  <w:vAlign w:val="center"/>
                </w:tcPr>
                <w:p w14:paraId="4226005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676" w:type="pct"/>
                  <w:tcBorders>
                    <w:tl2br w:val="nil"/>
                    <w:tr2bl w:val="nil"/>
                  </w:tcBorders>
                  <w:noWrap/>
                  <w:vAlign w:val="center"/>
                </w:tcPr>
                <w:p w14:paraId="036A169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严格建设项目环境准入。提高VOCs排放重点行业环保准入门槛，严格控制新增污染物排放量。重点地区要严格限制石化、化工、包装印刷、工业涂装等高VOCs排放建设项目。新建涉VOCs排放的工业企业要入园区。未纳入《石化产业规划布局方案》的新建炼化项目一律不得建设。严格涉VOCs建设项目环境影响评价，实行区域内VOCs排放等量或倍量削减替代，并将替代方案落实到企业排污许可证中，纳入环境执法管理。新、改、扩建涉VOCs排放项目，应从源头加强控制，使用低（无）VOCs含量的原辅材料，加强废气收集，安装高效治理设施。</w:t>
                  </w:r>
                </w:p>
              </w:tc>
              <w:tc>
                <w:tcPr>
                  <w:tcW w:w="1817" w:type="pct"/>
                  <w:tcBorders>
                    <w:tl2br w:val="nil"/>
                    <w:tr2bl w:val="nil"/>
                  </w:tcBorders>
                  <w:noWrap/>
                  <w:vAlign w:val="center"/>
                </w:tcPr>
                <w:p w14:paraId="5A3DF192">
                  <w:pPr>
                    <w:spacing w:line="240" w:lineRule="auto"/>
                    <w:ind w:firstLine="0" w:firstLineChars="0"/>
                    <w:jc w:val="center"/>
                    <w:rPr>
                      <w:rFonts w:hint="eastAsia" w:ascii="Times New Roman" w:hAnsi="Times New Roman" w:cs="Times New Roman" w:eastAsiaTheme="minorEastAsia"/>
                      <w:color w:val="auto"/>
                      <w:sz w:val="21"/>
                      <w:szCs w:val="21"/>
                      <w:lang w:eastAsia="zh-CN"/>
                    </w:rPr>
                  </w:pPr>
                  <w:r>
                    <w:rPr>
                      <w:rFonts w:hint="default" w:ascii="Times New Roman" w:hAnsi="Times New Roman" w:cs="Times New Roman"/>
                      <w:color w:val="auto"/>
                      <w:sz w:val="21"/>
                      <w:szCs w:val="21"/>
                      <w:lang w:val="en-US" w:eastAsia="zh-CN"/>
                    </w:rPr>
                    <w:t>本</w:t>
                  </w:r>
                  <w:r>
                    <w:rPr>
                      <w:rFonts w:hint="default" w:ascii="Times New Roman" w:hAnsi="Times New Roman" w:cs="Times New Roman"/>
                      <w:color w:val="auto"/>
                      <w:sz w:val="21"/>
                      <w:szCs w:val="21"/>
                    </w:rPr>
                    <w:t>项目位于</w:t>
                  </w:r>
                  <w:bookmarkStart w:id="15" w:name="OLE_LINK185"/>
                  <w:r>
                    <w:rPr>
                      <w:rFonts w:hint="eastAsia" w:ascii="Times New Roman" w:hAnsi="Times New Roman" w:cs="Times New Roman"/>
                      <w:color w:val="auto"/>
                      <w:sz w:val="21"/>
                      <w:szCs w:val="21"/>
                      <w:lang w:eastAsia="zh-CN"/>
                    </w:rPr>
                    <w:t>辽宁省朝阳市喀左县大城子镇小城子村</w:t>
                  </w:r>
                  <w:r>
                    <w:rPr>
                      <w:rFonts w:hint="default" w:ascii="Times New Roman" w:hAnsi="Times New Roman" w:cs="Times New Roman"/>
                      <w:color w:val="auto"/>
                      <w:sz w:val="21"/>
                      <w:szCs w:val="21"/>
                    </w:rPr>
                    <w:t>，</w:t>
                  </w:r>
                  <w:bookmarkEnd w:id="15"/>
                  <w:r>
                    <w:rPr>
                      <w:rFonts w:hint="default" w:ascii="Times New Roman" w:hAnsi="Times New Roman" w:cs="Times New Roman"/>
                      <w:color w:val="auto"/>
                      <w:sz w:val="21"/>
                      <w:szCs w:val="21"/>
                    </w:rPr>
                    <w:t>不属于炼化项目，企业挥发性有机</w:t>
                  </w:r>
                  <w:r>
                    <w:rPr>
                      <w:rFonts w:hint="eastAsia" w:ascii="Times New Roman" w:hAnsi="Times New Roman" w:cs="Times New Roman"/>
                      <w:color w:val="auto"/>
                      <w:sz w:val="21"/>
                      <w:szCs w:val="21"/>
                      <w:lang w:val="en-US" w:eastAsia="zh-CN"/>
                    </w:rPr>
                    <w:t>废气</w:t>
                  </w:r>
                  <w:r>
                    <w:rPr>
                      <w:rFonts w:hint="default" w:ascii="Times New Roman" w:hAnsi="Times New Roman" w:cs="Times New Roman"/>
                      <w:color w:val="auto"/>
                      <w:sz w:val="21"/>
                      <w:szCs w:val="21"/>
                    </w:rPr>
                    <w:t>排放</w:t>
                  </w:r>
                  <w:r>
                    <w:rPr>
                      <w:rFonts w:hint="eastAsia" w:ascii="Times New Roman" w:hAnsi="Times New Roman" w:cs="Times New Roman"/>
                      <w:color w:val="auto"/>
                      <w:sz w:val="21"/>
                      <w:szCs w:val="21"/>
                      <w:lang w:val="en-US" w:eastAsia="zh-CN"/>
                    </w:rPr>
                    <w:t>量</w:t>
                  </w:r>
                  <w:r>
                    <w:rPr>
                      <w:rFonts w:hint="default" w:ascii="Times New Roman" w:hAnsi="Times New Roman" w:cs="Times New Roman"/>
                      <w:color w:val="auto"/>
                      <w:sz w:val="21"/>
                      <w:szCs w:val="21"/>
                    </w:rPr>
                    <w:t>较小</w:t>
                  </w:r>
                  <w:r>
                    <w:rPr>
                      <w:rFonts w:hint="eastAsia" w:ascii="Times New Roman" w:hAnsi="Times New Roman" w:cs="Times New Roman"/>
                      <w:color w:val="auto"/>
                      <w:sz w:val="21"/>
                      <w:szCs w:val="21"/>
                      <w:lang w:eastAsia="zh-CN"/>
                    </w:rPr>
                    <w:t>。</w:t>
                  </w:r>
                </w:p>
              </w:tc>
              <w:tc>
                <w:tcPr>
                  <w:tcW w:w="274" w:type="pct"/>
                  <w:tcBorders>
                    <w:tl2br w:val="nil"/>
                    <w:tr2bl w:val="nil"/>
                  </w:tcBorders>
                  <w:noWrap/>
                  <w:vAlign w:val="center"/>
                </w:tcPr>
                <w:p w14:paraId="7753F1A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2D509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31" w:type="pct"/>
                  <w:tcBorders>
                    <w:tl2br w:val="nil"/>
                    <w:tr2bl w:val="nil"/>
                  </w:tcBorders>
                  <w:noWrap/>
                  <w:vAlign w:val="center"/>
                </w:tcPr>
                <w:p w14:paraId="2215D4A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2676" w:type="pct"/>
                  <w:tcBorders>
                    <w:tl2br w:val="nil"/>
                    <w:tr2bl w:val="nil"/>
                  </w:tcBorders>
                  <w:noWrap/>
                  <w:vAlign w:val="center"/>
                </w:tcPr>
                <w:p w14:paraId="06481FA1">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新、改、扩建涉VOCs排放项目，应从源头加强控制，使用低（无）VOCs含量的原辅材料，加强废气收集，安装高效治理设施。</w:t>
                  </w:r>
                </w:p>
              </w:tc>
              <w:tc>
                <w:tcPr>
                  <w:tcW w:w="1817" w:type="pct"/>
                  <w:tcBorders>
                    <w:tl2br w:val="nil"/>
                    <w:tr2bl w:val="nil"/>
                  </w:tcBorders>
                  <w:noWrap/>
                  <w:vAlign w:val="center"/>
                </w:tcPr>
                <w:p w14:paraId="4244FE4A">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本项目为</w:t>
                  </w:r>
                  <w:r>
                    <w:rPr>
                      <w:rFonts w:hint="eastAsia" w:ascii="Times New Roman" w:hAnsi="Times New Roman" w:cs="Times New Roman"/>
                      <w:color w:val="auto"/>
                      <w:sz w:val="21"/>
                      <w:szCs w:val="21"/>
                      <w:lang w:val="en-US" w:eastAsia="zh-CN"/>
                    </w:rPr>
                    <w:t>扩</w:t>
                  </w:r>
                  <w:r>
                    <w:rPr>
                      <w:rFonts w:hint="default" w:ascii="Times New Roman" w:hAnsi="Times New Roman" w:cs="Times New Roman"/>
                      <w:color w:val="auto"/>
                      <w:sz w:val="21"/>
                      <w:szCs w:val="21"/>
                    </w:rPr>
                    <w:t>建项目，项目运营期涉及的有机废气</w:t>
                  </w:r>
                  <w:r>
                    <w:rPr>
                      <w:rFonts w:hint="eastAsia" w:ascii="Times New Roman" w:hAnsi="Times New Roman" w:cs="Times New Roman"/>
                      <w:color w:val="auto"/>
                      <w:sz w:val="21"/>
                      <w:szCs w:val="21"/>
                      <w:lang w:val="en-US" w:eastAsia="zh-CN"/>
                    </w:rPr>
                    <w:t>排放量较小</w:t>
                  </w:r>
                  <w:r>
                    <w:rPr>
                      <w:rFonts w:hint="default" w:ascii="Times New Roman" w:hAnsi="Times New Roman" w:cs="Times New Roman"/>
                      <w:color w:val="auto"/>
                      <w:sz w:val="21"/>
                      <w:szCs w:val="21"/>
                    </w:rPr>
                    <w:t>。</w:t>
                  </w:r>
                </w:p>
              </w:tc>
              <w:tc>
                <w:tcPr>
                  <w:tcW w:w="274" w:type="pct"/>
                  <w:tcBorders>
                    <w:tl2br w:val="nil"/>
                    <w:tr2bl w:val="nil"/>
                  </w:tcBorders>
                  <w:noWrap/>
                  <w:vAlign w:val="center"/>
                </w:tcPr>
                <w:p w14:paraId="6F95818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32E15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31" w:type="pct"/>
                  <w:tcBorders>
                    <w:tl2br w:val="nil"/>
                    <w:tr2bl w:val="nil"/>
                  </w:tcBorders>
                  <w:noWrap/>
                  <w:vAlign w:val="center"/>
                </w:tcPr>
                <w:p w14:paraId="5335EA7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2676" w:type="pct"/>
                  <w:tcBorders>
                    <w:tl2br w:val="nil"/>
                    <w:tr2bl w:val="nil"/>
                  </w:tcBorders>
                  <w:noWrap/>
                  <w:vAlign w:val="center"/>
                </w:tcPr>
                <w:p w14:paraId="3B42FC31">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加强有机废气收集与治理，有机废气收集率不低于80%，建设吸附燃烧等高效治理设施，实现达标排放。</w:t>
                  </w:r>
                </w:p>
              </w:tc>
              <w:tc>
                <w:tcPr>
                  <w:tcW w:w="1817" w:type="pct"/>
                  <w:tcBorders>
                    <w:tl2br w:val="nil"/>
                    <w:tr2bl w:val="nil"/>
                  </w:tcBorders>
                  <w:noWrap/>
                  <w:vAlign w:val="center"/>
                </w:tcPr>
                <w:p w14:paraId="16D6726D">
                  <w:pPr>
                    <w:spacing w:line="240" w:lineRule="auto"/>
                    <w:ind w:firstLine="0" w:firstLineChars="0"/>
                    <w:jc w:val="center"/>
                    <w:rPr>
                      <w:rFonts w:hint="default" w:ascii="Times New Roman" w:hAnsi="Times New Roman" w:cs="Times New Roman"/>
                      <w:color w:val="auto"/>
                      <w:sz w:val="21"/>
                      <w:szCs w:val="21"/>
                    </w:rPr>
                  </w:pPr>
                  <w:bookmarkStart w:id="16" w:name="OLE_LINK186"/>
                  <w:r>
                    <w:rPr>
                      <w:rFonts w:hint="default" w:ascii="Times New Roman" w:hAnsi="Times New Roman" w:cs="Times New Roman"/>
                      <w:color w:val="auto"/>
                      <w:sz w:val="21"/>
                      <w:szCs w:val="21"/>
                    </w:rPr>
                    <w:t>本次</w:t>
                  </w:r>
                  <w:r>
                    <w:rPr>
                      <w:rFonts w:hint="eastAsia" w:ascii="Times New Roman" w:hAnsi="Times New Roman" w:cs="Times New Roman"/>
                      <w:color w:val="auto"/>
                      <w:sz w:val="21"/>
                      <w:szCs w:val="21"/>
                      <w:lang w:val="en-US" w:eastAsia="zh-CN"/>
                    </w:rPr>
                    <w:t>扩</w:t>
                  </w:r>
                  <w:r>
                    <w:rPr>
                      <w:rFonts w:hint="default" w:ascii="Times New Roman" w:hAnsi="Times New Roman" w:cs="Times New Roman"/>
                      <w:color w:val="auto"/>
                      <w:sz w:val="21"/>
                      <w:szCs w:val="21"/>
                    </w:rPr>
                    <w:t>建项目</w:t>
                  </w:r>
                  <w:r>
                    <w:rPr>
                      <w:rFonts w:hint="eastAsia" w:ascii="Times New Roman" w:hAnsi="Times New Roman" w:cs="Times New Roman"/>
                      <w:color w:val="auto"/>
                      <w:sz w:val="21"/>
                      <w:szCs w:val="21"/>
                      <w:lang w:val="en-US" w:eastAsia="zh-CN"/>
                    </w:rPr>
                    <w:t>VOC</w:t>
                  </w:r>
                  <w:r>
                    <w:rPr>
                      <w:rFonts w:hint="eastAsia" w:ascii="Times New Roman" w:hAnsi="Times New Roman" w:cs="Times New Roman"/>
                      <w:color w:val="auto"/>
                      <w:sz w:val="21"/>
                      <w:szCs w:val="21"/>
                      <w:vertAlign w:val="subscript"/>
                      <w:lang w:val="en-US" w:eastAsia="zh-CN"/>
                    </w:rPr>
                    <w:t>S</w:t>
                  </w:r>
                  <w:r>
                    <w:rPr>
                      <w:rFonts w:hint="eastAsia" w:ascii="Times New Roman" w:hAnsi="Times New Roman" w:cs="Times New Roman"/>
                      <w:color w:val="auto"/>
                      <w:sz w:val="21"/>
                      <w:szCs w:val="21"/>
                      <w:lang w:val="en-US" w:eastAsia="zh-CN"/>
                    </w:rPr>
                    <w:t>物料均为密闭运输和输送，仅油相由密闭槽车上料输送产生少量废气排放，乳化炸药半成品钢带冷却和皮带输送时</w:t>
                  </w:r>
                  <w:r>
                    <w:rPr>
                      <w:rFonts w:hint="default" w:ascii="Times New Roman" w:hAnsi="Times New Roman" w:cs="Times New Roman"/>
                      <w:color w:val="auto"/>
                      <w:sz w:val="21"/>
                      <w:szCs w:val="21"/>
                    </w:rPr>
                    <w:t>产生</w:t>
                  </w:r>
                  <w:r>
                    <w:rPr>
                      <w:rFonts w:hint="eastAsia" w:ascii="Times New Roman" w:hAnsi="Times New Roman" w:cs="Times New Roman"/>
                      <w:color w:val="auto"/>
                      <w:sz w:val="21"/>
                      <w:szCs w:val="21"/>
                      <w:lang w:val="en-US" w:eastAsia="zh-CN"/>
                    </w:rPr>
                    <w:t>有机废气排放，由于安全防爆因素和生产指标要求无法封闭，</w:t>
                  </w:r>
                  <w:r>
                    <w:rPr>
                      <w:rFonts w:hint="default" w:ascii="Times New Roman" w:hAnsi="Times New Roman" w:cs="Times New Roman"/>
                      <w:color w:val="auto"/>
                      <w:sz w:val="21"/>
                      <w:szCs w:val="21"/>
                    </w:rPr>
                    <w:t>生产工序</w:t>
                  </w:r>
                  <w:r>
                    <w:rPr>
                      <w:rFonts w:hint="eastAsia" w:ascii="Times New Roman" w:hAnsi="Times New Roman" w:cs="Times New Roman"/>
                      <w:color w:val="auto"/>
                      <w:sz w:val="21"/>
                      <w:szCs w:val="21"/>
                      <w:lang w:val="en-US" w:eastAsia="zh-CN"/>
                    </w:rPr>
                    <w:t>有机废气排放量较小</w:t>
                  </w:r>
                  <w:r>
                    <w:rPr>
                      <w:rFonts w:hint="default" w:ascii="Times New Roman" w:hAnsi="Times New Roman" w:cs="Times New Roman"/>
                      <w:color w:val="auto"/>
                      <w:sz w:val="21"/>
                      <w:szCs w:val="21"/>
                    </w:rPr>
                    <w:t>。</w:t>
                  </w:r>
                  <w:bookmarkEnd w:id="16"/>
                </w:p>
              </w:tc>
              <w:tc>
                <w:tcPr>
                  <w:tcW w:w="274" w:type="pct"/>
                  <w:tcBorders>
                    <w:tl2br w:val="nil"/>
                    <w:tr2bl w:val="nil"/>
                  </w:tcBorders>
                  <w:noWrap/>
                  <w:vAlign w:val="center"/>
                </w:tcPr>
                <w:p w14:paraId="2BDE13A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1A4081C7">
            <w:pPr>
              <w:widowControl w:val="0"/>
              <w:numPr>
                <w:ilvl w:val="0"/>
                <w:numId w:val="0"/>
              </w:numPr>
              <w:autoSpaceDE w:val="0"/>
              <w:autoSpaceDN w:val="0"/>
              <w:adjustRightInd w:val="0"/>
              <w:snapToGrid w:val="0"/>
              <w:spacing w:line="360" w:lineRule="auto"/>
              <w:ind w:firstLine="480" w:firstLineChars="200"/>
              <w:jc w:val="both"/>
              <w:rPr>
                <w:rFonts w:hint="default"/>
                <w:color w:val="auto"/>
                <w:sz w:val="24"/>
                <w:lang w:val="en-US" w:eastAsia="zh-CN"/>
              </w:rPr>
            </w:pPr>
            <w:r>
              <w:rPr>
                <w:rFonts w:hint="eastAsia"/>
                <w:color w:val="auto"/>
                <w:sz w:val="24"/>
                <w:lang w:val="en-US" w:eastAsia="zh-CN"/>
              </w:rPr>
              <w:t>综上，本项目符合</w:t>
            </w:r>
            <w:r>
              <w:rPr>
                <w:rFonts w:hint="default"/>
                <w:color w:val="auto"/>
                <w:sz w:val="24"/>
              </w:rPr>
              <w:t>《“十三五”挥发性有机物污染防治工作方案》</w:t>
            </w:r>
            <w:r>
              <w:rPr>
                <w:rFonts w:hint="eastAsia"/>
                <w:color w:val="auto"/>
                <w:sz w:val="24"/>
                <w:lang w:val="en-US" w:eastAsia="zh-CN"/>
              </w:rPr>
              <w:t>相关要求。</w:t>
            </w:r>
          </w:p>
          <w:p w14:paraId="2EE17FA1">
            <w:pPr>
              <w:spacing w:before="120" w:beforeLines="50" w:line="360" w:lineRule="auto"/>
              <w:rPr>
                <w:rFonts w:hint="default" w:ascii="Times New Roman" w:hAnsi="Times New Roman" w:cs="Times New Roman"/>
                <w:b/>
                <w:bCs/>
                <w:color w:val="auto"/>
                <w:sz w:val="24"/>
                <w:szCs w:val="24"/>
              </w:rPr>
            </w:pPr>
            <w:r>
              <w:rPr>
                <w:rFonts w:hint="eastAsia" w:cs="Times New Roman"/>
                <w:b/>
                <w:bCs/>
                <w:color w:val="auto"/>
                <w:sz w:val="24"/>
                <w:szCs w:val="24"/>
                <w:lang w:val="en-US" w:eastAsia="zh-CN"/>
              </w:rPr>
              <w:t>6、</w:t>
            </w:r>
            <w:r>
              <w:rPr>
                <w:rFonts w:hint="default" w:ascii="Times New Roman" w:hAnsi="Times New Roman" w:cs="Times New Roman"/>
                <w:b/>
                <w:bCs/>
                <w:color w:val="auto"/>
                <w:sz w:val="24"/>
                <w:szCs w:val="24"/>
              </w:rPr>
              <w:t>与《辽宁省“十三五”挥发性有机物污染防治与削减工作实施方案》（辽环发﹝2018﹞69号）相符性分析</w:t>
            </w:r>
          </w:p>
          <w:p w14:paraId="5371D3DC">
            <w:pPr>
              <w:pStyle w:val="115"/>
              <w:spacing w:before="52" w:line="224" w:lineRule="auto"/>
              <w:jc w:val="center"/>
              <w:rPr>
                <w:rFonts w:hint="eastAsia" w:ascii="Times New Roman" w:hAnsi="Times New Roman" w:eastAsia="宋体" w:cs="Times New Roman"/>
                <w:b/>
                <w:bCs/>
                <w:color w:val="auto"/>
                <w:spacing w:val="8"/>
                <w:sz w:val="21"/>
                <w:szCs w:val="21"/>
                <w:lang w:val="en-US" w:eastAsia="zh-CN"/>
              </w:rPr>
            </w:pPr>
            <w:r>
              <w:rPr>
                <w:rFonts w:hint="default" w:ascii="Times New Roman" w:hAnsi="Times New Roman" w:eastAsia="宋体" w:cs="Times New Roman"/>
                <w:b/>
                <w:bCs/>
                <w:color w:val="auto"/>
                <w:spacing w:val="8"/>
                <w:sz w:val="21"/>
                <w:szCs w:val="21"/>
              </w:rPr>
              <w:t>表</w:t>
            </w:r>
            <w:r>
              <w:rPr>
                <w:rFonts w:hint="eastAsia" w:ascii="Times New Roman" w:hAnsi="Times New Roman" w:eastAsia="宋体" w:cs="Times New Roman"/>
                <w:b/>
                <w:bCs/>
                <w:color w:val="auto"/>
                <w:spacing w:val="8"/>
                <w:sz w:val="21"/>
                <w:szCs w:val="21"/>
                <w:lang w:val="en-US" w:eastAsia="zh-CN"/>
              </w:rPr>
              <w:t>1-</w:t>
            </w:r>
            <w:r>
              <w:rPr>
                <w:rFonts w:hint="eastAsia" w:ascii="Times New Roman" w:hAnsi="Times New Roman" w:cs="Times New Roman"/>
                <w:b/>
                <w:bCs/>
                <w:color w:val="auto"/>
                <w:spacing w:val="8"/>
                <w:sz w:val="21"/>
                <w:szCs w:val="21"/>
                <w:lang w:val="en-US" w:eastAsia="zh-CN"/>
              </w:rPr>
              <w:t>5</w:t>
            </w:r>
            <w:r>
              <w:rPr>
                <w:rFonts w:hint="eastAsia" w:ascii="Times New Roman" w:hAnsi="Times New Roman" w:eastAsia="宋体" w:cs="Times New Roman"/>
                <w:b/>
                <w:bCs/>
                <w:color w:val="auto"/>
                <w:spacing w:val="8"/>
                <w:sz w:val="21"/>
                <w:szCs w:val="21"/>
                <w:lang w:val="en-US" w:eastAsia="zh-CN"/>
              </w:rPr>
              <w:t xml:space="preserve"> </w:t>
            </w:r>
            <w:r>
              <w:rPr>
                <w:rFonts w:hint="default" w:ascii="Times New Roman" w:hAnsi="Times New Roman" w:eastAsia="宋体" w:cs="Times New Roman"/>
                <w:b/>
                <w:bCs/>
                <w:color w:val="auto"/>
                <w:spacing w:val="8"/>
                <w:sz w:val="21"/>
                <w:szCs w:val="21"/>
              </w:rPr>
              <w:t>与《辽宁省“十三五”挥发性有机物污染防治与削减工作方案》（辽环发﹝2018﹞69号）符合性分析</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0"/>
              <w:gridCol w:w="4771"/>
              <w:gridCol w:w="2354"/>
              <w:gridCol w:w="378"/>
            </w:tblGrid>
            <w:tr w14:paraId="5EEFE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22" w:type="pct"/>
                  <w:tcBorders>
                    <w:tl2br w:val="nil"/>
                    <w:tr2bl w:val="nil"/>
                  </w:tcBorders>
                  <w:noWrap/>
                  <w:vAlign w:val="center"/>
                </w:tcPr>
                <w:p w14:paraId="38182EB8">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3037" w:type="pct"/>
                  <w:tcBorders>
                    <w:tl2br w:val="nil"/>
                    <w:tr2bl w:val="nil"/>
                  </w:tcBorders>
                  <w:noWrap/>
                  <w:vAlign w:val="center"/>
                </w:tcPr>
                <w:p w14:paraId="64EA4079">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《辽宁省“十三五”挥发性有机物污染防治与削减工作方案》相关规定</w:t>
                  </w:r>
                </w:p>
              </w:tc>
              <w:tc>
                <w:tcPr>
                  <w:tcW w:w="1498" w:type="pct"/>
                  <w:tcBorders>
                    <w:tl2br w:val="nil"/>
                    <w:tr2bl w:val="nil"/>
                  </w:tcBorders>
                  <w:noWrap/>
                  <w:vAlign w:val="center"/>
                </w:tcPr>
                <w:p w14:paraId="21F456C0">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本项目实际情况</w:t>
                  </w:r>
                </w:p>
              </w:tc>
              <w:tc>
                <w:tcPr>
                  <w:tcW w:w="240" w:type="pct"/>
                  <w:tcBorders>
                    <w:tl2br w:val="nil"/>
                    <w:tr2bl w:val="nil"/>
                  </w:tcBorders>
                  <w:noWrap/>
                  <w:vAlign w:val="center"/>
                </w:tcPr>
                <w:p w14:paraId="59AEF6A3">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符合性</w:t>
                  </w:r>
                </w:p>
              </w:tc>
            </w:tr>
            <w:tr w14:paraId="5D47E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5000" w:type="pct"/>
                  <w:gridSpan w:val="4"/>
                  <w:tcBorders>
                    <w:tl2br w:val="nil"/>
                    <w:tr2bl w:val="nil"/>
                  </w:tcBorders>
                  <w:noWrap/>
                  <w:vAlign w:val="center"/>
                </w:tcPr>
                <w:p w14:paraId="0B818226">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总体要求与目标</w:t>
                  </w:r>
                </w:p>
              </w:tc>
            </w:tr>
            <w:tr w14:paraId="77337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22" w:type="pct"/>
                  <w:tcBorders>
                    <w:tl2br w:val="nil"/>
                    <w:tr2bl w:val="nil"/>
                  </w:tcBorders>
                  <w:noWrap/>
                  <w:vAlign w:val="center"/>
                </w:tcPr>
                <w:p w14:paraId="4AA23FF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3037" w:type="pct"/>
                  <w:tcBorders>
                    <w:tl2br w:val="nil"/>
                    <w:tr2bl w:val="nil"/>
                  </w:tcBorders>
                  <w:noWrap/>
                  <w:vAlign w:val="center"/>
                </w:tcPr>
                <w:p w14:paraId="13EA08B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体要求。以改善环境空气质量为核心，以重点地区为主要着力点，以重点行业和重点污染物为主要控制对象，推进VOCs与NOx协同减排，强化新增污染物排放控制，实施固定污染源排污许可，全面加强基础能力建设和政策支持保障，因地制宜，突出重点，源头防控，分业施策，建立VOCs污染防治长效机制，促进环境空气质量持续改善和产业绿色发展。</w:t>
                  </w:r>
                </w:p>
              </w:tc>
              <w:tc>
                <w:tcPr>
                  <w:tcW w:w="1498" w:type="pct"/>
                  <w:tcBorders>
                    <w:tl2br w:val="nil"/>
                    <w:tr2bl w:val="nil"/>
                  </w:tcBorders>
                  <w:noWrap/>
                  <w:vAlign w:val="center"/>
                </w:tcPr>
                <w:p w14:paraId="7E048AF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eastAsia" w:ascii="Times New Roman" w:hAnsi="Times New Roman" w:cs="Times New Roman"/>
                      <w:color w:val="auto"/>
                      <w:sz w:val="21"/>
                      <w:szCs w:val="21"/>
                      <w:lang w:val="en-US" w:eastAsia="zh-CN"/>
                    </w:rPr>
                    <w:t>原</w:t>
                  </w:r>
                  <w:r>
                    <w:rPr>
                      <w:rFonts w:hint="default" w:ascii="Times New Roman" w:hAnsi="Times New Roman" w:cs="Times New Roman"/>
                      <w:color w:val="auto"/>
                      <w:sz w:val="21"/>
                      <w:szCs w:val="21"/>
                    </w:rPr>
                    <w:t>料运输均采用密闭管道</w:t>
                  </w:r>
                  <w:r>
                    <w:rPr>
                      <w:rFonts w:hint="eastAsia" w:ascii="Times New Roman" w:hAnsi="Times New Roman" w:cs="Times New Roman"/>
                      <w:color w:val="auto"/>
                      <w:sz w:val="21"/>
                      <w:szCs w:val="21"/>
                      <w:lang w:val="en-US" w:eastAsia="zh-CN"/>
                    </w:rPr>
                    <w:t>和槽车</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仅油相由密闭槽车上料输送产生少量废气排放，</w:t>
                  </w:r>
                  <w:r>
                    <w:rPr>
                      <w:rFonts w:hint="eastAsia" w:ascii="Times New Roman" w:hAnsi="Times New Roman" w:cs="Times New Roman"/>
                      <w:color w:val="auto"/>
                      <w:sz w:val="21"/>
                      <w:szCs w:val="21"/>
                      <w:highlight w:val="none"/>
                      <w:lang w:val="en-US" w:eastAsia="zh-CN"/>
                    </w:rPr>
                    <w:t>乳化</w:t>
                  </w:r>
                  <w:r>
                    <w:rPr>
                      <w:rFonts w:hint="eastAsia" w:ascii="Times New Roman" w:hAnsi="Times New Roman" w:cs="Times New Roman"/>
                      <w:color w:val="auto"/>
                      <w:sz w:val="21"/>
                      <w:szCs w:val="21"/>
                      <w:lang w:val="en-US" w:eastAsia="zh-CN"/>
                    </w:rPr>
                    <w:t>炸药半成品钢带冷却和皮带输送时</w:t>
                  </w:r>
                  <w:r>
                    <w:rPr>
                      <w:rFonts w:hint="default" w:ascii="Times New Roman" w:hAnsi="Times New Roman" w:cs="Times New Roman"/>
                      <w:color w:val="auto"/>
                      <w:sz w:val="21"/>
                      <w:szCs w:val="21"/>
                    </w:rPr>
                    <w:t>产生</w:t>
                  </w:r>
                  <w:r>
                    <w:rPr>
                      <w:rFonts w:hint="eastAsia" w:ascii="Times New Roman" w:hAnsi="Times New Roman" w:cs="Times New Roman"/>
                      <w:color w:val="auto"/>
                      <w:sz w:val="21"/>
                      <w:szCs w:val="21"/>
                      <w:lang w:val="en-US" w:eastAsia="zh-CN"/>
                    </w:rPr>
                    <w:t>有机废气排放，由于安全防爆因素和生产指标要求无法封闭，</w:t>
                  </w:r>
                  <w:r>
                    <w:rPr>
                      <w:rFonts w:hint="default" w:ascii="Times New Roman" w:hAnsi="Times New Roman" w:cs="Times New Roman"/>
                      <w:color w:val="auto"/>
                      <w:sz w:val="21"/>
                      <w:szCs w:val="21"/>
                    </w:rPr>
                    <w:t>生产工序</w:t>
                  </w:r>
                  <w:r>
                    <w:rPr>
                      <w:rFonts w:hint="eastAsia" w:ascii="Times New Roman" w:hAnsi="Times New Roman" w:cs="Times New Roman"/>
                      <w:color w:val="auto"/>
                      <w:sz w:val="21"/>
                      <w:szCs w:val="21"/>
                      <w:lang w:val="en-US" w:eastAsia="zh-CN"/>
                    </w:rPr>
                    <w:t>有机废气排放量较小</w:t>
                  </w:r>
                  <w:r>
                    <w:rPr>
                      <w:rFonts w:hint="default" w:ascii="Times New Roman" w:hAnsi="Times New Roman" w:cs="Times New Roman"/>
                      <w:color w:val="auto"/>
                      <w:sz w:val="21"/>
                      <w:szCs w:val="21"/>
                    </w:rPr>
                    <w:t>，能够达标排放</w:t>
                  </w:r>
                </w:p>
              </w:tc>
              <w:tc>
                <w:tcPr>
                  <w:tcW w:w="240" w:type="pct"/>
                  <w:tcBorders>
                    <w:tl2br w:val="nil"/>
                    <w:tr2bl w:val="nil"/>
                  </w:tcBorders>
                  <w:noWrap/>
                  <w:vAlign w:val="center"/>
                </w:tcPr>
                <w:p w14:paraId="152DFE7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25D8F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222" w:type="pct"/>
                  <w:tcBorders>
                    <w:tl2br w:val="nil"/>
                    <w:tr2bl w:val="nil"/>
                  </w:tcBorders>
                  <w:noWrap/>
                  <w:vAlign w:val="center"/>
                </w:tcPr>
                <w:p w14:paraId="591CCF2B">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3037" w:type="pct"/>
                  <w:tcBorders>
                    <w:tl2br w:val="nil"/>
                    <w:tr2bl w:val="nil"/>
                  </w:tcBorders>
                  <w:noWrap/>
                  <w:vAlign w:val="center"/>
                </w:tcPr>
                <w:p w14:paraId="5088777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度目标。2020年，结合产业结构特征和VOCs治理重点，开展木材加工、电子行业、钢铁行业的VOCs治理。全省涉VOCs排放企业基本完成低挥发性原辅料替代、清洁工艺改造和末端废气治理，重点工程减排VOCs10.5万吨以上。将石化、化工、包装印刷、工业涂装等VOCs重点排放源纳入重点排污单位名录</w:t>
                  </w:r>
                  <w:r>
                    <w:rPr>
                      <w:rFonts w:hint="eastAsia" w:cs="Times New Roman"/>
                      <w:color w:val="auto"/>
                      <w:sz w:val="21"/>
                      <w:szCs w:val="21"/>
                      <w:lang w:eastAsia="zh-CN"/>
                    </w:rPr>
                    <w:t>，在</w:t>
                  </w:r>
                  <w:r>
                    <w:rPr>
                      <w:rFonts w:hint="default" w:ascii="Times New Roman" w:hAnsi="Times New Roman" w:cs="Times New Roman"/>
                      <w:color w:val="auto"/>
                      <w:sz w:val="21"/>
                      <w:szCs w:val="21"/>
                    </w:rPr>
                    <w:t>主要排污口安装VOCs自动监测设备，并与环保部门联网。</w:t>
                  </w:r>
                </w:p>
              </w:tc>
              <w:tc>
                <w:tcPr>
                  <w:tcW w:w="1498" w:type="pct"/>
                  <w:tcBorders>
                    <w:tl2br w:val="nil"/>
                    <w:tr2bl w:val="nil"/>
                  </w:tcBorders>
                  <w:noWrap/>
                  <w:vAlign w:val="center"/>
                </w:tcPr>
                <w:p w14:paraId="3D1B994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eastAsia" w:ascii="Times New Roman" w:hAnsi="Times New Roman" w:cs="Times New Roman"/>
                      <w:color w:val="auto"/>
                      <w:sz w:val="21"/>
                      <w:szCs w:val="21"/>
                      <w:lang w:val="en-US" w:eastAsia="zh-CN"/>
                    </w:rPr>
                    <w:t>为</w:t>
                  </w:r>
                  <w:bookmarkStart w:id="17" w:name="OLE_LINK192"/>
                  <w:r>
                    <w:rPr>
                      <w:rFonts w:hint="eastAsia" w:ascii="Times New Roman" w:hAnsi="Times New Roman" w:cs="Times New Roman"/>
                      <w:color w:val="auto"/>
                      <w:sz w:val="21"/>
                      <w:szCs w:val="21"/>
                      <w:lang w:val="en-US" w:eastAsia="zh-CN"/>
                    </w:rPr>
                    <w:t>炸药及火工产品制造行业</w:t>
                  </w:r>
                  <w:bookmarkEnd w:id="17"/>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rPr>
                    <w:t>挥发性有机物</w:t>
                  </w:r>
                  <w:r>
                    <w:rPr>
                      <w:rFonts w:hint="eastAsia" w:ascii="Times New Roman" w:hAnsi="Times New Roman" w:cs="Times New Roman"/>
                      <w:color w:val="auto"/>
                      <w:sz w:val="21"/>
                      <w:szCs w:val="21"/>
                      <w:lang w:val="en-US" w:eastAsia="zh-CN"/>
                    </w:rPr>
                    <w:t>产生量较小</w:t>
                  </w:r>
                  <w:r>
                    <w:rPr>
                      <w:rFonts w:hint="default" w:ascii="Times New Roman" w:hAnsi="Times New Roman" w:cs="Times New Roman"/>
                      <w:color w:val="auto"/>
                      <w:sz w:val="21"/>
                      <w:szCs w:val="21"/>
                    </w:rPr>
                    <w:t>，可以达标排放</w:t>
                  </w:r>
                </w:p>
              </w:tc>
              <w:tc>
                <w:tcPr>
                  <w:tcW w:w="240" w:type="pct"/>
                  <w:tcBorders>
                    <w:tl2br w:val="nil"/>
                    <w:tr2bl w:val="nil"/>
                  </w:tcBorders>
                  <w:noWrap/>
                  <w:vAlign w:val="center"/>
                </w:tcPr>
                <w:p w14:paraId="1F85390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16399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5000" w:type="pct"/>
                  <w:gridSpan w:val="4"/>
                  <w:tcBorders>
                    <w:tl2br w:val="nil"/>
                    <w:tr2bl w:val="nil"/>
                  </w:tcBorders>
                  <w:noWrap/>
                  <w:vAlign w:val="center"/>
                </w:tcPr>
                <w:p w14:paraId="0C9A463E">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主要任务</w:t>
                  </w:r>
                </w:p>
              </w:tc>
            </w:tr>
            <w:tr w14:paraId="3E640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22" w:type="pct"/>
                  <w:tcBorders>
                    <w:tl2br w:val="nil"/>
                    <w:tr2bl w:val="nil"/>
                  </w:tcBorders>
                  <w:noWrap/>
                  <w:vAlign w:val="center"/>
                </w:tcPr>
                <w:p w14:paraId="4D34C20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3037" w:type="pct"/>
                  <w:tcBorders>
                    <w:tl2br w:val="nil"/>
                    <w:tr2bl w:val="nil"/>
                  </w:tcBorders>
                  <w:noWrap/>
                  <w:vAlign w:val="center"/>
                </w:tcPr>
                <w:p w14:paraId="209EA05A">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严格建设项目环境准入。提高VOCs排放重点行业环保准入门槛，严格执行我省相关产业的环境准入指导意见，控制新增污染物排放量。逐步提高石化、化工、工业涂装、包装印刷等高VOCs排放建设项目的环保准入门槛，实行严格的控制措施。未纳入《石化产业规划布局方案》的新建炼化项目一律不得建设。新建涉VOCs排放的重点工业企业应进入园区。新建化工项目进入符合区域规划和规划环评要求的化工园区或化工集聚区块。严格涉VOCs建设项目环境影响评价，实行区域内VOCs排放等量削减替代，并将替代方案落实到企业排污许可证中，纳入环境执法管理。新、改、扩建排放VOCs的项目，应从源头加强控制，使用低（无）VOCs含量的原辅材料，加强废气收集，配套安装高效收集治理设施。</w:t>
                  </w:r>
                </w:p>
              </w:tc>
              <w:tc>
                <w:tcPr>
                  <w:tcW w:w="1498" w:type="pct"/>
                  <w:tcBorders>
                    <w:tl2br w:val="nil"/>
                    <w:tr2bl w:val="nil"/>
                  </w:tcBorders>
                  <w:noWrap/>
                  <w:vAlign w:val="center"/>
                </w:tcPr>
                <w:p w14:paraId="632FBDD8">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本</w:t>
                  </w:r>
                  <w:r>
                    <w:rPr>
                      <w:rFonts w:hint="default" w:ascii="Times New Roman" w:hAnsi="Times New Roman" w:cs="Times New Roman"/>
                      <w:color w:val="auto"/>
                      <w:sz w:val="21"/>
                      <w:szCs w:val="21"/>
                    </w:rPr>
                    <w:t>项目位于</w:t>
                  </w:r>
                  <w:r>
                    <w:rPr>
                      <w:rFonts w:hint="eastAsia" w:ascii="Times New Roman" w:hAnsi="Times New Roman" w:cs="Times New Roman"/>
                      <w:color w:val="auto"/>
                      <w:sz w:val="21"/>
                      <w:szCs w:val="21"/>
                      <w:lang w:eastAsia="zh-CN"/>
                    </w:rPr>
                    <w:t>辽宁省朝阳市喀左县大城子镇小城子村</w:t>
                  </w:r>
                  <w:r>
                    <w:rPr>
                      <w:rFonts w:hint="default" w:ascii="Times New Roman" w:hAnsi="Times New Roman" w:cs="Times New Roman"/>
                      <w:color w:val="auto"/>
                      <w:sz w:val="21"/>
                      <w:szCs w:val="21"/>
                    </w:rPr>
                    <w:t>，不属于炼化项目，</w:t>
                  </w:r>
                  <w:r>
                    <w:rPr>
                      <w:rFonts w:hint="eastAsia" w:ascii="Times New Roman" w:hAnsi="Times New Roman" w:cs="Times New Roman"/>
                      <w:color w:val="auto"/>
                      <w:sz w:val="21"/>
                      <w:szCs w:val="21"/>
                      <w:lang w:val="en-US" w:eastAsia="zh-CN"/>
                    </w:rPr>
                    <w:t>不属于化工项目，</w:t>
                  </w:r>
                  <w:r>
                    <w:rPr>
                      <w:rFonts w:hint="default" w:ascii="Times New Roman" w:hAnsi="Times New Roman" w:cs="Times New Roman"/>
                      <w:color w:val="auto"/>
                      <w:sz w:val="21"/>
                      <w:szCs w:val="21"/>
                    </w:rPr>
                    <w:t>企业产生的有机废气</w:t>
                  </w:r>
                  <w:r>
                    <w:rPr>
                      <w:rFonts w:hint="eastAsia" w:ascii="Times New Roman" w:hAnsi="Times New Roman" w:cs="Times New Roman"/>
                      <w:color w:val="auto"/>
                      <w:sz w:val="21"/>
                      <w:szCs w:val="21"/>
                      <w:lang w:val="en-US" w:eastAsia="zh-CN"/>
                    </w:rPr>
                    <w:t>量较小，</w:t>
                  </w:r>
                  <w:r>
                    <w:rPr>
                      <w:rFonts w:hint="default" w:ascii="Times New Roman" w:hAnsi="Times New Roman" w:cs="Times New Roman"/>
                      <w:color w:val="auto"/>
                      <w:sz w:val="21"/>
                      <w:szCs w:val="21"/>
                    </w:rPr>
                    <w:t>能够达标排放。</w:t>
                  </w:r>
                </w:p>
              </w:tc>
              <w:tc>
                <w:tcPr>
                  <w:tcW w:w="240" w:type="pct"/>
                  <w:tcBorders>
                    <w:tl2br w:val="nil"/>
                    <w:tr2bl w:val="nil"/>
                  </w:tcBorders>
                  <w:noWrap/>
                  <w:vAlign w:val="center"/>
                </w:tcPr>
                <w:p w14:paraId="41AE0BE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28302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222" w:type="pct"/>
                  <w:tcBorders>
                    <w:tl2br w:val="nil"/>
                    <w:tr2bl w:val="nil"/>
                  </w:tcBorders>
                  <w:noWrap/>
                  <w:vAlign w:val="center"/>
                </w:tcPr>
                <w:p w14:paraId="424CEDA5">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3037" w:type="pct"/>
                  <w:tcBorders>
                    <w:tl2br w:val="nil"/>
                    <w:tr2bl w:val="nil"/>
                  </w:tcBorders>
                  <w:noWrap/>
                  <w:vAlign w:val="center"/>
                </w:tcPr>
                <w:p w14:paraId="70E09943">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全面实施石化行业达标排放。石化企业应严格执行《石油炼制工业污染物排放标准》（GB31570-2015）、《石油化学工业污染物排放标准》（GB31571-2015）和《合成树脂工业污染物排放标准》（GB31572-2015）等相关要求，全面加强全过程精细化管理，通过源头预防、过程控制和末端治理等综合措施，实现稳定达标排放。到2020年，石化行业VOCs排放量比2015年减少40%以上。持续推进泄漏检测与修复（LDAR），建立健全管理制度。重点加强搅拌器、泵、压缩机等动密封点，及低点导淋、取样口、高点放空、液位计、仪表连接件、泄压装置、储罐呼吸口、检修口密封处等静密封点的泄漏管理。严格控制储存、装卸损失，真实蒸汽压大于等于76.6kPa的挥发性有机液体储存应采用压力罐；真实蒸汽压大于等于5.2kPa且小于76.6kPa的挥发性有机液体储存优先采用压力罐、低温罐、高效密封的浮顶罐，采用固定顶罐的应安装顶空联通置换油气回收装置。有机液体装卸必须采取全密闭底部装载、顶部浸没式装载等方式，汽油、航空汽油、石脑油、煤油等高挥发性有机液体和苯、甲苯、二甲苯等危险化学品的装卸过程采取高效油气回收措施，使用具有油气回收接口的车船。强化废水收集处理系统等逸散废气收集治理，废水集输、储存、处理处置过程中的集水井（池）、调节池、隔油池、曝气池、气浮池、浓缩池等高浓度VOCs的逸散环节应采用密闭收集措施，并采取回收利用措施，难以利用的应安装高效治理设施。鼓励对生化池等低浓度VOCs逸散环节采用密闭工艺，并采取相应处理措施。提升有组织工艺废气治理水平，工艺弛放气、酸性水罐工艺尾气、氧化尾气、重整催化剂再生尾气等工艺废气优先回收利用，难以利用的应采用催化焚烧、热力焚烧或送火炬系统焚烧等销毁措施。</w:t>
                  </w:r>
                </w:p>
                <w:p w14:paraId="3CD3391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非正常工况排放控制。企业应制定开停车、检维修、生产异常等非正常工况的操作规程和污染控制措施。在确保安全前提下，非正常工况排放的有机废气严禁直接排放，应送火炬系统处理，禁止熄灭火炬长明灯；无火炬系统的，应采用冷凝、吸收、吸附等处理措施，降低排放。加强操作管理，减少非计划停车及事故工况发生频次；对事故工况，企业应开展事后评估，及时向当地环境保护主管部门报告。企业应做好检维修记录，及时向社会公开非正常工况相关环境信息，接受社会监督。</w:t>
                  </w:r>
                </w:p>
              </w:tc>
              <w:tc>
                <w:tcPr>
                  <w:tcW w:w="1498" w:type="pct"/>
                  <w:tcBorders>
                    <w:tl2br w:val="nil"/>
                    <w:tr2bl w:val="nil"/>
                  </w:tcBorders>
                  <w:noWrap/>
                  <w:vAlign w:val="center"/>
                </w:tcPr>
                <w:p w14:paraId="3B9A47B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val="en-US" w:eastAsia="zh-CN"/>
                    </w:rPr>
                    <w:t>设置</w:t>
                  </w:r>
                  <w:r>
                    <w:rPr>
                      <w:rFonts w:hint="eastAsia" w:ascii="Times New Roman" w:hAnsi="Times New Roman" w:cs="Times New Roman"/>
                      <w:color w:val="auto"/>
                      <w:sz w:val="21"/>
                      <w:szCs w:val="21"/>
                      <w:lang w:val="en-US" w:eastAsia="zh-CN"/>
                    </w:rPr>
                    <w:t>硝酸铵溶液</w:t>
                  </w:r>
                  <w:r>
                    <w:rPr>
                      <w:rFonts w:hint="default" w:ascii="Times New Roman" w:hAnsi="Times New Roman" w:cs="Times New Roman"/>
                      <w:color w:val="auto"/>
                      <w:sz w:val="21"/>
                      <w:szCs w:val="21"/>
                      <w:lang w:val="en-US" w:eastAsia="zh-CN"/>
                    </w:rPr>
                    <w:t>储罐，</w:t>
                  </w:r>
                  <w:r>
                    <w:rPr>
                      <w:rFonts w:hint="eastAsia" w:ascii="Times New Roman" w:hAnsi="Times New Roman" w:cs="Times New Roman"/>
                      <w:color w:val="auto"/>
                      <w:sz w:val="21"/>
                      <w:szCs w:val="21"/>
                      <w:lang w:val="en-US" w:eastAsia="zh-CN"/>
                    </w:rPr>
                    <w:t>为常压保温储罐，复合油相不设置日常储罐，每个生产班次由密闭槽车运至</w:t>
                  </w:r>
                  <w:r>
                    <w:rPr>
                      <w:rFonts w:hint="eastAsia" w:cs="Times New Roman"/>
                      <w:color w:val="auto"/>
                      <w:sz w:val="21"/>
                      <w:szCs w:val="21"/>
                      <w:lang w:val="en-US" w:eastAsia="zh-CN"/>
                    </w:rPr>
                    <w:t>水油相制备工房</w:t>
                  </w:r>
                  <w:r>
                    <w:rPr>
                      <w:rFonts w:hint="eastAsia" w:ascii="Times New Roman" w:hAnsi="Times New Roman" w:cs="Times New Roman"/>
                      <w:color w:val="auto"/>
                      <w:sz w:val="21"/>
                      <w:szCs w:val="21"/>
                      <w:lang w:val="en-US" w:eastAsia="zh-CN"/>
                    </w:rPr>
                    <w:t>仅供一班次使用</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生产装置</w:t>
                  </w:r>
                  <w:r>
                    <w:rPr>
                      <w:rFonts w:hint="eastAsia" w:ascii="Times New Roman" w:hAnsi="Times New Roman" w:cs="Times New Roman"/>
                      <w:color w:val="auto"/>
                      <w:sz w:val="21"/>
                      <w:szCs w:val="21"/>
                      <w:lang w:val="en-US" w:eastAsia="zh-CN"/>
                    </w:rPr>
                    <w:t>均</w:t>
                  </w:r>
                  <w:r>
                    <w:rPr>
                      <w:rFonts w:hint="default" w:ascii="Times New Roman" w:hAnsi="Times New Roman" w:cs="Times New Roman"/>
                      <w:color w:val="auto"/>
                      <w:sz w:val="21"/>
                      <w:szCs w:val="21"/>
                      <w:lang w:val="en-US" w:eastAsia="zh-CN"/>
                    </w:rPr>
                    <w:t>密封；</w:t>
                  </w:r>
                  <w:r>
                    <w:rPr>
                      <w:rFonts w:hint="default" w:ascii="Times New Roman" w:hAnsi="Times New Roman" w:cs="Times New Roman"/>
                      <w:color w:val="auto"/>
                      <w:sz w:val="21"/>
                      <w:szCs w:val="21"/>
                    </w:rPr>
                    <w:t>项目产生的有机废气</w:t>
                  </w:r>
                  <w:r>
                    <w:rPr>
                      <w:rFonts w:hint="eastAsia" w:ascii="Times New Roman" w:hAnsi="Times New Roman" w:cs="Times New Roman"/>
                      <w:color w:val="auto"/>
                      <w:sz w:val="21"/>
                      <w:szCs w:val="21"/>
                      <w:lang w:val="en-US" w:eastAsia="zh-CN"/>
                    </w:rPr>
                    <w:t>量较少，</w:t>
                  </w:r>
                  <w:r>
                    <w:rPr>
                      <w:rFonts w:hint="default" w:ascii="Times New Roman" w:hAnsi="Times New Roman" w:cs="Times New Roman"/>
                      <w:color w:val="auto"/>
                      <w:sz w:val="21"/>
                      <w:szCs w:val="21"/>
                    </w:rPr>
                    <w:t>能够达标排放。</w:t>
                  </w:r>
                </w:p>
              </w:tc>
              <w:tc>
                <w:tcPr>
                  <w:tcW w:w="240" w:type="pct"/>
                  <w:tcBorders>
                    <w:tl2br w:val="nil"/>
                    <w:tr2bl w:val="nil"/>
                  </w:tcBorders>
                  <w:noWrap/>
                  <w:vAlign w:val="center"/>
                </w:tcPr>
                <w:p w14:paraId="179B686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3AB59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222" w:type="pct"/>
                  <w:tcBorders>
                    <w:tl2br w:val="nil"/>
                    <w:tr2bl w:val="nil"/>
                  </w:tcBorders>
                  <w:noWrap/>
                  <w:vAlign w:val="center"/>
                </w:tcPr>
                <w:p w14:paraId="2ECDB99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3037" w:type="pct"/>
                  <w:tcBorders>
                    <w:tl2br w:val="nil"/>
                    <w:tr2bl w:val="nil"/>
                  </w:tcBorders>
                  <w:noWrap/>
                  <w:vAlign w:val="center"/>
                </w:tcPr>
                <w:p w14:paraId="59D6C694">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快推进化工行业VOCs综合治理。加大制药、农药、煤化工（含现代煤化工、炼焦、合成氨等）、橡胶制品、涂料、油墨、胶粘剂、染料、化学助剂（塑料助剂和橡胶助剂）、日用化工等化工行业VOCs治理力度。橡胶制品企业和炼焦工序企业应严格执行《橡胶制品工业污染物排放标准（GB27632—2011）》和《炼焦化学工业污染物排放标准》（GB16171-2012）有关要求，加强精细化管理水平，确保稳定达标排放。到2020年，化工行业VOCs排放量比2015年减少30%以上。</w:t>
                  </w:r>
                </w:p>
                <w:p w14:paraId="06809593">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推广低（无）VOCs含量、低反应活性的原辅材料和产品。农药行业要加快替代轻芳烃等溶剂，大力推广水基化类制剂；制药行业鼓励使用低（无）VOCs含量或低反应活性的溶剂，大力发展清洁、高效的绿色环保产品；橡胶制品行业推广使用新型偶联剂、粘合剂等</w:t>
                  </w:r>
                </w:p>
                <w:p w14:paraId="23BD75D0">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产品，推广使用石蜡油等全面替代普通芳烃油、煤焦油等助剂。</w:t>
                  </w:r>
                </w:p>
                <w:p w14:paraId="08B3C7C0">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优化生产工艺方案。农药行业加快水相法合成、生物酶法拆分等技术开发推广；制药行业加快生物酶合成法等技术开发推广；橡胶制品行业推广采用串联法混炼、常压连续脱硫工艺。涂料、油墨、染料制造行业推广使用密闭化生产装备。采取密闭生产工艺，推广使用无泄漏、低泄漏设备，采用先进的物料输送、分离设备和进出料方式，封闭所有不必要的开口，尽可能提高设备的密闭性和自动化水平。</w:t>
                  </w:r>
                </w:p>
                <w:p w14:paraId="09CAE46B">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工企业设备动静密封点、储存、装卸、废水系统、有组织工艺废气和非正常工况等源项，参照石化行业要求开展VOCs防治工作。现代煤化工行业全面实施LDAR，制药、农药、炼焦、涂料、油墨、胶粘剂、染料等行业逐步推广LDAR工作。在连续密闭化生产的</w:t>
                  </w:r>
                </w:p>
                <w:p w14:paraId="707A6DC6">
                  <w:pPr>
                    <w:spacing w:line="240" w:lineRule="auto"/>
                    <w:ind w:firstLine="0" w:firstLineChars="0"/>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化工企业、含有有机化学品储存企业试点开展LDAR工作。加强无组织废气排放控制，含VOCs物料的储存、输送、投料、卸料，涉及VOCs物料的生产及含VOCs产品分装等过程应密闭操作。反应尾气、蒸馏装置不凝尾气等工艺排气，工艺容器的置换气、吹扫气、抽真空排气等应进行收集处理。参照石化行业要求开展废水收集处理系统的VOCs污染防治工作。加强精细化管理，实施排污许可制，通过源头预防、过程控制和末端治理等综合措施，推动行业改造升级，实现达标排放。</w:t>
                  </w:r>
                </w:p>
              </w:tc>
              <w:tc>
                <w:tcPr>
                  <w:tcW w:w="1498" w:type="pct"/>
                  <w:tcBorders>
                    <w:tl2br w:val="nil"/>
                    <w:tr2bl w:val="nil"/>
                  </w:tcBorders>
                  <w:noWrap/>
                  <w:vAlign w:val="center"/>
                </w:tcPr>
                <w:p w14:paraId="782B3E41">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本次扩建项目VOC</w:t>
                  </w:r>
                  <w:r>
                    <w:rPr>
                      <w:rFonts w:hint="default" w:ascii="Times New Roman" w:hAnsi="Times New Roman" w:cs="Times New Roman"/>
                      <w:color w:val="auto"/>
                      <w:sz w:val="21"/>
                      <w:szCs w:val="21"/>
                      <w:vertAlign w:val="subscript"/>
                    </w:rPr>
                    <w:t>S</w:t>
                  </w:r>
                  <w:r>
                    <w:rPr>
                      <w:rFonts w:hint="default" w:ascii="Times New Roman" w:hAnsi="Times New Roman" w:cs="Times New Roman"/>
                      <w:color w:val="auto"/>
                      <w:sz w:val="21"/>
                      <w:szCs w:val="21"/>
                    </w:rPr>
                    <w:t>物料均为密闭运输和输送，</w:t>
                  </w:r>
                  <w:bookmarkStart w:id="18" w:name="OLE_LINK187"/>
                  <w:r>
                    <w:rPr>
                      <w:rFonts w:hint="eastAsia" w:ascii="Times New Roman" w:hAnsi="Times New Roman" w:cs="Times New Roman"/>
                      <w:color w:val="auto"/>
                      <w:sz w:val="21"/>
                      <w:szCs w:val="21"/>
                      <w:lang w:val="en-US" w:eastAsia="zh-CN"/>
                    </w:rPr>
                    <w:t>仅油相由密闭槽车上料输送产生少量废气排放，乳化炸药半成品钢带冷却和皮带输送时</w:t>
                  </w:r>
                  <w:r>
                    <w:rPr>
                      <w:rFonts w:hint="default" w:ascii="Times New Roman" w:hAnsi="Times New Roman" w:cs="Times New Roman"/>
                      <w:color w:val="auto"/>
                      <w:sz w:val="21"/>
                      <w:szCs w:val="21"/>
                    </w:rPr>
                    <w:t>产生</w:t>
                  </w:r>
                  <w:r>
                    <w:rPr>
                      <w:rFonts w:hint="eastAsia" w:ascii="Times New Roman" w:hAnsi="Times New Roman" w:cs="Times New Roman"/>
                      <w:color w:val="auto"/>
                      <w:sz w:val="21"/>
                      <w:szCs w:val="21"/>
                      <w:lang w:val="en-US" w:eastAsia="zh-CN"/>
                    </w:rPr>
                    <w:t>有机废气排放，由于安全防爆因素和生产指标要求无法封闭，</w:t>
                  </w:r>
                  <w:r>
                    <w:rPr>
                      <w:rFonts w:hint="default" w:ascii="Times New Roman" w:hAnsi="Times New Roman" w:cs="Times New Roman"/>
                      <w:color w:val="auto"/>
                      <w:sz w:val="21"/>
                      <w:szCs w:val="21"/>
                    </w:rPr>
                    <w:t>生产工序</w:t>
                  </w:r>
                  <w:r>
                    <w:rPr>
                      <w:rFonts w:hint="eastAsia" w:ascii="Times New Roman" w:hAnsi="Times New Roman" w:cs="Times New Roman"/>
                      <w:color w:val="auto"/>
                      <w:sz w:val="21"/>
                      <w:szCs w:val="21"/>
                      <w:lang w:val="en-US" w:eastAsia="zh-CN"/>
                    </w:rPr>
                    <w:t>有机废气排放量较小</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能够达标排放</w:t>
                  </w:r>
                  <w:r>
                    <w:rPr>
                      <w:rFonts w:hint="default" w:ascii="Times New Roman" w:hAnsi="Times New Roman" w:cs="Times New Roman"/>
                      <w:color w:val="auto"/>
                      <w:sz w:val="21"/>
                      <w:szCs w:val="21"/>
                    </w:rPr>
                    <w:t>。</w:t>
                  </w:r>
                  <w:bookmarkEnd w:id="18"/>
                </w:p>
              </w:tc>
              <w:tc>
                <w:tcPr>
                  <w:tcW w:w="240" w:type="pct"/>
                  <w:tcBorders>
                    <w:tl2br w:val="nil"/>
                    <w:tr2bl w:val="nil"/>
                  </w:tcBorders>
                  <w:noWrap/>
                  <w:vAlign w:val="center"/>
                </w:tcPr>
                <w:p w14:paraId="2E871C4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784B6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22" w:type="pct"/>
                  <w:tcBorders>
                    <w:tl2br w:val="nil"/>
                    <w:tr2bl w:val="nil"/>
                  </w:tcBorders>
                  <w:noWrap/>
                  <w:vAlign w:val="center"/>
                </w:tcPr>
                <w:p w14:paraId="4544E75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3037" w:type="pct"/>
                  <w:tcBorders>
                    <w:tl2br w:val="nil"/>
                    <w:tr2bl w:val="nil"/>
                  </w:tcBorders>
                  <w:noWrap/>
                  <w:vAlign w:val="center"/>
                </w:tcPr>
                <w:p w14:paraId="0D6A2F1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深入推进包装印刷行业VOCs综合治理。推广使用低（无）VOCs含量的绿色原辅材料和低（无）VOCs排放的生产工艺、设备，加强无组织废气收集，优化烘干技术，配套建设末端治理措施，实现VOCs全过程控制。全省在2019年全面启动VOCs治理工作，力争2020年底完成。到2020年，包装印刷行业VOCs排放量比2015年减少50%以上。</w:t>
                  </w:r>
                </w:p>
                <w:p w14:paraId="0F687B7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源头控制。大力推广使用水性、大豆基、能量固化等低（无）VOCs含量的油墨和低（无）VOCs含量的胶粘剂、清洗剂、润版液、洗车水、涂布液，到2019年底前，低（无）VOCs含量绿色原辅材料替代比例不低于60%。在纸制品包装、塑料软包装等领域，推广</w:t>
                  </w:r>
                </w:p>
                <w:p w14:paraId="160DBE8E">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使用柔印等低（无）VOCs排放的印刷工艺。在塑料软包装领域，推广应用无溶剂、水性胶等环境友好型复合技术，到2019年底前，替代比例不低于60%。油墨、胶粘剂等生产企业要加大产品结构调整力度，生产满足环保技术要求的产品。</w:t>
                  </w:r>
                </w:p>
                <w:p w14:paraId="3DF3E2E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废气收集与处理。对油墨、胶粘剂等有机原辅材料调配和使用等环节，要采取车间环境密闭负压改造、安装高效集气装置等措施，加强废气收集，有机废气收集率达到70%以上。对有机溶剂的转运、储存等环节，采取密闭措施，减少无组织排放。在烘干环节，采取循环风烘干技术，减少废气排放。收集的废气要采取吸附回收、吸附燃烧等高效治理设施，确保稳定达标排放。</w:t>
                  </w:r>
                </w:p>
              </w:tc>
              <w:tc>
                <w:tcPr>
                  <w:tcW w:w="1498" w:type="pct"/>
                  <w:tcBorders>
                    <w:tl2br w:val="nil"/>
                    <w:tr2bl w:val="nil"/>
                  </w:tcBorders>
                  <w:noWrap/>
                  <w:vAlign w:val="center"/>
                </w:tcPr>
                <w:p w14:paraId="7380EB0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eastAsia" w:ascii="Times New Roman" w:hAnsi="Times New Roman" w:cs="Times New Roman"/>
                      <w:color w:val="auto"/>
                      <w:sz w:val="21"/>
                      <w:szCs w:val="21"/>
                      <w:lang w:val="en-US" w:eastAsia="zh-CN"/>
                    </w:rPr>
                    <w:t>为炸药及火工产品制造行业</w:t>
                  </w:r>
                  <w:r>
                    <w:rPr>
                      <w:rFonts w:hint="eastAsia" w:cs="Times New Roman"/>
                      <w:color w:val="auto"/>
                      <w:sz w:val="21"/>
                      <w:szCs w:val="21"/>
                      <w:lang w:val="en-US" w:eastAsia="zh-CN"/>
                    </w:rPr>
                    <w:t>。</w:t>
                  </w:r>
                  <w:r>
                    <w:rPr>
                      <w:rFonts w:hint="default" w:ascii="Times New Roman" w:hAnsi="Times New Roman" w:cs="Times New Roman"/>
                      <w:color w:val="auto"/>
                      <w:sz w:val="21"/>
                      <w:szCs w:val="21"/>
                    </w:rPr>
                    <w:t>本次</w:t>
                  </w:r>
                  <w:r>
                    <w:rPr>
                      <w:rFonts w:hint="eastAsia" w:ascii="Times New Roman" w:hAnsi="Times New Roman" w:cs="Times New Roman"/>
                      <w:color w:val="auto"/>
                      <w:sz w:val="21"/>
                      <w:szCs w:val="21"/>
                      <w:lang w:val="en-US" w:eastAsia="zh-CN"/>
                    </w:rPr>
                    <w:t>扩</w:t>
                  </w:r>
                  <w:r>
                    <w:rPr>
                      <w:rFonts w:hint="default" w:ascii="Times New Roman" w:hAnsi="Times New Roman" w:cs="Times New Roman"/>
                      <w:color w:val="auto"/>
                      <w:sz w:val="21"/>
                      <w:szCs w:val="21"/>
                    </w:rPr>
                    <w:t>建项目</w:t>
                  </w:r>
                  <w:r>
                    <w:rPr>
                      <w:rFonts w:hint="eastAsia" w:ascii="Times New Roman" w:hAnsi="Times New Roman" w:cs="Times New Roman"/>
                      <w:color w:val="auto"/>
                      <w:sz w:val="21"/>
                      <w:szCs w:val="21"/>
                      <w:lang w:val="en-US" w:eastAsia="zh-CN"/>
                    </w:rPr>
                    <w:t>VOC</w:t>
                  </w:r>
                  <w:r>
                    <w:rPr>
                      <w:rFonts w:hint="eastAsia" w:ascii="Times New Roman" w:hAnsi="Times New Roman" w:cs="Times New Roman"/>
                      <w:color w:val="auto"/>
                      <w:sz w:val="21"/>
                      <w:szCs w:val="21"/>
                      <w:vertAlign w:val="subscript"/>
                      <w:lang w:val="en-US" w:eastAsia="zh-CN"/>
                    </w:rPr>
                    <w:t>S</w:t>
                  </w:r>
                  <w:r>
                    <w:rPr>
                      <w:rFonts w:hint="eastAsia" w:ascii="Times New Roman" w:hAnsi="Times New Roman" w:cs="Times New Roman"/>
                      <w:color w:val="auto"/>
                      <w:sz w:val="21"/>
                      <w:szCs w:val="21"/>
                      <w:lang w:val="en-US" w:eastAsia="zh-CN"/>
                    </w:rPr>
                    <w:t>物料均为密闭运输和输送，仅油相由密闭槽车上料输送产生少量废气排放，乳化炸药半成品钢带冷却和皮带输送时</w:t>
                  </w:r>
                  <w:r>
                    <w:rPr>
                      <w:rFonts w:hint="default" w:ascii="Times New Roman" w:hAnsi="Times New Roman" w:cs="Times New Roman"/>
                      <w:color w:val="auto"/>
                      <w:sz w:val="21"/>
                      <w:szCs w:val="21"/>
                    </w:rPr>
                    <w:t>产生</w:t>
                  </w:r>
                  <w:r>
                    <w:rPr>
                      <w:rFonts w:hint="eastAsia" w:ascii="Times New Roman" w:hAnsi="Times New Roman" w:cs="Times New Roman"/>
                      <w:color w:val="auto"/>
                      <w:sz w:val="21"/>
                      <w:szCs w:val="21"/>
                      <w:lang w:val="en-US" w:eastAsia="zh-CN"/>
                    </w:rPr>
                    <w:t>有机废气排放，由于安全防爆因素和生产指标要求无法封闭，</w:t>
                  </w:r>
                  <w:r>
                    <w:rPr>
                      <w:rFonts w:hint="default" w:ascii="Times New Roman" w:hAnsi="Times New Roman" w:cs="Times New Roman"/>
                      <w:color w:val="auto"/>
                      <w:sz w:val="21"/>
                      <w:szCs w:val="21"/>
                    </w:rPr>
                    <w:t>生产工序</w:t>
                  </w:r>
                  <w:r>
                    <w:rPr>
                      <w:rFonts w:hint="eastAsia" w:ascii="Times New Roman" w:hAnsi="Times New Roman" w:cs="Times New Roman"/>
                      <w:color w:val="auto"/>
                      <w:sz w:val="21"/>
                      <w:szCs w:val="21"/>
                      <w:lang w:val="en-US" w:eastAsia="zh-CN"/>
                    </w:rPr>
                    <w:t>有机废气排放量较小</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能够达标排放</w:t>
                  </w:r>
                  <w:r>
                    <w:rPr>
                      <w:rFonts w:hint="default" w:ascii="Times New Roman" w:hAnsi="Times New Roman" w:cs="Times New Roman"/>
                      <w:color w:val="auto"/>
                      <w:sz w:val="21"/>
                      <w:szCs w:val="21"/>
                    </w:rPr>
                    <w:t>。</w:t>
                  </w:r>
                </w:p>
              </w:tc>
              <w:tc>
                <w:tcPr>
                  <w:tcW w:w="240" w:type="pct"/>
                  <w:tcBorders>
                    <w:tl2br w:val="nil"/>
                    <w:tr2bl w:val="nil"/>
                  </w:tcBorders>
                  <w:noWrap/>
                  <w:vAlign w:val="center"/>
                </w:tcPr>
                <w:p w14:paraId="4396B99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0FBF4836">
            <w:pPr>
              <w:spacing w:before="120" w:beforeLines="50"/>
              <w:ind w:firstLine="480"/>
              <w:rPr>
                <w:color w:val="auto"/>
              </w:rPr>
            </w:pPr>
            <w:r>
              <w:rPr>
                <w:rFonts w:hint="eastAsia"/>
                <w:color w:val="auto"/>
                <w:sz w:val="24"/>
                <w:szCs w:val="24"/>
              </w:rPr>
              <w:t>综上，本项目与辽宁省《“十三五”挥发性有机物污染防治与削减工作方案》相符。</w:t>
            </w:r>
          </w:p>
          <w:p w14:paraId="03A5E1B1">
            <w:pPr>
              <w:pStyle w:val="5"/>
              <w:tabs>
                <w:tab w:val="left" w:pos="1620"/>
              </w:tabs>
              <w:spacing w:before="120" w:beforeLines="50" w:after="0" w:line="360" w:lineRule="auto"/>
              <w:ind w:left="0" w:leftChars="0" w:firstLine="0" w:firstLineChars="0"/>
              <w:jc w:val="left"/>
              <w:rPr>
                <w:rFonts w:hint="eastAsia" w:ascii="Times New Roman" w:hAnsi="Times New Roman" w:eastAsia="宋体" w:cs="Times New Roman"/>
                <w:b/>
                <w:bCs/>
                <w:snapToGrid w:val="0"/>
                <w:color w:val="auto"/>
                <w:sz w:val="24"/>
                <w:szCs w:val="24"/>
                <w:lang w:val="en-US" w:eastAsia="zh-CN" w:bidi="ar-SA"/>
              </w:rPr>
            </w:pPr>
            <w:r>
              <w:rPr>
                <w:rFonts w:hint="eastAsia" w:ascii="Times New Roman" w:hAnsi="Times New Roman" w:cs="Times New Roman"/>
                <w:b/>
                <w:bCs/>
                <w:snapToGrid w:val="0"/>
                <w:color w:val="auto"/>
                <w:sz w:val="24"/>
                <w:szCs w:val="24"/>
                <w:lang w:val="en-US" w:eastAsia="zh-CN" w:bidi="ar-SA"/>
              </w:rPr>
              <w:t>7、</w:t>
            </w:r>
            <w:r>
              <w:rPr>
                <w:rFonts w:hint="eastAsia" w:ascii="Times New Roman" w:hAnsi="Times New Roman" w:eastAsia="宋体" w:cs="Times New Roman"/>
                <w:b/>
                <w:bCs/>
                <w:snapToGrid w:val="0"/>
                <w:color w:val="auto"/>
                <w:sz w:val="24"/>
                <w:szCs w:val="24"/>
                <w:lang w:val="en-US" w:eastAsia="zh-CN" w:bidi="ar-SA"/>
              </w:rPr>
              <w:t>与《</w:t>
            </w:r>
            <w:r>
              <w:rPr>
                <w:rFonts w:hint="eastAsia" w:ascii="Times New Roman" w:hAnsi="Times New Roman" w:cs="Times New Roman"/>
                <w:b/>
                <w:bCs/>
                <w:snapToGrid w:val="0"/>
                <w:color w:val="auto"/>
                <w:sz w:val="24"/>
                <w:szCs w:val="24"/>
                <w:lang w:val="en-US" w:eastAsia="zh-CN" w:bidi="ar-SA"/>
              </w:rPr>
              <w:t>关于印发〈2020</w:t>
            </w:r>
            <w:r>
              <w:rPr>
                <w:rFonts w:hint="eastAsia" w:ascii="Times New Roman" w:hAnsi="Times New Roman" w:eastAsia="宋体" w:cs="Times New Roman"/>
                <w:b/>
                <w:bCs/>
                <w:snapToGrid w:val="0"/>
                <w:color w:val="auto"/>
                <w:sz w:val="24"/>
                <w:szCs w:val="24"/>
                <w:lang w:val="en-US" w:eastAsia="zh-CN" w:bidi="ar-SA"/>
              </w:rPr>
              <w:t>年挥发性有机物治理攻坚方案</w:t>
            </w:r>
            <w:r>
              <w:rPr>
                <w:rFonts w:hint="eastAsia" w:ascii="Times New Roman" w:hAnsi="Times New Roman" w:cs="Times New Roman"/>
                <w:b/>
                <w:bCs/>
                <w:snapToGrid w:val="0"/>
                <w:color w:val="auto"/>
                <w:sz w:val="24"/>
                <w:szCs w:val="24"/>
                <w:lang w:val="en-US" w:eastAsia="zh-CN" w:bidi="ar-SA"/>
              </w:rPr>
              <w:t>〉</w:t>
            </w:r>
            <w:r>
              <w:rPr>
                <w:rFonts w:hint="eastAsia" w:ascii="Times New Roman" w:hAnsi="Times New Roman" w:eastAsia="宋体" w:cs="Times New Roman"/>
                <w:b/>
                <w:bCs/>
                <w:snapToGrid w:val="0"/>
                <w:color w:val="auto"/>
                <w:sz w:val="24"/>
                <w:szCs w:val="24"/>
                <w:lang w:val="en-US" w:eastAsia="zh-CN" w:bidi="ar-SA"/>
              </w:rPr>
              <w:t>的通知</w:t>
            </w:r>
            <w:r>
              <w:rPr>
                <w:rFonts w:hint="eastAsia" w:ascii="Times New Roman" w:hAnsi="Times New Roman" w:cs="Times New Roman"/>
                <w:b/>
                <w:bCs/>
                <w:snapToGrid w:val="0"/>
                <w:color w:val="auto"/>
                <w:sz w:val="24"/>
                <w:szCs w:val="24"/>
                <w:lang w:val="en-US" w:eastAsia="zh-CN" w:bidi="ar-SA"/>
              </w:rPr>
              <w:t>》（</w:t>
            </w:r>
            <w:r>
              <w:rPr>
                <w:rFonts w:hint="eastAsia" w:ascii="Times New Roman" w:hAnsi="Times New Roman" w:eastAsia="宋体" w:cs="Times New Roman"/>
                <w:b/>
                <w:bCs/>
                <w:snapToGrid w:val="0"/>
                <w:color w:val="auto"/>
                <w:sz w:val="24"/>
                <w:szCs w:val="24"/>
                <w:lang w:val="en-US" w:eastAsia="zh-CN" w:bidi="ar-SA"/>
              </w:rPr>
              <w:t>环大气﹝2020﹞33号</w:t>
            </w:r>
            <w:r>
              <w:rPr>
                <w:rFonts w:hint="eastAsia" w:ascii="Times New Roman" w:hAnsi="Times New Roman" w:cs="Times New Roman"/>
                <w:b/>
                <w:bCs/>
                <w:snapToGrid w:val="0"/>
                <w:color w:val="auto"/>
                <w:sz w:val="24"/>
                <w:szCs w:val="24"/>
                <w:lang w:val="en-US" w:eastAsia="zh-CN" w:bidi="ar-SA"/>
              </w:rPr>
              <w:t>）</w:t>
            </w:r>
            <w:r>
              <w:rPr>
                <w:rFonts w:hint="eastAsia" w:ascii="Times New Roman" w:hAnsi="Times New Roman" w:eastAsia="宋体" w:cs="Times New Roman"/>
                <w:b/>
                <w:bCs/>
                <w:snapToGrid w:val="0"/>
                <w:color w:val="auto"/>
                <w:sz w:val="24"/>
                <w:szCs w:val="24"/>
                <w:lang w:val="en-US" w:eastAsia="zh-CN" w:bidi="ar-SA"/>
              </w:rPr>
              <w:t>符合性分析</w:t>
            </w:r>
          </w:p>
          <w:p w14:paraId="592F9B14">
            <w:pPr>
              <w:pStyle w:val="115"/>
              <w:spacing w:before="52" w:line="224" w:lineRule="auto"/>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表</w:t>
            </w:r>
            <w:r>
              <w:rPr>
                <w:rFonts w:hint="eastAsia" w:ascii="Times New Roman" w:hAnsi="Times New Roman" w:eastAsia="宋体" w:cs="Times New Roman"/>
                <w:b/>
                <w:bCs/>
                <w:color w:val="auto"/>
                <w:spacing w:val="8"/>
                <w:sz w:val="21"/>
                <w:szCs w:val="21"/>
                <w:lang w:val="en-US" w:eastAsia="zh-CN"/>
              </w:rPr>
              <w:t>1-</w:t>
            </w:r>
            <w:r>
              <w:rPr>
                <w:rFonts w:hint="eastAsia" w:ascii="Times New Roman" w:hAnsi="Times New Roman" w:cs="Times New Roman"/>
                <w:b/>
                <w:bCs/>
                <w:color w:val="auto"/>
                <w:spacing w:val="8"/>
                <w:sz w:val="21"/>
                <w:szCs w:val="21"/>
                <w:lang w:val="en-US" w:eastAsia="zh-CN"/>
              </w:rPr>
              <w:t>6</w:t>
            </w:r>
            <w:r>
              <w:rPr>
                <w:rFonts w:hint="eastAsia" w:ascii="Times New Roman" w:hAnsi="Times New Roman" w:eastAsia="宋体" w:cs="Times New Roman"/>
                <w:b/>
                <w:bCs/>
                <w:color w:val="auto"/>
                <w:spacing w:val="8"/>
                <w:sz w:val="21"/>
                <w:szCs w:val="21"/>
                <w:lang w:val="en-US" w:eastAsia="zh-CN"/>
              </w:rPr>
              <w:t xml:space="preserve"> </w:t>
            </w:r>
            <w:r>
              <w:rPr>
                <w:rFonts w:hint="default" w:ascii="Times New Roman" w:hAnsi="Times New Roman" w:eastAsia="宋体" w:cs="Times New Roman"/>
                <w:b/>
                <w:bCs/>
                <w:color w:val="auto"/>
                <w:spacing w:val="8"/>
                <w:sz w:val="21"/>
                <w:szCs w:val="21"/>
              </w:rPr>
              <w:t>与《</w:t>
            </w:r>
            <w:r>
              <w:rPr>
                <w:rFonts w:hint="eastAsia" w:ascii="Times New Roman" w:hAnsi="Times New Roman" w:cs="Times New Roman"/>
                <w:b/>
                <w:bCs/>
                <w:color w:val="auto"/>
                <w:spacing w:val="8"/>
                <w:sz w:val="21"/>
                <w:szCs w:val="21"/>
                <w:lang w:eastAsia="zh-CN"/>
              </w:rPr>
              <w:t>关于印发〈2020</w:t>
            </w:r>
            <w:r>
              <w:rPr>
                <w:rFonts w:hint="default" w:ascii="Times New Roman" w:hAnsi="Times New Roman" w:eastAsia="宋体" w:cs="Times New Roman"/>
                <w:b/>
                <w:bCs/>
                <w:color w:val="auto"/>
                <w:spacing w:val="8"/>
                <w:sz w:val="21"/>
                <w:szCs w:val="21"/>
              </w:rPr>
              <w:t>年挥发性有机物治理攻坚方案</w:t>
            </w:r>
            <w:r>
              <w:rPr>
                <w:rFonts w:hint="eastAsia" w:ascii="Times New Roman" w:hAnsi="Times New Roman" w:cs="Times New Roman"/>
                <w:b/>
                <w:bCs/>
                <w:color w:val="auto"/>
                <w:spacing w:val="8"/>
                <w:sz w:val="21"/>
                <w:szCs w:val="21"/>
                <w:lang w:eastAsia="zh-CN"/>
              </w:rPr>
              <w:t>〉</w:t>
            </w:r>
            <w:r>
              <w:rPr>
                <w:rFonts w:hint="default" w:ascii="Times New Roman" w:hAnsi="Times New Roman" w:eastAsia="宋体" w:cs="Times New Roman"/>
                <w:b/>
                <w:bCs/>
                <w:color w:val="auto"/>
                <w:spacing w:val="8"/>
                <w:sz w:val="21"/>
                <w:szCs w:val="21"/>
              </w:rPr>
              <w:t>的通知</w:t>
            </w:r>
            <w:r>
              <w:rPr>
                <w:rFonts w:hint="eastAsia" w:ascii="Times New Roman" w:hAnsi="Times New Roman" w:cs="Times New Roman"/>
                <w:b/>
                <w:bCs/>
                <w:color w:val="auto"/>
                <w:spacing w:val="8"/>
                <w:sz w:val="21"/>
                <w:szCs w:val="21"/>
                <w:lang w:eastAsia="zh-CN"/>
              </w:rPr>
              <w:t>》（</w:t>
            </w:r>
            <w:r>
              <w:rPr>
                <w:rFonts w:hint="default" w:ascii="Times New Roman" w:hAnsi="Times New Roman" w:eastAsia="宋体" w:cs="Times New Roman"/>
                <w:b/>
                <w:bCs/>
                <w:color w:val="auto"/>
                <w:spacing w:val="8"/>
                <w:sz w:val="21"/>
                <w:szCs w:val="21"/>
              </w:rPr>
              <w:t>环大气﹝2020﹞33号）符合性分析</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3"/>
              <w:gridCol w:w="519"/>
              <w:gridCol w:w="4458"/>
              <w:gridCol w:w="1955"/>
              <w:gridCol w:w="421"/>
            </w:tblGrid>
            <w:tr w14:paraId="3AEAB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8" w:hRule="exact"/>
              </w:trPr>
              <w:tc>
                <w:tcPr>
                  <w:tcW w:w="320" w:type="pct"/>
                  <w:tcBorders>
                    <w:tl2br w:val="nil"/>
                    <w:tr2bl w:val="nil"/>
                  </w:tcBorders>
                  <w:noWrap/>
                  <w:vAlign w:val="center"/>
                </w:tcPr>
                <w:p w14:paraId="64779216">
                  <w:pPr>
                    <w:spacing w:line="240" w:lineRule="auto"/>
                    <w:ind w:firstLine="0" w:firstLineChars="0"/>
                    <w:jc w:val="both"/>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3166" w:type="pct"/>
                  <w:gridSpan w:val="2"/>
                  <w:tcBorders>
                    <w:tl2br w:val="nil"/>
                    <w:tr2bl w:val="nil"/>
                  </w:tcBorders>
                  <w:noWrap/>
                  <w:vAlign w:val="center"/>
                </w:tcPr>
                <w:p w14:paraId="2438AA9C">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《2020年挥发性有机物治理攻坚方案》的通知（环大气﹝2020﹞33号）</w:t>
                  </w:r>
                </w:p>
              </w:tc>
              <w:tc>
                <w:tcPr>
                  <w:tcW w:w="1244" w:type="pct"/>
                  <w:tcBorders>
                    <w:tl2br w:val="nil"/>
                    <w:tr2bl w:val="nil"/>
                  </w:tcBorders>
                  <w:noWrap/>
                  <w:vAlign w:val="center"/>
                </w:tcPr>
                <w:p w14:paraId="2481DD67">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本项目实际情况</w:t>
                  </w:r>
                </w:p>
              </w:tc>
              <w:tc>
                <w:tcPr>
                  <w:tcW w:w="268" w:type="pct"/>
                  <w:tcBorders>
                    <w:tl2br w:val="nil"/>
                    <w:tr2bl w:val="nil"/>
                  </w:tcBorders>
                  <w:noWrap/>
                  <w:vAlign w:val="center"/>
                </w:tcPr>
                <w:p w14:paraId="4B35445B">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符合性</w:t>
                  </w:r>
                </w:p>
              </w:tc>
            </w:tr>
            <w:tr w14:paraId="44C9B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20" w:type="pct"/>
                  <w:tcBorders>
                    <w:tl2br w:val="nil"/>
                    <w:tr2bl w:val="nil"/>
                  </w:tcBorders>
                  <w:noWrap/>
                  <w:vAlign w:val="center"/>
                </w:tcPr>
                <w:p w14:paraId="5F6A45E7">
                  <w:pPr>
                    <w:spacing w:line="24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330" w:type="pct"/>
                  <w:tcBorders>
                    <w:tl2br w:val="nil"/>
                    <w:tr2bl w:val="nil"/>
                  </w:tcBorders>
                  <w:noWrap/>
                  <w:vAlign w:val="center"/>
                </w:tcPr>
                <w:p w14:paraId="6DE4CD9F">
                  <w:pPr>
                    <w:numPr>
                      <w:ilvl w:val="0"/>
                      <w:numId w:val="3"/>
                    </w:num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val="0"/>
                      <w:bCs w:val="0"/>
                      <w:color w:val="auto"/>
                      <w:sz w:val="21"/>
                      <w:szCs w:val="21"/>
                    </w:rPr>
                    <w:t>大力推进源头替代，有效减少VOCs产生</w:t>
                  </w:r>
                </w:p>
              </w:tc>
              <w:tc>
                <w:tcPr>
                  <w:tcW w:w="2836" w:type="pct"/>
                  <w:tcBorders>
                    <w:tl2br w:val="nil"/>
                    <w:tr2bl w:val="nil"/>
                  </w:tcBorders>
                  <w:noWrap/>
                  <w:vAlign w:val="center"/>
                </w:tcPr>
                <w:p w14:paraId="0E24A48C">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①</w:t>
                  </w:r>
                  <w:r>
                    <w:rPr>
                      <w:rFonts w:hint="default" w:ascii="Times New Roman" w:hAnsi="Times New Roman" w:eastAsia="Helvetica" w:cs="Times New Roman"/>
                      <w:b/>
                      <w:bCs/>
                      <w:color w:val="auto"/>
                      <w:sz w:val="21"/>
                      <w:szCs w:val="21"/>
                      <w:shd w:val="clear" w:color="auto" w:fill="FFFFFF"/>
                    </w:rPr>
                    <w:t>严格落实国家和地方产品VOCs含量限值标准</w:t>
                  </w:r>
                  <w:r>
                    <w:rPr>
                      <w:rFonts w:hint="default" w:ascii="Times New Roman" w:hAnsi="Times New Roman" w:cs="Times New Roman"/>
                      <w:b/>
                      <w:bCs/>
                      <w:color w:val="auto"/>
                      <w:sz w:val="21"/>
                      <w:szCs w:val="21"/>
                      <w:shd w:val="clear" w:color="auto" w:fill="FFFFFF"/>
                    </w:rPr>
                    <w:t>：</w:t>
                  </w:r>
                  <w:r>
                    <w:rPr>
                      <w:rFonts w:hint="default" w:ascii="Times New Roman" w:hAnsi="Times New Roman" w:eastAsia="Helvetica" w:cs="Times New Roman"/>
                      <w:color w:val="auto"/>
                      <w:sz w:val="21"/>
                      <w:szCs w:val="21"/>
                      <w:shd w:val="clear" w:color="auto" w:fill="FFFFFF"/>
                    </w:rPr>
                    <w:t>2020年7月1日起，船舶涂料和地坪涂料生产、销售和使用应满足新颁布实施的国家产品有害物质限量标准要求</w:t>
                  </w:r>
                  <w:r>
                    <w:rPr>
                      <w:rFonts w:hint="default" w:ascii="Times New Roman" w:hAnsi="Times New Roman" w:cs="Times New Roman"/>
                      <w:color w:val="auto"/>
                      <w:sz w:val="21"/>
                      <w:szCs w:val="21"/>
                    </w:rPr>
                    <w:t>；</w:t>
                  </w:r>
                  <w:r>
                    <w:rPr>
                      <w:rFonts w:hint="default" w:ascii="Times New Roman" w:hAnsi="Times New Roman" w:eastAsia="Helvetica" w:cs="Times New Roman"/>
                      <w:color w:val="auto"/>
                      <w:sz w:val="21"/>
                      <w:szCs w:val="21"/>
                      <w:shd w:val="clear" w:color="auto" w:fill="FFFFFF"/>
                    </w:rPr>
                    <w:t>督促生产企业提前做好油墨、胶粘剂、清洗剂及木器、车辆、建筑用外墙、工业防护涂料等有害物质限量标准实施准备工作，在标准正式生效前有序完成切换，有条件的地区根据环境空气质量改善需要提前实施。</w:t>
                  </w:r>
                </w:p>
                <w:p w14:paraId="3D881A4E">
                  <w:pPr>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②</w:t>
                  </w:r>
                  <w:r>
                    <w:rPr>
                      <w:rFonts w:hint="default" w:ascii="Times New Roman" w:hAnsi="Times New Roman" w:eastAsia="Helvetica" w:cs="Times New Roman"/>
                      <w:b/>
                      <w:bCs/>
                      <w:color w:val="auto"/>
                      <w:sz w:val="21"/>
                      <w:szCs w:val="21"/>
                      <w:shd w:val="clear" w:color="auto" w:fill="FFFFFF"/>
                    </w:rPr>
                    <w:t>大力推进低（无）VOCs含量原辅材料替代</w:t>
                  </w:r>
                  <w:r>
                    <w:rPr>
                      <w:rFonts w:hint="default" w:ascii="Times New Roman" w:hAnsi="Times New Roman" w:cs="Times New Roman"/>
                      <w:b/>
                      <w:bCs/>
                      <w:color w:val="auto"/>
                      <w:sz w:val="21"/>
                      <w:szCs w:val="21"/>
                      <w:shd w:val="clear" w:color="auto" w:fill="FFFFFF"/>
                    </w:rPr>
                    <w:t>：</w:t>
                  </w:r>
                  <w:r>
                    <w:rPr>
                      <w:rFonts w:hint="default" w:ascii="Times New Roman" w:hAnsi="Times New Roman" w:eastAsia="Helvetica" w:cs="Times New Roman"/>
                      <w:color w:val="auto"/>
                      <w:sz w:val="21"/>
                      <w:szCs w:val="21"/>
                      <w:shd w:val="clear" w:color="auto" w:fill="FFFFFF"/>
                    </w:rPr>
                    <w:t>记录VOCs原辅材料名称、成分、VOCs含量、采购量、使用量、库存量、回收方式、回收量等信息，并保存相关证明材料</w:t>
                  </w:r>
                  <w:r>
                    <w:rPr>
                      <w:rFonts w:hint="default" w:ascii="Times New Roman" w:hAnsi="Times New Roman" w:cs="Times New Roman"/>
                      <w:color w:val="auto"/>
                      <w:sz w:val="21"/>
                      <w:szCs w:val="21"/>
                      <w:shd w:val="clear" w:color="auto" w:fill="FFFFFF"/>
                    </w:rPr>
                    <w:t>；</w:t>
                  </w:r>
                  <w:r>
                    <w:rPr>
                      <w:rFonts w:hint="default" w:ascii="Times New Roman" w:hAnsi="Times New Roman" w:eastAsia="Helvetica" w:cs="Times New Roman"/>
                      <w:color w:val="auto"/>
                      <w:sz w:val="21"/>
                      <w:szCs w:val="21"/>
                      <w:shd w:val="clear" w:color="auto" w:fill="FFFFFF"/>
                    </w:rPr>
                    <w:t>采用符合国家有关低VOCs含量产品规定的涂料、油墨、胶粘剂等，排放浓度稳定达标且排放速率满足相关规定的，相应生产工序可不要求建设末端治理设施</w:t>
                  </w:r>
                  <w:r>
                    <w:rPr>
                      <w:rFonts w:hint="default" w:ascii="Times New Roman" w:hAnsi="Times New Roman" w:cs="Times New Roman"/>
                      <w:color w:val="auto"/>
                      <w:sz w:val="21"/>
                      <w:szCs w:val="21"/>
                      <w:shd w:val="clear" w:color="auto" w:fill="FFFFFF"/>
                    </w:rPr>
                    <w:t>；</w:t>
                  </w:r>
                  <w:r>
                    <w:rPr>
                      <w:rFonts w:hint="default" w:ascii="Times New Roman" w:hAnsi="Times New Roman" w:eastAsia="Helvetica" w:cs="Times New Roman"/>
                      <w:color w:val="auto"/>
                      <w:sz w:val="21"/>
                      <w:szCs w:val="21"/>
                      <w:shd w:val="clear" w:color="auto" w:fill="FFFFFF"/>
                    </w:rPr>
                    <w:t>使用的原辅材料VOCs含量（质量比）均低于10%的工序，可不要求采取无组织排放收集和处理措施。</w:t>
                  </w:r>
                </w:p>
              </w:tc>
              <w:tc>
                <w:tcPr>
                  <w:tcW w:w="1244" w:type="pct"/>
                  <w:tcBorders>
                    <w:tl2br w:val="nil"/>
                    <w:tr2bl w:val="nil"/>
                  </w:tcBorders>
                  <w:noWrap/>
                  <w:vAlign w:val="center"/>
                </w:tcPr>
                <w:p w14:paraId="0D17D0A3">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①本项目不涉及船舶涂料、地坪涂料、油墨、胶黏剂、清洗剂、木器、车辆、建筑用外墙及工业防护涂料等；</w:t>
                  </w:r>
                </w:p>
                <w:p w14:paraId="65896597">
                  <w:pPr>
                    <w:spacing w:line="240" w:lineRule="auto"/>
                    <w:ind w:firstLine="0" w:firstLineChars="0"/>
                    <w:jc w:val="left"/>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②本项目使用的</w:t>
                  </w:r>
                  <w:r>
                    <w:rPr>
                      <w:rFonts w:hint="eastAsia" w:ascii="Times New Roman" w:hAnsi="Times New Roman" w:cs="Times New Roman"/>
                      <w:color w:val="auto"/>
                      <w:sz w:val="21"/>
                      <w:szCs w:val="21"/>
                      <w:lang w:val="en-US" w:eastAsia="zh-CN"/>
                    </w:rPr>
                    <w:t>复合油相</w:t>
                  </w:r>
                  <w:r>
                    <w:rPr>
                      <w:rFonts w:hint="default" w:ascii="Times New Roman" w:hAnsi="Times New Roman" w:cs="Times New Roman"/>
                      <w:color w:val="auto"/>
                      <w:sz w:val="21"/>
                      <w:szCs w:val="21"/>
                    </w:rPr>
                    <w:t>为</w:t>
                  </w:r>
                  <w:r>
                    <w:rPr>
                      <w:rFonts w:hint="eastAsia" w:ascii="Times New Roman" w:hAnsi="Times New Roman" w:cs="Times New Roman"/>
                      <w:color w:val="auto"/>
                      <w:sz w:val="21"/>
                      <w:szCs w:val="21"/>
                      <w:lang w:val="en-US" w:eastAsia="zh-CN"/>
                    </w:rPr>
                    <w:t>减少</w:t>
                  </w:r>
                  <w:r>
                    <w:rPr>
                      <w:rFonts w:hint="default" w:ascii="Times New Roman" w:hAnsi="Times New Roman" w:cs="Times New Roman"/>
                      <w:color w:val="auto"/>
                      <w:sz w:val="21"/>
                      <w:szCs w:val="21"/>
                    </w:rPr>
                    <w:t>其无组织排放，均采用密闭管道</w:t>
                  </w:r>
                  <w:r>
                    <w:rPr>
                      <w:rFonts w:hint="eastAsia" w:ascii="Times New Roman" w:hAnsi="Times New Roman" w:cs="Times New Roman"/>
                      <w:color w:val="auto"/>
                      <w:sz w:val="21"/>
                      <w:szCs w:val="21"/>
                      <w:lang w:val="en-US" w:eastAsia="zh-CN"/>
                    </w:rPr>
                    <w:t>和槽车</w:t>
                  </w:r>
                  <w:r>
                    <w:rPr>
                      <w:rFonts w:hint="default" w:ascii="Times New Roman" w:hAnsi="Times New Roman" w:cs="Times New Roman"/>
                      <w:color w:val="auto"/>
                      <w:sz w:val="21"/>
                      <w:szCs w:val="21"/>
                    </w:rPr>
                    <w:t>进行</w:t>
                  </w:r>
                  <w:r>
                    <w:rPr>
                      <w:rFonts w:hint="eastAsia" w:ascii="Times New Roman" w:hAnsi="Times New Roman" w:cs="Times New Roman"/>
                      <w:color w:val="auto"/>
                      <w:sz w:val="21"/>
                      <w:szCs w:val="21"/>
                      <w:lang w:val="en-US" w:eastAsia="zh-CN"/>
                    </w:rPr>
                    <w:t>运输</w:t>
                  </w:r>
                  <w:r>
                    <w:rPr>
                      <w:rFonts w:hint="default" w:ascii="Times New Roman" w:hAnsi="Times New Roman" w:cs="Times New Roman"/>
                      <w:color w:val="auto"/>
                      <w:sz w:val="21"/>
                      <w:szCs w:val="21"/>
                    </w:rPr>
                    <w:t>上料。</w:t>
                  </w:r>
                  <w:r>
                    <w:rPr>
                      <w:rFonts w:hint="eastAsia" w:ascii="Times New Roman" w:hAnsi="Times New Roman" w:cs="Times New Roman"/>
                      <w:color w:val="auto"/>
                      <w:sz w:val="21"/>
                      <w:szCs w:val="21"/>
                      <w:lang w:val="en-US" w:eastAsia="zh-CN"/>
                    </w:rPr>
                    <w:t>仅油相由密闭槽车上料输送产生少量废气排放，乳化炸药半成品钢带冷却和皮带输送时</w:t>
                  </w:r>
                  <w:r>
                    <w:rPr>
                      <w:rFonts w:hint="default" w:ascii="Times New Roman" w:hAnsi="Times New Roman" w:cs="Times New Roman"/>
                      <w:color w:val="auto"/>
                      <w:sz w:val="21"/>
                      <w:szCs w:val="21"/>
                    </w:rPr>
                    <w:t>产生</w:t>
                  </w:r>
                  <w:r>
                    <w:rPr>
                      <w:rFonts w:hint="eastAsia" w:ascii="Times New Roman" w:hAnsi="Times New Roman" w:cs="Times New Roman"/>
                      <w:color w:val="auto"/>
                      <w:sz w:val="21"/>
                      <w:szCs w:val="21"/>
                      <w:lang w:val="en-US" w:eastAsia="zh-CN"/>
                    </w:rPr>
                    <w:t>有机废气排放，由于安全防爆因素和生产指标要求无法封闭，</w:t>
                  </w:r>
                  <w:r>
                    <w:rPr>
                      <w:rFonts w:hint="default" w:ascii="Times New Roman" w:hAnsi="Times New Roman" w:cs="Times New Roman"/>
                      <w:color w:val="auto"/>
                      <w:sz w:val="21"/>
                      <w:szCs w:val="21"/>
                    </w:rPr>
                    <w:t>生产工序</w:t>
                  </w:r>
                  <w:r>
                    <w:rPr>
                      <w:rFonts w:hint="eastAsia" w:ascii="Times New Roman" w:hAnsi="Times New Roman" w:cs="Times New Roman"/>
                      <w:color w:val="auto"/>
                      <w:sz w:val="21"/>
                      <w:szCs w:val="21"/>
                      <w:lang w:val="en-US" w:eastAsia="zh-CN"/>
                    </w:rPr>
                    <w:t>有机废气排放量较小</w:t>
                  </w:r>
                  <w:r>
                    <w:rPr>
                      <w:rFonts w:hint="default" w:ascii="Times New Roman" w:hAnsi="Times New Roman" w:cs="Times New Roman"/>
                      <w:color w:val="auto"/>
                      <w:sz w:val="21"/>
                      <w:szCs w:val="21"/>
                    </w:rPr>
                    <w:t>。</w:t>
                  </w:r>
                </w:p>
              </w:tc>
              <w:tc>
                <w:tcPr>
                  <w:tcW w:w="268" w:type="pct"/>
                  <w:tcBorders>
                    <w:tl2br w:val="nil"/>
                    <w:tr2bl w:val="nil"/>
                  </w:tcBorders>
                  <w:noWrap/>
                  <w:vAlign w:val="center"/>
                </w:tcPr>
                <w:p w14:paraId="0C19805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24213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9" w:hRule="atLeast"/>
              </w:trPr>
              <w:tc>
                <w:tcPr>
                  <w:tcW w:w="320" w:type="pct"/>
                  <w:tcBorders>
                    <w:tl2br w:val="nil"/>
                    <w:tr2bl w:val="nil"/>
                  </w:tcBorders>
                  <w:noWrap/>
                  <w:vAlign w:val="center"/>
                </w:tcPr>
                <w:p w14:paraId="5CB8FC82">
                  <w:pPr>
                    <w:spacing w:line="24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330" w:type="pct"/>
                  <w:tcBorders>
                    <w:tl2br w:val="nil"/>
                    <w:tr2bl w:val="nil"/>
                  </w:tcBorders>
                  <w:noWrap/>
                  <w:vAlign w:val="center"/>
                </w:tcPr>
                <w:p w14:paraId="74F50AE6">
                  <w:pPr>
                    <w:numPr>
                      <w:ilvl w:val="0"/>
                      <w:numId w:val="3"/>
                    </w:num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val="0"/>
                      <w:bCs w:val="0"/>
                      <w:color w:val="auto"/>
                      <w:sz w:val="21"/>
                      <w:szCs w:val="21"/>
                      <w:shd w:val="clear" w:color="auto" w:fill="FFFFFF"/>
                    </w:rPr>
                    <w:t>全面落实标准要求，强化无组织排放控制</w:t>
                  </w:r>
                </w:p>
              </w:tc>
              <w:tc>
                <w:tcPr>
                  <w:tcW w:w="2836" w:type="pct"/>
                  <w:tcBorders>
                    <w:tl2br w:val="nil"/>
                    <w:tr2bl w:val="nil"/>
                  </w:tcBorders>
                  <w:noWrap/>
                  <w:vAlign w:val="center"/>
                </w:tcPr>
                <w:p w14:paraId="0245C42E">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cs="Times New Roman"/>
                      <w:color w:val="auto"/>
                      <w:sz w:val="21"/>
                      <w:szCs w:val="21"/>
                    </w:rPr>
                    <w:t>①</w:t>
                  </w:r>
                  <w:r>
                    <w:rPr>
                      <w:rFonts w:hint="default" w:ascii="Times New Roman" w:hAnsi="Times New Roman" w:eastAsia="Helvetica" w:cs="Times New Roman"/>
                      <w:color w:val="auto"/>
                      <w:sz w:val="21"/>
                      <w:szCs w:val="21"/>
                      <w:shd w:val="clear" w:color="auto" w:fill="FFFFFF"/>
                    </w:rPr>
                    <w:t>2020年7月1日起，全面执行《挥发性有机物无组织排放控制标准》，重点区域应落实无组织排放特别控制要求</w:t>
                  </w:r>
                </w:p>
                <w:p w14:paraId="32EA0E12">
                  <w:pPr>
                    <w:spacing w:line="240" w:lineRule="auto"/>
                    <w:ind w:firstLine="0" w:firstLineChars="0"/>
                    <w:rPr>
                      <w:rFonts w:hint="default" w:ascii="Times New Roman" w:hAnsi="Times New Roman" w:cs="Times New Roman"/>
                      <w:color w:val="auto"/>
                      <w:sz w:val="21"/>
                      <w:szCs w:val="21"/>
                      <w:shd w:val="clear" w:color="auto" w:fill="FFFFFF"/>
                    </w:rPr>
                  </w:pPr>
                  <w:r>
                    <w:rPr>
                      <w:rFonts w:hint="default" w:ascii="Times New Roman" w:hAnsi="Times New Roman" w:cs="Times New Roman"/>
                      <w:color w:val="auto"/>
                      <w:sz w:val="21"/>
                      <w:szCs w:val="21"/>
                      <w:shd w:val="clear" w:color="auto" w:fill="FFFFFF"/>
                    </w:rPr>
                    <w:t>②</w:t>
                  </w:r>
                  <w:r>
                    <w:rPr>
                      <w:rFonts w:hint="default" w:ascii="Times New Roman" w:hAnsi="Times New Roman" w:eastAsia="Helvetica" w:cs="Times New Roman"/>
                      <w:color w:val="auto"/>
                      <w:sz w:val="21"/>
                      <w:szCs w:val="21"/>
                      <w:shd w:val="clear" w:color="auto" w:fill="FFFFFF"/>
                    </w:rPr>
                    <w:t>督促指导企业对照标准要求开展含VOCs物料（包括含VOCs原辅材料、含VOCs产品、含VOCs废料以及有机聚合物材料等）储存、转移和输送、设备与管线组件泄漏、敞开液面逸散以及工艺过程等无组织排放环节排查整治，对达不到要求的加快整改</w:t>
                  </w:r>
                  <w:r>
                    <w:rPr>
                      <w:rFonts w:hint="default" w:ascii="Times New Roman" w:hAnsi="Times New Roman" w:cs="Times New Roman"/>
                      <w:color w:val="auto"/>
                      <w:sz w:val="21"/>
                      <w:szCs w:val="21"/>
                      <w:shd w:val="clear" w:color="auto" w:fill="FFFFFF"/>
                    </w:rPr>
                    <w:t>。</w:t>
                  </w:r>
                  <w:r>
                    <w:rPr>
                      <w:rFonts w:hint="default" w:ascii="Times New Roman" w:hAnsi="Times New Roman" w:eastAsia="Helvetica" w:cs="Times New Roman"/>
                      <w:color w:val="auto"/>
                      <w:sz w:val="21"/>
                      <w:szCs w:val="21"/>
                      <w:shd w:val="clear" w:color="auto" w:fill="FFFFFF"/>
                    </w:rPr>
                    <w:t>指导企业制定VOCs无组织排放控制规程，细化到具体工序和生产环节，以及启停机、检维修作业等，落实到具体责任人；健全内部考核制度，严格按照操作规程生产</w:t>
                  </w:r>
                  <w:r>
                    <w:rPr>
                      <w:rFonts w:hint="default" w:ascii="Times New Roman" w:hAnsi="Times New Roman" w:cs="Times New Roman"/>
                      <w:color w:val="auto"/>
                      <w:sz w:val="21"/>
                      <w:szCs w:val="21"/>
                      <w:shd w:val="clear" w:color="auto" w:fill="FFFFFF"/>
                    </w:rPr>
                    <w:t>，</w:t>
                  </w:r>
                  <w:r>
                    <w:rPr>
                      <w:rFonts w:hint="default" w:ascii="Times New Roman" w:hAnsi="Times New Roman" w:eastAsia="Helvetica" w:cs="Times New Roman"/>
                      <w:color w:val="auto"/>
                      <w:sz w:val="21"/>
                      <w:szCs w:val="21"/>
                      <w:shd w:val="clear" w:color="auto" w:fill="FFFFFF"/>
                    </w:rPr>
                    <w:t>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w:t>
                  </w:r>
                  <w:r>
                    <w:rPr>
                      <w:rFonts w:hint="default" w:ascii="Times New Roman" w:hAnsi="Times New Roman" w:cs="Times New Roman"/>
                      <w:color w:val="auto"/>
                      <w:sz w:val="21"/>
                      <w:szCs w:val="21"/>
                      <w:shd w:val="clear" w:color="auto" w:fill="FFFFFF"/>
                    </w:rPr>
                    <w:t>；</w:t>
                  </w:r>
                </w:p>
                <w:p w14:paraId="72F3C0D6">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cs="Times New Roman"/>
                      <w:color w:val="auto"/>
                      <w:sz w:val="21"/>
                      <w:szCs w:val="21"/>
                    </w:rPr>
                    <w:t>③</w:t>
                  </w:r>
                  <w:r>
                    <w:rPr>
                      <w:rFonts w:hint="default" w:ascii="Times New Roman" w:hAnsi="Times New Roman" w:eastAsia="Helvetica" w:cs="Times New Roman"/>
                      <w:color w:val="auto"/>
                      <w:sz w:val="21"/>
                      <w:szCs w:val="21"/>
                      <w:shd w:val="clear" w:color="auto" w:fill="FFFFFF"/>
                    </w:rPr>
                    <w:t>高VOCs含量废水的集输、储存和处理环节，应加盖密闭；</w:t>
                  </w:r>
                </w:p>
                <w:p w14:paraId="2B29FD18">
                  <w:pPr>
                    <w:spacing w:line="240" w:lineRule="auto"/>
                    <w:ind w:firstLine="0" w:firstLineChars="0"/>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shd w:val="clear" w:color="auto" w:fill="FFFFFF"/>
                    </w:rPr>
                    <w:t>④</w:t>
                  </w:r>
                  <w:r>
                    <w:rPr>
                      <w:rFonts w:hint="default" w:ascii="Times New Roman" w:hAnsi="Times New Roman" w:eastAsia="Helvetica" w:cs="Times New Roman"/>
                      <w:color w:val="auto"/>
                      <w:sz w:val="21"/>
                      <w:szCs w:val="21"/>
                      <w:shd w:val="clear" w:color="auto" w:fill="FFFFFF"/>
                    </w:rPr>
                    <w:t>石油炼制、石油化工、合成树脂企业严格按照排放标准要求开展LDAR工作，加强备用泵、在用泵、调节阀、搅拌器、开口管线等检测工作，强化质量控制；要将VOCs治理设施和储罐的密封点纳入检测计划中</w:t>
                  </w:r>
                  <w:r>
                    <w:rPr>
                      <w:rFonts w:hint="default" w:ascii="Times New Roman" w:hAnsi="Times New Roman" w:cs="Times New Roman"/>
                      <w:color w:val="auto"/>
                      <w:sz w:val="21"/>
                      <w:szCs w:val="21"/>
                      <w:shd w:val="clear" w:color="auto" w:fill="FFFFFF"/>
                    </w:rPr>
                    <w:t>。</w:t>
                  </w:r>
                </w:p>
              </w:tc>
              <w:tc>
                <w:tcPr>
                  <w:tcW w:w="1244" w:type="pct"/>
                  <w:tcBorders>
                    <w:tl2br w:val="nil"/>
                    <w:tr2bl w:val="nil"/>
                  </w:tcBorders>
                  <w:noWrap/>
                  <w:vAlign w:val="center"/>
                </w:tcPr>
                <w:p w14:paraId="7CCB52C0">
                  <w:pPr>
                    <w:spacing w:line="240" w:lineRule="auto"/>
                    <w:ind w:firstLine="0" w:firstLineChars="0"/>
                    <w:jc w:val="left"/>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①</w:t>
                  </w:r>
                  <w:r>
                    <w:rPr>
                      <w:rFonts w:hint="default" w:ascii="Times New Roman" w:hAnsi="Times New Roman" w:cs="Times New Roman"/>
                      <w:color w:val="auto"/>
                      <w:sz w:val="21"/>
                      <w:szCs w:val="21"/>
                      <w:shd w:val="clear" w:color="auto" w:fill="FFFFFF"/>
                    </w:rPr>
                    <w:t>本项目运营期产生的有机废气</w:t>
                  </w:r>
                  <w:r>
                    <w:rPr>
                      <w:rFonts w:hint="default" w:ascii="Times New Roman" w:hAnsi="Times New Roman" w:cs="Times New Roman"/>
                      <w:color w:val="auto"/>
                      <w:sz w:val="21"/>
                      <w:szCs w:val="21"/>
                      <w:shd w:val="clear" w:color="auto" w:fill="FFFFFF"/>
                      <w:lang w:val="en-US" w:eastAsia="zh-CN"/>
                    </w:rPr>
                    <w:t>主要</w:t>
                  </w:r>
                  <w:r>
                    <w:rPr>
                      <w:rFonts w:hint="default" w:ascii="Times New Roman" w:hAnsi="Times New Roman" w:cs="Times New Roman"/>
                      <w:color w:val="auto"/>
                      <w:sz w:val="21"/>
                      <w:szCs w:val="21"/>
                      <w:shd w:val="clear" w:color="auto" w:fill="FFFFFF"/>
                    </w:rPr>
                    <w:t>执行</w:t>
                  </w:r>
                  <w:r>
                    <w:rPr>
                      <w:rFonts w:hint="default" w:ascii="Times New Roman" w:hAnsi="Times New Roman" w:cs="Times New Roman"/>
                      <w:bCs/>
                      <w:color w:val="auto"/>
                      <w:sz w:val="21"/>
                      <w:szCs w:val="21"/>
                    </w:rPr>
                    <w:t>《大气污染物综合排放标准》（GB16297-1996）</w:t>
                  </w:r>
                  <w:r>
                    <w:rPr>
                      <w:rFonts w:hint="eastAsia" w:ascii="Times New Roman" w:hAnsi="Times New Roman" w:cs="Times New Roman"/>
                      <w:bCs/>
                      <w:color w:val="auto"/>
                      <w:sz w:val="21"/>
                      <w:szCs w:val="21"/>
                      <w:lang w:val="en-US" w:eastAsia="zh-CN"/>
                    </w:rPr>
                    <w:t>及</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rPr>
                    <w:t>挥发性有机物无组织排放控制标准</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rPr>
                    <w:t>（GB37822-2019）；</w:t>
                  </w:r>
                </w:p>
                <w:p w14:paraId="3F361A0D">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②本项目建设单位严格按照要求执行，减少无组织排放环节；</w:t>
                  </w:r>
                </w:p>
                <w:p w14:paraId="68AEEAE7">
                  <w:pPr>
                    <w:spacing w:line="240" w:lineRule="auto"/>
                    <w:ind w:firstLine="0" w:firstLineChars="0"/>
                    <w:jc w:val="left"/>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③</w:t>
                  </w:r>
                  <w:r>
                    <w:rPr>
                      <w:rFonts w:hint="default" w:ascii="Times New Roman" w:hAnsi="Times New Roman" w:cs="Times New Roman"/>
                      <w:color w:val="auto"/>
                      <w:sz w:val="21"/>
                      <w:szCs w:val="21"/>
                      <w:shd w:val="clear" w:color="auto" w:fill="FFFFFF"/>
                    </w:rPr>
                    <w:t>本项目建设单位严格按照要求执行。</w:t>
                  </w:r>
                </w:p>
              </w:tc>
              <w:tc>
                <w:tcPr>
                  <w:tcW w:w="268" w:type="pct"/>
                  <w:tcBorders>
                    <w:tl2br w:val="nil"/>
                    <w:tr2bl w:val="nil"/>
                  </w:tcBorders>
                  <w:noWrap/>
                  <w:vAlign w:val="center"/>
                </w:tcPr>
                <w:p w14:paraId="259A6B58">
                  <w:pPr>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rPr>
                    <w:t>符合</w:t>
                  </w:r>
                </w:p>
              </w:tc>
            </w:tr>
            <w:tr w14:paraId="627E7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20" w:type="pct"/>
                  <w:tcBorders>
                    <w:tl2br w:val="nil"/>
                    <w:tr2bl w:val="nil"/>
                  </w:tcBorders>
                  <w:noWrap/>
                  <w:vAlign w:val="center"/>
                </w:tcPr>
                <w:p w14:paraId="6BBC3C0D">
                  <w:pPr>
                    <w:spacing w:line="24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330" w:type="pct"/>
                  <w:tcBorders>
                    <w:tl2br w:val="nil"/>
                    <w:tr2bl w:val="nil"/>
                  </w:tcBorders>
                  <w:noWrap/>
                  <w:vAlign w:val="center"/>
                </w:tcPr>
                <w:p w14:paraId="675795C4">
                  <w:pPr>
                    <w:numPr>
                      <w:ilvl w:val="0"/>
                      <w:numId w:val="3"/>
                    </w:num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eastAsia="Helvetica" w:cs="Times New Roman"/>
                      <w:color w:val="auto"/>
                      <w:sz w:val="21"/>
                      <w:szCs w:val="21"/>
                      <w:shd w:val="clear" w:color="auto" w:fill="FFFFFF"/>
                    </w:rPr>
                    <w:t>聚焦治污设施“三率”，提升综合治理效率</w:t>
                  </w:r>
                </w:p>
              </w:tc>
              <w:tc>
                <w:tcPr>
                  <w:tcW w:w="2836" w:type="pct"/>
                  <w:tcBorders>
                    <w:tl2br w:val="nil"/>
                    <w:tr2bl w:val="nil"/>
                  </w:tcBorders>
                  <w:noWrap/>
                  <w:vAlign w:val="center"/>
                </w:tcPr>
                <w:p w14:paraId="70E3511F">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cs="Times New Roman"/>
                      <w:color w:val="auto"/>
                      <w:sz w:val="21"/>
                      <w:szCs w:val="21"/>
                      <w:shd w:val="clear" w:color="auto" w:fill="FFFFFF"/>
                    </w:rPr>
                    <w:t>①</w:t>
                  </w:r>
                  <w:r>
                    <w:rPr>
                      <w:rFonts w:hint="default" w:ascii="Times New Roman" w:hAnsi="Times New Roman" w:eastAsia="Helvetica" w:cs="Times New Roman"/>
                      <w:color w:val="auto"/>
                      <w:sz w:val="21"/>
                      <w:szCs w:val="21"/>
                      <w:shd w:val="clear" w:color="auto" w:fill="FFFFFF"/>
                    </w:rPr>
                    <w:t>行业排放标准中规定特别排放限值和控制要求的，应按相关规定执行；未制定行业标准的应执行大气污染物综合排放标准和挥发性有机物无组织排放控制标准；已制定更严格地方排放标准的，按地方标准执行。</w:t>
                  </w:r>
                </w:p>
                <w:p w14:paraId="4E90F90D">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cs="Times New Roman"/>
                      <w:color w:val="auto"/>
                      <w:sz w:val="21"/>
                      <w:szCs w:val="21"/>
                      <w:shd w:val="clear" w:color="auto" w:fill="FFFFFF"/>
                    </w:rPr>
                    <w:t>②</w:t>
                  </w:r>
                  <w:r>
                    <w:rPr>
                      <w:rFonts w:hint="default" w:ascii="Times New Roman" w:hAnsi="Times New Roman" w:eastAsia="Helvetica" w:cs="Times New Roman"/>
                      <w:color w:val="auto"/>
                      <w:sz w:val="21"/>
                      <w:szCs w:val="21"/>
                      <w:shd w:val="clear" w:color="auto" w:fill="FFFFFF"/>
                    </w:rPr>
                    <w:t>按照“应收尽收”的原则提升废气收集率。推动取消废气排放系统旁路，因安全生产等原因必须保留的，应将保留旁路清单报当地生态环境部门，旁路在非紧急情况下保持关闭，并通过铅封、安装自动监控设施、流量计等方式加强监管，开启后应及时向当地生态环境部门报告，做好台账记录。</w:t>
                  </w:r>
                </w:p>
                <w:p w14:paraId="3D798841">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cs="Times New Roman"/>
                      <w:color w:val="auto"/>
                      <w:sz w:val="21"/>
                      <w:szCs w:val="21"/>
                      <w:shd w:val="clear" w:color="auto" w:fill="FFFFFF"/>
                    </w:rPr>
                    <w:t>③</w:t>
                  </w:r>
                  <w:r>
                    <w:rPr>
                      <w:rFonts w:hint="default" w:ascii="Times New Roman" w:hAnsi="Times New Roman" w:eastAsia="Helvetica" w:cs="Times New Roman"/>
                      <w:color w:val="auto"/>
                      <w:sz w:val="21"/>
                      <w:szCs w:val="21"/>
                      <w:shd w:val="clear" w:color="auto" w:fill="FFFFFF"/>
                    </w:rPr>
                    <w:t>将无组织排放转变为有组织排放进行控制，优先采用密闭设备、在密闭空间中操作或采用全密闭集气罩收集方式；对于采用局部集气罩的，应根据废气排放特点合理选择收集点位，距集气罩开口面最远处的VOCs无组织排放位置，控制风速不低于0.3米/秒，达不到要求的通过更换大功率风机、增设烟道风机、增加垂帘等方式及时改造；加强生产车间密闭管理，在符合安全生产、职业卫生相关规定前提下，采用自动卷帘门、密闭性好的塑钢门窗等，在非必要时保持关闭。</w:t>
                  </w:r>
                </w:p>
                <w:p w14:paraId="141070AE">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cs="Times New Roman"/>
                      <w:color w:val="auto"/>
                      <w:sz w:val="21"/>
                      <w:szCs w:val="21"/>
                      <w:shd w:val="clear" w:color="auto" w:fill="FFFFFF"/>
                    </w:rPr>
                    <w:t>④</w:t>
                  </w:r>
                  <w:r>
                    <w:rPr>
                      <w:rFonts w:hint="default" w:ascii="Times New Roman" w:hAnsi="Times New Roman" w:eastAsia="Helvetica" w:cs="Times New Roman"/>
                      <w:color w:val="auto"/>
                      <w:sz w:val="21"/>
                      <w:szCs w:val="21"/>
                      <w:shd w:val="clear" w:color="auto" w:fill="FFFFFF"/>
                    </w:rPr>
                    <w:t>按照与生产设备“同启同停”的原则提升治理设施运行率。根据处理工艺要求，在处理设施达到正常运行条件后方可启动生产设备，在生产设备停止、残留VOCs废气收集处理完毕后，方可停运处理设施。VOCs废气处理系统发生故障或检修时，对应生产工艺设备应停止运行，待检修完毕后同步投入使用；因安全等因素生产工艺设备不能停止或不能及时停止运行的，应设置废气应急处理设施或采取其他替代措施。</w:t>
                  </w:r>
                </w:p>
                <w:p w14:paraId="0273378A">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cs="Times New Roman"/>
                      <w:color w:val="auto"/>
                      <w:sz w:val="21"/>
                      <w:szCs w:val="21"/>
                      <w:shd w:val="clear" w:color="auto" w:fill="FFFFFF"/>
                    </w:rPr>
                    <w:t>⑤</w:t>
                  </w:r>
                  <w:r>
                    <w:rPr>
                      <w:rFonts w:hint="default" w:ascii="Times New Roman" w:hAnsi="Times New Roman" w:eastAsia="Helvetica" w:cs="Times New Roman"/>
                      <w:color w:val="auto"/>
                      <w:sz w:val="21"/>
                      <w:szCs w:val="21"/>
                      <w:shd w:val="clear" w:color="auto" w:fill="FFFFFF"/>
                    </w:rPr>
                    <w:t>按照“适宜高效”的原则提高治理设施去除率，不得稀释排放。企业新建治污设施或对现有治污设施实施改造，应依据排放废气特征、VOCs组分及浓度、生产工况等，合理选择治理技术，对治理难度大、单一治理工艺难以稳定达标的，要采用多种技术的组合工艺。</w:t>
                  </w:r>
                </w:p>
                <w:p w14:paraId="18FC9EEE">
                  <w:pPr>
                    <w:spacing w:line="240" w:lineRule="auto"/>
                    <w:ind w:firstLine="0" w:firstLineChars="0"/>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shd w:val="clear" w:color="auto" w:fill="FFFFFF"/>
                    </w:rPr>
                    <w:t>⑥</w:t>
                  </w:r>
                  <w:r>
                    <w:rPr>
                      <w:rFonts w:hint="default" w:ascii="Times New Roman" w:hAnsi="Times New Roman" w:eastAsia="Helvetica" w:cs="Times New Roman"/>
                      <w:color w:val="auto"/>
                      <w:sz w:val="21"/>
                      <w:szCs w:val="21"/>
                      <w:shd w:val="clear" w:color="auto" w:fill="FFFFFF"/>
                    </w:rPr>
                    <w:t>采用活性炭吸附技术的，应选择碘值不低于800毫克/克的活性炭，并按设计要求足量添加、及时更换；各地要督促行政区域内采用一次性活性炭吸附技术的企业按期更换活性炭，对于长期未进行更换的，于7月底前全部更换一次，并将废旧活性炭交</w:t>
                  </w:r>
                  <w:r>
                    <w:rPr>
                      <w:rFonts w:hint="default" w:ascii="Times New Roman" w:hAnsi="Times New Roman" w:cs="Times New Roman"/>
                      <w:color w:val="auto"/>
                      <w:sz w:val="21"/>
                      <w:szCs w:val="21"/>
                      <w:shd w:val="clear" w:color="auto" w:fill="FFFFFF"/>
                    </w:rPr>
                    <w:t>有资质的单位</w:t>
                  </w:r>
                  <w:r>
                    <w:rPr>
                      <w:rFonts w:hint="default" w:ascii="Times New Roman" w:hAnsi="Times New Roman" w:eastAsia="Helvetica" w:cs="Times New Roman"/>
                      <w:color w:val="auto"/>
                      <w:sz w:val="21"/>
                      <w:szCs w:val="21"/>
                      <w:shd w:val="clear" w:color="auto" w:fill="FFFFFF"/>
                    </w:rPr>
                    <w:t>处理处置，记录更换时间和使用量。 </w:t>
                  </w:r>
                </w:p>
              </w:tc>
              <w:tc>
                <w:tcPr>
                  <w:tcW w:w="1244" w:type="pct"/>
                  <w:tcBorders>
                    <w:tl2br w:val="nil"/>
                    <w:tr2bl w:val="nil"/>
                  </w:tcBorders>
                  <w:noWrap/>
                  <w:vAlign w:val="center"/>
                </w:tcPr>
                <w:p w14:paraId="7683F12E">
                  <w:pPr>
                    <w:spacing w:line="240" w:lineRule="auto"/>
                    <w:ind w:firstLine="0" w:firstLineChars="0"/>
                    <w:jc w:val="left"/>
                    <w:rPr>
                      <w:rFonts w:hint="default" w:ascii="Times New Roman" w:hAnsi="Times New Roman" w:cs="Times New Roman"/>
                      <w:bCs/>
                      <w:color w:val="auto"/>
                      <w:sz w:val="21"/>
                      <w:szCs w:val="21"/>
                    </w:rPr>
                  </w:pPr>
                  <w:r>
                    <w:rPr>
                      <w:rFonts w:hint="default" w:ascii="Times New Roman" w:hAnsi="Times New Roman" w:cs="Times New Roman"/>
                      <w:color w:val="auto"/>
                      <w:sz w:val="21"/>
                      <w:szCs w:val="21"/>
                      <w:shd w:val="clear" w:color="auto" w:fill="FFFFFF"/>
                    </w:rPr>
                    <w:t>①本次</w:t>
                  </w:r>
                  <w:r>
                    <w:rPr>
                      <w:rFonts w:hint="eastAsia" w:cs="Times New Roman"/>
                      <w:color w:val="auto"/>
                      <w:sz w:val="21"/>
                      <w:szCs w:val="21"/>
                      <w:shd w:val="clear" w:color="auto" w:fill="FFFFFF"/>
                      <w:lang w:val="en-US" w:eastAsia="zh-CN"/>
                    </w:rPr>
                    <w:t>扩</w:t>
                  </w:r>
                  <w:r>
                    <w:rPr>
                      <w:rFonts w:hint="default" w:ascii="Times New Roman" w:hAnsi="Times New Roman" w:cs="Times New Roman"/>
                      <w:color w:val="auto"/>
                      <w:sz w:val="21"/>
                      <w:szCs w:val="21"/>
                      <w:shd w:val="clear" w:color="auto" w:fill="FFFFFF"/>
                    </w:rPr>
                    <w:t>建项目产生的有机废气执行</w:t>
                  </w:r>
                  <w:r>
                    <w:rPr>
                      <w:rFonts w:hint="default" w:ascii="Times New Roman" w:hAnsi="Times New Roman" w:cs="Times New Roman"/>
                      <w:bCs/>
                      <w:color w:val="auto"/>
                      <w:sz w:val="21"/>
                      <w:szCs w:val="21"/>
                    </w:rPr>
                    <w:t>《大气污染物综合排放标准》（GB16297-1996）及</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rPr>
                    <w:t>挥发性有机物无组织排放控制标准</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rPr>
                    <w:t>（GB37822-2019）；</w:t>
                  </w:r>
                </w:p>
                <w:p w14:paraId="6AF6F3F5">
                  <w:pPr>
                    <w:spacing w:line="240" w:lineRule="auto"/>
                    <w:ind w:firstLine="0" w:firstLineChars="0"/>
                    <w:jc w:val="left"/>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color w:val="auto"/>
                      <w:sz w:val="21"/>
                      <w:szCs w:val="21"/>
                      <w:shd w:val="clear" w:color="auto" w:fill="FFFFFF"/>
                      <w:lang w:val="en-US" w:eastAsia="zh-CN"/>
                    </w:rPr>
                    <w:t>其它条款不涉及。</w:t>
                  </w:r>
                </w:p>
              </w:tc>
              <w:tc>
                <w:tcPr>
                  <w:tcW w:w="268" w:type="pct"/>
                  <w:tcBorders>
                    <w:tl2br w:val="nil"/>
                    <w:tr2bl w:val="nil"/>
                  </w:tcBorders>
                  <w:noWrap/>
                  <w:vAlign w:val="center"/>
                </w:tcPr>
                <w:p w14:paraId="7773E9D0">
                  <w:pPr>
                    <w:spacing w:line="240" w:lineRule="auto"/>
                    <w:ind w:firstLine="0" w:firstLineChars="0"/>
                    <w:jc w:val="center"/>
                    <w:rPr>
                      <w:rFonts w:hint="default" w:ascii="Times New Roman" w:hAnsi="Times New Roman" w:cs="Times New Roman"/>
                      <w:color w:val="auto"/>
                      <w:sz w:val="21"/>
                      <w:szCs w:val="21"/>
                      <w:highlight w:val="green"/>
                    </w:rPr>
                  </w:pPr>
                  <w:r>
                    <w:rPr>
                      <w:rFonts w:hint="default" w:ascii="Times New Roman" w:hAnsi="Times New Roman" w:cs="Times New Roman"/>
                      <w:color w:val="auto"/>
                      <w:sz w:val="21"/>
                      <w:szCs w:val="21"/>
                    </w:rPr>
                    <w:t>符合</w:t>
                  </w:r>
                </w:p>
              </w:tc>
            </w:tr>
            <w:tr w14:paraId="5DFF7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20" w:type="pct"/>
                  <w:tcBorders>
                    <w:tl2br w:val="nil"/>
                    <w:tr2bl w:val="nil"/>
                  </w:tcBorders>
                  <w:noWrap/>
                  <w:vAlign w:val="center"/>
                </w:tcPr>
                <w:p w14:paraId="3D556193">
                  <w:pPr>
                    <w:spacing w:line="24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330" w:type="pct"/>
                  <w:tcBorders>
                    <w:tl2br w:val="nil"/>
                    <w:tr2bl w:val="nil"/>
                  </w:tcBorders>
                  <w:noWrap/>
                  <w:vAlign w:val="center"/>
                </w:tcPr>
                <w:p w14:paraId="53DC826E">
                  <w:pPr>
                    <w:numPr>
                      <w:ilvl w:val="0"/>
                      <w:numId w:val="3"/>
                    </w:numPr>
                    <w:spacing w:line="240" w:lineRule="auto"/>
                    <w:ind w:firstLine="0" w:firstLineChars="0"/>
                    <w:jc w:val="center"/>
                    <w:rPr>
                      <w:rFonts w:hint="default" w:ascii="Times New Roman" w:hAnsi="Times New Roman" w:eastAsia="Helvetica" w:cs="Times New Roman"/>
                      <w:color w:val="auto"/>
                      <w:sz w:val="21"/>
                      <w:szCs w:val="21"/>
                      <w:shd w:val="clear" w:color="auto" w:fill="FFFFFF"/>
                    </w:rPr>
                  </w:pPr>
                  <w:r>
                    <w:rPr>
                      <w:rFonts w:hint="default" w:ascii="Times New Roman" w:hAnsi="Times New Roman" w:eastAsia="Helvetica" w:cs="Times New Roman"/>
                      <w:color w:val="auto"/>
                      <w:sz w:val="21"/>
                      <w:szCs w:val="21"/>
                      <w:shd w:val="clear" w:color="auto" w:fill="FFFFFF"/>
                    </w:rPr>
                    <w:t>强化油品储运销监管，实现减污降耗增效</w:t>
                  </w:r>
                </w:p>
              </w:tc>
              <w:tc>
                <w:tcPr>
                  <w:tcW w:w="2836" w:type="pct"/>
                  <w:tcBorders>
                    <w:tl2br w:val="nil"/>
                    <w:tr2bl w:val="nil"/>
                  </w:tcBorders>
                  <w:noWrap/>
                  <w:vAlign w:val="center"/>
                </w:tcPr>
                <w:p w14:paraId="52793B7A">
                  <w:pPr>
                    <w:spacing w:line="240" w:lineRule="auto"/>
                    <w:ind w:firstLine="0" w:firstLineChars="0"/>
                    <w:rPr>
                      <w:rFonts w:hint="default" w:ascii="Times New Roman" w:hAnsi="Times New Roman" w:eastAsia="Helvetica" w:cs="Times New Roman"/>
                      <w:color w:val="auto"/>
                      <w:sz w:val="21"/>
                      <w:szCs w:val="21"/>
                      <w:shd w:val="clear" w:color="auto" w:fill="FFFFFF"/>
                    </w:rPr>
                  </w:pPr>
                  <w:r>
                    <w:rPr>
                      <w:rFonts w:hint="default" w:ascii="Times New Roman" w:hAnsi="Times New Roman" w:eastAsia="Helvetica" w:cs="Times New Roman"/>
                      <w:color w:val="auto"/>
                      <w:sz w:val="21"/>
                      <w:szCs w:val="21"/>
                      <w:shd w:val="clear" w:color="auto" w:fill="FFFFFF"/>
                    </w:rPr>
                    <w:t>加大汽油、石脑油、煤油以及原油等油品储运销全过程VOCs排放控制，在保障安全的前提下，重点推进储油库、油罐车、加油站油气回收治理，加大油气排放监管力度，并要求企业建立日查、自检、年检和维保制度。</w:t>
                  </w:r>
                </w:p>
              </w:tc>
              <w:tc>
                <w:tcPr>
                  <w:tcW w:w="1244" w:type="pct"/>
                  <w:tcBorders>
                    <w:tl2br w:val="nil"/>
                    <w:tr2bl w:val="nil"/>
                  </w:tcBorders>
                  <w:noWrap/>
                  <w:vAlign w:val="center"/>
                </w:tcPr>
                <w:p w14:paraId="275A51B0">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本项目涉及</w:t>
                  </w:r>
                  <w:r>
                    <w:rPr>
                      <w:rFonts w:hint="eastAsia" w:ascii="Times New Roman" w:hAnsi="Times New Roman" w:cs="Times New Roman"/>
                      <w:color w:val="auto"/>
                      <w:sz w:val="21"/>
                      <w:szCs w:val="21"/>
                      <w:lang w:val="en-US" w:eastAsia="zh-CN"/>
                    </w:rPr>
                    <w:t>复合油相运输，采用密闭槽车运输，卸料至</w:t>
                  </w:r>
                  <w:r>
                    <w:rPr>
                      <w:rFonts w:hint="eastAsia" w:cs="Times New Roman"/>
                      <w:color w:val="auto"/>
                      <w:sz w:val="21"/>
                      <w:szCs w:val="21"/>
                      <w:lang w:val="en-US" w:eastAsia="zh-CN"/>
                    </w:rPr>
                    <w:t>水油相制备工房</w:t>
                  </w:r>
                  <w:r>
                    <w:rPr>
                      <w:rFonts w:hint="eastAsia" w:ascii="Times New Roman" w:hAnsi="Times New Roman" w:cs="Times New Roman"/>
                      <w:color w:val="auto"/>
                      <w:sz w:val="21"/>
                      <w:szCs w:val="21"/>
                      <w:lang w:val="en-US" w:eastAsia="zh-CN"/>
                    </w:rPr>
                    <w:t>储罐时采用密闭连接，可有效减少无组织排放</w:t>
                  </w:r>
                  <w:r>
                    <w:rPr>
                      <w:rFonts w:hint="default" w:ascii="Times New Roman" w:hAnsi="Times New Roman" w:cs="Times New Roman"/>
                      <w:color w:val="auto"/>
                      <w:sz w:val="21"/>
                      <w:szCs w:val="21"/>
                    </w:rPr>
                    <w:t>。</w:t>
                  </w:r>
                </w:p>
              </w:tc>
              <w:tc>
                <w:tcPr>
                  <w:tcW w:w="268" w:type="pct"/>
                  <w:tcBorders>
                    <w:tl2br w:val="nil"/>
                    <w:tr2bl w:val="nil"/>
                  </w:tcBorders>
                  <w:noWrap/>
                  <w:vAlign w:val="center"/>
                </w:tcPr>
                <w:p w14:paraId="72485D8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38D39089">
            <w:pPr>
              <w:spacing w:line="360" w:lineRule="auto"/>
              <w:ind w:firstLine="480"/>
              <w:rPr>
                <w:rFonts w:hint="default" w:ascii="Times New Roman" w:hAnsi="Times New Roman" w:cs="Times New Roman"/>
                <w:color w:val="auto"/>
                <w:sz w:val="24"/>
                <w:szCs w:val="24"/>
              </w:rPr>
            </w:pPr>
            <w:r>
              <w:rPr>
                <w:rFonts w:hint="eastAsia" w:ascii="Times New Roman" w:hAnsi="Times New Roman" w:cs="Times New Roman"/>
                <w:color w:val="auto"/>
                <w:sz w:val="24"/>
                <w:szCs w:val="24"/>
              </w:rPr>
              <w:t>综上，本项目与</w:t>
            </w:r>
            <w:r>
              <w:rPr>
                <w:rFonts w:hint="default" w:ascii="Times New Roman" w:hAnsi="Times New Roman" w:cs="Times New Roman"/>
                <w:color w:val="auto"/>
                <w:sz w:val="24"/>
                <w:szCs w:val="24"/>
              </w:rPr>
              <w:t>《2020年挥发性有机物治理攻坚方案</w:t>
            </w:r>
            <w:r>
              <w:rPr>
                <w:rFonts w:hint="eastAsia" w:cs="Times New Roman"/>
                <w:color w:val="auto"/>
                <w:sz w:val="24"/>
                <w:szCs w:val="24"/>
                <w:lang w:eastAsia="zh-CN"/>
              </w:rPr>
              <w:t>》</w:t>
            </w:r>
            <w:r>
              <w:rPr>
                <w:rFonts w:hint="default" w:ascii="Times New Roman" w:hAnsi="Times New Roman" w:cs="Times New Roman"/>
                <w:color w:val="auto"/>
                <w:sz w:val="24"/>
                <w:szCs w:val="24"/>
              </w:rPr>
              <w:t>（环大气﹝2020﹞33号）</w:t>
            </w:r>
            <w:r>
              <w:rPr>
                <w:rFonts w:hint="eastAsia" w:ascii="Times New Roman" w:hAnsi="Times New Roman" w:cs="Times New Roman"/>
                <w:color w:val="auto"/>
                <w:sz w:val="24"/>
                <w:szCs w:val="24"/>
              </w:rPr>
              <w:t>相符。</w:t>
            </w:r>
          </w:p>
          <w:p w14:paraId="2562D0CB">
            <w:pPr>
              <w:pStyle w:val="5"/>
              <w:tabs>
                <w:tab w:val="left" w:pos="1620"/>
              </w:tabs>
              <w:spacing w:before="120" w:beforeLines="50" w:after="0" w:line="360" w:lineRule="auto"/>
              <w:ind w:left="0" w:leftChars="0" w:firstLine="0" w:firstLineChars="0"/>
              <w:jc w:val="both"/>
              <w:rPr>
                <w:rFonts w:hint="eastAsia" w:ascii="Times New Roman" w:hAnsi="Times New Roman" w:eastAsia="宋体" w:cs="Times New Roman"/>
                <w:b/>
                <w:bCs/>
                <w:snapToGrid w:val="0"/>
                <w:color w:val="auto"/>
                <w:sz w:val="24"/>
                <w:szCs w:val="20"/>
                <w:lang w:val="en-US" w:eastAsia="zh-CN" w:bidi="ar-SA"/>
              </w:rPr>
            </w:pPr>
            <w:r>
              <w:rPr>
                <w:rFonts w:hint="eastAsia" w:ascii="Times New Roman" w:hAnsi="Times New Roman" w:cs="Times New Roman"/>
                <w:b/>
                <w:bCs/>
                <w:snapToGrid w:val="0"/>
                <w:color w:val="auto"/>
                <w:sz w:val="24"/>
                <w:szCs w:val="20"/>
                <w:lang w:val="en-US" w:eastAsia="zh-CN" w:bidi="ar-SA"/>
              </w:rPr>
              <w:t>8、</w:t>
            </w:r>
            <w:r>
              <w:rPr>
                <w:rFonts w:hint="eastAsia" w:ascii="Times New Roman" w:hAnsi="Times New Roman" w:eastAsia="宋体" w:cs="Times New Roman"/>
                <w:b/>
                <w:bCs/>
                <w:snapToGrid w:val="0"/>
                <w:color w:val="auto"/>
                <w:sz w:val="24"/>
                <w:szCs w:val="20"/>
                <w:lang w:val="en-US" w:eastAsia="zh-CN" w:bidi="ar-SA"/>
              </w:rPr>
              <w:t>与《挥发性有机物（VOCs）污染防治技术政策》相符性分析</w:t>
            </w:r>
          </w:p>
          <w:p w14:paraId="0C2CB915">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挥发性有机物（VOCs）污染防治技术政策》中“九、含VOCs产品的使用过程中，应采取废气收集措施，提高废气收集效率，减少废气的无组织排放与逸散，并对收集后的废气进行回收或处理后达标排放。”本项目含VOCs原料在使用过程中，均采取密闭管道输送</w:t>
            </w:r>
            <w:r>
              <w:rPr>
                <w:rFonts w:hint="eastAsia" w:cs="Times New Roman"/>
                <w:color w:val="auto"/>
                <w:sz w:val="24"/>
                <w:szCs w:val="24"/>
                <w:lang w:eastAsia="zh-CN"/>
              </w:rPr>
              <w:t>、</w:t>
            </w:r>
            <w:r>
              <w:rPr>
                <w:rFonts w:hint="eastAsia" w:ascii="Times New Roman" w:hAnsi="Times New Roman" w:cs="Times New Roman"/>
                <w:color w:val="auto"/>
                <w:sz w:val="24"/>
                <w:szCs w:val="24"/>
                <w:lang w:val="en-US" w:eastAsia="zh-CN"/>
              </w:rPr>
              <w:t>密闭槽车运输</w:t>
            </w:r>
            <w:r>
              <w:rPr>
                <w:rFonts w:hint="default" w:ascii="Times New Roman" w:hAnsi="Times New Roman" w:cs="Times New Roman"/>
                <w:color w:val="auto"/>
                <w:sz w:val="24"/>
                <w:szCs w:val="24"/>
              </w:rPr>
              <w:t>，从而减少废气的无组织排放与逸散，仅油相由密闭槽车上料输送产生少量废气排放，乳化炸药半成品钢带冷却和皮带输送时产生有机废气排放，由于安全防爆因素和生产指标要求无法封闭，生产工序有机废气排放量较小。具体见表</w:t>
            </w:r>
            <w:r>
              <w:rPr>
                <w:rFonts w:hint="eastAsia" w:cs="Times New Roman"/>
                <w:color w:val="auto"/>
                <w:sz w:val="24"/>
                <w:szCs w:val="24"/>
                <w:lang w:val="en-US" w:eastAsia="zh-CN"/>
              </w:rPr>
              <w:t>1-7</w:t>
            </w:r>
            <w:r>
              <w:rPr>
                <w:rFonts w:hint="default" w:ascii="Times New Roman" w:hAnsi="Times New Roman" w:cs="Times New Roman"/>
                <w:color w:val="auto"/>
                <w:sz w:val="24"/>
                <w:szCs w:val="24"/>
              </w:rPr>
              <w:t>。</w:t>
            </w:r>
          </w:p>
          <w:p w14:paraId="5FE0EC07">
            <w:pPr>
              <w:pStyle w:val="115"/>
              <w:spacing w:before="52" w:line="224" w:lineRule="auto"/>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表</w:t>
            </w:r>
            <w:r>
              <w:rPr>
                <w:rFonts w:hint="eastAsia" w:ascii="Times New Roman" w:hAnsi="Times New Roman" w:eastAsia="宋体" w:cs="Times New Roman"/>
                <w:b/>
                <w:bCs/>
                <w:color w:val="auto"/>
                <w:spacing w:val="8"/>
                <w:sz w:val="21"/>
                <w:szCs w:val="21"/>
                <w:lang w:val="en-US" w:eastAsia="zh-CN"/>
              </w:rPr>
              <w:t>1-</w:t>
            </w:r>
            <w:r>
              <w:rPr>
                <w:rFonts w:hint="eastAsia" w:ascii="Times New Roman" w:hAnsi="Times New Roman" w:cs="Times New Roman"/>
                <w:b/>
                <w:bCs/>
                <w:color w:val="auto"/>
                <w:spacing w:val="8"/>
                <w:sz w:val="21"/>
                <w:szCs w:val="21"/>
                <w:lang w:val="en-US" w:eastAsia="zh-CN"/>
              </w:rPr>
              <w:t>7</w:t>
            </w:r>
            <w:r>
              <w:rPr>
                <w:rFonts w:hint="default" w:ascii="Times New Roman" w:hAnsi="Times New Roman" w:eastAsia="宋体" w:cs="Times New Roman"/>
                <w:b/>
                <w:bCs/>
                <w:color w:val="auto"/>
                <w:spacing w:val="8"/>
                <w:sz w:val="21"/>
                <w:szCs w:val="21"/>
              </w:rPr>
              <w:t xml:space="preserve"> 与《挥发性有机物（VOCs）污染防治技术政策》符合性分析</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
              <w:gridCol w:w="4538"/>
              <w:gridCol w:w="2336"/>
              <w:gridCol w:w="492"/>
            </w:tblGrid>
            <w:tr w14:paraId="1F20B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exact"/>
              </w:trPr>
              <w:tc>
                <w:tcPr>
                  <w:tcW w:w="310" w:type="pct"/>
                  <w:tcBorders>
                    <w:tl2br w:val="nil"/>
                    <w:tr2bl w:val="nil"/>
                  </w:tcBorders>
                  <w:noWrap/>
                  <w:vAlign w:val="center"/>
                </w:tcPr>
                <w:p w14:paraId="525CDDAA">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2888" w:type="pct"/>
                  <w:tcBorders>
                    <w:tl2br w:val="nil"/>
                    <w:tr2bl w:val="nil"/>
                  </w:tcBorders>
                  <w:noWrap/>
                  <w:vAlign w:val="center"/>
                </w:tcPr>
                <w:p w14:paraId="38E91982">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《挥发性有机物（VOCs）污染防治技术政策》</w:t>
                  </w:r>
                </w:p>
              </w:tc>
              <w:tc>
                <w:tcPr>
                  <w:tcW w:w="1487" w:type="pct"/>
                  <w:tcBorders>
                    <w:tl2br w:val="nil"/>
                    <w:tr2bl w:val="nil"/>
                  </w:tcBorders>
                  <w:noWrap/>
                  <w:vAlign w:val="center"/>
                </w:tcPr>
                <w:p w14:paraId="4C8187BE">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本项目实际情况</w:t>
                  </w:r>
                </w:p>
              </w:tc>
              <w:tc>
                <w:tcPr>
                  <w:tcW w:w="313" w:type="pct"/>
                  <w:tcBorders>
                    <w:tl2br w:val="nil"/>
                    <w:tr2bl w:val="nil"/>
                  </w:tcBorders>
                  <w:noWrap/>
                  <w:vAlign w:val="center"/>
                </w:tcPr>
                <w:p w14:paraId="0481CA5F">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符合性</w:t>
                  </w:r>
                </w:p>
              </w:tc>
            </w:tr>
            <w:tr w14:paraId="313A2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10" w:type="pct"/>
                  <w:tcBorders>
                    <w:tl2br w:val="nil"/>
                    <w:tr2bl w:val="nil"/>
                  </w:tcBorders>
                  <w:noWrap/>
                  <w:vAlign w:val="center"/>
                </w:tcPr>
                <w:p w14:paraId="394988B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888" w:type="pct"/>
                  <w:tcBorders>
                    <w:tl2br w:val="nil"/>
                    <w:tr2bl w:val="nil"/>
                  </w:tcBorders>
                  <w:noWrap/>
                  <w:vAlign w:val="center"/>
                </w:tcPr>
                <w:p w14:paraId="4A697669">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对泵、压缩机、阀门、法兰等易发生泄漏的设备与管线组件，制定，定期检测、及时修复，防止或减少跑、冒、滴、漏现象。</w:t>
                  </w:r>
                </w:p>
              </w:tc>
              <w:tc>
                <w:tcPr>
                  <w:tcW w:w="1487" w:type="pct"/>
                  <w:tcBorders>
                    <w:tl2br w:val="nil"/>
                    <w:tr2bl w:val="nil"/>
                  </w:tcBorders>
                  <w:noWrap/>
                  <w:vAlign w:val="center"/>
                </w:tcPr>
                <w:p w14:paraId="078134A2">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本项目对泵、阀门、法兰等易发生泄漏的设备与管线组件，制定定期检测、及时修复，防止或减少跑、冒、滴、漏现象。</w:t>
                  </w:r>
                </w:p>
              </w:tc>
              <w:tc>
                <w:tcPr>
                  <w:tcW w:w="313" w:type="pct"/>
                  <w:tcBorders>
                    <w:tl2br w:val="nil"/>
                    <w:tr2bl w:val="nil"/>
                  </w:tcBorders>
                  <w:noWrap/>
                  <w:vAlign w:val="center"/>
                </w:tcPr>
                <w:p w14:paraId="616B01E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78F20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10" w:type="pct"/>
                  <w:tcBorders>
                    <w:tl2br w:val="nil"/>
                    <w:tr2bl w:val="nil"/>
                  </w:tcBorders>
                  <w:noWrap/>
                  <w:vAlign w:val="center"/>
                </w:tcPr>
                <w:p w14:paraId="1763685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888" w:type="pct"/>
                  <w:tcBorders>
                    <w:tl2br w:val="nil"/>
                    <w:tr2bl w:val="nil"/>
                  </w:tcBorders>
                  <w:noWrap/>
                  <w:vAlign w:val="center"/>
                </w:tcPr>
                <w:p w14:paraId="5B29AF0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对生产装置排放的含VOCs工艺排气宜优先回收利用，不能（或不能完全）回收利用的经处理后达标排放；应急情况下的泄放气可导入燃烧塔（火炬），经过充分燃烧后排放。</w:t>
                  </w:r>
                </w:p>
              </w:tc>
              <w:tc>
                <w:tcPr>
                  <w:tcW w:w="1487" w:type="pct"/>
                  <w:tcBorders>
                    <w:tl2br w:val="nil"/>
                    <w:tr2bl w:val="nil"/>
                  </w:tcBorders>
                  <w:noWrap/>
                  <w:vAlign w:val="center"/>
                </w:tcPr>
                <w:p w14:paraId="4F278440">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eastAsia" w:ascii="Times New Roman" w:hAnsi="Times New Roman" w:cs="Times New Roman"/>
                      <w:color w:val="auto"/>
                      <w:sz w:val="21"/>
                      <w:szCs w:val="21"/>
                      <w:lang w:val="en-US" w:eastAsia="zh-CN"/>
                    </w:rPr>
                    <w:t>生产过程中产生的挥发性有机废气量较小，可达标无组织排放</w:t>
                  </w:r>
                  <w:r>
                    <w:rPr>
                      <w:rFonts w:hint="default" w:ascii="Times New Roman" w:hAnsi="Times New Roman" w:cs="Times New Roman"/>
                      <w:color w:val="auto"/>
                      <w:sz w:val="21"/>
                      <w:szCs w:val="21"/>
                    </w:rPr>
                    <w:t>。</w:t>
                  </w:r>
                </w:p>
              </w:tc>
              <w:tc>
                <w:tcPr>
                  <w:tcW w:w="313" w:type="pct"/>
                  <w:tcBorders>
                    <w:tl2br w:val="nil"/>
                    <w:tr2bl w:val="nil"/>
                  </w:tcBorders>
                  <w:noWrap/>
                  <w:vAlign w:val="center"/>
                </w:tcPr>
                <w:p w14:paraId="240F1E6C">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70EE65E9">
            <w:pPr>
              <w:spacing w:before="120" w:beforeLines="50" w:line="360" w:lineRule="auto"/>
              <w:ind w:firstLine="480"/>
              <w:rPr>
                <w:color w:val="auto"/>
                <w:sz w:val="24"/>
                <w:szCs w:val="24"/>
              </w:rPr>
            </w:pPr>
            <w:bookmarkStart w:id="19" w:name="OLE_LINK190"/>
            <w:r>
              <w:rPr>
                <w:rFonts w:hint="default" w:ascii="Times New Roman" w:hAnsi="Times New Roman" w:cs="Times New Roman"/>
                <w:color w:val="auto"/>
                <w:sz w:val="24"/>
                <w:szCs w:val="24"/>
              </w:rPr>
              <w:t>综上，本项目的建设符合《挥发性有机物（VOCs）污染防治技术政策》中相关要求。</w:t>
            </w:r>
          </w:p>
          <w:bookmarkEnd w:id="19"/>
          <w:p w14:paraId="083E7A8D">
            <w:pPr>
              <w:pStyle w:val="5"/>
              <w:tabs>
                <w:tab w:val="left" w:pos="1620"/>
              </w:tabs>
              <w:spacing w:before="120" w:beforeLines="50" w:after="0" w:line="360" w:lineRule="auto"/>
              <w:ind w:left="0" w:leftChars="0" w:firstLine="0" w:firstLineChars="0"/>
              <w:jc w:val="both"/>
              <w:rPr>
                <w:rFonts w:hint="eastAsia" w:ascii="Times New Roman" w:hAnsi="Times New Roman" w:eastAsia="宋体" w:cs="Times New Roman"/>
                <w:b/>
                <w:bCs/>
                <w:snapToGrid w:val="0"/>
                <w:color w:val="auto"/>
                <w:sz w:val="24"/>
                <w:szCs w:val="24"/>
                <w:lang w:val="en-US" w:eastAsia="zh-CN" w:bidi="ar-SA"/>
              </w:rPr>
            </w:pPr>
            <w:r>
              <w:rPr>
                <w:rFonts w:hint="eastAsia" w:ascii="Times New Roman" w:hAnsi="Times New Roman" w:cs="Times New Roman"/>
                <w:b/>
                <w:bCs/>
                <w:snapToGrid w:val="0"/>
                <w:color w:val="auto"/>
                <w:sz w:val="24"/>
                <w:szCs w:val="24"/>
                <w:lang w:val="en-US" w:eastAsia="zh-CN" w:bidi="ar-SA"/>
              </w:rPr>
              <w:t>9、</w:t>
            </w:r>
            <w:r>
              <w:rPr>
                <w:rFonts w:hint="eastAsia" w:ascii="Times New Roman" w:hAnsi="Times New Roman" w:eastAsia="宋体" w:cs="Times New Roman"/>
                <w:b/>
                <w:bCs/>
                <w:snapToGrid w:val="0"/>
                <w:color w:val="auto"/>
                <w:sz w:val="24"/>
                <w:szCs w:val="24"/>
                <w:lang w:val="en-US" w:eastAsia="zh-CN" w:bidi="ar-SA"/>
              </w:rPr>
              <w:t>与</w:t>
            </w:r>
            <w:bookmarkStart w:id="20" w:name="OLE_LINK191"/>
            <w:r>
              <w:rPr>
                <w:rFonts w:hint="eastAsia" w:ascii="Times New Roman" w:hAnsi="Times New Roman" w:eastAsia="宋体" w:cs="Times New Roman"/>
                <w:b/>
                <w:bCs/>
                <w:snapToGrid w:val="0"/>
                <w:color w:val="auto"/>
                <w:sz w:val="24"/>
                <w:szCs w:val="24"/>
                <w:lang w:val="en-US" w:eastAsia="zh-CN" w:bidi="ar-SA"/>
              </w:rPr>
              <w:t>《重点行业挥发性有机物综合治理方案》</w:t>
            </w:r>
            <w:bookmarkEnd w:id="20"/>
            <w:r>
              <w:rPr>
                <w:rFonts w:hint="eastAsia" w:ascii="Times New Roman" w:hAnsi="Times New Roman" w:eastAsia="宋体" w:cs="Times New Roman"/>
                <w:b/>
                <w:bCs/>
                <w:snapToGrid w:val="0"/>
                <w:color w:val="auto"/>
                <w:sz w:val="24"/>
                <w:szCs w:val="24"/>
                <w:lang w:val="en-US" w:eastAsia="zh-CN" w:bidi="ar-SA"/>
              </w:rPr>
              <w:t>相符性分析</w:t>
            </w:r>
          </w:p>
          <w:p w14:paraId="6FFE730A">
            <w:pPr>
              <w:pStyle w:val="115"/>
              <w:spacing w:before="52" w:line="224" w:lineRule="auto"/>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表</w:t>
            </w:r>
            <w:r>
              <w:rPr>
                <w:rFonts w:hint="eastAsia" w:ascii="Times New Roman" w:hAnsi="Times New Roman" w:eastAsia="宋体" w:cs="Times New Roman"/>
                <w:b/>
                <w:bCs/>
                <w:color w:val="auto"/>
                <w:spacing w:val="8"/>
                <w:sz w:val="21"/>
                <w:szCs w:val="21"/>
                <w:lang w:val="en-US" w:eastAsia="zh-CN"/>
              </w:rPr>
              <w:t>1-</w:t>
            </w:r>
            <w:r>
              <w:rPr>
                <w:rFonts w:hint="eastAsia" w:ascii="Times New Roman" w:hAnsi="Times New Roman" w:cs="Times New Roman"/>
                <w:b/>
                <w:bCs/>
                <w:color w:val="auto"/>
                <w:spacing w:val="8"/>
                <w:sz w:val="21"/>
                <w:szCs w:val="21"/>
                <w:lang w:val="en-US" w:eastAsia="zh-CN"/>
              </w:rPr>
              <w:t>8</w:t>
            </w:r>
            <w:r>
              <w:rPr>
                <w:rFonts w:hint="eastAsia" w:ascii="Times New Roman" w:hAnsi="Times New Roman" w:eastAsia="宋体" w:cs="Times New Roman"/>
                <w:b/>
                <w:bCs/>
                <w:color w:val="auto"/>
                <w:spacing w:val="8"/>
                <w:sz w:val="21"/>
                <w:szCs w:val="21"/>
                <w:lang w:val="en-US" w:eastAsia="zh-CN"/>
              </w:rPr>
              <w:t xml:space="preserve"> </w:t>
            </w:r>
            <w:r>
              <w:rPr>
                <w:rFonts w:hint="default" w:ascii="Times New Roman" w:hAnsi="Times New Roman" w:eastAsia="宋体" w:cs="Times New Roman"/>
                <w:b/>
                <w:bCs/>
                <w:color w:val="auto"/>
                <w:spacing w:val="8"/>
                <w:sz w:val="21"/>
                <w:szCs w:val="21"/>
              </w:rPr>
              <w:t>与</w:t>
            </w:r>
            <w:r>
              <w:rPr>
                <w:rFonts w:hint="eastAsia" w:ascii="Times New Roman" w:hAnsi="Times New Roman" w:eastAsia="宋体" w:cs="Times New Roman"/>
                <w:b/>
                <w:bCs/>
                <w:color w:val="auto"/>
                <w:spacing w:val="8"/>
                <w:sz w:val="21"/>
                <w:szCs w:val="21"/>
                <w:lang w:val="en-US" w:eastAsia="zh-CN"/>
              </w:rPr>
              <w:t>《重点行业挥发性有机物综合治理方案》</w:t>
            </w:r>
            <w:r>
              <w:rPr>
                <w:rFonts w:hint="default" w:ascii="Times New Roman" w:hAnsi="Times New Roman" w:eastAsia="宋体" w:cs="Times New Roman"/>
                <w:b/>
                <w:bCs/>
                <w:color w:val="auto"/>
                <w:spacing w:val="8"/>
                <w:sz w:val="21"/>
                <w:szCs w:val="21"/>
              </w:rPr>
              <w:t>符合性分析</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4483"/>
              <w:gridCol w:w="2406"/>
              <w:gridCol w:w="445"/>
            </w:tblGrid>
            <w:tr w14:paraId="1D5F6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exact"/>
              </w:trPr>
              <w:tc>
                <w:tcPr>
                  <w:tcW w:w="333" w:type="pct"/>
                  <w:tcBorders>
                    <w:tl2br w:val="nil"/>
                    <w:tr2bl w:val="nil"/>
                  </w:tcBorders>
                  <w:noWrap/>
                  <w:vAlign w:val="center"/>
                </w:tcPr>
                <w:p w14:paraId="2D1D205B">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2853" w:type="pct"/>
                  <w:tcBorders>
                    <w:tl2br w:val="nil"/>
                    <w:tr2bl w:val="nil"/>
                  </w:tcBorders>
                  <w:noWrap/>
                  <w:vAlign w:val="center"/>
                </w:tcPr>
                <w:p w14:paraId="7522E024">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《挥发性有机物（VOCs）污染防治技术政策》</w:t>
                  </w:r>
                </w:p>
              </w:tc>
              <w:tc>
                <w:tcPr>
                  <w:tcW w:w="1531" w:type="pct"/>
                  <w:tcBorders>
                    <w:tl2br w:val="nil"/>
                    <w:tr2bl w:val="nil"/>
                  </w:tcBorders>
                  <w:noWrap/>
                  <w:vAlign w:val="center"/>
                </w:tcPr>
                <w:p w14:paraId="1759CB2A">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本项目实际情况</w:t>
                  </w:r>
                </w:p>
              </w:tc>
              <w:tc>
                <w:tcPr>
                  <w:tcW w:w="281" w:type="pct"/>
                  <w:tcBorders>
                    <w:tl2br w:val="nil"/>
                    <w:tr2bl w:val="nil"/>
                  </w:tcBorders>
                  <w:noWrap/>
                  <w:vAlign w:val="center"/>
                </w:tcPr>
                <w:p w14:paraId="583D9CBD">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符合性</w:t>
                  </w:r>
                </w:p>
              </w:tc>
            </w:tr>
            <w:tr w14:paraId="1F7D8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5000" w:type="pct"/>
                  <w:gridSpan w:val="4"/>
                  <w:tcBorders>
                    <w:tl2br w:val="nil"/>
                    <w:tr2bl w:val="nil"/>
                  </w:tcBorders>
                  <w:noWrap/>
                  <w:vAlign w:val="center"/>
                </w:tcPr>
                <w:p w14:paraId="38DAF9B7">
                  <w:pPr>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全面加强无组织排放控制</w:t>
                  </w:r>
                </w:p>
              </w:tc>
            </w:tr>
            <w:tr w14:paraId="008EC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33" w:type="pct"/>
                  <w:tcBorders>
                    <w:tl2br w:val="nil"/>
                    <w:tr2bl w:val="nil"/>
                  </w:tcBorders>
                  <w:noWrap/>
                  <w:vAlign w:val="center"/>
                </w:tcPr>
                <w:p w14:paraId="09DCB2AD">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853" w:type="pct"/>
                  <w:tcBorders>
                    <w:tl2br w:val="nil"/>
                    <w:tr2bl w:val="nil"/>
                  </w:tcBorders>
                  <w:noWrap/>
                  <w:vAlign w:val="center"/>
                </w:tcPr>
                <w:p w14:paraId="0DB7080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tc>
              <w:tc>
                <w:tcPr>
                  <w:tcW w:w="1531" w:type="pct"/>
                  <w:tcBorders>
                    <w:tl2br w:val="nil"/>
                    <w:tr2bl w:val="nil"/>
                  </w:tcBorders>
                  <w:noWrap/>
                  <w:vAlign w:val="center"/>
                </w:tcPr>
                <w:p w14:paraId="70CEA3FE">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eastAsia" w:ascii="Times New Roman" w:hAnsi="Times New Roman" w:cs="Times New Roman"/>
                      <w:color w:val="auto"/>
                      <w:sz w:val="21"/>
                      <w:szCs w:val="21"/>
                      <w:lang w:val="en-US" w:eastAsia="zh-CN"/>
                    </w:rPr>
                    <w:t>不设置VOC</w:t>
                  </w:r>
                  <w:r>
                    <w:rPr>
                      <w:rFonts w:hint="eastAsia" w:ascii="Times New Roman" w:hAnsi="Times New Roman" w:cs="Times New Roman"/>
                      <w:color w:val="auto"/>
                      <w:sz w:val="21"/>
                      <w:szCs w:val="21"/>
                      <w:vertAlign w:val="subscript"/>
                      <w:lang w:val="en-US" w:eastAsia="zh-CN"/>
                    </w:rPr>
                    <w:t>S</w:t>
                  </w:r>
                  <w:r>
                    <w:rPr>
                      <w:rFonts w:hint="eastAsia" w:ascii="Times New Roman" w:hAnsi="Times New Roman" w:cs="Times New Roman"/>
                      <w:color w:val="auto"/>
                      <w:sz w:val="21"/>
                      <w:szCs w:val="21"/>
                      <w:lang w:val="en-US" w:eastAsia="zh-CN"/>
                    </w:rPr>
                    <w:t>物料</w:t>
                  </w:r>
                  <w:r>
                    <w:rPr>
                      <w:rFonts w:hint="default" w:ascii="Times New Roman" w:hAnsi="Times New Roman" w:cs="Times New Roman"/>
                      <w:color w:val="auto"/>
                      <w:sz w:val="21"/>
                      <w:szCs w:val="21"/>
                      <w:lang w:val="en-US" w:eastAsia="zh-CN"/>
                    </w:rPr>
                    <w:t>储罐</w:t>
                  </w:r>
                  <w:r>
                    <w:rPr>
                      <w:rFonts w:hint="default" w:ascii="Times New Roman" w:hAnsi="Times New Roman" w:cs="Times New Roman"/>
                      <w:color w:val="auto"/>
                      <w:sz w:val="21"/>
                      <w:szCs w:val="21"/>
                    </w:rPr>
                    <w:t>。含VOCs物料转移和输送，</w:t>
                  </w:r>
                  <w:r>
                    <w:rPr>
                      <w:rFonts w:hint="default" w:ascii="Times New Roman" w:hAnsi="Times New Roman" w:cs="Times New Roman"/>
                      <w:color w:val="auto"/>
                      <w:sz w:val="21"/>
                      <w:szCs w:val="21"/>
                      <w:lang w:val="en-US" w:eastAsia="zh-CN"/>
                    </w:rPr>
                    <w:t>均</w:t>
                  </w:r>
                  <w:r>
                    <w:rPr>
                      <w:rFonts w:hint="default" w:ascii="Times New Roman" w:hAnsi="Times New Roman" w:cs="Times New Roman"/>
                      <w:color w:val="auto"/>
                      <w:sz w:val="21"/>
                      <w:szCs w:val="21"/>
                    </w:rPr>
                    <w:t>采用密闭管道或密闭容器等。仅油相由密闭槽车上料输送产生少量废气排放，乳化炸药半成品钢带冷却和皮带输送时产生有机废气排放，由于安全防爆因素和生产指标要求无法封闭，生产工序有机废气排放量较小。</w:t>
                  </w:r>
                </w:p>
              </w:tc>
              <w:tc>
                <w:tcPr>
                  <w:tcW w:w="281" w:type="pct"/>
                  <w:tcBorders>
                    <w:tl2br w:val="nil"/>
                    <w:tr2bl w:val="nil"/>
                  </w:tcBorders>
                  <w:noWrap/>
                  <w:vAlign w:val="center"/>
                </w:tcPr>
                <w:p w14:paraId="51D6DF74">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4D023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33" w:type="pct"/>
                  <w:tcBorders>
                    <w:tl2br w:val="nil"/>
                    <w:tr2bl w:val="nil"/>
                  </w:tcBorders>
                  <w:noWrap/>
                  <w:vAlign w:val="center"/>
                </w:tcPr>
                <w:p w14:paraId="5D9A5A1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2853" w:type="pct"/>
                  <w:tcBorders>
                    <w:tl2br w:val="nil"/>
                    <w:tr2bl w:val="nil"/>
                  </w:tcBorders>
                  <w:noWrap/>
                  <w:vAlign w:val="center"/>
                </w:tcPr>
                <w:p w14:paraId="2F37C01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推进使用先进生产工艺。通过采用全密闭、连续化、自动化等生产技术，以及高效工艺与设备等，减少工艺过程无组织排放。挥发性有机液体装载优先采用底部装载方式。石化、化工行业重点推进使用低（无）泄漏的泵、压缩机、过滤机、离心机、干燥设备等，推广采用油品在线调和技术、密闭式循环水冷却系统等。</w:t>
                  </w:r>
                </w:p>
              </w:tc>
              <w:tc>
                <w:tcPr>
                  <w:tcW w:w="1531" w:type="pct"/>
                  <w:tcBorders>
                    <w:tl2br w:val="nil"/>
                    <w:tr2bl w:val="nil"/>
                  </w:tcBorders>
                  <w:noWrap/>
                  <w:vAlign w:val="center"/>
                </w:tcPr>
                <w:p w14:paraId="71887D3C">
                  <w:pPr>
                    <w:spacing w:line="240" w:lineRule="auto"/>
                    <w:ind w:firstLine="0" w:firstLineChars="0"/>
                    <w:jc w:val="left"/>
                    <w:rPr>
                      <w:rFonts w:hint="default" w:ascii="Times New Roman" w:hAnsi="Times New Roman" w:cs="Times New Roman"/>
                      <w:color w:val="auto"/>
                      <w:sz w:val="21"/>
                      <w:szCs w:val="21"/>
                    </w:rPr>
                  </w:pPr>
                  <w:r>
                    <w:rPr>
                      <w:rFonts w:hint="default" w:ascii="Times New Roman" w:hAnsi="Times New Roman" w:cs="Times New Roman"/>
                      <w:snapToGrid/>
                      <w:color w:val="auto"/>
                      <w:kern w:val="2"/>
                      <w:sz w:val="21"/>
                      <w:szCs w:val="21"/>
                    </w:rPr>
                    <w:t>本项目生产工序产生的</w:t>
                  </w:r>
                  <w:r>
                    <w:rPr>
                      <w:rFonts w:hint="default" w:ascii="Times New Roman" w:hAnsi="Times New Roman" w:cs="Times New Roman"/>
                      <w:snapToGrid/>
                      <w:color w:val="auto"/>
                      <w:kern w:val="2"/>
                      <w:sz w:val="21"/>
                      <w:szCs w:val="21"/>
                      <w:lang w:val="en-US" w:eastAsia="zh-CN"/>
                    </w:rPr>
                    <w:t>有机</w:t>
                  </w:r>
                  <w:r>
                    <w:rPr>
                      <w:rFonts w:hint="default" w:ascii="Times New Roman" w:hAnsi="Times New Roman" w:cs="Times New Roman"/>
                      <w:snapToGrid/>
                      <w:color w:val="auto"/>
                      <w:kern w:val="2"/>
                      <w:sz w:val="21"/>
                      <w:szCs w:val="21"/>
                    </w:rPr>
                    <w:t>废气</w:t>
                  </w:r>
                  <w:r>
                    <w:rPr>
                      <w:rFonts w:hint="eastAsia" w:ascii="Times New Roman" w:hAnsi="Times New Roman" w:cs="Times New Roman"/>
                      <w:snapToGrid/>
                      <w:color w:val="auto"/>
                      <w:kern w:val="2"/>
                      <w:sz w:val="21"/>
                      <w:szCs w:val="21"/>
                      <w:lang w:val="en-US" w:eastAsia="zh-CN"/>
                    </w:rPr>
                    <w:t>量较小，可达标无组织排放</w:t>
                  </w:r>
                  <w:r>
                    <w:rPr>
                      <w:rFonts w:hint="default" w:ascii="Times New Roman" w:hAnsi="Times New Roman" w:cs="Times New Roman"/>
                      <w:snapToGrid/>
                      <w:color w:val="auto"/>
                      <w:kern w:val="2"/>
                      <w:sz w:val="21"/>
                      <w:szCs w:val="21"/>
                    </w:rPr>
                    <w:t>。</w:t>
                  </w:r>
                </w:p>
              </w:tc>
              <w:tc>
                <w:tcPr>
                  <w:tcW w:w="281" w:type="pct"/>
                  <w:tcBorders>
                    <w:tl2br w:val="nil"/>
                    <w:tr2bl w:val="nil"/>
                  </w:tcBorders>
                  <w:noWrap/>
                  <w:vAlign w:val="center"/>
                </w:tcPr>
                <w:p w14:paraId="19F5608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4A20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33" w:type="pct"/>
                  <w:tcBorders>
                    <w:tl2br w:val="nil"/>
                    <w:tr2bl w:val="nil"/>
                  </w:tcBorders>
                  <w:noWrap/>
                  <w:vAlign w:val="center"/>
                </w:tcPr>
                <w:p w14:paraId="5E393387">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2853" w:type="pct"/>
                  <w:tcBorders>
                    <w:tl2br w:val="nil"/>
                    <w:tr2bl w:val="nil"/>
                  </w:tcBorders>
                  <w:noWrap/>
                  <w:vAlign w:val="center"/>
                </w:tcPr>
                <w:p w14:paraId="4E4FF283">
                  <w:pPr>
                    <w:spacing w:line="240" w:lineRule="auto"/>
                    <w:ind w:firstLine="0" w:firstLineChars="0"/>
                    <w:jc w:val="center"/>
                    <w:rPr>
                      <w:rFonts w:hint="default" w:ascii="Times New Roman" w:hAnsi="Times New Roman" w:cs="Times New Roman"/>
                      <w:color w:val="auto"/>
                      <w:sz w:val="21"/>
                      <w:szCs w:val="21"/>
                    </w:rPr>
                  </w:pPr>
                  <w:bookmarkStart w:id="21" w:name="OLE_LINK189"/>
                  <w:r>
                    <w:rPr>
                      <w:rFonts w:hint="default" w:ascii="Times New Roman" w:hAnsi="Times New Roman" w:cs="Times New Roman"/>
                      <w:color w:val="auto"/>
                      <w:sz w:val="21"/>
                      <w:szCs w:val="21"/>
                    </w:rPr>
                    <w:t>加强设备与管线组件</w:t>
                  </w:r>
                  <w:bookmarkEnd w:id="21"/>
                  <w:r>
                    <w:rPr>
                      <w:rFonts w:hint="default" w:ascii="Times New Roman" w:hAnsi="Times New Roman" w:cs="Times New Roman"/>
                      <w:color w:val="auto"/>
                      <w:sz w:val="21"/>
                      <w:szCs w:val="21"/>
                    </w:rPr>
                    <w:t>泄漏控制。企业中载有气态、液态VOCs物料的设备与管线组件，</w:t>
                  </w:r>
                  <w:bookmarkStart w:id="22" w:name="OLE_LINK188"/>
                  <w:r>
                    <w:rPr>
                      <w:rFonts w:hint="default" w:ascii="Times New Roman" w:hAnsi="Times New Roman" w:cs="Times New Roman"/>
                      <w:color w:val="auto"/>
                      <w:sz w:val="21"/>
                      <w:szCs w:val="21"/>
                    </w:rPr>
                    <w:t>密封点数量大于等于2000个</w:t>
                  </w:r>
                  <w:bookmarkEnd w:id="22"/>
                  <w:r>
                    <w:rPr>
                      <w:rFonts w:hint="default" w:ascii="Times New Roman" w:hAnsi="Times New Roman" w:cs="Times New Roman"/>
                      <w:color w:val="auto"/>
                      <w:sz w:val="21"/>
                      <w:szCs w:val="21"/>
                    </w:rPr>
                    <w:t>的，应按要求开展LDAR工作。石化企业按行业排放标准规定执行。</w:t>
                  </w:r>
                  <w:r>
                    <w:rPr>
                      <w:rFonts w:hint="default" w:ascii="Times New Roman" w:hAnsi="Times New Roman" w:cs="Times New Roman"/>
                      <w:snapToGrid/>
                      <w:color w:val="auto"/>
                      <w:kern w:val="2"/>
                      <w:sz w:val="21"/>
                      <w:szCs w:val="21"/>
                    </w:rPr>
                    <w:t>行业VOCs综合治理。加强制药、农药、涂料、油墨、胶粘剂、橡胶和塑料制品等行业VOCs治理力度。重点提高涉VOCs排放主要工序密闭化水平，加强无组织排放收集，加大含VOCs物料储存和装卸治理力度。废水储存、曝气池及其之前废水处理设施应按要求加盖封闭，实施废气收集与处理。密封点大于等于2000个的，要开展LDAR工作。</w:t>
                  </w:r>
                </w:p>
              </w:tc>
              <w:tc>
                <w:tcPr>
                  <w:tcW w:w="1531" w:type="pct"/>
                  <w:tcBorders>
                    <w:tl2br w:val="nil"/>
                    <w:tr2bl w:val="nil"/>
                  </w:tcBorders>
                  <w:noWrap/>
                  <w:vAlign w:val="center"/>
                </w:tcPr>
                <w:p w14:paraId="4261B804">
                  <w:pPr>
                    <w:spacing w:line="240" w:lineRule="auto"/>
                    <w:ind w:firstLine="0" w:firstLineChars="0"/>
                    <w:jc w:val="left"/>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本项目涉及VOCS</w:t>
                  </w:r>
                  <w:r>
                    <w:rPr>
                      <w:rFonts w:hint="default" w:ascii="Times New Roman" w:hAnsi="Times New Roman" w:cs="Times New Roman"/>
                      <w:color w:val="auto"/>
                      <w:sz w:val="21"/>
                      <w:szCs w:val="21"/>
                    </w:rPr>
                    <w:t>密封点数量</w:t>
                  </w:r>
                  <w:r>
                    <w:rPr>
                      <w:rFonts w:hint="eastAsia" w:ascii="Times New Roman" w:hAnsi="Times New Roman" w:cs="Times New Roman"/>
                      <w:color w:val="auto"/>
                      <w:sz w:val="21"/>
                      <w:szCs w:val="21"/>
                      <w:lang w:val="en-US" w:eastAsia="zh-CN"/>
                    </w:rPr>
                    <w:t>小</w:t>
                  </w:r>
                  <w:r>
                    <w:rPr>
                      <w:rFonts w:hint="default" w:ascii="Times New Roman" w:hAnsi="Times New Roman" w:cs="Times New Roman"/>
                      <w:color w:val="auto"/>
                      <w:sz w:val="21"/>
                      <w:szCs w:val="21"/>
                    </w:rPr>
                    <w:t>于2000个</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日常</w:t>
                  </w:r>
                  <w:r>
                    <w:rPr>
                      <w:rFonts w:hint="default" w:ascii="Times New Roman" w:hAnsi="Times New Roman" w:cs="Times New Roman"/>
                      <w:color w:val="auto"/>
                      <w:sz w:val="21"/>
                      <w:szCs w:val="21"/>
                    </w:rPr>
                    <w:t>加强设备与管线组件</w:t>
                  </w:r>
                  <w:r>
                    <w:rPr>
                      <w:rFonts w:hint="eastAsia" w:ascii="Times New Roman" w:hAnsi="Times New Roman" w:cs="Times New Roman"/>
                      <w:color w:val="auto"/>
                      <w:sz w:val="21"/>
                      <w:szCs w:val="21"/>
                      <w:lang w:val="en-US" w:eastAsia="zh-CN"/>
                    </w:rPr>
                    <w:t>检查和维护，可有效减少无组织排放。</w:t>
                  </w:r>
                </w:p>
              </w:tc>
              <w:tc>
                <w:tcPr>
                  <w:tcW w:w="281" w:type="pct"/>
                  <w:tcBorders>
                    <w:tl2br w:val="nil"/>
                    <w:tr2bl w:val="nil"/>
                  </w:tcBorders>
                  <w:noWrap/>
                  <w:vAlign w:val="center"/>
                </w:tcPr>
                <w:p w14:paraId="4B1D475F">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49D97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000" w:type="pct"/>
                  <w:gridSpan w:val="4"/>
                  <w:tcBorders>
                    <w:tl2br w:val="nil"/>
                    <w:tr2bl w:val="nil"/>
                  </w:tcBorders>
                  <w:noWrap/>
                  <w:vAlign w:val="center"/>
                </w:tcPr>
                <w:p w14:paraId="174484D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推进建设适宜高效的治污设施</w:t>
                  </w:r>
                </w:p>
              </w:tc>
            </w:tr>
            <w:tr w14:paraId="6B56B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333" w:type="pct"/>
                  <w:tcBorders>
                    <w:tl2br w:val="nil"/>
                    <w:tr2bl w:val="nil"/>
                  </w:tcBorders>
                  <w:noWrap/>
                  <w:vAlign w:val="center"/>
                </w:tcPr>
                <w:p w14:paraId="57BFD122">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2853" w:type="pct"/>
                  <w:tcBorders>
                    <w:tl2br w:val="nil"/>
                    <w:tr2bl w:val="nil"/>
                  </w:tcBorders>
                  <w:noWrap/>
                  <w:vAlign w:val="center"/>
                </w:tcPr>
                <w:p w14:paraId="2E93CF56">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深化LDAR工作。严格按照《石化企业泄漏检测与修复工作指南》规定，建立台账，开展泄漏检测、修复、质量控制、记录管理等工作。加强备用泵、在用泵、调节阀、搅拌器、开口管线等检测工作，强化质量控制；要将VOCs治理设施和储罐的密封点纳入检测计划中。参照《挥发性有机物无组织排放控制标准》有关设备与管线组件VOCs泄漏控制监督要求，对石化企业密封点泄漏加强监管。鼓励重点区域对泄漏量大的密封点实施包袋法检测，对不可达密封点采用红外法检测。</w:t>
                  </w:r>
                </w:p>
              </w:tc>
              <w:tc>
                <w:tcPr>
                  <w:tcW w:w="1531" w:type="pct"/>
                  <w:tcBorders>
                    <w:tl2br w:val="nil"/>
                    <w:tr2bl w:val="nil"/>
                  </w:tcBorders>
                  <w:noWrap/>
                  <w:vAlign w:val="center"/>
                </w:tcPr>
                <w:p w14:paraId="051F3F49">
                  <w:pPr>
                    <w:spacing w:line="240" w:lineRule="auto"/>
                    <w:ind w:firstLine="0" w:firstLineChars="0"/>
                    <w:jc w:val="left"/>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本项目为</w:t>
                  </w:r>
                  <w:r>
                    <w:rPr>
                      <w:rFonts w:hint="default" w:ascii="Times New Roman" w:hAnsi="Times New Roman" w:cs="Times New Roman"/>
                      <w:color w:val="auto"/>
                      <w:sz w:val="21"/>
                      <w:szCs w:val="21"/>
                      <w:lang w:val="en-US" w:eastAsia="zh-CN"/>
                    </w:rPr>
                    <w:t>炸药及火工产品制造行业</w:t>
                  </w:r>
                  <w:r>
                    <w:rPr>
                      <w:rFonts w:hint="eastAsia" w:ascii="Times New Roman" w:hAnsi="Times New Roman" w:cs="Times New Roman"/>
                      <w:color w:val="auto"/>
                      <w:sz w:val="21"/>
                      <w:szCs w:val="21"/>
                      <w:highlight w:val="none"/>
                      <w:lang w:val="en-US" w:eastAsia="zh-CN"/>
                    </w:rPr>
                    <w:t>，不属于化工行业。</w:t>
                  </w:r>
                  <w:r>
                    <w:rPr>
                      <w:rFonts w:hint="default" w:ascii="Times New Roman" w:hAnsi="Times New Roman" w:cs="Times New Roman"/>
                      <w:color w:val="auto"/>
                      <w:sz w:val="21"/>
                      <w:szCs w:val="21"/>
                      <w:highlight w:val="none"/>
                    </w:rPr>
                    <w:t>建设单位已设有环境管理部门，项目投产后将严格</w:t>
                  </w:r>
                  <w:r>
                    <w:rPr>
                      <w:rFonts w:hint="eastAsia" w:ascii="Times New Roman" w:hAnsi="Times New Roman" w:cs="Times New Roman"/>
                      <w:color w:val="auto"/>
                      <w:sz w:val="21"/>
                      <w:szCs w:val="21"/>
                      <w:highlight w:val="none"/>
                      <w:lang w:eastAsia="zh-CN"/>
                    </w:rPr>
                    <w:t>按照</w:t>
                  </w:r>
                  <w:r>
                    <w:rPr>
                      <w:rFonts w:hint="default" w:ascii="Times New Roman" w:hAnsi="Times New Roman" w:cs="Times New Roman"/>
                      <w:color w:val="auto"/>
                      <w:sz w:val="21"/>
                      <w:szCs w:val="21"/>
                      <w:highlight w:val="none"/>
                    </w:rPr>
                    <w:t>《指南》要求，建立台账、开展</w:t>
                  </w:r>
                  <w:r>
                    <w:rPr>
                      <w:rFonts w:hint="eastAsia" w:ascii="Times New Roman" w:hAnsi="Times New Roman" w:cs="Times New Roman"/>
                      <w:color w:val="auto"/>
                      <w:sz w:val="21"/>
                      <w:szCs w:val="21"/>
                      <w:highlight w:val="none"/>
                      <w:lang w:val="en-US" w:eastAsia="zh-CN"/>
                    </w:rPr>
                    <w:t>相关管理</w:t>
                  </w:r>
                  <w:r>
                    <w:rPr>
                      <w:rFonts w:hint="default" w:ascii="Times New Roman" w:hAnsi="Times New Roman" w:cs="Times New Roman"/>
                      <w:color w:val="auto"/>
                      <w:sz w:val="21"/>
                      <w:szCs w:val="21"/>
                      <w:highlight w:val="none"/>
                    </w:rPr>
                    <w:t>工作。</w:t>
                  </w:r>
                </w:p>
              </w:tc>
              <w:tc>
                <w:tcPr>
                  <w:tcW w:w="281" w:type="pct"/>
                  <w:tcBorders>
                    <w:tl2br w:val="nil"/>
                    <w:tr2bl w:val="nil"/>
                  </w:tcBorders>
                  <w:noWrap/>
                  <w:vAlign w:val="center"/>
                </w:tcPr>
                <w:p w14:paraId="0A2F3000">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6F92AE52">
            <w:pPr>
              <w:spacing w:before="120" w:beforeLines="50" w:line="360" w:lineRule="auto"/>
              <w:ind w:firstLine="480"/>
              <w:rPr>
                <w:color w:val="auto"/>
                <w:sz w:val="24"/>
                <w:szCs w:val="24"/>
              </w:rPr>
            </w:pPr>
            <w:r>
              <w:rPr>
                <w:rFonts w:hint="default" w:ascii="Times New Roman" w:hAnsi="Times New Roman" w:cs="Times New Roman"/>
                <w:color w:val="auto"/>
                <w:sz w:val="24"/>
                <w:szCs w:val="24"/>
              </w:rPr>
              <w:t>综上，本项目的建设符合</w:t>
            </w:r>
            <w:r>
              <w:rPr>
                <w:rFonts w:hint="eastAsia" w:ascii="Times New Roman" w:hAnsi="Times New Roman" w:eastAsia="宋体" w:cs="Times New Roman"/>
                <w:b w:val="0"/>
                <w:bCs w:val="0"/>
                <w:snapToGrid w:val="0"/>
                <w:color w:val="auto"/>
                <w:sz w:val="24"/>
                <w:szCs w:val="24"/>
                <w:lang w:val="en-US" w:eastAsia="zh-CN" w:bidi="ar-SA"/>
              </w:rPr>
              <w:t>《重点行业挥发性有机物综合治理方案》</w:t>
            </w:r>
            <w:r>
              <w:rPr>
                <w:rFonts w:hint="default" w:ascii="Times New Roman" w:hAnsi="Times New Roman" w:cs="Times New Roman"/>
                <w:color w:val="auto"/>
                <w:sz w:val="24"/>
                <w:szCs w:val="24"/>
              </w:rPr>
              <w:t>中相关要求。</w:t>
            </w:r>
          </w:p>
          <w:p w14:paraId="4C9AC1C2">
            <w:pPr>
              <w:pStyle w:val="5"/>
              <w:tabs>
                <w:tab w:val="left" w:pos="1620"/>
              </w:tabs>
              <w:spacing w:before="120" w:beforeLines="50" w:after="0" w:line="360" w:lineRule="auto"/>
              <w:ind w:left="0" w:leftChars="0" w:firstLine="0" w:firstLineChars="0"/>
              <w:jc w:val="both"/>
              <w:rPr>
                <w:rFonts w:hint="eastAsia" w:ascii="Times New Roman" w:hAnsi="Times New Roman" w:eastAsia="宋体" w:cs="Times New Roman"/>
                <w:b/>
                <w:bCs/>
                <w:snapToGrid w:val="0"/>
                <w:color w:val="auto"/>
                <w:sz w:val="24"/>
                <w:szCs w:val="24"/>
                <w:lang w:val="en-US" w:eastAsia="zh-CN" w:bidi="ar-SA"/>
              </w:rPr>
            </w:pPr>
            <w:r>
              <w:rPr>
                <w:rFonts w:hint="eastAsia" w:ascii="Times New Roman" w:hAnsi="Times New Roman" w:eastAsia="宋体" w:cs="Times New Roman"/>
                <w:b/>
                <w:bCs/>
                <w:snapToGrid w:val="0"/>
                <w:color w:val="auto"/>
                <w:sz w:val="24"/>
                <w:szCs w:val="24"/>
                <w:lang w:val="en-US" w:eastAsia="zh-CN" w:bidi="ar-SA"/>
              </w:rPr>
              <w:t>10、</w:t>
            </w:r>
            <w:r>
              <w:rPr>
                <w:rFonts w:hint="default" w:ascii="Times New Roman" w:hAnsi="Times New Roman" w:eastAsia="宋体" w:cs="Times New Roman"/>
                <w:b/>
                <w:bCs/>
                <w:snapToGrid w:val="0"/>
                <w:color w:val="auto"/>
                <w:sz w:val="24"/>
                <w:szCs w:val="24"/>
                <w:lang w:val="en-US" w:eastAsia="zh-CN" w:bidi="ar-SA"/>
              </w:rPr>
              <w:t>与《辽</w:t>
            </w:r>
            <w:r>
              <w:rPr>
                <w:rFonts w:hint="eastAsia" w:ascii="Times New Roman" w:hAnsi="Times New Roman" w:eastAsia="宋体" w:cs="Times New Roman"/>
                <w:b/>
                <w:bCs/>
                <w:snapToGrid w:val="0"/>
                <w:color w:val="auto"/>
                <w:sz w:val="24"/>
                <w:szCs w:val="24"/>
                <w:lang w:val="en-US" w:eastAsia="zh-CN" w:bidi="ar-SA"/>
              </w:rPr>
              <w:t>宁省“十四五”生态环境保护规划》相符性分析</w:t>
            </w:r>
          </w:p>
          <w:p w14:paraId="552792D5">
            <w:pPr>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本项目与</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辽宁省“十四五”生态环境保护规划</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相符性分析见表</w:t>
            </w:r>
            <w:r>
              <w:rPr>
                <w:rFonts w:hint="eastAsia" w:cs="Times New Roman"/>
                <w:color w:val="auto"/>
                <w:sz w:val="24"/>
                <w:szCs w:val="24"/>
                <w:highlight w:val="none"/>
                <w:lang w:val="en-US" w:eastAsia="zh-CN"/>
              </w:rPr>
              <w:t>1-9</w:t>
            </w:r>
            <w:r>
              <w:rPr>
                <w:rFonts w:hint="default" w:ascii="Times New Roman" w:hAnsi="Times New Roman" w:cs="Times New Roman"/>
                <w:color w:val="auto"/>
                <w:sz w:val="24"/>
                <w:szCs w:val="24"/>
                <w:highlight w:val="none"/>
                <w:lang w:eastAsia="zh-CN"/>
              </w:rPr>
              <w:t>。</w:t>
            </w:r>
          </w:p>
          <w:p w14:paraId="06E060C7">
            <w:pPr>
              <w:pStyle w:val="41"/>
              <w:spacing w:before="0" w:beforeAutospacing="0" w:after="0" w:line="240" w:lineRule="auto"/>
              <w:ind w:left="0" w:leftChars="0" w:firstLine="0" w:firstLineChars="0"/>
              <w:jc w:val="center"/>
              <w:rPr>
                <w:rFonts w:eastAsiaTheme="minorEastAsia"/>
                <w:color w:val="auto"/>
                <w:sz w:val="21"/>
                <w:szCs w:val="21"/>
                <w:highlight w:val="none"/>
              </w:rPr>
            </w:pPr>
            <w:r>
              <w:rPr>
                <w:rFonts w:hint="default" w:ascii="Times New Roman" w:hAnsi="Times New Roman" w:cs="Times New Roman" w:eastAsiaTheme="minorEastAsia"/>
                <w:b/>
                <w:bCs/>
                <w:color w:val="auto"/>
                <w:sz w:val="21"/>
                <w:szCs w:val="21"/>
                <w:highlight w:val="none"/>
              </w:rPr>
              <w:t>表</w:t>
            </w:r>
            <w:r>
              <w:rPr>
                <w:rFonts w:hint="eastAsia" w:ascii="Times New Roman" w:hAnsi="Times New Roman" w:cs="Times New Roman" w:eastAsiaTheme="minorEastAsia"/>
                <w:b/>
                <w:bCs/>
                <w:color w:val="auto"/>
                <w:sz w:val="21"/>
                <w:szCs w:val="21"/>
                <w:highlight w:val="none"/>
                <w:lang w:val="en-US" w:eastAsia="zh-CN"/>
              </w:rPr>
              <w:t xml:space="preserve">1-9 </w:t>
            </w:r>
            <w:r>
              <w:rPr>
                <w:rFonts w:hint="default" w:ascii="Times New Roman" w:hAnsi="Times New Roman" w:cs="Times New Roman" w:eastAsiaTheme="minorEastAsia"/>
                <w:b/>
                <w:bCs/>
                <w:color w:val="auto"/>
                <w:sz w:val="21"/>
                <w:szCs w:val="21"/>
                <w:highlight w:val="none"/>
              </w:rPr>
              <w:t>本项目与</w:t>
            </w:r>
            <w:bookmarkStart w:id="23" w:name="OLE_LINK211"/>
            <w:r>
              <w:rPr>
                <w:rFonts w:hint="default" w:ascii="Times New Roman" w:hAnsi="Times New Roman" w:cs="Times New Roman" w:eastAsiaTheme="minorEastAsia"/>
                <w:b/>
                <w:bCs/>
                <w:color w:val="auto"/>
                <w:sz w:val="21"/>
                <w:szCs w:val="21"/>
                <w:highlight w:val="none"/>
              </w:rPr>
              <w:t>《辽宁省“十四五”生态环境保护规划》</w:t>
            </w:r>
            <w:bookmarkEnd w:id="23"/>
            <w:r>
              <w:rPr>
                <w:rFonts w:hint="default" w:ascii="Times New Roman" w:hAnsi="Times New Roman" w:cs="Times New Roman" w:eastAsiaTheme="minorEastAsia"/>
                <w:b/>
                <w:bCs/>
                <w:color w:val="auto"/>
                <w:sz w:val="21"/>
                <w:szCs w:val="21"/>
                <w:highlight w:val="none"/>
              </w:rPr>
              <w:t>相符性分析</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29"/>
              <w:gridCol w:w="4434"/>
              <w:gridCol w:w="2411"/>
              <w:gridCol w:w="477"/>
            </w:tblGrid>
            <w:tr w14:paraId="3B5ED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blHeader/>
              </w:trPr>
              <w:tc>
                <w:tcPr>
                  <w:tcW w:w="337" w:type="pct"/>
                  <w:tcBorders>
                    <w:tl2br w:val="nil"/>
                    <w:tr2bl w:val="nil"/>
                  </w:tcBorders>
                  <w:shd w:val="clear" w:color="auto" w:fill="auto"/>
                  <w:vAlign w:val="center"/>
                </w:tcPr>
                <w:p w14:paraId="0CA6DB23">
                  <w:pPr>
                    <w:pStyle w:val="117"/>
                    <w:adjustRightInd w:val="0"/>
                    <w:snapToGrid w:val="0"/>
                    <w:rPr>
                      <w:rFonts w:hint="default" w:ascii="Times New Roman" w:hAnsi="Times New Roman" w:cs="Times New Roman" w:eastAsiaTheme="minorEastAsia"/>
                      <w:b/>
                      <w:bCs w:val="0"/>
                      <w:color w:val="auto"/>
                      <w:highlight w:val="none"/>
                      <w:lang w:val="en-US" w:eastAsia="zh-CN"/>
                    </w:rPr>
                  </w:pPr>
                  <w:r>
                    <w:rPr>
                      <w:rFonts w:hint="default" w:ascii="Times New Roman" w:hAnsi="Times New Roman" w:cs="Times New Roman" w:eastAsiaTheme="minorEastAsia"/>
                      <w:b/>
                      <w:bCs w:val="0"/>
                      <w:color w:val="auto"/>
                      <w:highlight w:val="none"/>
                      <w:lang w:val="en-US" w:eastAsia="zh-CN"/>
                    </w:rPr>
                    <w:t>序号</w:t>
                  </w:r>
                </w:p>
              </w:tc>
              <w:tc>
                <w:tcPr>
                  <w:tcW w:w="2823" w:type="pct"/>
                  <w:tcBorders>
                    <w:tl2br w:val="nil"/>
                    <w:tr2bl w:val="nil"/>
                  </w:tcBorders>
                  <w:shd w:val="clear" w:color="auto" w:fill="auto"/>
                  <w:vAlign w:val="center"/>
                </w:tcPr>
                <w:p w14:paraId="5720B985">
                  <w:pPr>
                    <w:pStyle w:val="117"/>
                    <w:adjustRightInd w:val="0"/>
                    <w:snapToGrid w:val="0"/>
                    <w:rPr>
                      <w:rFonts w:hint="default" w:ascii="Times New Roman" w:hAnsi="Times New Roman" w:cs="Times New Roman" w:eastAsiaTheme="minorEastAsia"/>
                      <w:b/>
                      <w:bCs w:val="0"/>
                      <w:color w:val="auto"/>
                      <w:highlight w:val="none"/>
                    </w:rPr>
                  </w:pPr>
                  <w:r>
                    <w:rPr>
                      <w:rFonts w:hint="default" w:ascii="Times New Roman" w:hAnsi="Times New Roman" w:cs="Times New Roman" w:eastAsiaTheme="minorEastAsia"/>
                      <w:b/>
                      <w:bCs w:val="0"/>
                      <w:color w:val="auto"/>
                      <w:highlight w:val="none"/>
                    </w:rPr>
                    <w:t>文件要求</w:t>
                  </w:r>
                </w:p>
              </w:tc>
              <w:tc>
                <w:tcPr>
                  <w:tcW w:w="1535" w:type="pct"/>
                  <w:tcBorders>
                    <w:tl2br w:val="nil"/>
                    <w:tr2bl w:val="nil"/>
                  </w:tcBorders>
                  <w:shd w:val="clear" w:color="auto" w:fill="auto"/>
                  <w:vAlign w:val="center"/>
                </w:tcPr>
                <w:p w14:paraId="6EC4BE66">
                  <w:pPr>
                    <w:pStyle w:val="117"/>
                    <w:adjustRightInd w:val="0"/>
                    <w:snapToGrid w:val="0"/>
                    <w:rPr>
                      <w:rFonts w:hint="default" w:ascii="Times New Roman" w:hAnsi="Times New Roman" w:cs="Times New Roman" w:eastAsiaTheme="minorEastAsia"/>
                      <w:b/>
                      <w:bCs w:val="0"/>
                      <w:color w:val="auto"/>
                      <w:highlight w:val="none"/>
                    </w:rPr>
                  </w:pPr>
                  <w:r>
                    <w:rPr>
                      <w:rFonts w:hint="default" w:ascii="Times New Roman" w:hAnsi="Times New Roman" w:cs="Times New Roman" w:eastAsiaTheme="minorEastAsia"/>
                      <w:b/>
                      <w:bCs w:val="0"/>
                      <w:color w:val="auto"/>
                      <w:highlight w:val="none"/>
                    </w:rPr>
                    <w:t>本项目情况</w:t>
                  </w:r>
                </w:p>
              </w:tc>
              <w:tc>
                <w:tcPr>
                  <w:tcW w:w="303" w:type="pct"/>
                  <w:tcBorders>
                    <w:tl2br w:val="nil"/>
                    <w:tr2bl w:val="nil"/>
                  </w:tcBorders>
                  <w:shd w:val="clear" w:color="auto" w:fill="auto"/>
                  <w:vAlign w:val="center"/>
                </w:tcPr>
                <w:p w14:paraId="602D23EF">
                  <w:pPr>
                    <w:pStyle w:val="117"/>
                    <w:adjustRightInd w:val="0"/>
                    <w:snapToGrid w:val="0"/>
                    <w:rPr>
                      <w:rFonts w:hint="default" w:ascii="Times New Roman" w:hAnsi="Times New Roman" w:cs="Times New Roman" w:eastAsiaTheme="minorEastAsia"/>
                      <w:b/>
                      <w:bCs w:val="0"/>
                      <w:color w:val="auto"/>
                      <w:highlight w:val="none"/>
                    </w:rPr>
                  </w:pPr>
                  <w:r>
                    <w:rPr>
                      <w:rFonts w:hint="default" w:ascii="Times New Roman" w:hAnsi="Times New Roman" w:cs="Times New Roman" w:eastAsiaTheme="minorEastAsia"/>
                      <w:b/>
                      <w:bCs w:val="0"/>
                      <w:color w:val="auto"/>
                      <w:highlight w:val="none"/>
                    </w:rPr>
                    <w:t>符合性</w:t>
                  </w:r>
                </w:p>
              </w:tc>
            </w:tr>
            <w:tr w14:paraId="1E558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7" w:type="pct"/>
                  <w:tcBorders>
                    <w:tl2br w:val="nil"/>
                    <w:tr2bl w:val="nil"/>
                  </w:tcBorders>
                  <w:shd w:val="clear" w:color="auto" w:fill="auto"/>
                  <w:vAlign w:val="center"/>
                </w:tcPr>
                <w:p w14:paraId="32C893F4">
                  <w:pPr>
                    <w:pStyle w:val="117"/>
                    <w:adjustRightInd w:val="0"/>
                    <w:snapToGrid w:val="0"/>
                    <w:rPr>
                      <w:rFonts w:hint="default" w:ascii="Times New Roman" w:hAnsi="Times New Roman" w:cs="Times New Roman" w:eastAsiaTheme="minorEastAsia"/>
                      <w:b w:val="0"/>
                      <w:bCs/>
                      <w:color w:val="auto"/>
                      <w:highlight w:val="none"/>
                      <w:lang w:val="en-US" w:eastAsia="zh-CN"/>
                    </w:rPr>
                  </w:pPr>
                  <w:r>
                    <w:rPr>
                      <w:rFonts w:hint="default" w:ascii="Times New Roman" w:hAnsi="Times New Roman" w:cs="Times New Roman" w:eastAsiaTheme="minorEastAsia"/>
                      <w:b w:val="0"/>
                      <w:bCs/>
                      <w:color w:val="auto"/>
                      <w:highlight w:val="none"/>
                      <w:lang w:val="en-US" w:eastAsia="zh-CN"/>
                    </w:rPr>
                    <w:t>1</w:t>
                  </w:r>
                </w:p>
              </w:tc>
              <w:tc>
                <w:tcPr>
                  <w:tcW w:w="2823" w:type="pct"/>
                  <w:tcBorders>
                    <w:tl2br w:val="nil"/>
                    <w:tr2bl w:val="nil"/>
                  </w:tcBorders>
                  <w:shd w:val="clear" w:color="auto" w:fill="auto"/>
                  <w:vAlign w:val="center"/>
                </w:tcPr>
                <w:p w14:paraId="1687E863">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color w:val="auto"/>
                      <w:highlight w:val="none"/>
                    </w:rPr>
                    <w:t>深入优化调整产业结构</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改造升级“老字号”</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用人工智能、大数据、物联网等新一代信息技术为装备制造业等优势产业赋能增效</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促进制造业向智能、绿色、高端、服务方向升级</w:t>
                  </w:r>
                  <w:r>
                    <w:rPr>
                      <w:rFonts w:hint="default" w:ascii="Times New Roman" w:hAnsi="Times New Roman" w:cs="Times New Roman" w:eastAsiaTheme="minorEastAsia"/>
                      <w:b w:val="0"/>
                      <w:bCs/>
                      <w:color w:val="auto"/>
                      <w:highlight w:val="none"/>
                      <w:lang w:val="en-US" w:eastAsia="zh-CN"/>
                    </w:rPr>
                    <w:t>；</w:t>
                  </w:r>
                  <w:r>
                    <w:rPr>
                      <w:rFonts w:hint="default" w:ascii="Times New Roman" w:hAnsi="Times New Roman" w:cs="Times New Roman" w:eastAsiaTheme="minorEastAsia"/>
                      <w:b w:val="0"/>
                      <w:bCs/>
                      <w:color w:val="auto"/>
                      <w:highlight w:val="none"/>
                    </w:rPr>
                    <w:t>深度开发“原字号”</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对冶金、石化等产业链补链、延链、强链</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改变“炼”有余而“化”不足、“粗化工”有余而“精细化工”不足、原材料有余而增值链不足的状况</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不断推进产业链价值链向中高端发展</w:t>
                  </w:r>
                  <w:r>
                    <w:rPr>
                      <w:rFonts w:hint="default" w:ascii="Times New Roman" w:hAnsi="Times New Roman" w:cs="Times New Roman" w:eastAsiaTheme="minorEastAsia"/>
                      <w:b w:val="0"/>
                      <w:bCs/>
                      <w:color w:val="auto"/>
                      <w:highlight w:val="none"/>
                      <w:lang w:val="en-US" w:eastAsia="zh-CN"/>
                    </w:rPr>
                    <w:t>；</w:t>
                  </w:r>
                  <w:r>
                    <w:rPr>
                      <w:rFonts w:hint="default" w:ascii="Times New Roman" w:hAnsi="Times New Roman" w:cs="Times New Roman" w:eastAsiaTheme="minorEastAsia"/>
                      <w:b w:val="0"/>
                      <w:bCs/>
                      <w:color w:val="auto"/>
                      <w:highlight w:val="none"/>
                    </w:rPr>
                    <w:t>培育壮大“新字号”</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强力推进战略性新兴产业、高技术制造业和高技术服务业发展</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加快发展节能环保产业</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培育壮大数字产业集群</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持续压减淘汰落后和过剩产能</w:t>
                  </w:r>
                  <w:r>
                    <w:rPr>
                      <w:rFonts w:hint="default" w:ascii="Times New Roman" w:hAnsi="Times New Roman" w:cs="Times New Roman" w:eastAsiaTheme="minorEastAsia"/>
                      <w:b w:val="0"/>
                      <w:bCs/>
                      <w:color w:val="auto"/>
                      <w:highlight w:val="none"/>
                      <w:lang w:eastAsia="zh-CN"/>
                    </w:rPr>
                    <w:t>，</w:t>
                  </w:r>
                  <w:r>
                    <w:rPr>
                      <w:rFonts w:hint="default" w:ascii="Times New Roman" w:hAnsi="Times New Roman" w:cs="Times New Roman" w:eastAsiaTheme="minorEastAsia"/>
                      <w:b w:val="0"/>
                      <w:bCs/>
                      <w:color w:val="auto"/>
                      <w:highlight w:val="none"/>
                    </w:rPr>
                    <w:t>严格落实钢铁、水泥熟料、烧结砖瓦、电解铝、炼化等行业产能置换要求</w:t>
                  </w:r>
                  <w:r>
                    <w:rPr>
                      <w:rFonts w:hint="default" w:ascii="Times New Roman" w:hAnsi="Times New Roman" w:cs="Times New Roman" w:eastAsiaTheme="minorEastAsia"/>
                      <w:b w:val="0"/>
                      <w:bCs/>
                      <w:color w:val="auto"/>
                      <w:highlight w:val="none"/>
                      <w:lang w:eastAsia="zh-CN"/>
                    </w:rPr>
                    <w:t>。</w:t>
                  </w:r>
                </w:p>
              </w:tc>
              <w:tc>
                <w:tcPr>
                  <w:tcW w:w="1535" w:type="pct"/>
                  <w:tcBorders>
                    <w:tl2br w:val="nil"/>
                    <w:tr2bl w:val="nil"/>
                  </w:tcBorders>
                  <w:shd w:val="clear" w:color="auto" w:fill="auto"/>
                  <w:vAlign w:val="center"/>
                </w:tcPr>
                <w:p w14:paraId="086B1FE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本项目为</w:t>
                  </w:r>
                  <w:r>
                    <w:rPr>
                      <w:rFonts w:hint="default" w:ascii="Times New Roman" w:hAnsi="Times New Roman" w:cs="Times New Roman"/>
                      <w:color w:val="auto"/>
                      <w:sz w:val="21"/>
                      <w:szCs w:val="21"/>
                      <w:lang w:val="en-US" w:eastAsia="zh-CN"/>
                    </w:rPr>
                    <w:t>炸药及火工产品制造行业</w:t>
                  </w:r>
                  <w:r>
                    <w:rPr>
                      <w:rFonts w:hint="default" w:ascii="Times New Roman" w:hAnsi="Times New Roman" w:cs="Times New Roman"/>
                      <w:color w:val="auto"/>
                      <w:sz w:val="21"/>
                      <w:szCs w:val="21"/>
                      <w:highlight w:val="none"/>
                      <w:lang w:val="en-US" w:eastAsia="zh-CN"/>
                    </w:rPr>
                    <w:t>。</w:t>
                  </w:r>
                </w:p>
              </w:tc>
              <w:tc>
                <w:tcPr>
                  <w:tcW w:w="303" w:type="pct"/>
                  <w:tcBorders>
                    <w:tl2br w:val="nil"/>
                    <w:tr2bl w:val="nil"/>
                  </w:tcBorders>
                  <w:shd w:val="clear" w:color="auto" w:fill="auto"/>
                  <w:vAlign w:val="center"/>
                </w:tcPr>
                <w:p w14:paraId="36A30B5E">
                  <w:pPr>
                    <w:pStyle w:val="117"/>
                    <w:adjustRightInd w:val="0"/>
                    <w:snapToGrid w:val="0"/>
                    <w:rPr>
                      <w:rFonts w:hint="default" w:ascii="Times New Roman" w:hAnsi="Times New Roman" w:cs="Times New Roman" w:eastAsiaTheme="minorEastAsia"/>
                      <w:b/>
                      <w:bCs w:val="0"/>
                      <w:color w:val="auto"/>
                      <w:highlight w:val="none"/>
                    </w:rPr>
                  </w:pPr>
                  <w:r>
                    <w:rPr>
                      <w:rFonts w:hint="default" w:ascii="Times New Roman" w:hAnsi="Times New Roman" w:cs="Times New Roman" w:eastAsiaTheme="minorEastAsia"/>
                      <w:bCs w:val="0"/>
                      <w:color w:val="auto"/>
                      <w:highlight w:val="none"/>
                    </w:rPr>
                    <w:t>符合</w:t>
                  </w:r>
                </w:p>
              </w:tc>
            </w:tr>
            <w:tr w14:paraId="372D9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7" w:type="pct"/>
                  <w:tcBorders>
                    <w:tl2br w:val="nil"/>
                    <w:tr2bl w:val="nil"/>
                  </w:tcBorders>
                  <w:shd w:val="clear" w:color="auto" w:fill="auto"/>
                  <w:vAlign w:val="center"/>
                </w:tcPr>
                <w:p w14:paraId="35DF3474">
                  <w:pPr>
                    <w:pStyle w:val="117"/>
                    <w:adjustRightInd w:val="0"/>
                    <w:snapToGrid w:val="0"/>
                    <w:rPr>
                      <w:rFonts w:hint="default" w:ascii="Times New Roman" w:hAnsi="Times New Roman" w:cs="Times New Roman" w:eastAsiaTheme="minorEastAsia"/>
                      <w:b w:val="0"/>
                      <w:bCs/>
                      <w:color w:val="auto"/>
                      <w:highlight w:val="none"/>
                      <w:lang w:val="en-US" w:eastAsia="zh-CN"/>
                    </w:rPr>
                  </w:pPr>
                  <w:r>
                    <w:rPr>
                      <w:rFonts w:hint="default" w:ascii="Times New Roman" w:hAnsi="Times New Roman" w:cs="Times New Roman" w:eastAsiaTheme="minorEastAsia"/>
                      <w:b w:val="0"/>
                      <w:bCs/>
                      <w:color w:val="auto"/>
                      <w:highlight w:val="none"/>
                      <w:lang w:val="en-US" w:eastAsia="zh-CN"/>
                    </w:rPr>
                    <w:t>2</w:t>
                  </w:r>
                </w:p>
              </w:tc>
              <w:tc>
                <w:tcPr>
                  <w:tcW w:w="2823" w:type="pct"/>
                  <w:tcBorders>
                    <w:tl2br w:val="nil"/>
                    <w:tr2bl w:val="nil"/>
                  </w:tcBorders>
                  <w:shd w:val="clear" w:color="auto" w:fill="auto"/>
                  <w:vAlign w:val="center"/>
                </w:tcPr>
                <w:p w14:paraId="1A6B003A">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对能源、冶金、焦化、建材、有色、化工、印染、造纸、原料药、电镀、农副食品加工、工业涂装、包装印刷、菱镁产业等</w:t>
                  </w:r>
                  <w:r>
                    <w:rPr>
                      <w:rFonts w:hint="eastAsia" w:cs="Times New Roman" w:eastAsiaTheme="minorEastAsia"/>
                      <w:b w:val="0"/>
                      <w:bCs/>
                      <w:snapToGrid w:val="0"/>
                      <w:color w:val="auto"/>
                      <w:sz w:val="21"/>
                      <w:szCs w:val="21"/>
                      <w:highlight w:val="none"/>
                      <w:lang w:val="en-US" w:eastAsia="zh-CN" w:bidi="ar-SA"/>
                    </w:rPr>
                    <w:t>14</w:t>
                  </w:r>
                  <w:r>
                    <w:rPr>
                      <w:rFonts w:hint="default" w:ascii="Times New Roman" w:hAnsi="Times New Roman" w:cs="Times New Roman" w:eastAsiaTheme="minorEastAsia"/>
                      <w:b w:val="0"/>
                      <w:bCs/>
                      <w:snapToGrid w:val="0"/>
                      <w:color w:val="auto"/>
                      <w:sz w:val="21"/>
                      <w:szCs w:val="21"/>
                      <w:highlight w:val="none"/>
                      <w:lang w:val="en-US" w:eastAsia="zh-CN" w:bidi="ar-SA"/>
                    </w:rPr>
                    <w:t>个重点行业存在“双超”“双有”和高耗能问题的重点排污单位，依法依规分年度实施强制性清洁生产审核。</w:t>
                  </w:r>
                </w:p>
              </w:tc>
              <w:tc>
                <w:tcPr>
                  <w:tcW w:w="1535" w:type="pct"/>
                  <w:tcBorders>
                    <w:tl2br w:val="nil"/>
                    <w:tr2bl w:val="nil"/>
                  </w:tcBorders>
                  <w:shd w:val="clear" w:color="auto" w:fill="auto"/>
                  <w:vAlign w:val="center"/>
                </w:tcPr>
                <w:p w14:paraId="3267AFA2">
                  <w:pPr>
                    <w:pStyle w:val="117"/>
                    <w:adjustRightInd w:val="0"/>
                    <w:snapToGrid w:val="0"/>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本项目</w:t>
                  </w:r>
                  <w:bookmarkStart w:id="24" w:name="OLE_LINK193"/>
                  <w:r>
                    <w:rPr>
                      <w:rFonts w:hint="default" w:ascii="Times New Roman" w:hAnsi="Times New Roman" w:cs="Times New Roman" w:eastAsiaTheme="minorEastAsia"/>
                      <w:color w:val="auto"/>
                      <w:highlight w:val="none"/>
                      <w:lang w:val="en-US" w:eastAsia="zh-CN"/>
                    </w:rPr>
                    <w:t>为炸药及火工产品制造行业</w:t>
                  </w:r>
                  <w:bookmarkEnd w:id="24"/>
                  <w:r>
                    <w:rPr>
                      <w:rFonts w:hint="default" w:ascii="Times New Roman" w:hAnsi="Times New Roman" w:cs="Times New Roman" w:eastAsiaTheme="minorEastAsia"/>
                      <w:color w:val="auto"/>
                      <w:highlight w:val="none"/>
                      <w:lang w:val="en-US" w:eastAsia="zh-CN"/>
                    </w:rPr>
                    <w:t>，产品为乳化炸药</w:t>
                  </w:r>
                  <w:r>
                    <w:rPr>
                      <w:rFonts w:hint="eastAsia" w:cs="Times New Roman" w:eastAsiaTheme="minorEastAsia"/>
                      <w:color w:val="auto"/>
                      <w:highlight w:val="none"/>
                      <w:lang w:val="en-US" w:eastAsia="zh-CN"/>
                    </w:rPr>
                    <w:t>震源药柱</w:t>
                  </w:r>
                  <w:r>
                    <w:rPr>
                      <w:rFonts w:hint="default" w:ascii="Times New Roman" w:hAnsi="Times New Roman" w:cs="Times New Roman" w:eastAsiaTheme="minorEastAsia"/>
                      <w:color w:val="auto"/>
                      <w:highlight w:val="none"/>
                      <w:lang w:val="en-US" w:eastAsia="zh-CN"/>
                    </w:rPr>
                    <w:t>，</w:t>
                  </w:r>
                  <w:r>
                    <w:rPr>
                      <w:rFonts w:hint="eastAsia" w:ascii="Times New Roman" w:hAnsi="Times New Roman" w:cs="Times New Roman" w:eastAsiaTheme="minorEastAsia"/>
                      <w:color w:val="auto"/>
                      <w:highlight w:val="none"/>
                      <w:lang w:val="en-US" w:eastAsia="zh-CN"/>
                    </w:rPr>
                    <w:t>不属于化工项目，</w:t>
                  </w:r>
                  <w:r>
                    <w:rPr>
                      <w:rFonts w:hint="default" w:ascii="Times New Roman" w:hAnsi="Times New Roman" w:cs="Times New Roman" w:eastAsiaTheme="minorEastAsia"/>
                      <w:color w:val="auto"/>
                      <w:highlight w:val="none"/>
                      <w:lang w:val="en-US" w:eastAsia="zh-CN"/>
                    </w:rPr>
                    <w:t>不属于高污染、高耗能项目。</w:t>
                  </w:r>
                </w:p>
              </w:tc>
              <w:tc>
                <w:tcPr>
                  <w:tcW w:w="303" w:type="pct"/>
                  <w:tcBorders>
                    <w:tl2br w:val="nil"/>
                    <w:tr2bl w:val="nil"/>
                  </w:tcBorders>
                  <w:shd w:val="clear" w:color="auto" w:fill="auto"/>
                  <w:vAlign w:val="center"/>
                </w:tcPr>
                <w:p w14:paraId="0C8F80DF">
                  <w:pPr>
                    <w:pStyle w:val="117"/>
                    <w:adjustRightInd w:val="0"/>
                    <w:snapToGrid w:val="0"/>
                    <w:rPr>
                      <w:rFonts w:hint="default" w:ascii="Times New Roman" w:hAnsi="Times New Roman" w:cs="Times New Roman" w:eastAsiaTheme="minorEastAsia"/>
                      <w:bCs w:val="0"/>
                      <w:color w:val="auto"/>
                      <w:highlight w:val="none"/>
                    </w:rPr>
                  </w:pPr>
                  <w:r>
                    <w:rPr>
                      <w:rFonts w:hint="default" w:ascii="Times New Roman" w:hAnsi="Times New Roman" w:cs="Times New Roman" w:eastAsiaTheme="minorEastAsia"/>
                      <w:bCs w:val="0"/>
                      <w:color w:val="auto"/>
                      <w:highlight w:val="none"/>
                    </w:rPr>
                    <w:t>符合</w:t>
                  </w:r>
                </w:p>
              </w:tc>
            </w:tr>
            <w:tr w14:paraId="2012F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7" w:type="pct"/>
                  <w:tcBorders>
                    <w:tl2br w:val="nil"/>
                    <w:tr2bl w:val="nil"/>
                  </w:tcBorders>
                  <w:shd w:val="clear" w:color="auto" w:fill="auto"/>
                  <w:vAlign w:val="center"/>
                </w:tcPr>
                <w:p w14:paraId="0485F163">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3</w:t>
                  </w:r>
                </w:p>
              </w:tc>
              <w:tc>
                <w:tcPr>
                  <w:tcW w:w="2823" w:type="pct"/>
                  <w:tcBorders>
                    <w:tl2br w:val="nil"/>
                    <w:tr2bl w:val="nil"/>
                  </w:tcBorders>
                  <w:shd w:val="clear" w:color="auto" w:fill="auto"/>
                  <w:vAlign w:val="center"/>
                </w:tcPr>
                <w:p w14:paraId="7ADD9A64">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强化燃煤锅炉整治和散煤污染治理</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按照国家统一部署，推进热电联产企业供暖覆盖范围内的燃煤锅炉和小热电关停整合</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实施燃煤锅炉超低排放改造</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全面推进清洁能源采暖</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各市和沈抚示范区结合具体情况分别实施电能替代、天然气替代、集中供热替代、新能源替代及型煤替代、棚户区改造</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加强供热热源和配套管网建设</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加快天然气产供销体系和储气设施建设</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基本实现新增“煤改气”工程具备气源保障能力。</w:t>
                  </w:r>
                </w:p>
              </w:tc>
              <w:tc>
                <w:tcPr>
                  <w:tcW w:w="1535" w:type="pct"/>
                  <w:tcBorders>
                    <w:tl2br w:val="nil"/>
                    <w:tr2bl w:val="nil"/>
                  </w:tcBorders>
                  <w:shd w:val="clear" w:color="auto" w:fill="auto"/>
                  <w:vAlign w:val="center"/>
                </w:tcPr>
                <w:p w14:paraId="7B091E6A">
                  <w:pPr>
                    <w:pStyle w:val="117"/>
                    <w:adjustRightInd w:val="0"/>
                    <w:snapToGrid w:val="0"/>
                    <w:rPr>
                      <w:rFonts w:hint="default" w:ascii="Times New Roman" w:hAnsi="Times New Roman" w:cs="Times New Roman" w:eastAsiaTheme="minorEastAsia"/>
                      <w:bCs w:val="0"/>
                      <w:color w:val="auto"/>
                      <w:highlight w:val="none"/>
                      <w:lang w:val="en-US" w:eastAsia="zh-CN"/>
                    </w:rPr>
                  </w:pPr>
                  <w:r>
                    <w:rPr>
                      <w:rFonts w:hint="default" w:ascii="Times New Roman" w:hAnsi="Times New Roman" w:cs="Times New Roman" w:eastAsiaTheme="minorEastAsia"/>
                      <w:bCs w:val="0"/>
                      <w:color w:val="auto"/>
                      <w:highlight w:val="none"/>
                      <w:lang w:val="en-US" w:eastAsia="zh-CN"/>
                    </w:rPr>
                    <w:t>本项目不涉及新增锅炉建设。</w:t>
                  </w:r>
                </w:p>
              </w:tc>
              <w:tc>
                <w:tcPr>
                  <w:tcW w:w="303" w:type="pct"/>
                  <w:tcBorders>
                    <w:tl2br w:val="nil"/>
                    <w:tr2bl w:val="nil"/>
                  </w:tcBorders>
                  <w:shd w:val="clear" w:color="auto" w:fill="auto"/>
                  <w:vAlign w:val="center"/>
                </w:tcPr>
                <w:p w14:paraId="4C1CA700">
                  <w:pPr>
                    <w:pStyle w:val="117"/>
                    <w:adjustRightInd w:val="0"/>
                    <w:snapToGrid w:val="0"/>
                    <w:rPr>
                      <w:rFonts w:hint="default" w:ascii="Times New Roman" w:hAnsi="Times New Roman" w:cs="Times New Roman" w:eastAsiaTheme="minorEastAsia"/>
                      <w:bCs w:val="0"/>
                      <w:color w:val="auto"/>
                      <w:highlight w:val="none"/>
                    </w:rPr>
                  </w:pPr>
                  <w:r>
                    <w:rPr>
                      <w:rFonts w:hint="default" w:ascii="Times New Roman" w:hAnsi="Times New Roman" w:cs="Times New Roman" w:eastAsiaTheme="minorEastAsia"/>
                      <w:bCs w:val="0"/>
                      <w:color w:val="auto"/>
                      <w:highlight w:val="none"/>
                    </w:rPr>
                    <w:t>符合</w:t>
                  </w:r>
                </w:p>
              </w:tc>
            </w:tr>
            <w:tr w14:paraId="18352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7" w:type="pct"/>
                  <w:tcBorders>
                    <w:tl2br w:val="nil"/>
                    <w:tr2bl w:val="nil"/>
                  </w:tcBorders>
                  <w:shd w:val="clear" w:color="auto" w:fill="auto"/>
                  <w:vAlign w:val="center"/>
                </w:tcPr>
                <w:p w14:paraId="607BF205">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4</w:t>
                  </w:r>
                </w:p>
              </w:tc>
              <w:tc>
                <w:tcPr>
                  <w:tcW w:w="2823" w:type="pct"/>
                  <w:tcBorders>
                    <w:tl2br w:val="nil"/>
                    <w:tr2bl w:val="nil"/>
                  </w:tcBorders>
                  <w:shd w:val="clear" w:color="auto" w:fill="auto"/>
                  <w:vAlign w:val="center"/>
                </w:tcPr>
                <w:p w14:paraId="398F072B">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大力推进重点行业VOCs治理。以石化、化工、包装印刷、工业涂装、家具制造及油品储运销等行业为重点，开展源头结构调整、污染深度治理和全过程精细化管理。针对VOCs无组织排放、治理设施综合效率低等重点问题开展清单式排查，实施综合整治</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除因安全生产等原因必须保留的以外，逐步取消炼油、石化、煤化工、原料药制造、农药、化工、工业涂装、包装印刷等企业非必要的VOCs废气排放系统旁路。加强非正常工况VOCs管控力度，督促企业制定非正常工况管控规程，石化、化工企业制定检维修期间VOCs管控方案，规范开展泄漏检测与修复</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利用走航监测、抽查、监督监测等方式，加强企业、工业园区监管，依法关停整治污染严重企业。</w:t>
                  </w:r>
                </w:p>
              </w:tc>
              <w:tc>
                <w:tcPr>
                  <w:tcW w:w="1535" w:type="pct"/>
                  <w:tcBorders>
                    <w:tl2br w:val="nil"/>
                    <w:tr2bl w:val="nil"/>
                  </w:tcBorders>
                  <w:shd w:val="clear" w:color="auto" w:fill="auto"/>
                  <w:vAlign w:val="center"/>
                </w:tcPr>
                <w:p w14:paraId="4CDF4941">
                  <w:pPr>
                    <w:pStyle w:val="117"/>
                    <w:adjustRightInd w:val="0"/>
                    <w:snapToGrid w:val="0"/>
                    <w:rPr>
                      <w:rFonts w:hint="default" w:ascii="Times New Roman" w:hAnsi="Times New Roman" w:cs="Times New Roman" w:eastAsiaTheme="minorEastAsia"/>
                      <w:bCs w:val="0"/>
                      <w:color w:val="auto"/>
                      <w:highlight w:val="none"/>
                      <w:lang w:val="en-US" w:eastAsia="zh-CN"/>
                    </w:rPr>
                  </w:pPr>
                  <w:r>
                    <w:rPr>
                      <w:rFonts w:hint="eastAsia" w:ascii="Times New Roman" w:hAnsi="Times New Roman" w:cs="Times New Roman" w:eastAsiaTheme="minorEastAsia"/>
                      <w:bCs w:val="0"/>
                      <w:color w:val="auto"/>
                      <w:highlight w:val="none"/>
                      <w:lang w:val="en-US" w:eastAsia="zh-CN"/>
                    </w:rPr>
                    <w:t>本项目不属于重点行业，</w:t>
                  </w:r>
                  <w:r>
                    <w:rPr>
                      <w:rFonts w:hint="default" w:ascii="Times New Roman" w:hAnsi="Times New Roman" w:cs="Times New Roman" w:eastAsiaTheme="minorEastAsia"/>
                      <w:bCs w:val="0"/>
                      <w:color w:val="auto"/>
                      <w:highlight w:val="none"/>
                      <w:lang w:val="en-US" w:eastAsia="zh-CN"/>
                    </w:rPr>
                    <w:t>环评已按</w:t>
                  </w:r>
                  <w:bookmarkStart w:id="25" w:name="OLE_LINK199"/>
                  <w:bookmarkStart w:id="26" w:name="OLE_LINK200"/>
                  <w:r>
                    <w:rPr>
                      <w:rFonts w:hint="default" w:ascii="Times New Roman" w:hAnsi="Times New Roman" w:cs="Times New Roman" w:eastAsiaTheme="minorEastAsia"/>
                      <w:b w:val="0"/>
                      <w:bCs/>
                      <w:snapToGrid w:val="0"/>
                      <w:color w:val="auto"/>
                      <w:sz w:val="21"/>
                      <w:szCs w:val="21"/>
                      <w:highlight w:val="none"/>
                      <w:lang w:val="en-US" w:eastAsia="zh-CN" w:bidi="ar-SA"/>
                    </w:rPr>
                    <w:t>《挥发性有机物无组织排放控制标准》</w:t>
                  </w:r>
                  <w:bookmarkEnd w:id="25"/>
                  <w:r>
                    <w:rPr>
                      <w:rFonts w:hint="default" w:ascii="Times New Roman" w:hAnsi="Times New Roman" w:cs="Times New Roman" w:eastAsiaTheme="minorEastAsia"/>
                      <w:b w:val="0"/>
                      <w:bCs/>
                      <w:snapToGrid w:val="0"/>
                      <w:color w:val="auto"/>
                      <w:sz w:val="21"/>
                      <w:szCs w:val="21"/>
                      <w:highlight w:val="none"/>
                      <w:lang w:val="en-US" w:eastAsia="zh-CN" w:bidi="ar-SA"/>
                    </w:rPr>
                    <w:t>提出VOC</w:t>
                  </w:r>
                  <w:r>
                    <w:rPr>
                      <w:rFonts w:hint="default" w:ascii="Times New Roman" w:hAnsi="Times New Roman" w:cs="Times New Roman" w:eastAsiaTheme="minorEastAsia"/>
                      <w:b w:val="0"/>
                      <w:bCs/>
                      <w:snapToGrid w:val="0"/>
                      <w:color w:val="auto"/>
                      <w:sz w:val="21"/>
                      <w:szCs w:val="21"/>
                      <w:highlight w:val="none"/>
                      <w:vertAlign w:val="subscript"/>
                      <w:lang w:val="en-US" w:eastAsia="zh-CN" w:bidi="ar-SA"/>
                    </w:rPr>
                    <w:t>S</w:t>
                  </w:r>
                  <w:r>
                    <w:rPr>
                      <w:rFonts w:hint="default" w:ascii="Times New Roman" w:hAnsi="Times New Roman" w:cs="Times New Roman" w:eastAsiaTheme="minorEastAsia"/>
                      <w:b w:val="0"/>
                      <w:bCs/>
                      <w:snapToGrid w:val="0"/>
                      <w:color w:val="auto"/>
                      <w:sz w:val="21"/>
                      <w:szCs w:val="21"/>
                      <w:highlight w:val="none"/>
                      <w:lang w:val="en-US" w:eastAsia="zh-CN" w:bidi="ar-SA"/>
                    </w:rPr>
                    <w:t>无组织控制措施</w:t>
                  </w:r>
                  <w:bookmarkEnd w:id="26"/>
                  <w:r>
                    <w:rPr>
                      <w:rFonts w:hint="default" w:ascii="Times New Roman" w:hAnsi="Times New Roman" w:cs="Times New Roman" w:eastAsiaTheme="minorEastAsia"/>
                      <w:b w:val="0"/>
                      <w:bCs/>
                      <w:snapToGrid w:val="0"/>
                      <w:color w:val="auto"/>
                      <w:sz w:val="21"/>
                      <w:szCs w:val="21"/>
                      <w:highlight w:val="none"/>
                      <w:lang w:val="en-US" w:eastAsia="zh-CN" w:bidi="ar-SA"/>
                    </w:rPr>
                    <w:t>，要求企业加强设备和管线定期检修和排查，加强非正常工况管理。</w:t>
                  </w:r>
                </w:p>
              </w:tc>
              <w:tc>
                <w:tcPr>
                  <w:tcW w:w="303" w:type="pct"/>
                  <w:tcBorders>
                    <w:tl2br w:val="nil"/>
                    <w:tr2bl w:val="nil"/>
                  </w:tcBorders>
                  <w:shd w:val="clear" w:color="auto" w:fill="auto"/>
                  <w:vAlign w:val="center"/>
                </w:tcPr>
                <w:p w14:paraId="3BC59F18">
                  <w:pPr>
                    <w:pStyle w:val="117"/>
                    <w:adjustRightInd w:val="0"/>
                    <w:snapToGrid w:val="0"/>
                    <w:rPr>
                      <w:rFonts w:hint="default" w:ascii="Times New Roman" w:hAnsi="Times New Roman" w:cs="Times New Roman" w:eastAsiaTheme="minorEastAsia"/>
                      <w:bCs w:val="0"/>
                      <w:color w:val="auto"/>
                      <w:highlight w:val="none"/>
                      <w:lang w:val="en-US" w:eastAsia="zh-CN"/>
                    </w:rPr>
                  </w:pPr>
                  <w:r>
                    <w:rPr>
                      <w:rFonts w:hint="default" w:ascii="Times New Roman" w:hAnsi="Times New Roman" w:cs="Times New Roman" w:eastAsiaTheme="minorEastAsia"/>
                      <w:bCs w:val="0"/>
                      <w:color w:val="auto"/>
                      <w:highlight w:val="none"/>
                      <w:lang w:val="en-US" w:eastAsia="zh-CN"/>
                    </w:rPr>
                    <w:t>符合</w:t>
                  </w:r>
                </w:p>
              </w:tc>
            </w:tr>
            <w:tr w14:paraId="6CBA7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7" w:type="pct"/>
                  <w:tcBorders>
                    <w:tl2br w:val="nil"/>
                    <w:tr2bl w:val="nil"/>
                  </w:tcBorders>
                  <w:shd w:val="clear" w:color="auto" w:fill="auto"/>
                  <w:vAlign w:val="center"/>
                </w:tcPr>
                <w:p w14:paraId="4AEEAF73">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5</w:t>
                  </w:r>
                </w:p>
              </w:tc>
              <w:tc>
                <w:tcPr>
                  <w:tcW w:w="2823" w:type="pct"/>
                  <w:tcBorders>
                    <w:tl2br w:val="nil"/>
                    <w:tr2bl w:val="nil"/>
                  </w:tcBorders>
                  <w:shd w:val="clear" w:color="auto" w:fill="auto"/>
                  <w:vAlign w:val="center"/>
                </w:tcPr>
                <w:p w14:paraId="4421C519">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防范新增污染</w:t>
                  </w:r>
                  <w:r>
                    <w:rPr>
                      <w:rFonts w:hint="eastAsia" w:ascii="Times New Roman" w:hAnsi="Times New Roman" w:cs="Times New Roman" w:eastAsiaTheme="minorEastAsia"/>
                      <w:b w:val="0"/>
                      <w:bCs/>
                      <w:snapToGrid w:val="0"/>
                      <w:color w:val="auto"/>
                      <w:sz w:val="21"/>
                      <w:szCs w:val="21"/>
                      <w:highlight w:val="none"/>
                      <w:lang w:val="en-US" w:eastAsia="zh-CN" w:bidi="ar-SA"/>
                    </w:rPr>
                    <w:t>。</w:t>
                  </w:r>
                  <w:r>
                    <w:rPr>
                      <w:rFonts w:hint="default" w:ascii="Times New Roman" w:hAnsi="Times New Roman" w:cs="Times New Roman" w:eastAsiaTheme="minorEastAsia"/>
                      <w:b w:val="0"/>
                      <w:bCs/>
                      <w:snapToGrid w:val="0"/>
                      <w:color w:val="auto"/>
                      <w:sz w:val="21"/>
                      <w:szCs w:val="21"/>
                      <w:highlight w:val="none"/>
                      <w:lang w:val="en-US" w:eastAsia="zh-CN" w:bidi="ar-SA"/>
                    </w:rPr>
                    <w:t>结合重点行业企业用地调查成果，完善土壤污染重点监管单位名录，探索建立地下水重点污染源清单，依法依规在排污许可证中载明土壤和地下水污染防治要求。定期对土壤污染重点监管单位和地下水重点污染源周边土壤、地下水开展监督性监测，督促企业定期开展土壤及地下水环境自行监测、污染隐患排查。</w:t>
                  </w:r>
                </w:p>
              </w:tc>
              <w:tc>
                <w:tcPr>
                  <w:tcW w:w="1535" w:type="pct"/>
                  <w:tcBorders>
                    <w:tl2br w:val="nil"/>
                    <w:tr2bl w:val="nil"/>
                  </w:tcBorders>
                  <w:shd w:val="clear" w:color="auto" w:fill="auto"/>
                  <w:vAlign w:val="center"/>
                </w:tcPr>
                <w:p w14:paraId="4A88F354">
                  <w:pPr>
                    <w:pStyle w:val="117"/>
                    <w:adjustRightInd w:val="0"/>
                    <w:snapToGrid w:val="0"/>
                    <w:rPr>
                      <w:rFonts w:hint="default" w:ascii="Times New Roman" w:hAnsi="Times New Roman" w:cs="Times New Roman" w:eastAsiaTheme="minorEastAsia"/>
                      <w:bCs w:val="0"/>
                      <w:color w:val="auto"/>
                      <w:highlight w:val="none"/>
                      <w:lang w:val="en-US" w:eastAsia="zh-CN"/>
                    </w:rPr>
                  </w:pPr>
                  <w:r>
                    <w:rPr>
                      <w:rFonts w:hint="default" w:ascii="Times New Roman" w:hAnsi="Times New Roman" w:cs="Times New Roman" w:eastAsiaTheme="minorEastAsia"/>
                      <w:bCs w:val="0"/>
                      <w:color w:val="auto"/>
                      <w:highlight w:val="none"/>
                      <w:lang w:val="en-US" w:eastAsia="zh-CN"/>
                    </w:rPr>
                    <w:t>本项目按要求分区防渗，厂区</w:t>
                  </w:r>
                  <w:r>
                    <w:rPr>
                      <w:rFonts w:hint="eastAsia" w:ascii="Times New Roman" w:hAnsi="Times New Roman" w:cs="Times New Roman" w:eastAsiaTheme="minorEastAsia"/>
                      <w:bCs w:val="0"/>
                      <w:color w:val="auto"/>
                      <w:highlight w:val="none"/>
                      <w:lang w:val="en-US" w:eastAsia="zh-CN"/>
                    </w:rPr>
                    <w:t>除绿化用地外</w:t>
                  </w:r>
                  <w:r>
                    <w:rPr>
                      <w:rFonts w:hint="default" w:ascii="Times New Roman" w:hAnsi="Times New Roman" w:cs="Times New Roman" w:eastAsiaTheme="minorEastAsia"/>
                      <w:bCs w:val="0"/>
                      <w:color w:val="auto"/>
                      <w:highlight w:val="none"/>
                      <w:lang w:val="en-US" w:eastAsia="zh-CN"/>
                    </w:rPr>
                    <w:t>全部硬化，可有效防止地下水和土壤污染，环评已按要求进行事故工况预测分析，并按排污许可和自行监测指南提出跟踪监测计划，要求企业加强自行监测和排查管理并形成</w:t>
                  </w:r>
                  <w:r>
                    <w:rPr>
                      <w:rFonts w:hint="eastAsia" w:cs="Times New Roman" w:eastAsiaTheme="minorEastAsia"/>
                      <w:bCs w:val="0"/>
                      <w:color w:val="auto"/>
                      <w:highlight w:val="none"/>
                      <w:lang w:val="en-US" w:eastAsia="zh-CN"/>
                    </w:rPr>
                    <w:t>台账</w:t>
                  </w:r>
                  <w:r>
                    <w:rPr>
                      <w:rFonts w:hint="default" w:ascii="Times New Roman" w:hAnsi="Times New Roman" w:cs="Times New Roman" w:eastAsiaTheme="minorEastAsia"/>
                      <w:bCs w:val="0"/>
                      <w:color w:val="auto"/>
                      <w:highlight w:val="none"/>
                      <w:lang w:val="en-US" w:eastAsia="zh-CN"/>
                    </w:rPr>
                    <w:t>。</w:t>
                  </w:r>
                </w:p>
              </w:tc>
              <w:tc>
                <w:tcPr>
                  <w:tcW w:w="303" w:type="pct"/>
                  <w:tcBorders>
                    <w:tl2br w:val="nil"/>
                    <w:tr2bl w:val="nil"/>
                  </w:tcBorders>
                  <w:shd w:val="clear" w:color="auto" w:fill="auto"/>
                  <w:vAlign w:val="center"/>
                </w:tcPr>
                <w:p w14:paraId="5A54E2D8">
                  <w:pPr>
                    <w:pStyle w:val="117"/>
                    <w:adjustRightInd w:val="0"/>
                    <w:snapToGrid w:val="0"/>
                    <w:rPr>
                      <w:rFonts w:hint="default" w:ascii="Times New Roman" w:hAnsi="Times New Roman" w:cs="Times New Roman" w:eastAsiaTheme="minorEastAsia"/>
                      <w:bCs w:val="0"/>
                      <w:color w:val="auto"/>
                      <w:highlight w:val="none"/>
                      <w:lang w:val="en-US" w:eastAsia="zh-CN"/>
                    </w:rPr>
                  </w:pPr>
                  <w:r>
                    <w:rPr>
                      <w:rFonts w:hint="default" w:ascii="Times New Roman" w:hAnsi="Times New Roman" w:cs="Times New Roman" w:eastAsiaTheme="minorEastAsia"/>
                      <w:bCs w:val="0"/>
                      <w:color w:val="auto"/>
                      <w:highlight w:val="none"/>
                      <w:lang w:val="en-US" w:eastAsia="zh-CN"/>
                    </w:rPr>
                    <w:t>符合</w:t>
                  </w:r>
                </w:p>
              </w:tc>
            </w:tr>
          </w:tbl>
          <w:p w14:paraId="1778847E">
            <w:pPr>
              <w:spacing w:before="120" w:beforeLines="50" w:line="360" w:lineRule="auto"/>
              <w:ind w:firstLine="480"/>
              <w:rPr>
                <w:rFonts w:hint="default" w:ascii="Times New Roman" w:hAnsi="Times New Roman" w:cs="Times New Roman"/>
                <w:color w:val="auto"/>
                <w:sz w:val="24"/>
                <w:szCs w:val="24"/>
              </w:rPr>
            </w:pPr>
            <w:r>
              <w:rPr>
                <w:rFonts w:hint="eastAsia" w:ascii="Times New Roman" w:hAnsi="Times New Roman" w:cs="Times New Roman"/>
                <w:color w:val="auto"/>
                <w:sz w:val="24"/>
                <w:szCs w:val="24"/>
              </w:rPr>
              <w:t>综上，本项目</w:t>
            </w:r>
            <w:r>
              <w:rPr>
                <w:rFonts w:hint="eastAsia" w:cs="Times New Roman"/>
                <w:color w:val="auto"/>
                <w:sz w:val="24"/>
                <w:szCs w:val="24"/>
                <w:lang w:val="en-US" w:eastAsia="zh-CN"/>
              </w:rPr>
              <w:t>符合</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辽宁省“十四五”生态环境保护规划</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rPr>
              <w:t>中相关要求。</w:t>
            </w:r>
          </w:p>
          <w:p w14:paraId="4256CC40">
            <w:pPr>
              <w:pStyle w:val="5"/>
              <w:tabs>
                <w:tab w:val="left" w:pos="1620"/>
              </w:tabs>
              <w:spacing w:before="120" w:beforeLines="50" w:after="0" w:line="360" w:lineRule="auto"/>
              <w:ind w:left="0" w:leftChars="0" w:firstLine="0" w:firstLineChars="0"/>
              <w:jc w:val="both"/>
              <w:rPr>
                <w:rFonts w:hint="default" w:ascii="Times New Roman" w:hAnsi="Times New Roman" w:eastAsia="宋体" w:cs="Times New Roman"/>
                <w:b/>
                <w:bCs/>
                <w:snapToGrid w:val="0"/>
                <w:color w:val="auto"/>
                <w:sz w:val="24"/>
                <w:szCs w:val="24"/>
                <w:lang w:val="en-US" w:eastAsia="zh-CN" w:bidi="ar-SA"/>
              </w:rPr>
            </w:pPr>
            <w:r>
              <w:rPr>
                <w:rFonts w:hint="eastAsia" w:ascii="Times New Roman" w:hAnsi="Times New Roman" w:eastAsia="宋体" w:cs="Times New Roman"/>
                <w:b/>
                <w:bCs/>
                <w:snapToGrid w:val="0"/>
                <w:color w:val="auto"/>
                <w:sz w:val="24"/>
                <w:szCs w:val="24"/>
                <w:lang w:val="en-US" w:eastAsia="zh-CN" w:bidi="ar-SA"/>
              </w:rPr>
              <w:t>11、</w:t>
            </w:r>
            <w:r>
              <w:rPr>
                <w:rFonts w:hint="default" w:ascii="Times New Roman" w:hAnsi="Times New Roman" w:eastAsia="宋体" w:cs="Times New Roman"/>
                <w:b/>
                <w:bCs/>
                <w:snapToGrid w:val="0"/>
                <w:color w:val="auto"/>
                <w:sz w:val="24"/>
                <w:szCs w:val="24"/>
                <w:lang w:val="en-US" w:eastAsia="zh-CN" w:bidi="ar-SA"/>
              </w:rPr>
              <w:t>与《辽宁省深入打好污染防治攻坚战实施方案》相符性分析</w:t>
            </w:r>
          </w:p>
          <w:p w14:paraId="6A1F0A72">
            <w:pPr>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本项目与</w:t>
            </w:r>
            <w:r>
              <w:rPr>
                <w:rFonts w:hint="default" w:ascii="Times New Roman" w:hAnsi="Times New Roman" w:cs="Times New Roman"/>
                <w:color w:val="auto"/>
                <w:sz w:val="24"/>
                <w:szCs w:val="24"/>
                <w:highlight w:val="none"/>
                <w:lang w:eastAsia="zh-CN"/>
              </w:rPr>
              <w:t>辽宁省人民政府关于印发《辽宁省深入打好污染防治攻坚战实施方案》的通知（辽委发</w:t>
            </w:r>
            <w:r>
              <w:rPr>
                <w:rFonts w:hint="eastAsia" w:cs="Times New Roman"/>
                <w:color w:val="auto"/>
                <w:sz w:val="24"/>
                <w:szCs w:val="24"/>
                <w:highlight w:val="none"/>
                <w:lang w:eastAsia="zh-CN"/>
              </w:rPr>
              <w:t>〔2022〕8号</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相符性分析见表</w:t>
            </w:r>
            <w:r>
              <w:rPr>
                <w:rFonts w:hint="eastAsia" w:cs="Times New Roman"/>
                <w:color w:val="auto"/>
                <w:sz w:val="24"/>
                <w:szCs w:val="24"/>
                <w:highlight w:val="none"/>
                <w:lang w:val="en-US" w:eastAsia="zh-CN"/>
              </w:rPr>
              <w:t>1-10</w:t>
            </w:r>
            <w:r>
              <w:rPr>
                <w:rFonts w:hint="default" w:ascii="Times New Roman" w:hAnsi="Times New Roman" w:cs="Times New Roman"/>
                <w:color w:val="auto"/>
                <w:sz w:val="24"/>
                <w:szCs w:val="24"/>
                <w:highlight w:val="none"/>
                <w:lang w:eastAsia="zh-CN"/>
              </w:rPr>
              <w:t>。</w:t>
            </w:r>
          </w:p>
          <w:p w14:paraId="1DD3C28A">
            <w:pPr>
              <w:pStyle w:val="41"/>
              <w:spacing w:before="0" w:beforeAutospacing="0" w:after="0" w:line="240" w:lineRule="auto"/>
              <w:ind w:left="0" w:leftChars="0"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bCs/>
                <w:color w:val="auto"/>
                <w:sz w:val="21"/>
                <w:szCs w:val="21"/>
                <w:highlight w:val="none"/>
              </w:rPr>
              <w:t>表</w:t>
            </w:r>
            <w:r>
              <w:rPr>
                <w:rFonts w:hint="eastAsia" w:ascii="Times New Roman" w:hAnsi="Times New Roman" w:cs="Times New Roman" w:eastAsiaTheme="minorEastAsia"/>
                <w:b/>
                <w:bCs/>
                <w:color w:val="auto"/>
                <w:sz w:val="21"/>
                <w:szCs w:val="21"/>
                <w:highlight w:val="none"/>
                <w:lang w:val="en-US" w:eastAsia="zh-CN"/>
              </w:rPr>
              <w:t xml:space="preserve">1-10 </w:t>
            </w:r>
            <w:r>
              <w:rPr>
                <w:rFonts w:hint="default" w:ascii="Times New Roman" w:hAnsi="Times New Roman" w:cs="Times New Roman" w:eastAsiaTheme="minorEastAsia"/>
                <w:b/>
                <w:bCs/>
                <w:color w:val="auto"/>
                <w:sz w:val="21"/>
                <w:szCs w:val="21"/>
                <w:highlight w:val="none"/>
              </w:rPr>
              <w:t>本项目与《辽宁省深入打好污染防治攻坚战实施方案》</w:t>
            </w:r>
            <w:bookmarkStart w:id="27" w:name="OLE_LINK178"/>
            <w:r>
              <w:rPr>
                <w:rFonts w:hint="default" w:ascii="Times New Roman" w:hAnsi="Times New Roman" w:cs="Times New Roman" w:eastAsiaTheme="minorEastAsia"/>
                <w:b/>
                <w:bCs/>
                <w:color w:val="auto"/>
                <w:sz w:val="21"/>
                <w:szCs w:val="21"/>
                <w:highlight w:val="none"/>
              </w:rPr>
              <w:t>相符性分析一览表</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26"/>
              <w:gridCol w:w="3303"/>
              <w:gridCol w:w="3545"/>
              <w:gridCol w:w="477"/>
            </w:tblGrid>
            <w:tr w14:paraId="3D674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blHeader/>
              </w:trPr>
              <w:tc>
                <w:tcPr>
                  <w:tcW w:w="335" w:type="pct"/>
                  <w:tcBorders>
                    <w:tl2br w:val="nil"/>
                    <w:tr2bl w:val="nil"/>
                  </w:tcBorders>
                  <w:shd w:val="clear" w:color="auto" w:fill="auto"/>
                  <w:vAlign w:val="center"/>
                </w:tcPr>
                <w:p w14:paraId="238C0FD0">
                  <w:pPr>
                    <w:pStyle w:val="117"/>
                    <w:adjustRightInd w:val="0"/>
                    <w:snapToGrid w:val="0"/>
                    <w:rPr>
                      <w:rFonts w:hint="default" w:ascii="Times New Roman" w:hAnsi="Times New Roman" w:cs="Times New Roman" w:eastAsiaTheme="minorEastAsia"/>
                      <w:b/>
                      <w:bCs w:val="0"/>
                      <w:color w:val="auto"/>
                      <w:sz w:val="21"/>
                      <w:szCs w:val="21"/>
                      <w:highlight w:val="none"/>
                      <w:lang w:val="en-US" w:eastAsia="zh-CN"/>
                    </w:rPr>
                  </w:pPr>
                  <w:r>
                    <w:rPr>
                      <w:rFonts w:hint="default" w:ascii="Times New Roman" w:hAnsi="Times New Roman" w:cs="Times New Roman" w:eastAsiaTheme="minorEastAsia"/>
                      <w:b/>
                      <w:bCs w:val="0"/>
                      <w:color w:val="auto"/>
                      <w:sz w:val="21"/>
                      <w:szCs w:val="21"/>
                      <w:highlight w:val="none"/>
                      <w:lang w:val="en-US" w:eastAsia="zh-CN"/>
                    </w:rPr>
                    <w:t>序号</w:t>
                  </w:r>
                </w:p>
              </w:tc>
              <w:tc>
                <w:tcPr>
                  <w:tcW w:w="2103" w:type="pct"/>
                  <w:tcBorders>
                    <w:tl2br w:val="nil"/>
                    <w:tr2bl w:val="nil"/>
                  </w:tcBorders>
                  <w:shd w:val="clear" w:color="auto" w:fill="auto"/>
                  <w:vAlign w:val="center"/>
                </w:tcPr>
                <w:p w14:paraId="1751B652">
                  <w:pPr>
                    <w:pStyle w:val="117"/>
                    <w:adjustRightInd w:val="0"/>
                    <w:snapToGrid w:val="0"/>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文件要求</w:t>
                  </w:r>
                </w:p>
              </w:tc>
              <w:tc>
                <w:tcPr>
                  <w:tcW w:w="2257" w:type="pct"/>
                  <w:tcBorders>
                    <w:tl2br w:val="nil"/>
                    <w:tr2bl w:val="nil"/>
                  </w:tcBorders>
                  <w:shd w:val="clear" w:color="auto" w:fill="auto"/>
                  <w:vAlign w:val="center"/>
                </w:tcPr>
                <w:p w14:paraId="349284FE">
                  <w:pPr>
                    <w:pStyle w:val="117"/>
                    <w:adjustRightInd w:val="0"/>
                    <w:snapToGrid w:val="0"/>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本项目情况</w:t>
                  </w:r>
                </w:p>
              </w:tc>
              <w:tc>
                <w:tcPr>
                  <w:tcW w:w="303" w:type="pct"/>
                  <w:tcBorders>
                    <w:tl2br w:val="nil"/>
                    <w:tr2bl w:val="nil"/>
                  </w:tcBorders>
                  <w:shd w:val="clear" w:color="auto" w:fill="auto"/>
                  <w:vAlign w:val="center"/>
                </w:tcPr>
                <w:p w14:paraId="66F88A5A">
                  <w:pPr>
                    <w:pStyle w:val="117"/>
                    <w:adjustRightInd w:val="0"/>
                    <w:snapToGrid w:val="0"/>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符合性</w:t>
                  </w:r>
                </w:p>
              </w:tc>
            </w:tr>
            <w:tr w14:paraId="5D8DB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5" w:type="pct"/>
                  <w:tcBorders>
                    <w:tl2br w:val="nil"/>
                    <w:tr2bl w:val="nil"/>
                  </w:tcBorders>
                  <w:shd w:val="clear" w:color="auto" w:fill="auto"/>
                  <w:vAlign w:val="center"/>
                </w:tcPr>
                <w:p w14:paraId="48778CCC">
                  <w:pPr>
                    <w:pStyle w:val="117"/>
                    <w:adjustRightInd w:val="0"/>
                    <w:snapToGrid w:val="0"/>
                    <w:rPr>
                      <w:rFonts w:hint="default" w:ascii="Times New Roman" w:hAnsi="Times New Roman" w:cs="Times New Roman" w:eastAsiaTheme="minorEastAsia"/>
                      <w:b w:val="0"/>
                      <w:bCs/>
                      <w:color w:val="auto"/>
                      <w:sz w:val="21"/>
                      <w:szCs w:val="21"/>
                      <w:highlight w:val="none"/>
                      <w:lang w:val="en-US" w:eastAsia="zh-CN"/>
                    </w:rPr>
                  </w:pPr>
                  <w:r>
                    <w:rPr>
                      <w:rFonts w:hint="default" w:ascii="Times New Roman" w:hAnsi="Times New Roman" w:cs="Times New Roman" w:eastAsiaTheme="minorEastAsia"/>
                      <w:b w:val="0"/>
                      <w:bCs/>
                      <w:color w:val="auto"/>
                      <w:sz w:val="21"/>
                      <w:szCs w:val="21"/>
                      <w:highlight w:val="none"/>
                      <w:lang w:val="en-US" w:eastAsia="zh-CN"/>
                    </w:rPr>
                    <w:t>1</w:t>
                  </w:r>
                </w:p>
              </w:tc>
              <w:tc>
                <w:tcPr>
                  <w:tcW w:w="2103" w:type="pct"/>
                  <w:tcBorders>
                    <w:tl2br w:val="nil"/>
                    <w:tr2bl w:val="nil"/>
                  </w:tcBorders>
                  <w:shd w:val="clear" w:color="auto" w:fill="auto"/>
                  <w:vAlign w:val="center"/>
                </w:tcPr>
                <w:p w14:paraId="5DF70F55">
                  <w:pPr>
                    <w:pStyle w:val="132"/>
                    <w:ind w:left="0" w:leftChars="0" w:firstLine="0" w:firstLineChars="0"/>
                    <w:jc w:val="left"/>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cs="Times New Roman"/>
                      <w:color w:val="auto"/>
                      <w:sz w:val="21"/>
                      <w:szCs w:val="21"/>
                      <w:highlight w:val="none"/>
                    </w:rPr>
                    <w:t>坚决遏制高耗能高排放项目盲目发展。对“两高”项目实行清单管理、分类处置、动态监控。严格把好新建、扩建钢铁、水泥熟料、平板玻璃、电解铝等高耗能高排放项目准入关</w:t>
                  </w:r>
                </w:p>
              </w:tc>
              <w:tc>
                <w:tcPr>
                  <w:tcW w:w="2257" w:type="pct"/>
                  <w:tcBorders>
                    <w:tl2br w:val="nil"/>
                    <w:tr2bl w:val="nil"/>
                  </w:tcBorders>
                  <w:shd w:val="clear" w:color="auto" w:fill="auto"/>
                  <w:vAlign w:val="center"/>
                </w:tcPr>
                <w:p w14:paraId="7AB3AA8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eastAsia" w:ascii="Times New Roman" w:hAnsi="Times New Roman" w:cs="Times New Roman"/>
                      <w:color w:val="auto"/>
                      <w:sz w:val="21"/>
                      <w:szCs w:val="21"/>
                      <w:highlight w:val="none"/>
                      <w:lang w:val="en-US" w:eastAsia="zh-CN"/>
                    </w:rPr>
                    <w:t>为</w:t>
                  </w:r>
                  <w:r>
                    <w:rPr>
                      <w:rFonts w:hint="default" w:ascii="Times New Roman" w:hAnsi="Times New Roman" w:cs="Times New Roman"/>
                      <w:color w:val="auto"/>
                      <w:sz w:val="21"/>
                      <w:szCs w:val="21"/>
                      <w:highlight w:val="none"/>
                      <w:lang w:val="en-US" w:eastAsia="zh-CN"/>
                    </w:rPr>
                    <w:t>炸药及火工产品制造行业，</w:t>
                  </w:r>
                  <w:r>
                    <w:rPr>
                      <w:rFonts w:hint="eastAsia" w:ascii="Times New Roman" w:hAnsi="Times New Roman" w:cs="Times New Roman"/>
                      <w:color w:val="auto"/>
                      <w:sz w:val="21"/>
                      <w:szCs w:val="21"/>
                      <w:highlight w:val="none"/>
                      <w:lang w:val="en-US" w:eastAsia="zh-CN"/>
                    </w:rPr>
                    <w:t>不</w:t>
                  </w:r>
                  <w:r>
                    <w:rPr>
                      <w:rFonts w:hint="default" w:ascii="Times New Roman" w:hAnsi="Times New Roman" w:cs="Times New Roman"/>
                      <w:color w:val="auto"/>
                      <w:sz w:val="21"/>
                      <w:szCs w:val="21"/>
                      <w:highlight w:val="none"/>
                      <w:lang w:val="en-US" w:eastAsia="zh-CN"/>
                    </w:rPr>
                    <w:t>属于化工</w:t>
                  </w:r>
                  <w:r>
                    <w:rPr>
                      <w:rFonts w:hint="eastAsia" w:ascii="Times New Roman" w:hAns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lang w:val="en-US" w:eastAsia="zh-CN"/>
                    </w:rPr>
                    <w:t>，不属于高污染、高耗能项目。</w:t>
                  </w:r>
                </w:p>
              </w:tc>
              <w:tc>
                <w:tcPr>
                  <w:tcW w:w="303" w:type="pct"/>
                  <w:tcBorders>
                    <w:tl2br w:val="nil"/>
                    <w:tr2bl w:val="nil"/>
                  </w:tcBorders>
                  <w:shd w:val="clear" w:color="auto" w:fill="auto"/>
                  <w:vAlign w:val="center"/>
                </w:tcPr>
                <w:p w14:paraId="17CA499E">
                  <w:pPr>
                    <w:pStyle w:val="117"/>
                    <w:adjustRightInd w:val="0"/>
                    <w:snapToGrid w:val="0"/>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Cs w:val="0"/>
                      <w:color w:val="auto"/>
                      <w:sz w:val="21"/>
                      <w:szCs w:val="21"/>
                      <w:highlight w:val="none"/>
                    </w:rPr>
                    <w:t>符合</w:t>
                  </w:r>
                </w:p>
              </w:tc>
            </w:tr>
            <w:tr w14:paraId="526D5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 w:type="pct"/>
                  <w:tcBorders>
                    <w:tl2br w:val="nil"/>
                    <w:tr2bl w:val="nil"/>
                  </w:tcBorders>
                  <w:shd w:val="clear" w:color="auto" w:fill="auto"/>
                  <w:vAlign w:val="center"/>
                </w:tcPr>
                <w:p w14:paraId="29973EDD">
                  <w:pPr>
                    <w:pStyle w:val="117"/>
                    <w:adjustRightInd w:val="0"/>
                    <w:snapToGrid w:val="0"/>
                    <w:rPr>
                      <w:rFonts w:hint="default" w:ascii="Times New Roman" w:hAnsi="Times New Roman" w:cs="Times New Roman" w:eastAsiaTheme="minorEastAsia"/>
                      <w:b w:val="0"/>
                      <w:bCs/>
                      <w:color w:val="auto"/>
                      <w:sz w:val="21"/>
                      <w:szCs w:val="21"/>
                      <w:highlight w:val="none"/>
                      <w:lang w:val="en-US" w:eastAsia="zh-CN"/>
                    </w:rPr>
                  </w:pPr>
                  <w:r>
                    <w:rPr>
                      <w:rFonts w:hint="default" w:ascii="Times New Roman" w:hAnsi="Times New Roman" w:cs="Times New Roman" w:eastAsiaTheme="minorEastAsia"/>
                      <w:b w:val="0"/>
                      <w:bCs/>
                      <w:color w:val="auto"/>
                      <w:sz w:val="21"/>
                      <w:szCs w:val="21"/>
                      <w:highlight w:val="none"/>
                      <w:lang w:val="en-US" w:eastAsia="zh-CN"/>
                    </w:rPr>
                    <w:t>2</w:t>
                  </w:r>
                </w:p>
              </w:tc>
              <w:tc>
                <w:tcPr>
                  <w:tcW w:w="2103" w:type="pct"/>
                  <w:tcBorders>
                    <w:tl2br w:val="nil"/>
                    <w:tr2bl w:val="nil"/>
                  </w:tcBorders>
                  <w:shd w:val="clear" w:color="auto" w:fill="auto"/>
                  <w:vAlign w:val="center"/>
                </w:tcPr>
                <w:p w14:paraId="53EFA335">
                  <w:pPr>
                    <w:pStyle w:val="132"/>
                    <w:ind w:left="0" w:leftChars="0" w:firstLine="0" w:firstLineChars="0"/>
                    <w:jc w:val="left"/>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cs="Times New Roman"/>
                      <w:color w:val="auto"/>
                      <w:sz w:val="21"/>
                      <w:szCs w:val="21"/>
                      <w:highlight w:val="none"/>
                    </w:rPr>
                    <w:t>加强生态环境分区管控，严格落实“三线一单”生态环境分区管控要求，优化区域生产力布局</w:t>
                  </w:r>
                </w:p>
              </w:tc>
              <w:tc>
                <w:tcPr>
                  <w:tcW w:w="2257" w:type="pct"/>
                  <w:tcBorders>
                    <w:tl2br w:val="nil"/>
                    <w:tr2bl w:val="nil"/>
                  </w:tcBorders>
                  <w:shd w:val="clear" w:color="auto" w:fill="auto"/>
                  <w:vAlign w:val="center"/>
                </w:tcPr>
                <w:p w14:paraId="634960DA">
                  <w:pPr>
                    <w:pStyle w:val="117"/>
                    <w:adjustRightInd w:val="0"/>
                    <w:snapToGrid w:val="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本项目位于</w:t>
                  </w:r>
                  <w:r>
                    <w:rPr>
                      <w:rFonts w:hint="eastAsia" w:ascii="Times New Roman" w:hAnsi="Times New Roman" w:eastAsia="宋体" w:cs="Times New Roman"/>
                      <w:color w:val="auto"/>
                      <w:sz w:val="21"/>
                      <w:szCs w:val="21"/>
                      <w:highlight w:val="none"/>
                      <w:lang w:eastAsia="zh-CN"/>
                    </w:rPr>
                    <w:t>辽宁省朝阳市喀左县大城子镇小城子村</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属于朝阳市喀喇沁左翼蒙古族自治县一般管控区2，管控单元编码ZH21132430002，该选址</w:t>
                  </w:r>
                  <w:r>
                    <w:rPr>
                      <w:rFonts w:hint="default" w:ascii="Times New Roman" w:hAnsi="Times New Roman" w:eastAsia="宋体" w:cs="Times New Roman"/>
                      <w:color w:val="auto"/>
                      <w:sz w:val="21"/>
                      <w:szCs w:val="21"/>
                      <w:highlight w:val="none"/>
                      <w:lang w:eastAsia="zh-CN"/>
                    </w:rPr>
                    <w:t>不在生态保护红线范围内，</w:t>
                  </w:r>
                  <w:r>
                    <w:rPr>
                      <w:rFonts w:hint="default" w:ascii="Times New Roman" w:hAnsi="Times New Roman" w:eastAsia="宋体" w:cs="Times New Roman"/>
                      <w:color w:val="auto"/>
                      <w:sz w:val="21"/>
                      <w:szCs w:val="21"/>
                      <w:highlight w:val="none"/>
                      <w:lang w:val="en-US" w:eastAsia="zh-CN"/>
                    </w:rPr>
                    <w:t>符合所在管控单元的管控要求，详见管控单元符合性分析小节</w:t>
                  </w:r>
                  <w:r>
                    <w:rPr>
                      <w:rFonts w:hint="default" w:ascii="Times New Roman" w:hAnsi="Times New Roman" w:eastAsia="宋体" w:cs="Times New Roman"/>
                      <w:color w:val="auto"/>
                      <w:sz w:val="21"/>
                      <w:szCs w:val="21"/>
                      <w:highlight w:val="none"/>
                      <w:lang w:eastAsia="zh-CN"/>
                    </w:rPr>
                    <w:t>。</w:t>
                  </w:r>
                </w:p>
              </w:tc>
              <w:tc>
                <w:tcPr>
                  <w:tcW w:w="303" w:type="pct"/>
                  <w:tcBorders>
                    <w:tl2br w:val="nil"/>
                    <w:tr2bl w:val="nil"/>
                  </w:tcBorders>
                  <w:shd w:val="clear" w:color="auto" w:fill="auto"/>
                  <w:vAlign w:val="center"/>
                </w:tcPr>
                <w:p w14:paraId="285BBE0B">
                  <w:pPr>
                    <w:pStyle w:val="117"/>
                    <w:adjustRightInd w:val="0"/>
                    <w:snapToGrid w:val="0"/>
                    <w:rPr>
                      <w:rFonts w:hint="default" w:ascii="Times New Roman" w:hAnsi="Times New Roman" w:cs="Times New Roman" w:eastAsiaTheme="minorEastAsia"/>
                      <w:bCs w:val="0"/>
                      <w:color w:val="auto"/>
                      <w:sz w:val="21"/>
                      <w:szCs w:val="21"/>
                      <w:highlight w:val="none"/>
                    </w:rPr>
                  </w:pPr>
                  <w:r>
                    <w:rPr>
                      <w:rFonts w:hint="default" w:ascii="Times New Roman" w:hAnsi="Times New Roman" w:cs="Times New Roman" w:eastAsiaTheme="minorEastAsia"/>
                      <w:bCs w:val="0"/>
                      <w:color w:val="auto"/>
                      <w:sz w:val="21"/>
                      <w:szCs w:val="21"/>
                      <w:highlight w:val="none"/>
                    </w:rPr>
                    <w:t>符合</w:t>
                  </w:r>
                </w:p>
              </w:tc>
            </w:tr>
            <w:tr w14:paraId="7F37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5" w:type="pct"/>
                  <w:tcBorders>
                    <w:tl2br w:val="nil"/>
                    <w:tr2bl w:val="nil"/>
                  </w:tcBorders>
                  <w:shd w:val="clear" w:color="auto" w:fill="auto"/>
                  <w:vAlign w:val="center"/>
                </w:tcPr>
                <w:p w14:paraId="23737ABC">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3</w:t>
                  </w:r>
                </w:p>
              </w:tc>
              <w:tc>
                <w:tcPr>
                  <w:tcW w:w="2103" w:type="pct"/>
                  <w:tcBorders>
                    <w:tl2br w:val="nil"/>
                    <w:tr2bl w:val="nil"/>
                  </w:tcBorders>
                  <w:shd w:val="clear" w:color="auto" w:fill="auto"/>
                  <w:vAlign w:val="center"/>
                </w:tcPr>
                <w:p w14:paraId="592F0A44">
                  <w:pPr>
                    <w:pStyle w:val="132"/>
                    <w:ind w:left="0" w:leftChars="0" w:firstLine="0" w:firstLineChars="0"/>
                    <w:jc w:val="left"/>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cs="Times New Roman"/>
                      <w:color w:val="auto"/>
                      <w:sz w:val="21"/>
                      <w:szCs w:val="21"/>
                      <w:highlight w:val="none"/>
                    </w:rPr>
                    <w:t>加强大气面源和噪声污染治理。强化施工、道路、堆场、裸露地面等扬尘管控，推进低</w:t>
                  </w:r>
                  <w:r>
                    <w:rPr>
                      <w:rFonts w:hint="default" w:ascii="Times New Roman" w:hAnsi="Times New Roman" w:cs="Times New Roman"/>
                      <w:color w:val="auto"/>
                      <w:sz w:val="21"/>
                      <w:szCs w:val="21"/>
                      <w:highlight w:val="none"/>
                      <w:lang w:val="en-US" w:eastAsia="zh-CN"/>
                    </w:rPr>
                    <w:t>尘</w:t>
                  </w:r>
                  <w:r>
                    <w:rPr>
                      <w:rFonts w:hint="default" w:ascii="Times New Roman" w:hAnsi="Times New Roman" w:cs="Times New Roman"/>
                      <w:color w:val="auto"/>
                      <w:sz w:val="21"/>
                      <w:szCs w:val="21"/>
                      <w:highlight w:val="none"/>
                    </w:rPr>
                    <w:t>机械化清扫作业，加大城市出入口、城乡结合部等重要路段清扫保洁力度。</w:t>
                  </w:r>
                </w:p>
              </w:tc>
              <w:tc>
                <w:tcPr>
                  <w:tcW w:w="2257" w:type="pct"/>
                  <w:tcBorders>
                    <w:tl2br w:val="nil"/>
                    <w:tr2bl w:val="nil"/>
                  </w:tcBorders>
                  <w:shd w:val="clear" w:color="auto" w:fill="auto"/>
                  <w:vAlign w:val="center"/>
                </w:tcPr>
                <w:p w14:paraId="4D86DA2D">
                  <w:pPr>
                    <w:pStyle w:val="117"/>
                    <w:adjustRightInd w:val="0"/>
                    <w:snapToGrid w:val="0"/>
                    <w:rPr>
                      <w:rFonts w:hint="default" w:ascii="Times New Roman" w:hAnsi="Times New Roman" w:cs="Times New Roman" w:eastAsiaTheme="minorEastAsia"/>
                      <w:bCs w:val="0"/>
                      <w:color w:val="auto"/>
                      <w:sz w:val="21"/>
                      <w:szCs w:val="21"/>
                      <w:highlight w:val="none"/>
                      <w:lang w:val="en-US" w:eastAsia="zh-CN"/>
                    </w:rPr>
                  </w:pPr>
                  <w:r>
                    <w:rPr>
                      <w:rFonts w:hint="default" w:ascii="Times New Roman" w:hAnsi="Times New Roman" w:eastAsia="宋体" w:cs="Times New Roman"/>
                      <w:bCs w:val="0"/>
                      <w:color w:val="auto"/>
                      <w:kern w:val="2"/>
                      <w:sz w:val="21"/>
                      <w:szCs w:val="21"/>
                      <w:highlight w:val="none"/>
                      <w:lang w:val="en-US" w:eastAsia="zh-CN" w:bidi="ar-SA"/>
                    </w:rPr>
                    <w:t>本项目施工期施工工地周围设置连续、密闭的围挡，其高度为2.5米，沿着围挡顶设置喷雾降尘系统；施工现场出入口设置洗车池，在大门内侧设置自动车辆冲洗设施，现场材料堆放场采取遮盖防尘措施，运输砂石、渣土、土方、垃圾等的车辆采取</w:t>
                  </w:r>
                  <w:r>
                    <w:rPr>
                      <w:rFonts w:hint="eastAsia" w:eastAsia="宋体" w:cs="Times New Roman"/>
                      <w:bCs w:val="0"/>
                      <w:color w:val="auto"/>
                      <w:kern w:val="2"/>
                      <w:sz w:val="21"/>
                      <w:szCs w:val="21"/>
                      <w:highlight w:val="none"/>
                      <w:lang w:val="en-US" w:eastAsia="zh-CN" w:bidi="ar-SA"/>
                    </w:rPr>
                    <w:t>篷</w:t>
                  </w:r>
                  <w:r>
                    <w:rPr>
                      <w:rFonts w:hint="default" w:ascii="Times New Roman" w:hAnsi="Times New Roman" w:eastAsia="宋体" w:cs="Times New Roman"/>
                      <w:bCs w:val="0"/>
                      <w:color w:val="auto"/>
                      <w:kern w:val="2"/>
                      <w:sz w:val="21"/>
                      <w:szCs w:val="21"/>
                      <w:highlight w:val="none"/>
                      <w:lang w:val="en-US" w:eastAsia="zh-CN" w:bidi="ar-SA"/>
                    </w:rPr>
                    <w:t>盖、密闭措施。</w:t>
                  </w:r>
                </w:p>
              </w:tc>
              <w:tc>
                <w:tcPr>
                  <w:tcW w:w="303" w:type="pct"/>
                  <w:tcBorders>
                    <w:tl2br w:val="nil"/>
                    <w:tr2bl w:val="nil"/>
                  </w:tcBorders>
                  <w:shd w:val="clear" w:color="auto" w:fill="auto"/>
                  <w:vAlign w:val="center"/>
                </w:tcPr>
                <w:p w14:paraId="2190499D">
                  <w:pPr>
                    <w:pStyle w:val="117"/>
                    <w:adjustRightInd w:val="0"/>
                    <w:snapToGrid w:val="0"/>
                    <w:rPr>
                      <w:rFonts w:hint="default" w:ascii="Times New Roman" w:hAnsi="Times New Roman" w:cs="Times New Roman" w:eastAsiaTheme="minorEastAsia"/>
                      <w:bCs w:val="0"/>
                      <w:color w:val="auto"/>
                      <w:sz w:val="21"/>
                      <w:szCs w:val="21"/>
                      <w:highlight w:val="none"/>
                    </w:rPr>
                  </w:pPr>
                  <w:r>
                    <w:rPr>
                      <w:rFonts w:hint="default" w:ascii="Times New Roman" w:hAnsi="Times New Roman" w:cs="Times New Roman" w:eastAsiaTheme="minorEastAsia"/>
                      <w:bCs w:val="0"/>
                      <w:color w:val="auto"/>
                      <w:sz w:val="21"/>
                      <w:szCs w:val="21"/>
                      <w:highlight w:val="none"/>
                    </w:rPr>
                    <w:t>符合</w:t>
                  </w:r>
                </w:p>
              </w:tc>
            </w:tr>
            <w:tr w14:paraId="491D0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35" w:type="pct"/>
                  <w:tcBorders>
                    <w:tl2br w:val="nil"/>
                    <w:tr2bl w:val="nil"/>
                  </w:tcBorders>
                  <w:shd w:val="clear" w:color="auto" w:fill="auto"/>
                  <w:vAlign w:val="center"/>
                </w:tcPr>
                <w:p w14:paraId="50E9F4DE">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4</w:t>
                  </w:r>
                </w:p>
              </w:tc>
              <w:tc>
                <w:tcPr>
                  <w:tcW w:w="2103" w:type="pct"/>
                  <w:tcBorders>
                    <w:tl2br w:val="nil"/>
                    <w:tr2bl w:val="nil"/>
                  </w:tcBorders>
                  <w:shd w:val="clear" w:color="auto" w:fill="auto"/>
                  <w:vAlign w:val="center"/>
                </w:tcPr>
                <w:p w14:paraId="36F6B19C">
                  <w:pPr>
                    <w:pStyle w:val="117"/>
                    <w:adjustRightInd w:val="0"/>
                    <w:snapToGrid w:val="0"/>
                    <w:ind w:firstLine="0" w:firstLineChars="0"/>
                    <w:rPr>
                      <w:rFonts w:hint="default" w:ascii="Times New Roman" w:hAnsi="Times New Roman" w:cs="Times New Roman" w:eastAsiaTheme="minorEastAsia"/>
                      <w:b w:val="0"/>
                      <w:bCs/>
                      <w:snapToGrid w:val="0"/>
                      <w:color w:val="auto"/>
                      <w:sz w:val="21"/>
                      <w:szCs w:val="21"/>
                      <w:highlight w:val="none"/>
                      <w:lang w:val="en-US" w:eastAsia="zh-CN" w:bidi="ar-SA"/>
                    </w:rPr>
                  </w:pPr>
                  <w:r>
                    <w:rPr>
                      <w:rFonts w:hint="default" w:ascii="Times New Roman" w:hAnsi="Times New Roman" w:cs="Times New Roman" w:eastAsiaTheme="minorEastAsia"/>
                      <w:b w:val="0"/>
                      <w:bCs/>
                      <w:snapToGrid w:val="0"/>
                      <w:color w:val="auto"/>
                      <w:sz w:val="21"/>
                      <w:szCs w:val="21"/>
                      <w:highlight w:val="none"/>
                      <w:lang w:val="en-US" w:eastAsia="zh-CN" w:bidi="ar-SA"/>
                    </w:rPr>
                    <w:t>实施挥发性有机物污染治理达标行动。以石化、化工、涂装、医药、包装印刷和油品储运销等行业领域为重点，安全高效推进挥发性有机物综合治理。</w:t>
                  </w:r>
                </w:p>
              </w:tc>
              <w:tc>
                <w:tcPr>
                  <w:tcW w:w="2257" w:type="pct"/>
                  <w:tcBorders>
                    <w:tl2br w:val="nil"/>
                    <w:tr2bl w:val="nil"/>
                  </w:tcBorders>
                  <w:shd w:val="clear" w:color="auto" w:fill="auto"/>
                  <w:vAlign w:val="center"/>
                </w:tcPr>
                <w:p w14:paraId="7F3F0365">
                  <w:pPr>
                    <w:pStyle w:val="117"/>
                    <w:adjustRightInd w:val="0"/>
                    <w:snapToGrid w:val="0"/>
                    <w:rPr>
                      <w:rFonts w:hint="default" w:ascii="Times New Roman" w:hAnsi="Times New Roman" w:cs="Times New Roman" w:eastAsiaTheme="minorEastAsia"/>
                      <w:bCs w:val="0"/>
                      <w:color w:val="auto"/>
                      <w:sz w:val="21"/>
                      <w:szCs w:val="21"/>
                      <w:highlight w:val="none"/>
                      <w:lang w:val="en-US" w:eastAsia="zh-CN"/>
                    </w:rPr>
                  </w:pPr>
                  <w:r>
                    <w:rPr>
                      <w:rFonts w:hint="default" w:ascii="Times New Roman" w:hAnsi="Times New Roman" w:cs="Times New Roman" w:eastAsiaTheme="minorEastAsia"/>
                      <w:bCs w:val="0"/>
                      <w:color w:val="auto"/>
                      <w:sz w:val="21"/>
                      <w:szCs w:val="21"/>
                      <w:highlight w:val="none"/>
                      <w:lang w:val="en-US" w:eastAsia="zh-CN"/>
                    </w:rPr>
                    <w:t>本项目挥发性有机废气产生量较少，通过</w:t>
                  </w:r>
                  <w:r>
                    <w:rPr>
                      <w:rFonts w:hint="eastAsia" w:ascii="Times New Roman" w:hAnsi="Times New Roman" w:cs="Times New Roman" w:eastAsiaTheme="minorEastAsia"/>
                      <w:bCs w:val="0"/>
                      <w:color w:val="auto"/>
                      <w:sz w:val="21"/>
                      <w:szCs w:val="21"/>
                      <w:highlight w:val="none"/>
                      <w:lang w:val="en-US" w:eastAsia="zh-CN"/>
                    </w:rPr>
                    <w:t>封闭工房阻隔后</w:t>
                  </w:r>
                  <w:r>
                    <w:rPr>
                      <w:rFonts w:hint="default" w:ascii="Times New Roman" w:hAnsi="Times New Roman" w:cs="Times New Roman" w:eastAsiaTheme="minorEastAsia"/>
                      <w:bCs w:val="0"/>
                      <w:color w:val="auto"/>
                      <w:sz w:val="21"/>
                      <w:szCs w:val="21"/>
                      <w:highlight w:val="none"/>
                      <w:lang w:val="en-US" w:eastAsia="zh-CN"/>
                    </w:rPr>
                    <w:t>无组织排放。环评已按</w:t>
                  </w:r>
                  <w:r>
                    <w:rPr>
                      <w:rFonts w:hint="default" w:ascii="Times New Roman" w:hAnsi="Times New Roman" w:cs="Times New Roman" w:eastAsiaTheme="minorEastAsia"/>
                      <w:b w:val="0"/>
                      <w:bCs/>
                      <w:snapToGrid w:val="0"/>
                      <w:color w:val="auto"/>
                      <w:sz w:val="21"/>
                      <w:szCs w:val="21"/>
                      <w:highlight w:val="none"/>
                      <w:lang w:val="en-US" w:eastAsia="zh-CN" w:bidi="ar-SA"/>
                    </w:rPr>
                    <w:t>《挥发性有机物无组织排放控制标准》提出VOC</w:t>
                  </w:r>
                  <w:r>
                    <w:rPr>
                      <w:rFonts w:hint="default" w:ascii="Times New Roman" w:hAnsi="Times New Roman" w:cs="Times New Roman" w:eastAsiaTheme="minorEastAsia"/>
                      <w:b w:val="0"/>
                      <w:bCs/>
                      <w:snapToGrid w:val="0"/>
                      <w:color w:val="auto"/>
                      <w:sz w:val="21"/>
                      <w:szCs w:val="21"/>
                      <w:highlight w:val="none"/>
                      <w:vertAlign w:val="subscript"/>
                      <w:lang w:val="en-US" w:eastAsia="zh-CN" w:bidi="ar-SA"/>
                    </w:rPr>
                    <w:t>S</w:t>
                  </w:r>
                  <w:r>
                    <w:rPr>
                      <w:rFonts w:hint="default" w:ascii="Times New Roman" w:hAnsi="Times New Roman" w:cs="Times New Roman" w:eastAsiaTheme="minorEastAsia"/>
                      <w:b w:val="0"/>
                      <w:bCs/>
                      <w:snapToGrid w:val="0"/>
                      <w:color w:val="auto"/>
                      <w:sz w:val="21"/>
                      <w:szCs w:val="21"/>
                      <w:highlight w:val="none"/>
                      <w:lang w:val="en-US" w:eastAsia="zh-CN" w:bidi="ar-SA"/>
                    </w:rPr>
                    <w:t>无组织控制措施，要求企业加强设备和管线定期检修和排查，加强非正常工况管理。</w:t>
                  </w:r>
                </w:p>
              </w:tc>
              <w:tc>
                <w:tcPr>
                  <w:tcW w:w="303" w:type="pct"/>
                  <w:tcBorders>
                    <w:tl2br w:val="nil"/>
                    <w:tr2bl w:val="nil"/>
                  </w:tcBorders>
                  <w:shd w:val="clear" w:color="auto" w:fill="auto"/>
                  <w:vAlign w:val="center"/>
                </w:tcPr>
                <w:p w14:paraId="43E71FB2">
                  <w:pPr>
                    <w:pStyle w:val="117"/>
                    <w:adjustRightInd w:val="0"/>
                    <w:snapToGrid w:val="0"/>
                    <w:rPr>
                      <w:rFonts w:hint="default" w:ascii="Times New Roman" w:hAnsi="Times New Roman" w:cs="Times New Roman" w:eastAsiaTheme="minorEastAsia"/>
                      <w:bCs w:val="0"/>
                      <w:color w:val="auto"/>
                      <w:sz w:val="21"/>
                      <w:szCs w:val="21"/>
                      <w:highlight w:val="none"/>
                      <w:lang w:val="en-US" w:eastAsia="zh-CN"/>
                    </w:rPr>
                  </w:pPr>
                  <w:r>
                    <w:rPr>
                      <w:rFonts w:hint="default" w:ascii="Times New Roman" w:hAnsi="Times New Roman" w:cs="Times New Roman" w:eastAsiaTheme="minorEastAsia"/>
                      <w:bCs w:val="0"/>
                      <w:color w:val="auto"/>
                      <w:sz w:val="21"/>
                      <w:szCs w:val="21"/>
                      <w:highlight w:val="none"/>
                      <w:lang w:val="en-US" w:eastAsia="zh-CN"/>
                    </w:rPr>
                    <w:t>符合</w:t>
                  </w:r>
                </w:p>
              </w:tc>
            </w:tr>
            <w:bookmarkEnd w:id="27"/>
          </w:tbl>
          <w:p w14:paraId="4AF4E331">
            <w:pPr>
              <w:keepNext w:val="0"/>
              <w:keepLines w:val="0"/>
              <w:pageBreakBefore w:val="0"/>
              <w:widowControl/>
              <w:numPr>
                <w:ilvl w:val="0"/>
                <w:numId w:val="0"/>
              </w:numPr>
              <w:suppressLineNumbers w:val="0"/>
              <w:kinsoku/>
              <w:wordWrap/>
              <w:overflowPunct/>
              <w:topLinePunct w:val="0"/>
              <w:bidi w:val="0"/>
              <w:snapToGrid/>
              <w:spacing w:line="480" w:lineRule="exact"/>
              <w:ind w:firstLine="480" w:firstLineChars="200"/>
              <w:jc w:val="left"/>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rPr>
              <w:t>综上，本项目</w:t>
            </w:r>
            <w:r>
              <w:rPr>
                <w:rFonts w:hint="eastAsia" w:cs="Times New Roman"/>
                <w:color w:val="auto"/>
                <w:sz w:val="24"/>
                <w:szCs w:val="24"/>
                <w:lang w:val="en-US" w:eastAsia="zh-CN"/>
              </w:rPr>
              <w:t>符合</w:t>
            </w:r>
            <w:r>
              <w:rPr>
                <w:rFonts w:hint="default" w:ascii="Times New Roman" w:hAnsi="Times New Roman" w:cs="Times New Roman"/>
                <w:color w:val="auto"/>
                <w:sz w:val="24"/>
                <w:szCs w:val="24"/>
              </w:rPr>
              <w:t>《辽宁省深入打好污染防治攻坚战实施方案》中相关要求。</w:t>
            </w:r>
          </w:p>
          <w:p w14:paraId="45FBEF82">
            <w:pPr>
              <w:keepNext w:val="0"/>
              <w:keepLines w:val="0"/>
              <w:pageBreakBefore w:val="0"/>
              <w:widowControl/>
              <w:numPr>
                <w:ilvl w:val="0"/>
                <w:numId w:val="0"/>
              </w:numPr>
              <w:suppressLineNumbers w:val="0"/>
              <w:kinsoku/>
              <w:wordWrap/>
              <w:overflowPunct/>
              <w:topLinePunct w:val="0"/>
              <w:bidi w:val="0"/>
              <w:snapToGrid/>
              <w:spacing w:line="480" w:lineRule="exact"/>
              <w:jc w:val="left"/>
              <w:textAlignment w:val="auto"/>
              <w:rPr>
                <w:rFonts w:hint="default" w:ascii="Times New Roman" w:hAnsi="Times New Roman" w:eastAsia="Times New Roman" w:cs="Times New Roman"/>
                <w:b/>
                <w:bCs/>
                <w:color w:val="auto"/>
                <w:kern w:val="2"/>
                <w:sz w:val="24"/>
                <w:szCs w:val="24"/>
                <w:lang w:val="en-US" w:eastAsia="zh-CN" w:bidi="ar-SA"/>
              </w:rPr>
            </w:pPr>
            <w:r>
              <w:rPr>
                <w:rFonts w:hint="eastAsia" w:cs="Times New Roman"/>
                <w:b/>
                <w:bCs/>
                <w:color w:val="auto"/>
                <w:sz w:val="24"/>
                <w:szCs w:val="24"/>
                <w:lang w:val="en-US" w:eastAsia="zh-CN"/>
              </w:rPr>
              <w:t>12、</w:t>
            </w:r>
            <w:r>
              <w:rPr>
                <w:rFonts w:hint="default" w:ascii="Times New Roman" w:hAnsi="Times New Roman" w:eastAsia="宋体" w:cs="Times New Roman"/>
                <w:b/>
                <w:bCs/>
                <w:color w:val="auto"/>
                <w:sz w:val="24"/>
                <w:szCs w:val="24"/>
                <w:lang w:val="en-US" w:eastAsia="zh-CN"/>
              </w:rPr>
              <w:t>与《辽宁省空气质量持续改善行动实施方案》（辽政发</w:t>
            </w:r>
            <w:r>
              <w:rPr>
                <w:rFonts w:hint="eastAsia" w:cs="Times New Roman"/>
                <w:b/>
                <w:bCs/>
                <w:color w:val="auto"/>
                <w:sz w:val="24"/>
                <w:szCs w:val="24"/>
                <w:lang w:val="en-US" w:eastAsia="zh-CN"/>
              </w:rPr>
              <w:t>〔2024〕11号</w:t>
            </w:r>
            <w:r>
              <w:rPr>
                <w:rFonts w:hint="default" w:ascii="Times New Roman" w:hAnsi="Times New Roman" w:eastAsia="宋体" w:cs="Times New Roman"/>
                <w:b/>
                <w:bCs/>
                <w:color w:val="auto"/>
                <w:sz w:val="24"/>
                <w:szCs w:val="24"/>
                <w:lang w:val="en-US" w:eastAsia="zh-CN"/>
              </w:rPr>
              <w:t>）相符性</w:t>
            </w:r>
            <w:r>
              <w:rPr>
                <w:rFonts w:hint="default" w:ascii="Times New Roman" w:hAnsi="Times New Roman" w:eastAsia="Times New Roman" w:cs="Times New Roman"/>
                <w:b/>
                <w:bCs/>
                <w:color w:val="auto"/>
                <w:kern w:val="2"/>
                <w:sz w:val="24"/>
                <w:szCs w:val="24"/>
                <w:lang w:val="en-US" w:eastAsia="zh-CN" w:bidi="ar-SA"/>
              </w:rPr>
              <w:t>分析</w:t>
            </w:r>
          </w:p>
          <w:p w14:paraId="33EF8A93">
            <w:pPr>
              <w:pStyle w:val="41"/>
              <w:spacing w:before="0" w:beforeAutospacing="0" w:after="0" w:line="240" w:lineRule="auto"/>
              <w:ind w:left="0" w:leftChars="0" w:firstLine="0" w:firstLineChars="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表</w:t>
            </w:r>
            <w:r>
              <w:rPr>
                <w:rFonts w:hint="eastAsia" w:ascii="Times New Roman" w:hAnsi="Times New Roman" w:cs="Times New Roman" w:eastAsiaTheme="minorEastAsia"/>
                <w:b/>
                <w:bCs/>
                <w:color w:val="auto"/>
                <w:sz w:val="21"/>
                <w:szCs w:val="21"/>
                <w:highlight w:val="none"/>
                <w:lang w:val="en-US" w:eastAsia="zh-CN"/>
              </w:rPr>
              <w:t xml:space="preserve">1-11 </w:t>
            </w:r>
            <w:r>
              <w:rPr>
                <w:rFonts w:hint="default" w:ascii="Times New Roman" w:hAnsi="Times New Roman" w:cs="Times New Roman" w:eastAsiaTheme="minorEastAsia"/>
                <w:b/>
                <w:bCs/>
                <w:color w:val="auto"/>
                <w:sz w:val="21"/>
                <w:szCs w:val="21"/>
                <w:highlight w:val="none"/>
              </w:rPr>
              <w:t>与</w:t>
            </w:r>
            <w:r>
              <w:rPr>
                <w:rFonts w:hint="default" w:ascii="Times New Roman" w:hAnsi="Times New Roman" w:cs="Times New Roman" w:eastAsiaTheme="minorEastAsia"/>
                <w:b/>
                <w:bCs/>
                <w:color w:val="auto"/>
                <w:sz w:val="21"/>
                <w:szCs w:val="21"/>
                <w:highlight w:val="none"/>
                <w:lang w:val="en-US" w:eastAsia="zh-CN"/>
              </w:rPr>
              <w:t>《辽宁省空气质量持续改善行动实施方案》（辽政发</w:t>
            </w:r>
            <w:r>
              <w:rPr>
                <w:rFonts w:hint="eastAsia" w:ascii="Times New Roman" w:hAnsi="Times New Roman" w:cs="Times New Roman" w:eastAsiaTheme="minorEastAsia"/>
                <w:b/>
                <w:bCs/>
                <w:color w:val="auto"/>
                <w:sz w:val="21"/>
                <w:szCs w:val="21"/>
                <w:highlight w:val="none"/>
                <w:lang w:val="en-US" w:eastAsia="zh-CN"/>
              </w:rPr>
              <w:t>〔2024〕11号</w:t>
            </w:r>
            <w:r>
              <w:rPr>
                <w:rFonts w:hint="default" w:ascii="Times New Roman" w:hAnsi="Times New Roman" w:cs="Times New Roman" w:eastAsiaTheme="minorEastAsia"/>
                <w:b/>
                <w:bCs/>
                <w:color w:val="auto"/>
                <w:sz w:val="21"/>
                <w:szCs w:val="21"/>
                <w:highlight w:val="none"/>
                <w:lang w:val="en-US" w:eastAsia="zh-CN"/>
              </w:rPr>
              <w:t>）</w:t>
            </w:r>
            <w:r>
              <w:rPr>
                <w:rFonts w:hint="default" w:ascii="Times New Roman" w:hAnsi="Times New Roman" w:cs="Times New Roman" w:eastAsiaTheme="minorEastAsia"/>
                <w:b/>
                <w:bCs/>
                <w:color w:val="auto"/>
                <w:sz w:val="21"/>
                <w:szCs w:val="21"/>
                <w:highlight w:val="none"/>
              </w:rPr>
              <w:t>符合性分析</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56"/>
              <w:gridCol w:w="2935"/>
              <w:gridCol w:w="659"/>
            </w:tblGrid>
            <w:tr w14:paraId="6CA43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10" w:type="pct"/>
                  <w:tcBorders>
                    <w:tl2br w:val="nil"/>
                    <w:tr2bl w:val="nil"/>
                  </w:tcBorders>
                  <w:noWrap w:val="0"/>
                  <w:vAlign w:val="center"/>
                </w:tcPr>
                <w:p w14:paraId="0E5998F6">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分析内容</w:t>
                  </w:r>
                </w:p>
              </w:tc>
              <w:tc>
                <w:tcPr>
                  <w:tcW w:w="1869" w:type="pct"/>
                  <w:tcBorders>
                    <w:tl2br w:val="nil"/>
                    <w:tr2bl w:val="nil"/>
                  </w:tcBorders>
                  <w:noWrap w:val="0"/>
                  <w:vAlign w:val="center"/>
                </w:tcPr>
                <w:p w14:paraId="6F2B5C55">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419" w:type="pct"/>
                  <w:tcBorders>
                    <w:tl2br w:val="nil"/>
                    <w:tr2bl w:val="nil"/>
                  </w:tcBorders>
                  <w:noWrap w:val="0"/>
                  <w:vAlign w:val="center"/>
                </w:tcPr>
                <w:p w14:paraId="4A0FB51D">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6AF0D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710" w:type="pct"/>
                  <w:tcBorders>
                    <w:tl2br w:val="nil"/>
                    <w:tr2bl w:val="nil"/>
                  </w:tcBorders>
                  <w:noWrap w:val="0"/>
                  <w:vAlign w:val="center"/>
                </w:tcPr>
                <w:p w14:paraId="45102BB0">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二、优化产业结构，促进产业产品绿色升级</w:t>
                  </w:r>
                </w:p>
              </w:tc>
              <w:tc>
                <w:tcPr>
                  <w:tcW w:w="1869" w:type="pct"/>
                  <w:tcBorders>
                    <w:tl2br w:val="nil"/>
                    <w:tr2bl w:val="nil"/>
                  </w:tcBorders>
                  <w:noWrap w:val="0"/>
                  <w:vAlign w:val="center"/>
                </w:tcPr>
                <w:p w14:paraId="7B5622DC">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19" w:type="pct"/>
                  <w:tcBorders>
                    <w:tl2br w:val="nil"/>
                    <w:tr2bl w:val="nil"/>
                  </w:tcBorders>
                  <w:noWrap w:val="0"/>
                  <w:vAlign w:val="center"/>
                </w:tcPr>
                <w:p w14:paraId="26CE9969">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55C3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710" w:type="pct"/>
                  <w:tcBorders>
                    <w:tl2br w:val="nil"/>
                    <w:tr2bl w:val="nil"/>
                  </w:tcBorders>
                  <w:noWrap w:val="0"/>
                  <w:vAlign w:val="center"/>
                </w:tcPr>
                <w:p w14:paraId="392558A8">
                  <w:pPr>
                    <w:keepNext w:val="0"/>
                    <w:keepLines w:val="0"/>
                    <w:pageBreakBefore w:val="0"/>
                    <w:numPr>
                      <w:ilvl w:val="0"/>
                      <w:numId w:val="0"/>
                    </w:numPr>
                    <w:kinsoku/>
                    <w:wordWrap/>
                    <w:overflowPunct/>
                    <w:topLinePunct w:val="0"/>
                    <w:autoSpaceDE/>
                    <w:autoSpaceDN/>
                    <w:bidi w:val="0"/>
                    <w:adjustRightInd w:val="0"/>
                    <w:snapToGrid w:val="0"/>
                    <w:spacing w:line="300" w:lineRule="exact"/>
                    <w:jc w:val="both"/>
                    <w:textAlignment w:val="auto"/>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en-US" w:eastAsia="zh-CN"/>
                    </w:rPr>
                    <w:t>（三）实施低VOCs原辅材料源头替代。开展部门联合监督检查，确保生产、销售、进口、使用等环节严格执行VOCs含量限值标准。以工业涂装、包装印刷和胶粘剂使用等为重点，实施低VOCs原辅材料源头替代工程。</w:t>
                  </w:r>
                </w:p>
              </w:tc>
              <w:tc>
                <w:tcPr>
                  <w:tcW w:w="1869" w:type="pct"/>
                  <w:tcBorders>
                    <w:tl2br w:val="nil"/>
                    <w:tr2bl w:val="nil"/>
                  </w:tcBorders>
                  <w:noWrap w:val="0"/>
                  <w:vAlign w:val="center"/>
                </w:tcPr>
                <w:p w14:paraId="53C0ED2E">
                  <w:pPr>
                    <w:keepNext w:val="0"/>
                    <w:keepLines w:val="0"/>
                    <w:pageBreakBefore w:val="0"/>
                    <w:numPr>
                      <w:ilvl w:val="0"/>
                      <w:numId w:val="0"/>
                    </w:numPr>
                    <w:kinsoku/>
                    <w:wordWrap/>
                    <w:overflowPunct/>
                    <w:topLinePunct w:val="0"/>
                    <w:autoSpaceDE/>
                    <w:autoSpaceDN/>
                    <w:bidi w:val="0"/>
                    <w:adjustRightInd w:val="0"/>
                    <w:snapToGrid w:val="0"/>
                    <w:spacing w:line="300" w:lineRule="exact"/>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本项目不属于工业涂装和包装印刷行业，涉VOC</w:t>
                  </w:r>
                  <w:r>
                    <w:rPr>
                      <w:rFonts w:hint="default" w:ascii="Times New Roman" w:hAnsi="Times New Roman" w:eastAsia="宋体" w:cs="Times New Roman"/>
                      <w:color w:val="auto"/>
                      <w:sz w:val="21"/>
                      <w:szCs w:val="21"/>
                      <w:vertAlign w:val="subscript"/>
                      <w:lang w:val="en-US" w:eastAsia="zh-CN"/>
                    </w:rPr>
                    <w:t>S</w:t>
                  </w:r>
                  <w:r>
                    <w:rPr>
                      <w:rFonts w:hint="default" w:ascii="Times New Roman" w:hAnsi="Times New Roman" w:eastAsia="宋体" w:cs="Times New Roman"/>
                      <w:color w:val="auto"/>
                      <w:sz w:val="21"/>
                      <w:szCs w:val="21"/>
                      <w:lang w:val="en-US" w:eastAsia="zh-CN"/>
                    </w:rPr>
                    <w:t>原料为</w:t>
                  </w:r>
                  <w:r>
                    <w:rPr>
                      <w:rFonts w:hint="eastAsia" w:ascii="Times New Roman" w:hAnsi="Times New Roman" w:eastAsia="宋体" w:cs="Times New Roman"/>
                      <w:color w:val="auto"/>
                      <w:sz w:val="21"/>
                      <w:szCs w:val="21"/>
                      <w:lang w:val="en-US" w:eastAsia="zh-CN"/>
                    </w:rPr>
                    <w:t>复合</w:t>
                  </w:r>
                  <w:r>
                    <w:rPr>
                      <w:rFonts w:hint="default" w:ascii="Times New Roman" w:hAnsi="Times New Roman" w:eastAsia="宋体" w:cs="Times New Roman"/>
                      <w:color w:val="auto"/>
                      <w:sz w:val="21"/>
                      <w:szCs w:val="21"/>
                      <w:lang w:val="en-US" w:eastAsia="zh-CN"/>
                    </w:rPr>
                    <w:t>油</w:t>
                  </w:r>
                  <w:r>
                    <w:rPr>
                      <w:rFonts w:hint="eastAsia" w:ascii="Times New Roman" w:hAnsi="Times New Roman" w:eastAsia="宋体" w:cs="Times New Roman"/>
                      <w:color w:val="auto"/>
                      <w:sz w:val="21"/>
                      <w:szCs w:val="21"/>
                      <w:lang w:val="en-US" w:eastAsia="zh-CN"/>
                    </w:rPr>
                    <w:t>相</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产生的</w:t>
                  </w:r>
                  <w:r>
                    <w:rPr>
                      <w:rFonts w:hint="eastAsia" w:cs="Times New Roman"/>
                      <w:color w:val="auto"/>
                      <w:sz w:val="21"/>
                      <w:szCs w:val="21"/>
                      <w:lang w:val="en-US" w:eastAsia="zh-CN"/>
                    </w:rPr>
                    <w:t>废气</w:t>
                  </w:r>
                  <w:r>
                    <w:rPr>
                      <w:rFonts w:hint="eastAsia" w:ascii="Times New Roman" w:hAnsi="Times New Roman" w:eastAsia="宋体" w:cs="Times New Roman"/>
                      <w:color w:val="auto"/>
                      <w:sz w:val="21"/>
                      <w:szCs w:val="21"/>
                      <w:lang w:val="en-US" w:eastAsia="zh-CN"/>
                    </w:rPr>
                    <w:t>经</w:t>
                  </w:r>
                  <w:r>
                    <w:rPr>
                      <w:rFonts w:hint="eastAsia" w:ascii="Times New Roman" w:hAnsi="Times New Roman" w:cs="Times New Roman"/>
                      <w:color w:val="auto"/>
                      <w:sz w:val="21"/>
                      <w:szCs w:val="21"/>
                      <w:highlight w:val="none"/>
                      <w:lang w:val="en-US" w:eastAsia="zh-CN"/>
                    </w:rPr>
                    <w:t>封闭工房阻隔后</w:t>
                  </w:r>
                  <w:r>
                    <w:rPr>
                      <w:rFonts w:hint="eastAsia" w:ascii="Times New Roman" w:hAnsi="Times New Roman" w:eastAsia="宋体" w:cs="Times New Roman"/>
                      <w:color w:val="auto"/>
                      <w:sz w:val="21"/>
                      <w:szCs w:val="21"/>
                      <w:lang w:val="en-US" w:eastAsia="zh-CN"/>
                    </w:rPr>
                    <w:t>无组织排放，经预测可达标排放。无组织控制措施满足</w:t>
                  </w:r>
                  <w:r>
                    <w:rPr>
                      <w:rFonts w:hint="default" w:ascii="Times New Roman" w:hAnsi="Times New Roman" w:cs="Times New Roman" w:eastAsiaTheme="minorEastAsia"/>
                      <w:b w:val="0"/>
                      <w:bCs/>
                      <w:snapToGrid w:val="0"/>
                      <w:color w:val="auto"/>
                      <w:sz w:val="21"/>
                      <w:szCs w:val="21"/>
                      <w:highlight w:val="none"/>
                      <w:lang w:val="en-US" w:eastAsia="zh-CN" w:bidi="ar-SA"/>
                    </w:rPr>
                    <w:t>《挥发性有机物无组织排放控制标准》提出</w:t>
                  </w:r>
                  <w:r>
                    <w:rPr>
                      <w:rFonts w:hint="eastAsia" w:ascii="Times New Roman" w:hAnsi="Times New Roman" w:cs="Times New Roman"/>
                      <w:b w:val="0"/>
                      <w:bCs/>
                      <w:snapToGrid w:val="0"/>
                      <w:color w:val="auto"/>
                      <w:sz w:val="21"/>
                      <w:szCs w:val="21"/>
                      <w:highlight w:val="none"/>
                      <w:lang w:val="en-US" w:eastAsia="zh-CN" w:bidi="ar-SA"/>
                    </w:rPr>
                    <w:t>的要求。</w:t>
                  </w:r>
                </w:p>
              </w:tc>
              <w:tc>
                <w:tcPr>
                  <w:tcW w:w="419" w:type="pct"/>
                  <w:tcBorders>
                    <w:tl2br w:val="nil"/>
                    <w:tr2bl w:val="nil"/>
                  </w:tcBorders>
                  <w:noWrap w:val="0"/>
                  <w:vAlign w:val="center"/>
                </w:tcPr>
                <w:p w14:paraId="2EABEF20">
                  <w:pPr>
                    <w:keepNext w:val="0"/>
                    <w:keepLines w:val="0"/>
                    <w:pageBreakBefore w:val="0"/>
                    <w:numPr>
                      <w:ilvl w:val="0"/>
                      <w:numId w:val="0"/>
                    </w:numPr>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14:paraId="42210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710" w:type="pct"/>
                  <w:tcBorders>
                    <w:tl2br w:val="nil"/>
                    <w:tr2bl w:val="nil"/>
                  </w:tcBorders>
                  <w:noWrap w:val="0"/>
                  <w:vAlign w:val="center"/>
                </w:tcPr>
                <w:p w14:paraId="07C2D106">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三、优化能源结构，加速能源清洁低碳高效发展</w:t>
                  </w:r>
                </w:p>
              </w:tc>
              <w:tc>
                <w:tcPr>
                  <w:tcW w:w="1869" w:type="pct"/>
                  <w:tcBorders>
                    <w:tl2br w:val="nil"/>
                    <w:tr2bl w:val="nil"/>
                  </w:tcBorders>
                  <w:noWrap w:val="0"/>
                  <w:vAlign w:val="center"/>
                </w:tcPr>
                <w:p w14:paraId="2FEC6BE6">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19" w:type="pct"/>
                  <w:tcBorders>
                    <w:tl2br w:val="nil"/>
                    <w:tr2bl w:val="nil"/>
                  </w:tcBorders>
                  <w:noWrap w:val="0"/>
                  <w:vAlign w:val="center"/>
                </w:tcPr>
                <w:p w14:paraId="50A104C8">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3AF51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710" w:type="pct"/>
                  <w:tcBorders>
                    <w:tl2br w:val="nil"/>
                    <w:tr2bl w:val="nil"/>
                  </w:tcBorders>
                  <w:noWrap w:val="0"/>
                  <w:vAlign w:val="center"/>
                </w:tcPr>
                <w:p w14:paraId="02596CD6">
                  <w:pPr>
                    <w:keepNext w:val="0"/>
                    <w:keepLines w:val="0"/>
                    <w:pageBreakBefore w:val="0"/>
                    <w:numPr>
                      <w:ilvl w:val="0"/>
                      <w:numId w:val="0"/>
                    </w:numPr>
                    <w:kinsoku/>
                    <w:wordWrap/>
                    <w:overflowPunct/>
                    <w:topLinePunct w:val="0"/>
                    <w:autoSpaceDE/>
                    <w:autoSpaceDN/>
                    <w:bidi w:val="0"/>
                    <w:adjustRightInd w:val="0"/>
                    <w:snapToGrid w:val="0"/>
                    <w:spacing w:line="300" w:lineRule="exact"/>
                    <w:jc w:val="both"/>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（六）持续推进清洁取暖。</w:t>
                  </w:r>
                  <w:r>
                    <w:rPr>
                      <w:rFonts w:hint="default" w:ascii="Times New Roman" w:hAnsi="Times New Roman" w:eastAsia="宋体" w:cs="Times New Roman"/>
                      <w:color w:val="auto"/>
                      <w:kern w:val="2"/>
                      <w:sz w:val="21"/>
                      <w:szCs w:val="21"/>
                      <w:lang w:val="en-US" w:eastAsia="zh-CN" w:bidi="ar-SA"/>
                    </w:rPr>
                    <w:t>因地制宜整村、整屯推进民用、农用散煤替代。纳入中央财政支持北方地区清洁取暖范围的城市，保质保量完成改造任务。2025年底前基本完成沈阳、鞍山、抚顺、锦州、营口、辽阳、铁岭、盘锦、葫芦岛9个重点城市城区（含城中村、城乡结合部）、县城清洁取暖改造。完成散煤替代的城区、县城及村屯必须保障居民生活和清洁取暖用电、用气需求，防止散煤复烧。严厉打击劣质煤销售，依法全面取缔高污染燃料禁燃区内散煤销售网点。</w:t>
                  </w:r>
                </w:p>
              </w:tc>
              <w:tc>
                <w:tcPr>
                  <w:tcW w:w="1869" w:type="pct"/>
                  <w:tcBorders>
                    <w:tl2br w:val="nil"/>
                    <w:tr2bl w:val="nil"/>
                  </w:tcBorders>
                  <w:noWrap w:val="0"/>
                  <w:vAlign w:val="center"/>
                </w:tcPr>
                <w:p w14:paraId="1D88DDD9">
                  <w:pPr>
                    <w:pStyle w:val="115"/>
                    <w:spacing w:line="240" w:lineRule="auto"/>
                    <w:ind w:left="0" w:right="0"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8"/>
                      <w:sz w:val="21"/>
                      <w:szCs w:val="21"/>
                    </w:rPr>
                    <w:t>本项目供暖</w:t>
                  </w:r>
                  <w:r>
                    <w:rPr>
                      <w:rFonts w:hint="eastAsia" w:ascii="Times New Roman" w:hAnsi="Times New Roman" w:cs="Times New Roman"/>
                      <w:color w:val="auto"/>
                      <w:spacing w:val="8"/>
                      <w:sz w:val="21"/>
                      <w:szCs w:val="21"/>
                      <w:lang w:val="en-US" w:eastAsia="zh-CN"/>
                    </w:rPr>
                    <w:t>依托厂内2台</w:t>
                  </w:r>
                  <w:r>
                    <w:rPr>
                      <w:rFonts w:hint="default" w:ascii="Times New Roman" w:hAnsi="Times New Roman" w:eastAsia="宋体" w:cs="Times New Roman"/>
                      <w:color w:val="auto"/>
                      <w:sz w:val="21"/>
                      <w:szCs w:val="21"/>
                      <w:highlight w:val="none"/>
                      <w:lang w:val="en-US" w:eastAsia="zh-CN"/>
                    </w:rPr>
                    <w:t>6t燃气蒸汽锅炉</w:t>
                  </w:r>
                  <w:r>
                    <w:rPr>
                      <w:rFonts w:hint="eastAsia" w:cs="Times New Roman"/>
                      <w:color w:val="auto"/>
                      <w:sz w:val="21"/>
                      <w:szCs w:val="21"/>
                      <w:highlight w:val="none"/>
                      <w:lang w:val="en-US" w:eastAsia="zh-CN"/>
                    </w:rPr>
                    <w:t>（一用一备）</w:t>
                  </w:r>
                </w:p>
                <w:p w14:paraId="3B90ADD3">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pacing w:val="4"/>
                      <w:sz w:val="21"/>
                      <w:szCs w:val="21"/>
                    </w:rPr>
                    <w:t>本项目不使用</w:t>
                  </w:r>
                  <w:r>
                    <w:rPr>
                      <w:rFonts w:hint="eastAsia" w:ascii="Times New Roman" w:hAnsi="Times New Roman" w:cs="Times New Roman"/>
                      <w:color w:val="auto"/>
                      <w:spacing w:val="4"/>
                      <w:sz w:val="21"/>
                      <w:szCs w:val="21"/>
                      <w:lang w:val="en-US" w:eastAsia="zh-CN"/>
                    </w:rPr>
                    <w:t>燃</w:t>
                  </w:r>
                  <w:r>
                    <w:rPr>
                      <w:rFonts w:hint="default" w:ascii="Times New Roman" w:hAnsi="Times New Roman" w:cs="Times New Roman"/>
                      <w:color w:val="auto"/>
                      <w:spacing w:val="4"/>
                      <w:sz w:val="21"/>
                      <w:szCs w:val="21"/>
                    </w:rPr>
                    <w:t>煤。</w:t>
                  </w:r>
                </w:p>
              </w:tc>
              <w:tc>
                <w:tcPr>
                  <w:tcW w:w="419" w:type="pct"/>
                  <w:tcBorders>
                    <w:tl2br w:val="nil"/>
                    <w:tr2bl w:val="nil"/>
                  </w:tcBorders>
                  <w:noWrap w:val="0"/>
                  <w:vAlign w:val="center"/>
                </w:tcPr>
                <w:p w14:paraId="607A2ED9">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14:paraId="2D6D6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710" w:type="pct"/>
                  <w:tcBorders>
                    <w:tl2br w:val="nil"/>
                    <w:tr2bl w:val="nil"/>
                  </w:tcBorders>
                  <w:noWrap w:val="0"/>
                  <w:vAlign w:val="center"/>
                </w:tcPr>
                <w:p w14:paraId="1B888E98">
                  <w:pPr>
                    <w:keepNext w:val="0"/>
                    <w:keepLines w:val="0"/>
                    <w:pageBreakBefore w:val="0"/>
                    <w:numPr>
                      <w:ilvl w:val="0"/>
                      <w:numId w:val="0"/>
                    </w:numPr>
                    <w:kinsoku/>
                    <w:wordWrap/>
                    <w:overflowPunct/>
                    <w:topLinePunct w:val="0"/>
                    <w:autoSpaceDE/>
                    <w:autoSpaceDN/>
                    <w:bidi w:val="0"/>
                    <w:adjustRightInd w:val="0"/>
                    <w:snapToGrid w:val="0"/>
                    <w:spacing w:line="300" w:lineRule="exact"/>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六、降低污染物排放强度</w:t>
                  </w:r>
                </w:p>
              </w:tc>
              <w:tc>
                <w:tcPr>
                  <w:tcW w:w="3284" w:type="dxa"/>
                  <w:tcBorders>
                    <w:tl2br w:val="nil"/>
                    <w:tr2bl w:val="nil"/>
                  </w:tcBorders>
                  <w:noWrap w:val="0"/>
                  <w:vAlign w:val="center"/>
                </w:tcPr>
                <w:p w14:paraId="2902A9E9">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736" w:type="dxa"/>
                  <w:tcBorders>
                    <w:tl2br w:val="nil"/>
                    <w:tr2bl w:val="nil"/>
                  </w:tcBorders>
                  <w:noWrap w:val="0"/>
                  <w:vAlign w:val="center"/>
                </w:tcPr>
                <w:p w14:paraId="3478E141">
                  <w:pPr>
                    <w:keepNext w:val="0"/>
                    <w:keepLines w:val="0"/>
                    <w:pageBreakBefore w:val="0"/>
                    <w:kinsoku/>
                    <w:wordWrap/>
                    <w:overflowPunct/>
                    <w:topLinePunct w:val="0"/>
                    <w:autoSpaceDE/>
                    <w:autoSpaceDN/>
                    <w:bidi w:val="0"/>
                    <w:adjustRightInd w:val="0"/>
                    <w:snapToGrid w:val="0"/>
                    <w:spacing w:line="3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0172E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710" w:type="pct"/>
                  <w:tcBorders>
                    <w:tl2br w:val="nil"/>
                    <w:tr2bl w:val="nil"/>
                  </w:tcBorders>
                  <w:noWrap w:val="0"/>
                  <w:vAlign w:val="center"/>
                </w:tcPr>
                <w:p w14:paraId="036B7B44">
                  <w:pPr>
                    <w:keepNext w:val="0"/>
                    <w:keepLines w:val="0"/>
                    <w:pageBreakBefore w:val="0"/>
                    <w:numPr>
                      <w:ilvl w:val="0"/>
                      <w:numId w:val="0"/>
                    </w:numPr>
                    <w:kinsoku/>
                    <w:wordWrap/>
                    <w:overflowPunct/>
                    <w:topLinePunct w:val="0"/>
                    <w:autoSpaceDE/>
                    <w:autoSpaceDN/>
                    <w:bidi w:val="0"/>
                    <w:adjustRightInd w:val="0"/>
                    <w:snapToGrid w:val="0"/>
                    <w:spacing w:line="300" w:lineRule="exact"/>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十四）强化VOCs全流程、全环节综合治理。定期开展储罐密封性检测，污水处理场所高浓度有机废气要单独收集处理，含VOCs有机废水储罐、装置区集水井（池）有机废气要密闭收集处理。企业开停工、检维修期间，及时收集处理退料、清洗、吹扫等作业产生的VOCs废气。企业不得将火炬燃烧装置作为日常</w:t>
                  </w:r>
                  <w:r>
                    <w:rPr>
                      <w:rFonts w:hint="eastAsia" w:cs="Times New Roman"/>
                      <w:color w:val="auto"/>
                      <w:kern w:val="2"/>
                      <w:sz w:val="21"/>
                      <w:szCs w:val="21"/>
                      <w:lang w:val="en-US" w:eastAsia="zh-CN" w:bidi="ar-SA"/>
                    </w:rPr>
                    <w:t>大气污染治理</w:t>
                  </w:r>
                  <w:r>
                    <w:rPr>
                      <w:rFonts w:hint="default" w:ascii="Times New Roman" w:hAnsi="Times New Roman" w:eastAsia="宋体" w:cs="Times New Roman"/>
                      <w:color w:val="auto"/>
                      <w:kern w:val="2"/>
                      <w:sz w:val="21"/>
                      <w:szCs w:val="21"/>
                      <w:lang w:val="en-US" w:eastAsia="zh-CN" w:bidi="ar-SA"/>
                    </w:rPr>
                    <w:t>设施。</w:t>
                  </w:r>
                </w:p>
              </w:tc>
              <w:tc>
                <w:tcPr>
                  <w:tcW w:w="1869" w:type="pct"/>
                  <w:tcBorders>
                    <w:tl2br w:val="nil"/>
                    <w:tr2bl w:val="nil"/>
                  </w:tcBorders>
                  <w:noWrap w:val="0"/>
                  <w:vAlign w:val="center"/>
                </w:tcPr>
                <w:p w14:paraId="5E7C4295">
                  <w:pPr>
                    <w:keepNext w:val="0"/>
                    <w:keepLines w:val="0"/>
                    <w:pageBreakBefore w:val="0"/>
                    <w:numPr>
                      <w:ilvl w:val="0"/>
                      <w:numId w:val="0"/>
                    </w:numPr>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本项目仅生产过程使用</w:t>
                  </w:r>
                  <w:r>
                    <w:rPr>
                      <w:rFonts w:hint="eastAsia" w:ascii="Times New Roman" w:hAnsi="Times New Roman" w:eastAsia="宋体" w:cs="Times New Roman"/>
                      <w:color w:val="auto"/>
                      <w:kern w:val="2"/>
                      <w:sz w:val="21"/>
                      <w:szCs w:val="21"/>
                      <w:lang w:val="en-US" w:eastAsia="zh-CN" w:bidi="ar-SA"/>
                    </w:rPr>
                    <w:t>复合油相</w:t>
                  </w:r>
                  <w:r>
                    <w:rPr>
                      <w:rFonts w:hint="default" w:ascii="Times New Roman" w:hAnsi="Times New Roman" w:eastAsia="宋体" w:cs="Times New Roman"/>
                      <w:color w:val="auto"/>
                      <w:kern w:val="2"/>
                      <w:sz w:val="21"/>
                      <w:szCs w:val="21"/>
                      <w:lang w:val="en-US" w:eastAsia="zh-CN" w:bidi="ar-SA"/>
                    </w:rPr>
                    <w:t>会产生VOCs，</w:t>
                  </w:r>
                  <w:r>
                    <w:rPr>
                      <w:rFonts w:hint="eastAsia" w:ascii="Times New Roman" w:hAnsi="Times New Roman" w:eastAsia="宋体" w:cs="Times New Roman"/>
                      <w:color w:val="auto"/>
                      <w:kern w:val="2"/>
                      <w:sz w:val="21"/>
                      <w:szCs w:val="21"/>
                      <w:lang w:val="en-US" w:eastAsia="zh-CN" w:bidi="ar-SA"/>
                    </w:rPr>
                    <w:t>由每班生产时密闭槽车运输至生产</w:t>
                  </w:r>
                  <w:r>
                    <w:rPr>
                      <w:rFonts w:hint="eastAsia" w:cs="Times New Roman"/>
                      <w:color w:val="auto"/>
                      <w:kern w:val="2"/>
                      <w:sz w:val="21"/>
                      <w:szCs w:val="21"/>
                      <w:lang w:val="en-US" w:eastAsia="zh-CN" w:bidi="ar-SA"/>
                    </w:rPr>
                    <w:t>水油相制备工房</w:t>
                  </w:r>
                  <w:r>
                    <w:rPr>
                      <w:rFonts w:hint="eastAsia" w:ascii="Times New Roman" w:hAnsi="Times New Roman" w:eastAsia="宋体" w:cs="Times New Roman"/>
                      <w:color w:val="auto"/>
                      <w:kern w:val="2"/>
                      <w:sz w:val="21"/>
                      <w:szCs w:val="21"/>
                      <w:lang w:val="en-US" w:eastAsia="zh-CN" w:bidi="ar-SA"/>
                    </w:rPr>
                    <w:t>储罐内，</w:t>
                  </w:r>
                  <w:r>
                    <w:rPr>
                      <w:rFonts w:hint="default" w:ascii="Times New Roman" w:hAnsi="Times New Roman" w:eastAsia="宋体" w:cs="Times New Roman"/>
                      <w:color w:val="auto"/>
                      <w:kern w:val="2"/>
                      <w:sz w:val="21"/>
                      <w:szCs w:val="21"/>
                      <w:lang w:val="en-US" w:eastAsia="zh-CN" w:bidi="ar-SA"/>
                    </w:rPr>
                    <w:t>不涉及储罐</w:t>
                  </w:r>
                  <w:r>
                    <w:rPr>
                      <w:rFonts w:hint="eastAsia" w:ascii="Times New Roman" w:hAnsi="Times New Roman" w:eastAsia="宋体" w:cs="Times New Roman"/>
                      <w:color w:val="auto"/>
                      <w:kern w:val="2"/>
                      <w:sz w:val="21"/>
                      <w:szCs w:val="21"/>
                      <w:lang w:val="en-US" w:eastAsia="zh-CN" w:bidi="ar-SA"/>
                    </w:rPr>
                    <w:t>区</w:t>
                  </w:r>
                  <w:r>
                    <w:rPr>
                      <w:rFonts w:hint="default" w:ascii="Times New Roman" w:hAnsi="Times New Roman" w:eastAsia="宋体" w:cs="Times New Roman"/>
                      <w:color w:val="auto"/>
                      <w:kern w:val="2"/>
                      <w:sz w:val="21"/>
                      <w:szCs w:val="21"/>
                      <w:lang w:val="en-US" w:eastAsia="zh-CN" w:bidi="ar-SA"/>
                    </w:rPr>
                    <w:t>、装置区集水井（池）等其他工艺。企业开停工、检维修期间，</w:t>
                  </w:r>
                  <w:r>
                    <w:rPr>
                      <w:rFonts w:hint="eastAsia" w:ascii="Times New Roman" w:hAnsi="Times New Roman" w:eastAsia="宋体" w:cs="Times New Roman"/>
                      <w:color w:val="auto"/>
                      <w:kern w:val="2"/>
                      <w:sz w:val="21"/>
                      <w:szCs w:val="21"/>
                      <w:lang w:val="en-US" w:eastAsia="zh-CN" w:bidi="ar-SA"/>
                    </w:rPr>
                    <w:t>退料为密闭输送，</w:t>
                  </w:r>
                  <w:r>
                    <w:rPr>
                      <w:rFonts w:hint="default" w:ascii="Times New Roman" w:hAnsi="Times New Roman" w:eastAsia="宋体" w:cs="Times New Roman"/>
                      <w:color w:val="auto"/>
                      <w:kern w:val="2"/>
                      <w:sz w:val="21"/>
                      <w:szCs w:val="21"/>
                      <w:lang w:val="en-US" w:eastAsia="zh-CN" w:bidi="ar-SA"/>
                    </w:rPr>
                    <w:t>产生VOCs废气的量极小，对周围环境产生的影响较小。</w:t>
                  </w:r>
                </w:p>
              </w:tc>
              <w:tc>
                <w:tcPr>
                  <w:tcW w:w="419" w:type="pct"/>
                  <w:tcBorders>
                    <w:tl2br w:val="nil"/>
                    <w:tr2bl w:val="nil"/>
                  </w:tcBorders>
                  <w:noWrap w:val="0"/>
                  <w:vAlign w:val="center"/>
                </w:tcPr>
                <w:p w14:paraId="360311A4">
                  <w:pPr>
                    <w:keepNext w:val="0"/>
                    <w:keepLines w:val="0"/>
                    <w:pageBreakBefore w:val="0"/>
                    <w:numPr>
                      <w:ilvl w:val="0"/>
                      <w:numId w:val="0"/>
                    </w:numPr>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符合</w:t>
                  </w:r>
                </w:p>
              </w:tc>
            </w:tr>
          </w:tbl>
          <w:p w14:paraId="4127EC52">
            <w:pPr>
              <w:keepNext w:val="0"/>
              <w:keepLines w:val="0"/>
              <w:pageBreakBefore w:val="0"/>
              <w:widowControl/>
              <w:numPr>
                <w:ilvl w:val="0"/>
                <w:numId w:val="0"/>
              </w:numPr>
              <w:suppressLineNumbers w:val="0"/>
              <w:kinsoku/>
              <w:wordWrap/>
              <w:overflowPunct/>
              <w:topLinePunct w:val="0"/>
              <w:bidi w:val="0"/>
              <w:snapToGrid/>
              <w:spacing w:line="480" w:lineRule="exact"/>
              <w:ind w:firstLine="480" w:firstLineChars="200"/>
              <w:jc w:val="left"/>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rPr>
              <w:t>综上，本项目</w:t>
            </w:r>
            <w:r>
              <w:rPr>
                <w:rFonts w:hint="eastAsia" w:cs="Times New Roman"/>
                <w:color w:val="auto"/>
                <w:sz w:val="24"/>
                <w:szCs w:val="24"/>
                <w:lang w:val="en-US" w:eastAsia="zh-CN"/>
              </w:rPr>
              <w:t>符</w:t>
            </w:r>
            <w:r>
              <w:rPr>
                <w:rFonts w:hint="eastAsia" w:ascii="Times New Roman" w:hAnsi="Times New Roman" w:cs="Times New Roman"/>
                <w:color w:val="auto"/>
                <w:sz w:val="24"/>
                <w:szCs w:val="24"/>
                <w:lang w:val="en-US" w:eastAsia="zh-CN"/>
              </w:rPr>
              <w:t>合</w:t>
            </w:r>
            <w:r>
              <w:rPr>
                <w:rFonts w:hint="default" w:ascii="Times New Roman" w:hAnsi="Times New Roman" w:cs="Times New Roman"/>
                <w:color w:val="auto"/>
                <w:sz w:val="24"/>
                <w:szCs w:val="24"/>
                <w:lang w:val="en-US" w:eastAsia="zh-CN"/>
              </w:rPr>
              <w:t>《辽宁省空气质量持续改善行动实施方案》（辽政发</w:t>
            </w:r>
            <w:r>
              <w:rPr>
                <w:rFonts w:hint="eastAsia" w:cs="Times New Roman"/>
                <w:color w:val="auto"/>
                <w:sz w:val="24"/>
                <w:szCs w:val="24"/>
                <w:lang w:val="en-US" w:eastAsia="zh-CN"/>
              </w:rPr>
              <w:t>〔2024〕11号</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中相关要求。</w:t>
            </w:r>
          </w:p>
          <w:p w14:paraId="3D663681">
            <w:pPr>
              <w:keepNext w:val="0"/>
              <w:keepLines w:val="0"/>
              <w:pageBreakBefore w:val="0"/>
              <w:widowControl/>
              <w:numPr>
                <w:ilvl w:val="0"/>
                <w:numId w:val="0"/>
              </w:numPr>
              <w:suppressLineNumbers w:val="0"/>
              <w:kinsoku/>
              <w:wordWrap/>
              <w:overflowPunct/>
              <w:topLinePunct w:val="0"/>
              <w:bidi w:val="0"/>
              <w:snapToGrid/>
              <w:spacing w:line="480" w:lineRule="exact"/>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13、与《朝阳市“十四五”生态环境保护规划》相符性分析</w:t>
            </w:r>
          </w:p>
          <w:p w14:paraId="5290ED88">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本项目与《朝阳市“十四五”生态环境保护规划》相符性分析见下表。</w:t>
            </w:r>
          </w:p>
          <w:p w14:paraId="132B1907">
            <w:pPr>
              <w:pStyle w:val="41"/>
              <w:spacing w:before="0" w:beforeAutospacing="0" w:after="0" w:line="240" w:lineRule="auto"/>
              <w:ind w:left="0" w:leftChars="0" w:firstLine="0" w:firstLineChars="0"/>
              <w:jc w:val="center"/>
              <w:rPr>
                <w:rFonts w:hint="eastAsia" w:ascii="Times New Roman" w:hAnsi="Times New Roman" w:cs="Times New Roman" w:eastAsiaTheme="minorEastAsia"/>
                <w:b/>
                <w:bCs/>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表1-12 与《朝阳市“十四五”生态环境保护规划》相符性分析一览表</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12"/>
              <w:gridCol w:w="1648"/>
              <w:gridCol w:w="2689"/>
              <w:gridCol w:w="2511"/>
              <w:gridCol w:w="490"/>
            </w:tblGrid>
            <w:tr w14:paraId="1CD59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26" w:type="pct"/>
                  <w:tcBorders>
                    <w:tl2br w:val="nil"/>
                    <w:tr2bl w:val="nil"/>
                  </w:tcBorders>
                  <w:shd w:val="clear" w:color="auto" w:fill="auto"/>
                  <w:vAlign w:val="center"/>
                </w:tcPr>
                <w:p w14:paraId="2D6F9AC6">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lang w:val="en-US" w:eastAsia="zh-CN"/>
                    </w:rPr>
                  </w:pPr>
                  <w:r>
                    <w:rPr>
                      <w:rFonts w:hint="default" w:ascii="Times New Roman" w:hAnsi="Times New Roman" w:cs="Times New Roman" w:eastAsiaTheme="minorEastAsia"/>
                      <w:b/>
                      <w:bCs w:val="0"/>
                      <w:color w:val="auto"/>
                      <w:sz w:val="21"/>
                      <w:szCs w:val="21"/>
                      <w:highlight w:val="none"/>
                      <w:lang w:val="en-US" w:eastAsia="zh-CN"/>
                    </w:rPr>
                    <w:t>序号</w:t>
                  </w:r>
                </w:p>
              </w:tc>
              <w:tc>
                <w:tcPr>
                  <w:tcW w:w="2761" w:type="pct"/>
                  <w:gridSpan w:val="2"/>
                  <w:tcBorders>
                    <w:tl2br w:val="nil"/>
                    <w:tr2bl w:val="nil"/>
                  </w:tcBorders>
                  <w:shd w:val="clear" w:color="auto" w:fill="auto"/>
                  <w:vAlign w:val="center"/>
                </w:tcPr>
                <w:p w14:paraId="0B3B1918">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文件要求</w:t>
                  </w:r>
                </w:p>
              </w:tc>
              <w:tc>
                <w:tcPr>
                  <w:tcW w:w="1599" w:type="pct"/>
                  <w:tcBorders>
                    <w:tl2br w:val="nil"/>
                    <w:tr2bl w:val="nil"/>
                  </w:tcBorders>
                  <w:shd w:val="clear" w:color="auto" w:fill="auto"/>
                  <w:vAlign w:val="center"/>
                </w:tcPr>
                <w:p w14:paraId="76812594">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本项目情况</w:t>
                  </w:r>
                </w:p>
              </w:tc>
              <w:tc>
                <w:tcPr>
                  <w:tcW w:w="312" w:type="pct"/>
                  <w:tcBorders>
                    <w:tl2br w:val="nil"/>
                    <w:tr2bl w:val="nil"/>
                  </w:tcBorders>
                  <w:shd w:val="clear" w:color="auto" w:fill="auto"/>
                  <w:vAlign w:val="center"/>
                </w:tcPr>
                <w:p w14:paraId="4E4B80D1">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符合性</w:t>
                  </w:r>
                </w:p>
              </w:tc>
            </w:tr>
            <w:tr w14:paraId="478E5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26" w:type="pct"/>
                  <w:tcBorders>
                    <w:tl2br w:val="nil"/>
                    <w:tr2bl w:val="nil"/>
                  </w:tcBorders>
                  <w:shd w:val="clear" w:color="auto" w:fill="auto"/>
                  <w:vAlign w:val="center"/>
                </w:tcPr>
                <w:p w14:paraId="591189DD">
                  <w:pPr>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1049" w:type="pct"/>
                  <w:tcBorders>
                    <w:tl2br w:val="nil"/>
                    <w:tr2bl w:val="nil"/>
                  </w:tcBorders>
                  <w:shd w:val="clear" w:color="auto" w:fill="auto"/>
                  <w:vAlign w:val="center"/>
                </w:tcPr>
                <w:p w14:paraId="18B7572C">
                  <w:pPr>
                    <w:pStyle w:val="115"/>
                    <w:keepNext w:val="0"/>
                    <w:keepLines w:val="0"/>
                    <w:pageBreakBefore w:val="0"/>
                    <w:widowControl w:val="0"/>
                    <w:kinsoku/>
                    <w:wordWrap/>
                    <w:overflowPunct/>
                    <w:topLinePunct w:val="0"/>
                    <w:autoSpaceDE/>
                    <w:autoSpaceDN/>
                    <w:bidi w:val="0"/>
                    <w:spacing w:line="240" w:lineRule="auto"/>
                    <w:ind w:left="0" w:right="0" w:firstLine="0"/>
                    <w:jc w:val="left"/>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（三）深</w:t>
                  </w:r>
                  <w:r>
                    <w:rPr>
                      <w:rFonts w:hint="default" w:ascii="Times New Roman" w:hAnsi="Times New Roman" w:cs="Times New Roman"/>
                      <w:color w:val="auto"/>
                      <w:spacing w:val="38"/>
                      <w:sz w:val="21"/>
                      <w:szCs w:val="21"/>
                    </w:rPr>
                    <w:t>化污染防治工</w:t>
                  </w:r>
                  <w:r>
                    <w:rPr>
                      <w:rFonts w:hint="default" w:ascii="Times New Roman" w:hAnsi="Times New Roman" w:cs="Times New Roman"/>
                      <w:color w:val="auto"/>
                      <w:spacing w:val="2"/>
                      <w:sz w:val="21"/>
                      <w:szCs w:val="21"/>
                    </w:rPr>
                    <w:t>程，</w:t>
                  </w:r>
                  <w:r>
                    <w:rPr>
                      <w:rFonts w:hint="default" w:ascii="Times New Roman" w:hAnsi="Times New Roman" w:cs="Times New Roman"/>
                      <w:color w:val="auto"/>
                      <w:spacing w:val="38"/>
                      <w:sz w:val="21"/>
                      <w:szCs w:val="21"/>
                    </w:rPr>
                    <w:t>大气环境质量</w:t>
                  </w:r>
                  <w:r>
                    <w:rPr>
                      <w:rFonts w:hint="default" w:ascii="Times New Roman" w:hAnsi="Times New Roman" w:cs="Times New Roman"/>
                      <w:color w:val="auto"/>
                      <w:spacing w:val="4"/>
                      <w:sz w:val="21"/>
                      <w:szCs w:val="21"/>
                    </w:rPr>
                    <w:t>改善成</w:t>
                  </w:r>
                  <w:r>
                    <w:rPr>
                      <w:rFonts w:hint="default" w:ascii="Times New Roman" w:hAnsi="Times New Roman" w:cs="Times New Roman"/>
                      <w:color w:val="auto"/>
                      <w:sz w:val="21"/>
                      <w:szCs w:val="21"/>
                    </w:rPr>
                    <w:t>效</w:t>
                  </w:r>
                </w:p>
              </w:tc>
              <w:tc>
                <w:tcPr>
                  <w:tcW w:w="1711" w:type="pct"/>
                  <w:tcBorders>
                    <w:tl2br w:val="nil"/>
                    <w:tr2bl w:val="nil"/>
                  </w:tcBorders>
                  <w:shd w:val="clear" w:color="auto" w:fill="auto"/>
                  <w:vAlign w:val="center"/>
                </w:tcPr>
                <w:p w14:paraId="6C604004">
                  <w:pPr>
                    <w:pStyle w:val="115"/>
                    <w:keepNext w:val="0"/>
                    <w:keepLines w:val="0"/>
                    <w:pageBreakBefore w:val="0"/>
                    <w:widowControl w:val="0"/>
                    <w:kinsoku/>
                    <w:wordWrap/>
                    <w:overflowPunct/>
                    <w:topLinePunct w:val="0"/>
                    <w:autoSpaceDE/>
                    <w:autoSpaceDN/>
                    <w:bidi w:val="0"/>
                    <w:spacing w:line="240" w:lineRule="auto"/>
                    <w:ind w:left="0" w:right="0" w:firstLine="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4"/>
                      <w:sz w:val="21"/>
                      <w:szCs w:val="21"/>
                    </w:rPr>
                    <w:t>推动铸造、陶瓷等重污染行业实施深</w:t>
                  </w:r>
                  <w:r>
                    <w:rPr>
                      <w:rFonts w:hint="default" w:ascii="Times New Roman" w:hAnsi="Times New Roman" w:cs="Times New Roman"/>
                      <w:color w:val="auto"/>
                      <w:spacing w:val="5"/>
                      <w:sz w:val="21"/>
                      <w:szCs w:val="21"/>
                    </w:rPr>
                    <w:t>度治理，推广全过程封闭生产，减少无组织排放，进一步提高污染物达标排放水平。着重开展工业企业无组织</w:t>
                  </w:r>
                  <w:r>
                    <w:rPr>
                      <w:rFonts w:hint="default" w:ascii="Times New Roman" w:hAnsi="Times New Roman" w:cs="Times New Roman"/>
                      <w:color w:val="auto"/>
                      <w:spacing w:val="-8"/>
                      <w:sz w:val="21"/>
                      <w:szCs w:val="21"/>
                    </w:rPr>
                    <w:t>排放排查，建立管理台账，对物料（含</w:t>
                  </w:r>
                  <w:r>
                    <w:rPr>
                      <w:rFonts w:hint="default" w:ascii="Times New Roman" w:hAnsi="Times New Roman" w:cs="Times New Roman"/>
                      <w:color w:val="auto"/>
                      <w:spacing w:val="5"/>
                      <w:sz w:val="21"/>
                      <w:szCs w:val="21"/>
                    </w:rPr>
                    <w:t>废渣）运输、装卸和储存等无组织排</w:t>
                  </w:r>
                  <w:r>
                    <w:rPr>
                      <w:rFonts w:hint="default" w:ascii="Times New Roman" w:hAnsi="Times New Roman" w:cs="Times New Roman"/>
                      <w:color w:val="auto"/>
                      <w:spacing w:val="7"/>
                      <w:sz w:val="21"/>
                      <w:szCs w:val="21"/>
                    </w:rPr>
                    <w:t>放实施有效治理。</w:t>
                  </w:r>
                </w:p>
              </w:tc>
              <w:tc>
                <w:tcPr>
                  <w:tcW w:w="1599" w:type="pct"/>
                  <w:tcBorders>
                    <w:tl2br w:val="nil"/>
                    <w:tr2bl w:val="nil"/>
                  </w:tcBorders>
                  <w:shd w:val="clear" w:color="auto" w:fill="auto"/>
                  <w:vAlign w:val="center"/>
                </w:tcPr>
                <w:p w14:paraId="19971113">
                  <w:pPr>
                    <w:pStyle w:val="115"/>
                    <w:keepNext w:val="0"/>
                    <w:keepLines w:val="0"/>
                    <w:pageBreakBefore w:val="0"/>
                    <w:widowControl w:val="0"/>
                    <w:kinsoku/>
                    <w:wordWrap/>
                    <w:overflowPunct/>
                    <w:topLinePunct w:val="0"/>
                    <w:autoSpaceDE/>
                    <w:autoSpaceDN/>
                    <w:bidi w:val="0"/>
                    <w:spacing w:line="240" w:lineRule="auto"/>
                    <w:ind w:left="0" w:right="0" w:firstLine="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8"/>
                      <w:sz w:val="21"/>
                      <w:szCs w:val="21"/>
                    </w:rPr>
                    <w:t>本项目生产过程均在生产车间内进行，符合封闭生产的要求。项目各个</w:t>
                  </w:r>
                  <w:r>
                    <w:rPr>
                      <w:rFonts w:hint="eastAsia" w:ascii="Times New Roman" w:hAnsi="Times New Roman" w:cs="Times New Roman"/>
                      <w:color w:val="auto"/>
                      <w:spacing w:val="8"/>
                      <w:sz w:val="21"/>
                      <w:szCs w:val="21"/>
                      <w:lang w:val="en-US" w:eastAsia="zh-CN"/>
                    </w:rPr>
                    <w:t>物料转运和输送</w:t>
                  </w:r>
                  <w:r>
                    <w:rPr>
                      <w:rFonts w:hint="default" w:ascii="Times New Roman" w:hAnsi="Times New Roman" w:cs="Times New Roman"/>
                      <w:color w:val="auto"/>
                      <w:spacing w:val="8"/>
                      <w:sz w:val="21"/>
                      <w:szCs w:val="21"/>
                    </w:rPr>
                    <w:t>环节</w:t>
                  </w:r>
                  <w:r>
                    <w:rPr>
                      <w:rFonts w:hint="eastAsia" w:ascii="Times New Roman" w:hAnsi="Times New Roman" w:cs="Times New Roman"/>
                      <w:color w:val="auto"/>
                      <w:spacing w:val="8"/>
                      <w:sz w:val="21"/>
                      <w:szCs w:val="21"/>
                      <w:lang w:val="en-US" w:eastAsia="zh-CN"/>
                    </w:rPr>
                    <w:t>均为密闭</w:t>
                  </w:r>
                  <w:r>
                    <w:rPr>
                      <w:rFonts w:hint="default" w:ascii="Times New Roman" w:hAnsi="Times New Roman" w:cs="Times New Roman"/>
                      <w:color w:val="auto"/>
                      <w:spacing w:val="8"/>
                      <w:sz w:val="21"/>
                      <w:szCs w:val="21"/>
                    </w:rPr>
                    <w:t>，</w:t>
                  </w:r>
                  <w:r>
                    <w:rPr>
                      <w:rFonts w:hint="eastAsia" w:ascii="Times New Roman" w:hAnsi="Times New Roman" w:cs="Times New Roman"/>
                      <w:color w:val="auto"/>
                      <w:spacing w:val="8"/>
                      <w:sz w:val="21"/>
                      <w:szCs w:val="21"/>
                      <w:lang w:val="en-US" w:eastAsia="zh-CN"/>
                    </w:rPr>
                    <w:t>仅半成品输送环节因安全和工艺需要为不封闭，无组织排放量较少，可</w:t>
                  </w:r>
                  <w:r>
                    <w:rPr>
                      <w:rFonts w:hint="default" w:ascii="Times New Roman" w:hAnsi="Times New Roman" w:cs="Times New Roman"/>
                      <w:color w:val="auto"/>
                      <w:spacing w:val="6"/>
                      <w:sz w:val="21"/>
                      <w:szCs w:val="21"/>
                    </w:rPr>
                    <w:t>达标排放。</w:t>
                  </w:r>
                </w:p>
              </w:tc>
              <w:tc>
                <w:tcPr>
                  <w:tcW w:w="312" w:type="pct"/>
                  <w:tcBorders>
                    <w:tl2br w:val="nil"/>
                    <w:tr2bl w:val="nil"/>
                  </w:tcBorders>
                  <w:shd w:val="clear" w:color="auto" w:fill="auto"/>
                  <w:vAlign w:val="center"/>
                </w:tcPr>
                <w:p w14:paraId="14D51EC8">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符合</w:t>
                  </w:r>
                </w:p>
              </w:tc>
            </w:tr>
            <w:tr w14:paraId="10410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26" w:type="pct"/>
                  <w:tcBorders>
                    <w:tl2br w:val="nil"/>
                    <w:tr2bl w:val="nil"/>
                  </w:tcBorders>
                  <w:shd w:val="clear" w:color="auto" w:fill="auto"/>
                  <w:vAlign w:val="center"/>
                </w:tcPr>
                <w:p w14:paraId="6AE7C2A3">
                  <w:pPr>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2</w:t>
                  </w:r>
                </w:p>
              </w:tc>
              <w:tc>
                <w:tcPr>
                  <w:tcW w:w="1049" w:type="pct"/>
                  <w:tcBorders>
                    <w:tl2br w:val="nil"/>
                    <w:tr2bl w:val="nil"/>
                  </w:tcBorders>
                  <w:shd w:val="clear" w:color="auto" w:fill="auto"/>
                  <w:vAlign w:val="center"/>
                </w:tcPr>
                <w:p w14:paraId="60A02B47">
                  <w:pPr>
                    <w:pStyle w:val="115"/>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（四）推</w:t>
                  </w:r>
                  <w:r>
                    <w:rPr>
                      <w:rFonts w:hint="default" w:ascii="Times New Roman" w:hAnsi="Times New Roman" w:cs="Times New Roman"/>
                      <w:color w:val="auto"/>
                      <w:spacing w:val="35"/>
                      <w:sz w:val="21"/>
                      <w:szCs w:val="21"/>
                    </w:rPr>
                    <w:t>进三水共</w:t>
                  </w:r>
                  <w:r>
                    <w:rPr>
                      <w:rFonts w:hint="eastAsia" w:ascii="Times New Roman" w:hAnsi="Times New Roman" w:cs="Times New Roman"/>
                      <w:color w:val="auto"/>
                      <w:spacing w:val="35"/>
                      <w:sz w:val="21"/>
                      <w:szCs w:val="21"/>
                      <w:lang w:eastAsia="zh-CN"/>
                    </w:rPr>
                    <w:t>治战</w:t>
                  </w:r>
                  <w:r>
                    <w:rPr>
                      <w:rFonts w:hint="default" w:ascii="Times New Roman" w:hAnsi="Times New Roman" w:cs="Times New Roman"/>
                      <w:color w:val="auto"/>
                      <w:spacing w:val="-1"/>
                      <w:sz w:val="21"/>
                      <w:szCs w:val="21"/>
                    </w:rPr>
                    <w:t>，持续</w:t>
                  </w:r>
                  <w:r>
                    <w:rPr>
                      <w:rFonts w:hint="default" w:ascii="Times New Roman" w:hAnsi="Times New Roman" w:cs="Times New Roman"/>
                      <w:color w:val="auto"/>
                      <w:spacing w:val="35"/>
                      <w:sz w:val="21"/>
                      <w:szCs w:val="21"/>
                    </w:rPr>
                    <w:t>改善水生态环境质量</w:t>
                  </w:r>
                </w:p>
              </w:tc>
              <w:tc>
                <w:tcPr>
                  <w:tcW w:w="1711" w:type="pct"/>
                  <w:tcBorders>
                    <w:tl2br w:val="nil"/>
                    <w:tr2bl w:val="nil"/>
                  </w:tcBorders>
                  <w:shd w:val="clear" w:color="auto" w:fill="auto"/>
                  <w:vAlign w:val="center"/>
                </w:tcPr>
                <w:p w14:paraId="5A19E39B">
                  <w:pPr>
                    <w:pStyle w:val="115"/>
                    <w:keepNext w:val="0"/>
                    <w:keepLines w:val="0"/>
                    <w:pageBreakBefore w:val="0"/>
                    <w:widowControl w:val="0"/>
                    <w:kinsoku/>
                    <w:wordWrap/>
                    <w:overflowPunct/>
                    <w:topLinePunct w:val="0"/>
                    <w:autoSpaceDE/>
                    <w:autoSpaceDN/>
                    <w:bidi w:val="0"/>
                    <w:spacing w:line="240" w:lineRule="auto"/>
                    <w:ind w:left="0" w:right="0" w:firstLine="0"/>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9"/>
                      <w:sz w:val="21"/>
                      <w:szCs w:val="21"/>
                    </w:rPr>
                    <w:t>大力推进工业园区污水和工业废水</w:t>
                  </w:r>
                  <w:r>
                    <w:rPr>
                      <w:rFonts w:hint="default" w:ascii="Times New Roman" w:hAnsi="Times New Roman" w:cs="Times New Roman"/>
                      <w:color w:val="auto"/>
                      <w:spacing w:val="4"/>
                      <w:sz w:val="21"/>
                      <w:szCs w:val="21"/>
                    </w:rPr>
                    <w:t>污染治理。现有工业园区及工业集聚</w:t>
                  </w:r>
                  <w:r>
                    <w:rPr>
                      <w:rFonts w:hint="default" w:ascii="Times New Roman" w:hAnsi="Times New Roman" w:cs="Times New Roman"/>
                      <w:color w:val="auto"/>
                      <w:spacing w:val="6"/>
                      <w:sz w:val="21"/>
                      <w:szCs w:val="21"/>
                    </w:rPr>
                    <w:t>区污水处理厂</w:t>
                  </w:r>
                  <w:r>
                    <w:rPr>
                      <w:rFonts w:hint="default" w:ascii="Times New Roman" w:hAnsi="Times New Roman" w:eastAsia="Times New Roman" w:cs="Times New Roman"/>
                      <w:color w:val="auto"/>
                      <w:spacing w:val="6"/>
                      <w:sz w:val="21"/>
                      <w:szCs w:val="21"/>
                    </w:rPr>
                    <w:t>2023</w:t>
                  </w:r>
                  <w:r>
                    <w:rPr>
                      <w:rFonts w:hint="default" w:ascii="Times New Roman" w:hAnsi="Times New Roman" w:cs="Times New Roman"/>
                      <w:color w:val="auto"/>
                      <w:spacing w:val="6"/>
                      <w:sz w:val="21"/>
                      <w:szCs w:val="21"/>
                    </w:rPr>
                    <w:t>年达标稳定运</w:t>
                  </w:r>
                  <w:r>
                    <w:rPr>
                      <w:rFonts w:hint="default" w:ascii="Times New Roman" w:hAnsi="Times New Roman" w:cs="Times New Roman"/>
                      <w:color w:val="auto"/>
                      <w:spacing w:val="4"/>
                      <w:sz w:val="21"/>
                      <w:szCs w:val="21"/>
                    </w:rPr>
                    <w:t>行；开展柳城经济技术开发区污水厂</w:t>
                  </w:r>
                  <w:r>
                    <w:rPr>
                      <w:rFonts w:hint="default" w:ascii="Times New Roman" w:hAnsi="Times New Roman" w:cs="Times New Roman"/>
                      <w:color w:val="auto"/>
                      <w:spacing w:val="9"/>
                      <w:sz w:val="21"/>
                      <w:szCs w:val="21"/>
                    </w:rPr>
                    <w:t>扩建以及朝阳县七道岭化工专区新</w:t>
                  </w:r>
                  <w:r>
                    <w:rPr>
                      <w:rFonts w:hint="default" w:ascii="Times New Roman" w:hAnsi="Times New Roman" w:cs="Times New Roman"/>
                      <w:color w:val="auto"/>
                      <w:spacing w:val="7"/>
                      <w:sz w:val="21"/>
                      <w:szCs w:val="21"/>
                    </w:rPr>
                    <w:t>建污水厂项目建设，</w:t>
                  </w:r>
                  <w:r>
                    <w:rPr>
                      <w:rFonts w:hint="default" w:ascii="Times New Roman" w:hAnsi="Times New Roman" w:eastAsia="Times New Roman" w:cs="Times New Roman"/>
                      <w:color w:val="auto"/>
                      <w:spacing w:val="7"/>
                      <w:sz w:val="21"/>
                      <w:szCs w:val="21"/>
                    </w:rPr>
                    <w:t>2024</w:t>
                  </w:r>
                  <w:r>
                    <w:rPr>
                      <w:rFonts w:hint="default" w:ascii="Times New Roman" w:hAnsi="Times New Roman" w:cs="Times New Roman"/>
                      <w:color w:val="auto"/>
                      <w:spacing w:val="7"/>
                      <w:sz w:val="21"/>
                      <w:szCs w:val="21"/>
                    </w:rPr>
                    <w:t>年底前投</w:t>
                  </w:r>
                  <w:r>
                    <w:rPr>
                      <w:rFonts w:hint="default" w:ascii="Times New Roman" w:hAnsi="Times New Roman" w:cs="Times New Roman"/>
                      <w:color w:val="auto"/>
                      <w:spacing w:val="5"/>
                      <w:sz w:val="21"/>
                      <w:szCs w:val="21"/>
                    </w:rPr>
                    <w:t>入运行。以柳城经济技术开发区为试</w:t>
                  </w:r>
                  <w:r>
                    <w:rPr>
                      <w:rFonts w:hint="default" w:ascii="Times New Roman" w:hAnsi="Times New Roman" w:cs="Times New Roman"/>
                      <w:color w:val="auto"/>
                      <w:spacing w:val="7"/>
                      <w:sz w:val="21"/>
                      <w:szCs w:val="21"/>
                    </w:rPr>
                    <w:t>点开展园区中水回用，</w:t>
                  </w:r>
                  <w:r>
                    <w:rPr>
                      <w:rFonts w:hint="default" w:ascii="Times New Roman" w:hAnsi="Times New Roman" w:eastAsia="Times New Roman" w:cs="Times New Roman"/>
                      <w:color w:val="auto"/>
                      <w:spacing w:val="7"/>
                      <w:sz w:val="21"/>
                      <w:szCs w:val="21"/>
                    </w:rPr>
                    <w:t>2023</w:t>
                  </w:r>
                  <w:r>
                    <w:rPr>
                      <w:rFonts w:hint="default" w:ascii="Times New Roman" w:hAnsi="Times New Roman" w:cs="Times New Roman"/>
                      <w:color w:val="auto"/>
                      <w:spacing w:val="7"/>
                      <w:sz w:val="21"/>
                      <w:szCs w:val="21"/>
                    </w:rPr>
                    <w:t>年实现</w:t>
                  </w:r>
                  <w:r>
                    <w:rPr>
                      <w:rFonts w:hint="default" w:ascii="Times New Roman" w:hAnsi="Times New Roman" w:cs="Times New Roman"/>
                      <w:color w:val="auto"/>
                      <w:spacing w:val="3"/>
                      <w:sz w:val="21"/>
                      <w:szCs w:val="21"/>
                    </w:rPr>
                    <w:t>园区中水全部回用。利用信息化手段</w:t>
                  </w:r>
                </w:p>
                <w:p w14:paraId="45AEA4F3">
                  <w:pPr>
                    <w:pStyle w:val="115"/>
                    <w:keepNext w:val="0"/>
                    <w:keepLines w:val="0"/>
                    <w:pageBreakBefore w:val="0"/>
                    <w:widowControl w:val="0"/>
                    <w:kinsoku/>
                    <w:wordWrap/>
                    <w:overflowPunct/>
                    <w:topLinePunct w:val="0"/>
                    <w:autoSpaceDE/>
                    <w:autoSpaceDN/>
                    <w:bidi w:val="0"/>
                    <w:spacing w:line="240" w:lineRule="auto"/>
                    <w:ind w:left="0" w:right="0" w:firstLine="0"/>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加强排放监管，安装自动在线监控装</w:t>
                  </w:r>
                  <w:r>
                    <w:rPr>
                      <w:rFonts w:hint="default" w:ascii="Times New Roman" w:hAnsi="Times New Roman" w:cs="Times New Roman"/>
                      <w:color w:val="auto"/>
                      <w:spacing w:val="5"/>
                      <w:sz w:val="21"/>
                      <w:szCs w:val="21"/>
                    </w:rPr>
                    <w:t>置，防范偷排直排现象发生。强化造</w:t>
                  </w:r>
                  <w:r>
                    <w:rPr>
                      <w:rFonts w:hint="default" w:ascii="Times New Roman" w:hAnsi="Times New Roman" w:cs="Times New Roman"/>
                      <w:color w:val="auto"/>
                      <w:spacing w:val="4"/>
                      <w:sz w:val="21"/>
                      <w:szCs w:val="21"/>
                    </w:rPr>
                    <w:t>纸、印染、化工、制革、电镀等企业</w:t>
                  </w:r>
                  <w:r>
                    <w:rPr>
                      <w:rFonts w:hint="default" w:ascii="Times New Roman" w:hAnsi="Times New Roman" w:cs="Times New Roman"/>
                      <w:color w:val="auto"/>
                      <w:spacing w:val="9"/>
                      <w:sz w:val="21"/>
                      <w:szCs w:val="21"/>
                    </w:rPr>
                    <w:t>污染治理设施运维管理和清洁化改</w:t>
                  </w:r>
                  <w:r>
                    <w:rPr>
                      <w:rFonts w:hint="default" w:ascii="Times New Roman" w:hAnsi="Times New Roman" w:cs="Times New Roman"/>
                      <w:color w:val="auto"/>
                      <w:spacing w:val="8"/>
                      <w:sz w:val="21"/>
                      <w:szCs w:val="21"/>
                    </w:rPr>
                    <w:t>造，鼓励高耗水企业废水深度回用。</w:t>
                  </w:r>
                </w:p>
                <w:p w14:paraId="55A607C5">
                  <w:pPr>
                    <w:pStyle w:val="115"/>
                    <w:keepNext w:val="0"/>
                    <w:keepLines w:val="0"/>
                    <w:pageBreakBefore w:val="0"/>
                    <w:widowControl w:val="0"/>
                    <w:kinsoku/>
                    <w:wordWrap/>
                    <w:overflowPunct/>
                    <w:topLinePunct w:val="0"/>
                    <w:autoSpaceDE/>
                    <w:autoSpaceDN/>
                    <w:bidi w:val="0"/>
                    <w:spacing w:line="240" w:lineRule="auto"/>
                    <w:ind w:left="0" w:right="0" w:firstLine="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3"/>
                      <w:sz w:val="21"/>
                      <w:szCs w:val="21"/>
                    </w:rPr>
                    <w:t>“十四五”时期，实现万元国内生产</w:t>
                  </w:r>
                  <w:r>
                    <w:rPr>
                      <w:rFonts w:hint="default" w:ascii="Times New Roman" w:hAnsi="Times New Roman" w:cs="Times New Roman"/>
                      <w:color w:val="auto"/>
                      <w:spacing w:val="1"/>
                      <w:sz w:val="21"/>
                      <w:szCs w:val="21"/>
                    </w:rPr>
                    <w:t>总值用水量下降比例</w:t>
                  </w:r>
                  <w:r>
                    <w:rPr>
                      <w:rFonts w:hint="default" w:ascii="Times New Roman" w:hAnsi="Times New Roman" w:eastAsia="Times New Roman" w:cs="Times New Roman"/>
                      <w:color w:val="auto"/>
                      <w:spacing w:val="1"/>
                      <w:sz w:val="21"/>
                      <w:szCs w:val="21"/>
                    </w:rPr>
                    <w:t>10%</w:t>
                  </w:r>
                  <w:r>
                    <w:rPr>
                      <w:rFonts w:hint="default" w:ascii="Times New Roman" w:hAnsi="Times New Roman" w:cs="Times New Roman"/>
                      <w:color w:val="auto"/>
                      <w:spacing w:val="1"/>
                      <w:sz w:val="21"/>
                      <w:szCs w:val="21"/>
                    </w:rPr>
                    <w:t>；万元工业</w:t>
                  </w:r>
                  <w:r>
                    <w:rPr>
                      <w:rFonts w:hint="default" w:ascii="Times New Roman" w:hAnsi="Times New Roman" w:cs="Times New Roman"/>
                      <w:color w:val="auto"/>
                      <w:spacing w:val="5"/>
                      <w:sz w:val="21"/>
                      <w:szCs w:val="21"/>
                    </w:rPr>
                    <w:t>增加值用水量下降比例</w:t>
                  </w:r>
                  <w:r>
                    <w:rPr>
                      <w:rFonts w:hint="default" w:ascii="Times New Roman" w:hAnsi="Times New Roman" w:eastAsia="Times New Roman" w:cs="Times New Roman"/>
                      <w:color w:val="auto"/>
                      <w:spacing w:val="5"/>
                      <w:sz w:val="21"/>
                      <w:szCs w:val="21"/>
                    </w:rPr>
                    <w:t>10%</w:t>
                  </w:r>
                  <w:r>
                    <w:rPr>
                      <w:rFonts w:hint="default" w:ascii="Times New Roman" w:hAnsi="Times New Roman" w:cs="Times New Roman"/>
                      <w:color w:val="auto"/>
                      <w:spacing w:val="5"/>
                      <w:sz w:val="21"/>
                      <w:szCs w:val="21"/>
                    </w:rPr>
                    <w:t>。</w:t>
                  </w:r>
                </w:p>
              </w:tc>
              <w:tc>
                <w:tcPr>
                  <w:tcW w:w="1599" w:type="pct"/>
                  <w:tcBorders>
                    <w:tl2br w:val="nil"/>
                    <w:tr2bl w:val="nil"/>
                  </w:tcBorders>
                  <w:shd w:val="clear" w:color="auto" w:fill="auto"/>
                  <w:vAlign w:val="center"/>
                </w:tcPr>
                <w:p w14:paraId="65659A51">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zh-CN" w:bidi="ar-SA"/>
                    </w:rPr>
                  </w:pPr>
                  <w:r>
                    <w:rPr>
                      <w:rFonts w:hint="eastAsia"/>
                      <w:color w:val="auto"/>
                      <w:spacing w:val="8"/>
                      <w:sz w:val="21"/>
                      <w:szCs w:val="21"/>
                      <w:lang w:val="en-US" w:eastAsia="zh-CN"/>
                    </w:rPr>
                    <w:t>本</w:t>
                  </w:r>
                  <w:r>
                    <w:rPr>
                      <w:color w:val="auto"/>
                      <w:spacing w:val="8"/>
                      <w:sz w:val="21"/>
                      <w:szCs w:val="21"/>
                    </w:rPr>
                    <w:t>项目主要用水为</w:t>
                  </w:r>
                  <w:r>
                    <w:rPr>
                      <w:color w:val="auto"/>
                      <w:spacing w:val="8"/>
                      <w:sz w:val="21"/>
                      <w:szCs w:val="21"/>
                      <w:highlight w:val="none"/>
                    </w:rPr>
                    <w:t>生活</w:t>
                  </w:r>
                  <w:r>
                    <w:rPr>
                      <w:color w:val="auto"/>
                      <w:spacing w:val="10"/>
                      <w:sz w:val="21"/>
                      <w:szCs w:val="21"/>
                      <w:highlight w:val="none"/>
                    </w:rPr>
                    <w:t>用水和生产用水，</w:t>
                  </w:r>
                  <w:r>
                    <w:rPr>
                      <w:rFonts w:hint="eastAsia"/>
                      <w:color w:val="auto"/>
                      <w:spacing w:val="10"/>
                      <w:sz w:val="21"/>
                      <w:szCs w:val="21"/>
                      <w:lang w:val="en-US" w:eastAsia="zh-CN"/>
                    </w:rPr>
                    <w:t>本次不新增劳动定员不增加生活污水，</w:t>
                  </w:r>
                  <w:r>
                    <w:rPr>
                      <w:color w:val="auto"/>
                      <w:spacing w:val="10"/>
                      <w:sz w:val="21"/>
                      <w:szCs w:val="21"/>
                    </w:rPr>
                    <w:t>生产废水经隔油沉淀池</w:t>
                  </w:r>
                  <w:r>
                    <w:rPr>
                      <w:rFonts w:hint="eastAsia"/>
                      <w:color w:val="auto"/>
                      <w:spacing w:val="10"/>
                      <w:sz w:val="21"/>
                      <w:szCs w:val="21"/>
                      <w:lang w:val="en-US" w:eastAsia="zh-CN"/>
                    </w:rPr>
                    <w:t>预</w:t>
                  </w:r>
                  <w:r>
                    <w:rPr>
                      <w:color w:val="auto"/>
                      <w:spacing w:val="10"/>
                      <w:sz w:val="21"/>
                      <w:szCs w:val="21"/>
                    </w:rPr>
                    <w:t>处理后依托</w:t>
                  </w:r>
                  <w:r>
                    <w:rPr>
                      <w:rFonts w:hint="eastAsia"/>
                      <w:color w:val="auto"/>
                      <w:spacing w:val="10"/>
                      <w:sz w:val="21"/>
                      <w:szCs w:val="21"/>
                      <w:lang w:eastAsia="zh-CN"/>
                    </w:rPr>
                    <w:t>辽宁红山</w:t>
                  </w:r>
                  <w:r>
                    <w:rPr>
                      <w:color w:val="auto"/>
                      <w:spacing w:val="10"/>
                      <w:sz w:val="21"/>
                      <w:szCs w:val="21"/>
                    </w:rPr>
                    <w:t>地埋式一体化污水处理站</w:t>
                  </w:r>
                  <w:r>
                    <w:rPr>
                      <w:rFonts w:hint="eastAsia"/>
                      <w:color w:val="auto"/>
                      <w:spacing w:val="10"/>
                      <w:sz w:val="21"/>
                      <w:szCs w:val="21"/>
                      <w:lang w:eastAsia="zh-CN"/>
                    </w:rPr>
                    <w:t>（</w:t>
                  </w:r>
                  <w:r>
                    <w:rPr>
                      <w:color w:val="auto"/>
                      <w:spacing w:val="-2"/>
                      <w:sz w:val="21"/>
                      <w:szCs w:val="21"/>
                    </w:rPr>
                    <w:t>（</w:t>
                  </w:r>
                  <w:r>
                    <w:rPr>
                      <w:rFonts w:ascii="Times New Roman" w:hAnsi="Times New Roman" w:eastAsia="Times New Roman" w:cs="Times New Roman"/>
                      <w:color w:val="auto"/>
                      <w:spacing w:val="-2"/>
                      <w:sz w:val="21"/>
                      <w:szCs w:val="21"/>
                    </w:rPr>
                    <w:t>A/O</w:t>
                  </w:r>
                  <w:r>
                    <w:rPr>
                      <w:color w:val="auto"/>
                      <w:spacing w:val="-2"/>
                      <w:sz w:val="21"/>
                      <w:szCs w:val="21"/>
                    </w:rPr>
                    <w:t>）法</w:t>
                  </w:r>
                  <w:r>
                    <w:rPr>
                      <w:rFonts w:hint="eastAsia"/>
                      <w:color w:val="auto"/>
                      <w:spacing w:val="-2"/>
                      <w:sz w:val="21"/>
                      <w:szCs w:val="21"/>
                      <w:lang w:eastAsia="zh-CN"/>
                    </w:rPr>
                    <w:t>）</w:t>
                  </w:r>
                  <w:r>
                    <w:rPr>
                      <w:color w:val="auto"/>
                      <w:spacing w:val="-2"/>
                      <w:sz w:val="21"/>
                      <w:szCs w:val="21"/>
                    </w:rPr>
                    <w:t>处理后用</w:t>
                  </w:r>
                  <w:r>
                    <w:rPr>
                      <w:color w:val="auto"/>
                      <w:spacing w:val="6"/>
                      <w:sz w:val="21"/>
                      <w:szCs w:val="21"/>
                    </w:rPr>
                    <w:t>于</w:t>
                  </w:r>
                  <w:r>
                    <w:rPr>
                      <w:rFonts w:hint="eastAsia"/>
                      <w:color w:val="auto"/>
                      <w:spacing w:val="6"/>
                      <w:sz w:val="21"/>
                      <w:szCs w:val="21"/>
                      <w:lang w:val="en-US" w:eastAsia="zh-CN"/>
                    </w:rPr>
                    <w:t>道路洒扫</w:t>
                  </w:r>
                  <w:r>
                    <w:rPr>
                      <w:rFonts w:hint="eastAsia"/>
                      <w:color w:val="auto"/>
                      <w:spacing w:val="6"/>
                      <w:sz w:val="21"/>
                      <w:szCs w:val="21"/>
                      <w:lang w:eastAsia="zh-CN"/>
                    </w:rPr>
                    <w:t>，</w:t>
                  </w:r>
                  <w:r>
                    <w:rPr>
                      <w:rFonts w:hint="eastAsia"/>
                      <w:color w:val="auto"/>
                      <w:spacing w:val="6"/>
                      <w:sz w:val="21"/>
                      <w:szCs w:val="21"/>
                      <w:lang w:val="en-US" w:eastAsia="zh-CN"/>
                    </w:rPr>
                    <w:t>不外排</w:t>
                  </w:r>
                  <w:r>
                    <w:rPr>
                      <w:color w:val="auto"/>
                      <w:spacing w:val="6"/>
                      <w:sz w:val="21"/>
                      <w:szCs w:val="21"/>
                    </w:rPr>
                    <w:t>。</w:t>
                  </w:r>
                </w:p>
              </w:tc>
              <w:tc>
                <w:tcPr>
                  <w:tcW w:w="312" w:type="pct"/>
                  <w:tcBorders>
                    <w:tl2br w:val="nil"/>
                    <w:tr2bl w:val="nil"/>
                  </w:tcBorders>
                  <w:shd w:val="clear" w:color="auto" w:fill="auto"/>
                  <w:vAlign w:val="center"/>
                </w:tcPr>
                <w:p w14:paraId="57A61FDB">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符合</w:t>
                  </w:r>
                </w:p>
              </w:tc>
            </w:tr>
            <w:tr w14:paraId="14B93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26" w:type="pct"/>
                  <w:tcBorders>
                    <w:tl2br w:val="nil"/>
                    <w:tr2bl w:val="nil"/>
                  </w:tcBorders>
                  <w:shd w:val="clear" w:color="auto" w:fill="auto"/>
                  <w:vAlign w:val="center"/>
                </w:tcPr>
                <w:p w14:paraId="1F52DFB6">
                  <w:pPr>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3</w:t>
                  </w:r>
                </w:p>
              </w:tc>
              <w:tc>
                <w:tcPr>
                  <w:tcW w:w="1049" w:type="pct"/>
                  <w:tcBorders>
                    <w:tl2br w:val="nil"/>
                    <w:tr2bl w:val="nil"/>
                  </w:tcBorders>
                  <w:shd w:val="clear" w:color="auto" w:fill="auto"/>
                  <w:vAlign w:val="center"/>
                </w:tcPr>
                <w:p w14:paraId="706F0EBA">
                  <w:pPr>
                    <w:pStyle w:val="115"/>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（五）加</w:t>
                  </w:r>
                  <w:r>
                    <w:rPr>
                      <w:rFonts w:hint="default" w:ascii="Times New Roman" w:hAnsi="Times New Roman" w:cs="Times New Roman"/>
                      <w:color w:val="auto"/>
                      <w:spacing w:val="36"/>
                      <w:sz w:val="21"/>
                      <w:szCs w:val="21"/>
                    </w:rPr>
                    <w:t>强土壤污染防</w:t>
                  </w:r>
                  <w:r>
                    <w:rPr>
                      <w:rFonts w:hint="default" w:ascii="Times New Roman" w:hAnsi="Times New Roman" w:cs="Times New Roman"/>
                      <w:color w:val="auto"/>
                      <w:sz w:val="21"/>
                      <w:szCs w:val="21"/>
                    </w:rPr>
                    <w:t>治，保障</w:t>
                  </w:r>
                  <w:r>
                    <w:rPr>
                      <w:rFonts w:hint="default" w:ascii="Times New Roman" w:hAnsi="Times New Roman" w:cs="Times New Roman"/>
                      <w:color w:val="auto"/>
                      <w:spacing w:val="36"/>
                      <w:sz w:val="21"/>
                      <w:szCs w:val="21"/>
                    </w:rPr>
                    <w:t>土壤环境安全</w:t>
                  </w:r>
                </w:p>
              </w:tc>
              <w:tc>
                <w:tcPr>
                  <w:tcW w:w="1711" w:type="pct"/>
                  <w:tcBorders>
                    <w:tl2br w:val="nil"/>
                    <w:tr2bl w:val="nil"/>
                  </w:tcBorders>
                  <w:shd w:val="clear" w:color="auto" w:fill="auto"/>
                  <w:vAlign w:val="center"/>
                </w:tcPr>
                <w:p w14:paraId="5D489194">
                  <w:pPr>
                    <w:pStyle w:val="115"/>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9"/>
                      <w:sz w:val="21"/>
                      <w:szCs w:val="21"/>
                    </w:rPr>
                    <w:t>建立工业企业地下水影响分级管理</w:t>
                  </w:r>
                  <w:r>
                    <w:rPr>
                      <w:rFonts w:hint="default" w:ascii="Times New Roman" w:hAnsi="Times New Roman" w:cs="Times New Roman"/>
                      <w:color w:val="auto"/>
                      <w:spacing w:val="5"/>
                      <w:sz w:val="21"/>
                      <w:szCs w:val="21"/>
                    </w:rPr>
                    <w:t>体系，加强石化、黑色金属冶炼及压</w:t>
                  </w:r>
                  <w:r>
                    <w:rPr>
                      <w:rFonts w:hint="default" w:ascii="Times New Roman" w:hAnsi="Times New Roman" w:cs="Times New Roman"/>
                      <w:color w:val="auto"/>
                      <w:spacing w:val="14"/>
                      <w:sz w:val="21"/>
                      <w:szCs w:val="21"/>
                    </w:rPr>
                    <w:t>延加工业等排放重金属和其他有毒有害污染物的重点工业行业地下水</w:t>
                  </w:r>
                  <w:r>
                    <w:rPr>
                      <w:rFonts w:hint="default" w:ascii="Times New Roman" w:hAnsi="Times New Roman" w:cs="Times New Roman"/>
                      <w:color w:val="auto"/>
                      <w:spacing w:val="5"/>
                      <w:sz w:val="21"/>
                      <w:szCs w:val="21"/>
                    </w:rPr>
                    <w:t>环境监管，采取防控措施有效降低地下水污染风险。向社会公布地下水污染地块清单，加强信息公开和风险管</w:t>
                  </w:r>
                  <w:r>
                    <w:rPr>
                      <w:rFonts w:hint="default" w:ascii="Times New Roman" w:hAnsi="Times New Roman" w:cs="Times New Roman"/>
                      <w:color w:val="auto"/>
                      <w:spacing w:val="7"/>
                      <w:sz w:val="21"/>
                      <w:szCs w:val="21"/>
                    </w:rPr>
                    <w:t>控，推进地下水污染修复试点工作。</w:t>
                  </w:r>
                </w:p>
              </w:tc>
              <w:tc>
                <w:tcPr>
                  <w:tcW w:w="1599" w:type="pct"/>
                  <w:tcBorders>
                    <w:tl2br w:val="nil"/>
                    <w:tr2bl w:val="nil"/>
                  </w:tcBorders>
                  <w:shd w:val="clear" w:color="auto" w:fill="auto"/>
                  <w:vAlign w:val="center"/>
                </w:tcPr>
                <w:p w14:paraId="53DFE8A2">
                  <w:pPr>
                    <w:pStyle w:val="115"/>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zh-CN" w:bidi="ar-SA"/>
                    </w:rPr>
                  </w:pPr>
                  <w:r>
                    <w:rPr>
                      <w:color w:val="auto"/>
                      <w:spacing w:val="8"/>
                      <w:sz w:val="21"/>
                      <w:szCs w:val="21"/>
                    </w:rPr>
                    <w:t>本项目位于</w:t>
                  </w:r>
                  <w:r>
                    <w:rPr>
                      <w:rFonts w:hint="eastAsia" w:ascii="Times New Roman" w:hAnsi="Times New Roman" w:cs="Times New Roman"/>
                      <w:color w:val="auto"/>
                      <w:sz w:val="21"/>
                      <w:szCs w:val="21"/>
                      <w:highlight w:val="none"/>
                      <w:lang w:eastAsia="zh-CN"/>
                    </w:rPr>
                    <w:t>辽宁省朝阳市喀左县大城子镇小城子村</w:t>
                  </w:r>
                  <w:r>
                    <w:rPr>
                      <w:rFonts w:hint="default" w:ascii="Times New Roman" w:hAnsi="Times New Roman" w:cs="Times New Roman"/>
                      <w:color w:val="auto"/>
                      <w:spacing w:val="7"/>
                      <w:sz w:val="21"/>
                      <w:szCs w:val="21"/>
                    </w:rPr>
                    <w:t>，</w:t>
                  </w:r>
                  <w:r>
                    <w:rPr>
                      <w:rFonts w:hint="default" w:ascii="Times New Roman" w:hAnsi="Times New Roman" w:cs="Times New Roman"/>
                      <w:color w:val="auto"/>
                      <w:spacing w:val="8"/>
                      <w:sz w:val="21"/>
                      <w:szCs w:val="21"/>
                    </w:rPr>
                    <w:t>项目用地属工业用</w:t>
                  </w:r>
                  <w:r>
                    <w:rPr>
                      <w:rFonts w:hint="default" w:ascii="Times New Roman" w:hAnsi="Times New Roman" w:cs="Times New Roman"/>
                      <w:color w:val="auto"/>
                      <w:spacing w:val="10"/>
                      <w:sz w:val="21"/>
                      <w:szCs w:val="21"/>
                    </w:rPr>
                    <w:t>地。项目严格落实</w:t>
                  </w:r>
                  <w:r>
                    <w:rPr>
                      <w:rFonts w:hint="default" w:ascii="Times New Roman" w:hAnsi="Times New Roman" w:cs="Times New Roman"/>
                      <w:color w:val="auto"/>
                      <w:spacing w:val="6"/>
                      <w:sz w:val="21"/>
                      <w:szCs w:val="21"/>
                    </w:rPr>
                    <w:t>“分区防渗”措施，</w:t>
                  </w:r>
                  <w:r>
                    <w:rPr>
                      <w:rFonts w:hint="default" w:ascii="Times New Roman" w:hAnsi="Times New Roman" w:cs="Times New Roman"/>
                      <w:color w:val="auto"/>
                      <w:spacing w:val="10"/>
                      <w:sz w:val="21"/>
                      <w:szCs w:val="21"/>
                    </w:rPr>
                    <w:t>可有效防止土壤和地</w:t>
                  </w:r>
                  <w:r>
                    <w:rPr>
                      <w:rFonts w:hint="default" w:ascii="Times New Roman" w:hAnsi="Times New Roman" w:cs="Times New Roman"/>
                      <w:color w:val="auto"/>
                      <w:spacing w:val="4"/>
                      <w:sz w:val="21"/>
                      <w:szCs w:val="21"/>
                    </w:rPr>
                    <w:t>下水污染。</w:t>
                  </w:r>
                </w:p>
              </w:tc>
              <w:tc>
                <w:tcPr>
                  <w:tcW w:w="312" w:type="pct"/>
                  <w:tcBorders>
                    <w:tl2br w:val="nil"/>
                    <w:tr2bl w:val="nil"/>
                  </w:tcBorders>
                  <w:shd w:val="clear" w:color="auto" w:fill="auto"/>
                  <w:vAlign w:val="center"/>
                </w:tcPr>
                <w:p w14:paraId="266A4ED1">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符合</w:t>
                  </w:r>
                </w:p>
              </w:tc>
            </w:tr>
          </w:tbl>
          <w:p w14:paraId="522EF915">
            <w:pPr>
              <w:keepNext w:val="0"/>
              <w:keepLines w:val="0"/>
              <w:pageBreakBefore w:val="0"/>
              <w:widowControl/>
              <w:numPr>
                <w:ilvl w:val="0"/>
                <w:numId w:val="0"/>
              </w:numPr>
              <w:suppressLineNumbers w:val="0"/>
              <w:kinsoku/>
              <w:wordWrap/>
              <w:overflowPunct/>
              <w:topLinePunct w:val="0"/>
              <w:bidi w:val="0"/>
              <w:snapToGrid/>
              <w:spacing w:line="480" w:lineRule="exact"/>
              <w:ind w:firstLine="480" w:firstLineChars="200"/>
              <w:jc w:val="left"/>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cs="Times New Roman"/>
                <w:color w:val="auto"/>
                <w:sz w:val="24"/>
                <w:szCs w:val="24"/>
              </w:rPr>
              <w:t>综上，本项目</w:t>
            </w:r>
            <w:r>
              <w:rPr>
                <w:rFonts w:hint="eastAsia" w:cs="Times New Roman"/>
                <w:color w:val="auto"/>
                <w:sz w:val="24"/>
                <w:szCs w:val="24"/>
                <w:lang w:val="en-US" w:eastAsia="zh-CN"/>
              </w:rPr>
              <w:t>符</w:t>
            </w:r>
            <w:r>
              <w:rPr>
                <w:rFonts w:hint="eastAsia" w:ascii="Times New Roman" w:hAnsi="Times New Roman" w:cs="Times New Roman"/>
                <w:color w:val="auto"/>
                <w:sz w:val="24"/>
                <w:szCs w:val="24"/>
                <w:lang w:val="en-US" w:eastAsia="zh-CN"/>
              </w:rPr>
              <w:t>合《朝阳市“十四五”生态环境保护规划》</w:t>
            </w:r>
            <w:r>
              <w:rPr>
                <w:rFonts w:hint="default" w:ascii="Times New Roman" w:hAnsi="Times New Roman" w:cs="Times New Roman"/>
                <w:color w:val="auto"/>
                <w:sz w:val="24"/>
                <w:szCs w:val="24"/>
              </w:rPr>
              <w:t>中相关要求。</w:t>
            </w:r>
          </w:p>
          <w:p w14:paraId="6B7A8A28">
            <w:pPr>
              <w:keepNext w:val="0"/>
              <w:keepLines w:val="0"/>
              <w:pageBreakBefore w:val="0"/>
              <w:widowControl/>
              <w:numPr>
                <w:ilvl w:val="0"/>
                <w:numId w:val="0"/>
              </w:numPr>
              <w:suppressLineNumbers w:val="0"/>
              <w:kinsoku/>
              <w:wordWrap/>
              <w:overflowPunct/>
              <w:topLinePunct w:val="0"/>
              <w:bidi w:val="0"/>
              <w:snapToGrid/>
              <w:spacing w:line="480" w:lineRule="exact"/>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14、与《朝阳市空气质量持续改善行动实施方案》相符性分析</w:t>
            </w:r>
          </w:p>
          <w:p w14:paraId="3D23A3E2">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本项目与《朝阳市空气质量持续改善行动实施方案》相符性分析见下表。</w:t>
            </w:r>
          </w:p>
          <w:p w14:paraId="2F1F557E">
            <w:pPr>
              <w:pStyle w:val="41"/>
              <w:spacing w:before="0" w:beforeAutospacing="0" w:after="0" w:line="360" w:lineRule="auto"/>
              <w:ind w:left="0" w:leftChars="0" w:firstLine="0" w:firstLineChars="0"/>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表1-1</w:t>
            </w:r>
            <w:r>
              <w:rPr>
                <w:rFonts w:hint="eastAsia" w:ascii="Times New Roman" w:hAnsi="Times New Roman" w:cs="Times New Roman" w:eastAsiaTheme="minorEastAsia"/>
                <w:b/>
                <w:bCs/>
                <w:color w:val="auto"/>
                <w:sz w:val="21"/>
                <w:szCs w:val="21"/>
                <w:highlight w:val="none"/>
                <w:lang w:val="en-US" w:eastAsia="zh-CN"/>
              </w:rPr>
              <w:t>3</w:t>
            </w:r>
            <w:r>
              <w:rPr>
                <w:rFonts w:hint="default" w:ascii="Times New Roman" w:hAnsi="Times New Roman" w:cs="Times New Roman" w:eastAsiaTheme="minorEastAsia"/>
                <w:b/>
                <w:bCs/>
                <w:color w:val="auto"/>
                <w:sz w:val="21"/>
                <w:szCs w:val="21"/>
                <w:highlight w:val="none"/>
                <w:lang w:val="en-US" w:eastAsia="zh-CN"/>
              </w:rPr>
              <w:t xml:space="preserve"> 与《朝阳市空气质量持续改善行动实施方案》相符性分析一览表</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43"/>
              <w:gridCol w:w="813"/>
              <w:gridCol w:w="3653"/>
              <w:gridCol w:w="2404"/>
              <w:gridCol w:w="437"/>
            </w:tblGrid>
            <w:tr w14:paraId="77208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blHeader/>
              </w:trPr>
              <w:tc>
                <w:tcPr>
                  <w:tcW w:w="346" w:type="pct"/>
                  <w:tcBorders>
                    <w:tl2br w:val="nil"/>
                    <w:tr2bl w:val="nil"/>
                  </w:tcBorders>
                  <w:shd w:val="clear" w:color="auto" w:fill="auto"/>
                  <w:vAlign w:val="center"/>
                </w:tcPr>
                <w:p w14:paraId="5B24D2B2">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lang w:val="en-US" w:eastAsia="zh-CN"/>
                    </w:rPr>
                  </w:pPr>
                  <w:r>
                    <w:rPr>
                      <w:rFonts w:hint="default" w:ascii="Times New Roman" w:hAnsi="Times New Roman" w:cs="Times New Roman" w:eastAsiaTheme="minorEastAsia"/>
                      <w:b/>
                      <w:bCs w:val="0"/>
                      <w:color w:val="auto"/>
                      <w:sz w:val="21"/>
                      <w:szCs w:val="21"/>
                      <w:highlight w:val="none"/>
                      <w:lang w:val="en-US" w:eastAsia="zh-CN"/>
                    </w:rPr>
                    <w:t>序号</w:t>
                  </w:r>
                </w:p>
              </w:tc>
              <w:tc>
                <w:tcPr>
                  <w:tcW w:w="2844" w:type="pct"/>
                  <w:gridSpan w:val="2"/>
                  <w:tcBorders>
                    <w:tl2br w:val="nil"/>
                    <w:tr2bl w:val="nil"/>
                  </w:tcBorders>
                  <w:shd w:val="clear" w:color="auto" w:fill="auto"/>
                  <w:vAlign w:val="center"/>
                </w:tcPr>
                <w:p w14:paraId="42E5C842">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文件要求</w:t>
                  </w:r>
                </w:p>
              </w:tc>
              <w:tc>
                <w:tcPr>
                  <w:tcW w:w="1531" w:type="pct"/>
                  <w:tcBorders>
                    <w:tl2br w:val="nil"/>
                    <w:tr2bl w:val="nil"/>
                  </w:tcBorders>
                  <w:shd w:val="clear" w:color="auto" w:fill="auto"/>
                  <w:vAlign w:val="center"/>
                </w:tcPr>
                <w:p w14:paraId="3029794D">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本项目情况</w:t>
                  </w:r>
                </w:p>
              </w:tc>
              <w:tc>
                <w:tcPr>
                  <w:tcW w:w="278" w:type="pct"/>
                  <w:tcBorders>
                    <w:tl2br w:val="nil"/>
                    <w:tr2bl w:val="nil"/>
                  </w:tcBorders>
                  <w:shd w:val="clear" w:color="auto" w:fill="auto"/>
                  <w:vAlign w:val="center"/>
                </w:tcPr>
                <w:p w14:paraId="2385FA92">
                  <w:pPr>
                    <w:pStyle w:val="117"/>
                    <w:keepNext w:val="0"/>
                    <w:keepLines w:val="0"/>
                    <w:pageBreakBefore w:val="0"/>
                    <w:widowControl w:val="0"/>
                    <w:kinsoku/>
                    <w:wordWrap/>
                    <w:overflowPunct/>
                    <w:topLinePunct w:val="0"/>
                    <w:autoSpaceDE/>
                    <w:autoSpaceDN/>
                    <w:bidi w:val="0"/>
                    <w:adjustRightInd w:val="0"/>
                    <w:snapToGrid w:val="0"/>
                    <w:spacing w:line="240" w:lineRule="auto"/>
                    <w:ind w:left="0" w:right="0" w:firstLine="0"/>
                    <w:textAlignment w:val="auto"/>
                    <w:rPr>
                      <w:rFonts w:hint="default" w:ascii="Times New Roman" w:hAnsi="Times New Roman" w:cs="Times New Roman" w:eastAsiaTheme="minorEastAsia"/>
                      <w:b/>
                      <w:bCs w:val="0"/>
                      <w:color w:val="auto"/>
                      <w:sz w:val="21"/>
                      <w:szCs w:val="21"/>
                      <w:highlight w:val="none"/>
                    </w:rPr>
                  </w:pPr>
                  <w:r>
                    <w:rPr>
                      <w:rFonts w:hint="default" w:ascii="Times New Roman" w:hAnsi="Times New Roman" w:cs="Times New Roman" w:eastAsiaTheme="minorEastAsia"/>
                      <w:b/>
                      <w:bCs w:val="0"/>
                      <w:color w:val="auto"/>
                      <w:sz w:val="21"/>
                      <w:szCs w:val="21"/>
                      <w:highlight w:val="none"/>
                    </w:rPr>
                    <w:t>符合性</w:t>
                  </w:r>
                </w:p>
              </w:tc>
            </w:tr>
            <w:tr w14:paraId="7822E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46" w:type="pct"/>
                  <w:tcBorders>
                    <w:tl2br w:val="nil"/>
                    <w:tr2bl w:val="nil"/>
                  </w:tcBorders>
                  <w:shd w:val="clear" w:color="auto" w:fill="auto"/>
                  <w:vAlign w:val="center"/>
                </w:tcPr>
                <w:p w14:paraId="52B5056D">
                  <w:pPr>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518" w:type="pct"/>
                  <w:vMerge w:val="restart"/>
                  <w:tcBorders>
                    <w:tl2br w:val="nil"/>
                    <w:tr2bl w:val="nil"/>
                  </w:tcBorders>
                  <w:shd w:val="clear" w:color="auto" w:fill="auto"/>
                  <w:vAlign w:val="center"/>
                </w:tcPr>
                <w:p w14:paraId="5D7C2468">
                  <w:pPr>
                    <w:pStyle w:val="115"/>
                    <w:keepNext w:val="0"/>
                    <w:keepLines w:val="0"/>
                    <w:pageBreakBefore w:val="0"/>
                    <w:widowControl w:val="0"/>
                    <w:kinsoku/>
                    <w:wordWrap/>
                    <w:overflowPunct/>
                    <w:topLinePunct w:val="0"/>
                    <w:autoSpaceDE/>
                    <w:autoSpaceDN/>
                    <w:bidi w:val="0"/>
                    <w:spacing w:line="240" w:lineRule="auto"/>
                    <w:ind w:left="0" w:right="0" w:firstLine="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二、优化产业结构，促进产业产品绿色升级</w:t>
                  </w:r>
                </w:p>
              </w:tc>
              <w:tc>
                <w:tcPr>
                  <w:tcW w:w="2325" w:type="pct"/>
                  <w:tcBorders>
                    <w:tl2br w:val="nil"/>
                    <w:tr2bl w:val="nil"/>
                  </w:tcBorders>
                  <w:shd w:val="clear" w:color="auto" w:fill="auto"/>
                  <w:vAlign w:val="center"/>
                </w:tcPr>
                <w:p w14:paraId="2ECF5163">
                  <w:pPr>
                    <w:pStyle w:val="115"/>
                    <w:keepNext w:val="0"/>
                    <w:keepLines w:val="0"/>
                    <w:pageBreakBefore w:val="0"/>
                    <w:widowControl w:val="0"/>
                    <w:kinsoku/>
                    <w:wordWrap/>
                    <w:overflowPunct/>
                    <w:topLinePunct w:val="0"/>
                    <w:autoSpaceDE/>
                    <w:autoSpaceDN/>
                    <w:bidi w:val="0"/>
                    <w:spacing w:line="240" w:lineRule="auto"/>
                    <w:ind w:left="0" w:right="0" w:firstLine="0"/>
                    <w:jc w:val="both"/>
                    <w:textAlignment w:val="auto"/>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一）推动优化产业结构和布局。坚决遏制高耗能、高排放、低水平项目盲目上马。新改扩建项目必须落实国家产业规划、生态环境分区管控方案、碳排放达峰目标等相关要求。有序推动高炉—转炉长流程炼钢转型为电炉短流程炼钢，到2025年，废钢占炼钢原料比重达到15%以上。实施“以钢定焦”，炼焦产能与长流程炼钢产能比控制在0.4左右。开展粗钢产量目标调控，高标准完成粗钢产量压减任务。严格落实《产业结构调整指导目录（2024年本）》，加快退出工业重点行业落后产能，推动重点领域设备更新升级和工艺流程优化改造，加快淘汰落后低效设备、超期服役老旧设备。</w:t>
                  </w:r>
                </w:p>
              </w:tc>
              <w:tc>
                <w:tcPr>
                  <w:tcW w:w="1531" w:type="pct"/>
                  <w:tcBorders>
                    <w:tl2br w:val="nil"/>
                    <w:tr2bl w:val="nil"/>
                  </w:tcBorders>
                  <w:shd w:val="clear" w:color="auto" w:fill="auto"/>
                  <w:vAlign w:val="center"/>
                </w:tcPr>
                <w:p w14:paraId="5053CCCC">
                  <w:pPr>
                    <w:pStyle w:val="115"/>
                    <w:keepNext w:val="0"/>
                    <w:keepLines w:val="0"/>
                    <w:pageBreakBefore w:val="0"/>
                    <w:widowControl w:val="0"/>
                    <w:kinsoku/>
                    <w:wordWrap/>
                    <w:overflowPunct/>
                    <w:topLinePunct w:val="0"/>
                    <w:autoSpaceDE/>
                    <w:autoSpaceDN/>
                    <w:bidi w:val="0"/>
                    <w:spacing w:line="240" w:lineRule="auto"/>
                    <w:ind w:left="0" w:right="0" w:firstLine="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本项目</w:t>
                  </w:r>
                  <w:r>
                    <w:rPr>
                      <w:rFonts w:hint="default" w:ascii="Times New Roman" w:hAnsi="Times New Roman" w:eastAsia="宋体" w:cs="Times New Roman"/>
                      <w:color w:val="auto"/>
                      <w:spacing w:val="8"/>
                      <w:sz w:val="21"/>
                      <w:szCs w:val="21"/>
                      <w:lang w:val="en-US" w:eastAsia="zh-CN"/>
                    </w:rPr>
                    <w:t>为</w:t>
                  </w:r>
                  <w:r>
                    <w:rPr>
                      <w:rFonts w:hint="default" w:ascii="Times New Roman" w:hAnsi="Times New Roman" w:eastAsia="宋体" w:cs="Times New Roman"/>
                      <w:color w:val="auto"/>
                      <w:spacing w:val="8"/>
                      <w:sz w:val="21"/>
                      <w:szCs w:val="21"/>
                    </w:rPr>
                    <w:t>炸药、火工及焰火产品制造</w:t>
                  </w:r>
                  <w:r>
                    <w:rPr>
                      <w:rFonts w:hint="default" w:ascii="Times New Roman" w:hAnsi="Times New Roman" w:eastAsia="宋体" w:cs="Times New Roman"/>
                      <w:color w:val="auto"/>
                      <w:spacing w:val="8"/>
                      <w:sz w:val="21"/>
                      <w:szCs w:val="21"/>
                      <w:lang w:val="en-US" w:eastAsia="zh-CN"/>
                    </w:rPr>
                    <w:t>项目，不属于高耗能、高排放、低水平项目。本项目符合国家产业政策、</w:t>
                  </w:r>
                  <w:r>
                    <w:rPr>
                      <w:rFonts w:hint="default" w:ascii="Times New Roman" w:hAnsi="Times New Roman" w:eastAsia="宋体" w:cs="Times New Roman"/>
                      <w:color w:val="auto"/>
                      <w:spacing w:val="8"/>
                      <w:sz w:val="21"/>
                      <w:szCs w:val="21"/>
                    </w:rPr>
                    <w:t>生态环境分区管控</w:t>
                  </w:r>
                  <w:r>
                    <w:rPr>
                      <w:rFonts w:hint="default" w:ascii="Times New Roman" w:hAnsi="Times New Roman" w:eastAsia="宋体" w:cs="Times New Roman"/>
                      <w:color w:val="auto"/>
                      <w:spacing w:val="8"/>
                      <w:sz w:val="21"/>
                      <w:szCs w:val="21"/>
                      <w:lang w:val="en-US" w:eastAsia="zh-CN"/>
                    </w:rPr>
                    <w:t>要求。</w:t>
                  </w:r>
                </w:p>
              </w:tc>
              <w:tc>
                <w:tcPr>
                  <w:tcW w:w="278" w:type="pct"/>
                  <w:tcBorders>
                    <w:tl2br w:val="nil"/>
                    <w:tr2bl w:val="nil"/>
                  </w:tcBorders>
                  <w:shd w:val="clear" w:color="auto" w:fill="auto"/>
                  <w:vAlign w:val="center"/>
                </w:tcPr>
                <w:p w14:paraId="4AA5FBDD">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符合</w:t>
                  </w:r>
                </w:p>
              </w:tc>
            </w:tr>
            <w:tr w14:paraId="0BF1C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46" w:type="pct"/>
                  <w:tcBorders>
                    <w:tl2br w:val="nil"/>
                    <w:tr2bl w:val="nil"/>
                  </w:tcBorders>
                  <w:shd w:val="clear" w:color="auto" w:fill="auto"/>
                  <w:vAlign w:val="center"/>
                </w:tcPr>
                <w:p w14:paraId="4A591BDD">
                  <w:pPr>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2</w:t>
                  </w:r>
                </w:p>
              </w:tc>
              <w:tc>
                <w:tcPr>
                  <w:tcW w:w="518" w:type="pct"/>
                  <w:vMerge w:val="continue"/>
                  <w:tcBorders>
                    <w:tl2br w:val="nil"/>
                    <w:tr2bl w:val="nil"/>
                  </w:tcBorders>
                  <w:shd w:val="clear" w:color="auto" w:fill="auto"/>
                  <w:vAlign w:val="center"/>
                </w:tcPr>
                <w:p w14:paraId="7C0D3019">
                  <w:pPr>
                    <w:pStyle w:val="115"/>
                    <w:keepNext w:val="0"/>
                    <w:keepLines w:val="0"/>
                    <w:pageBreakBefore w:val="0"/>
                    <w:widowControl w:val="0"/>
                    <w:kinsoku/>
                    <w:wordWrap/>
                    <w:overflowPunct/>
                    <w:topLinePunct w:val="0"/>
                    <w:autoSpaceDE/>
                    <w:autoSpaceDN/>
                    <w:bidi w:val="0"/>
                    <w:spacing w:line="240" w:lineRule="auto"/>
                    <w:ind w:left="0" w:right="0" w:firstLine="0"/>
                    <w:textAlignment w:val="auto"/>
                    <w:rPr>
                      <w:rFonts w:hint="default" w:ascii="Times New Roman" w:hAnsi="Times New Roman" w:eastAsia="宋体" w:cs="Times New Roman"/>
                      <w:color w:val="auto"/>
                      <w:kern w:val="2"/>
                      <w:sz w:val="21"/>
                      <w:szCs w:val="21"/>
                      <w:lang w:val="en-US" w:eastAsia="zh-CN" w:bidi="ar-SA"/>
                    </w:rPr>
                  </w:pPr>
                </w:p>
              </w:tc>
              <w:tc>
                <w:tcPr>
                  <w:tcW w:w="2325" w:type="pct"/>
                  <w:tcBorders>
                    <w:tl2br w:val="nil"/>
                    <w:tr2bl w:val="nil"/>
                  </w:tcBorders>
                  <w:shd w:val="clear" w:color="auto" w:fill="auto"/>
                  <w:vAlign w:val="center"/>
                </w:tcPr>
                <w:p w14:paraId="2AA1FFC0">
                  <w:pPr>
                    <w:pStyle w:val="115"/>
                    <w:keepNext w:val="0"/>
                    <w:keepLines w:val="0"/>
                    <w:pageBreakBefore w:val="0"/>
                    <w:widowControl w:val="0"/>
                    <w:kinsoku/>
                    <w:wordWrap/>
                    <w:overflowPunct/>
                    <w:topLinePunct w:val="0"/>
                    <w:autoSpaceDE/>
                    <w:autoSpaceDN/>
                    <w:bidi w:val="0"/>
                    <w:spacing w:line="240" w:lineRule="auto"/>
                    <w:ind w:left="0" w:right="0" w:firstLine="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二）推动产业绿色低碳发展。铸造、膨润土、陶瓷、有色金属、化工等制造业集中的县（市）区，2025年底前制定产业集群发展规划。新建燃煤发电、钢铁、焦化、水泥项目及65蒸吨/小时以上燃煤锅炉应满足超低排放要求。以工业园区为重点，开展低效失效治理设施、废气排放旁路、无组织放散、物料露天堆放等突出环境问题排查整治。开展汽修、石材加工、废旧资源再生利用等行业污染问题排查整治。进一步排查整治不符合城市建设规划、行业发展规划、生态环境功能定位的重污染企业，严防“散乱污”企业反弹。积极创建绿色工厂、绿色工业园区。推动绿色环保产业健康发展。</w:t>
                  </w:r>
                </w:p>
              </w:tc>
              <w:tc>
                <w:tcPr>
                  <w:tcW w:w="1531" w:type="pct"/>
                  <w:tcBorders>
                    <w:tl2br w:val="nil"/>
                    <w:tr2bl w:val="nil"/>
                  </w:tcBorders>
                  <w:shd w:val="clear" w:color="auto" w:fill="auto"/>
                  <w:vAlign w:val="center"/>
                </w:tcPr>
                <w:p w14:paraId="28EDBD20">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本项目</w:t>
                  </w:r>
                  <w:r>
                    <w:rPr>
                      <w:rFonts w:hint="default" w:ascii="Times New Roman" w:hAnsi="Times New Roman" w:eastAsia="宋体" w:cs="Times New Roman"/>
                      <w:color w:val="auto"/>
                      <w:spacing w:val="8"/>
                      <w:sz w:val="21"/>
                      <w:szCs w:val="21"/>
                      <w:lang w:val="en-US" w:eastAsia="zh-CN"/>
                    </w:rPr>
                    <w:t>为</w:t>
                  </w:r>
                  <w:r>
                    <w:rPr>
                      <w:rFonts w:hint="default" w:ascii="Times New Roman" w:hAnsi="Times New Roman" w:eastAsia="宋体" w:cs="Times New Roman"/>
                      <w:color w:val="auto"/>
                      <w:spacing w:val="8"/>
                      <w:sz w:val="21"/>
                      <w:szCs w:val="21"/>
                    </w:rPr>
                    <w:t>炸药、火工及焰火产品制造</w:t>
                  </w:r>
                  <w:r>
                    <w:rPr>
                      <w:rFonts w:hint="default" w:ascii="Times New Roman" w:hAnsi="Times New Roman" w:eastAsia="宋体" w:cs="Times New Roman"/>
                      <w:color w:val="auto"/>
                      <w:spacing w:val="8"/>
                      <w:sz w:val="21"/>
                      <w:szCs w:val="21"/>
                      <w:lang w:val="en-US" w:eastAsia="zh-CN"/>
                    </w:rPr>
                    <w:t>项目</w:t>
                  </w:r>
                  <w:r>
                    <w:rPr>
                      <w:rFonts w:hint="default" w:ascii="Times New Roman" w:hAnsi="Times New Roman" w:cs="Times New Roman"/>
                      <w:color w:val="auto"/>
                      <w:spacing w:val="6"/>
                      <w:sz w:val="21"/>
                      <w:szCs w:val="21"/>
                      <w:lang w:val="en-US" w:eastAsia="zh-CN"/>
                    </w:rPr>
                    <w:t>，不涉及新建燃煤锅炉</w:t>
                  </w:r>
                  <w:r>
                    <w:rPr>
                      <w:rFonts w:hint="default" w:ascii="Times New Roman" w:hAnsi="Times New Roman" w:cs="Times New Roman"/>
                      <w:color w:val="auto"/>
                      <w:spacing w:val="6"/>
                      <w:sz w:val="21"/>
                      <w:szCs w:val="21"/>
                    </w:rPr>
                    <w:t>。</w:t>
                  </w:r>
                  <w:r>
                    <w:rPr>
                      <w:rFonts w:hint="default" w:ascii="Times New Roman" w:hAnsi="Times New Roman" w:cs="Times New Roman"/>
                      <w:color w:val="auto"/>
                      <w:spacing w:val="6"/>
                      <w:sz w:val="21"/>
                      <w:szCs w:val="21"/>
                      <w:lang w:val="en-US" w:eastAsia="zh-CN"/>
                    </w:rPr>
                    <w:t>本项目的建设符合《辽宁省喀喇沁左翼蒙古族自治县国土空间总体规划（2021—2035年）》。</w:t>
                  </w:r>
                </w:p>
              </w:tc>
              <w:tc>
                <w:tcPr>
                  <w:tcW w:w="278" w:type="pct"/>
                  <w:tcBorders>
                    <w:tl2br w:val="nil"/>
                    <w:tr2bl w:val="nil"/>
                  </w:tcBorders>
                  <w:shd w:val="clear" w:color="auto" w:fill="auto"/>
                  <w:vAlign w:val="center"/>
                </w:tcPr>
                <w:p w14:paraId="4C4407CB">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符合</w:t>
                  </w:r>
                </w:p>
              </w:tc>
            </w:tr>
            <w:tr w14:paraId="2B656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346" w:type="pct"/>
                  <w:tcBorders>
                    <w:tl2br w:val="nil"/>
                    <w:tr2bl w:val="nil"/>
                  </w:tcBorders>
                  <w:shd w:val="clear" w:color="auto" w:fill="auto"/>
                  <w:vAlign w:val="center"/>
                </w:tcPr>
                <w:p w14:paraId="0888339F">
                  <w:pPr>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3</w:t>
                  </w:r>
                </w:p>
              </w:tc>
              <w:tc>
                <w:tcPr>
                  <w:tcW w:w="518" w:type="pct"/>
                  <w:vMerge w:val="continue"/>
                  <w:tcBorders>
                    <w:tl2br w:val="nil"/>
                    <w:tr2bl w:val="nil"/>
                  </w:tcBorders>
                  <w:shd w:val="clear" w:color="auto" w:fill="auto"/>
                  <w:vAlign w:val="center"/>
                </w:tcPr>
                <w:p w14:paraId="54413FD7">
                  <w:pPr>
                    <w:pStyle w:val="115"/>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p>
              </w:tc>
              <w:tc>
                <w:tcPr>
                  <w:tcW w:w="2325" w:type="pct"/>
                  <w:tcBorders>
                    <w:tl2br w:val="nil"/>
                    <w:tr2bl w:val="nil"/>
                  </w:tcBorders>
                  <w:shd w:val="clear" w:color="auto" w:fill="auto"/>
                  <w:vAlign w:val="center"/>
                </w:tcPr>
                <w:p w14:paraId="5109B93E">
                  <w:pPr>
                    <w:pStyle w:val="115"/>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三）实施低VOCs原辅材料源头替代。开展部门联合监督检查，确保生产、销售、进口、使用等环节严格执行VOCs含量限值标准。以工业涂装、包装印刷和胶粘剂使用等为重点，实施低VOCs原辅材料源头替代工程，室外构筑物防护作业全面推广使用低（无）VOCs含量涂料。</w:t>
                  </w:r>
                </w:p>
              </w:tc>
              <w:tc>
                <w:tcPr>
                  <w:tcW w:w="1531" w:type="pct"/>
                  <w:tcBorders>
                    <w:tl2br w:val="nil"/>
                    <w:tr2bl w:val="nil"/>
                  </w:tcBorders>
                  <w:shd w:val="clear" w:color="auto" w:fill="auto"/>
                  <w:vAlign w:val="center"/>
                </w:tcPr>
                <w:p w14:paraId="7F8CC489">
                  <w:pPr>
                    <w:pStyle w:val="115"/>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8"/>
                      <w:sz w:val="21"/>
                      <w:szCs w:val="21"/>
                    </w:rPr>
                    <w:t>本项目</w:t>
                  </w:r>
                  <w:r>
                    <w:rPr>
                      <w:rFonts w:hint="default" w:ascii="Times New Roman" w:hAnsi="Times New Roman" w:cs="Times New Roman"/>
                      <w:color w:val="auto"/>
                      <w:spacing w:val="8"/>
                      <w:sz w:val="21"/>
                      <w:szCs w:val="21"/>
                      <w:lang w:val="en-US" w:eastAsia="zh-CN"/>
                    </w:rPr>
                    <w:t>油相的运输和泵送过程均为密闭，</w:t>
                  </w:r>
                  <w:r>
                    <w:rPr>
                      <w:rFonts w:hint="default" w:ascii="Times New Roman" w:hAnsi="Times New Roman" w:cs="Times New Roman"/>
                      <w:color w:val="auto"/>
                      <w:spacing w:val="6"/>
                      <w:sz w:val="21"/>
                      <w:szCs w:val="21"/>
                      <w:lang w:val="en-US" w:eastAsia="zh-CN"/>
                    </w:rPr>
                    <w:t>油相上料</w:t>
                  </w:r>
                  <w:r>
                    <w:rPr>
                      <w:rFonts w:hint="eastAsia" w:ascii="Times New Roman" w:hAnsi="Times New Roman" w:cs="Times New Roman"/>
                      <w:color w:val="auto"/>
                      <w:spacing w:val="6"/>
                      <w:sz w:val="21"/>
                      <w:szCs w:val="21"/>
                      <w:lang w:val="en-US" w:eastAsia="zh-CN"/>
                    </w:rPr>
                    <w:t>、喷码、</w:t>
                  </w:r>
                  <w:r>
                    <w:rPr>
                      <w:rFonts w:hint="default" w:ascii="Times New Roman" w:hAnsi="Times New Roman" w:cs="Times New Roman"/>
                      <w:color w:val="auto"/>
                      <w:spacing w:val="6"/>
                      <w:sz w:val="21"/>
                      <w:szCs w:val="21"/>
                      <w:lang w:val="en-US" w:eastAsia="zh-CN"/>
                    </w:rPr>
                    <w:t>乳化后的物料进行钢带冷却</w:t>
                  </w:r>
                  <w:r>
                    <w:rPr>
                      <w:rFonts w:hint="eastAsia" w:ascii="Times New Roman" w:hAnsi="Times New Roman" w:cs="Times New Roman"/>
                      <w:color w:val="auto"/>
                      <w:spacing w:val="6"/>
                      <w:sz w:val="21"/>
                      <w:szCs w:val="21"/>
                      <w:lang w:val="en-US" w:eastAsia="zh-CN"/>
                    </w:rPr>
                    <w:t>和</w:t>
                  </w:r>
                  <w:r>
                    <w:rPr>
                      <w:rFonts w:hint="default" w:ascii="Times New Roman" w:hAnsi="Times New Roman" w:cs="Times New Roman"/>
                      <w:color w:val="auto"/>
                      <w:spacing w:val="6"/>
                      <w:sz w:val="21"/>
                      <w:szCs w:val="21"/>
                      <w:lang w:val="en-US" w:eastAsia="zh-CN"/>
                    </w:rPr>
                    <w:t>散料皮带输送过程中产生少量挥发性有机废气，以非甲烷总烃计，均通过</w:t>
                  </w:r>
                  <w:r>
                    <w:rPr>
                      <w:rFonts w:hint="default" w:ascii="Times New Roman" w:hAnsi="Times New Roman" w:cs="Times New Roman"/>
                      <w:color w:val="auto"/>
                      <w:sz w:val="21"/>
                      <w:szCs w:val="21"/>
                      <w:highlight w:val="none"/>
                      <w:lang w:val="en-US" w:eastAsia="zh-CN"/>
                    </w:rPr>
                    <w:t>封闭工房阻隔后</w:t>
                  </w:r>
                  <w:r>
                    <w:rPr>
                      <w:rFonts w:hint="default" w:ascii="Times New Roman" w:hAnsi="Times New Roman" w:cs="Times New Roman"/>
                      <w:color w:val="auto"/>
                      <w:spacing w:val="6"/>
                      <w:sz w:val="21"/>
                      <w:szCs w:val="21"/>
                      <w:lang w:val="en-US" w:eastAsia="zh-CN"/>
                    </w:rPr>
                    <w:t>无组织排放。</w:t>
                  </w:r>
                </w:p>
              </w:tc>
              <w:tc>
                <w:tcPr>
                  <w:tcW w:w="278" w:type="pct"/>
                  <w:tcBorders>
                    <w:tl2br w:val="nil"/>
                    <w:tr2bl w:val="nil"/>
                  </w:tcBorders>
                  <w:shd w:val="clear" w:color="auto" w:fill="auto"/>
                  <w:vAlign w:val="center"/>
                </w:tcPr>
                <w:p w14:paraId="0732E8B0">
                  <w:pPr>
                    <w:pStyle w:val="115"/>
                    <w:keepNext w:val="0"/>
                    <w:keepLines w:val="0"/>
                    <w:pageBreakBefore w:val="0"/>
                    <w:widowControl w:val="0"/>
                    <w:kinsoku/>
                    <w:wordWrap/>
                    <w:overflowPunct/>
                    <w:topLinePunct w:val="0"/>
                    <w:autoSpaceDE/>
                    <w:autoSpaceDN/>
                    <w:bidi w:val="0"/>
                    <w:spacing w:line="240" w:lineRule="auto"/>
                    <w:ind w:left="0" w:leftChars="0" w:right="0" w:firstLine="0"/>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符合</w:t>
                  </w:r>
                </w:p>
              </w:tc>
            </w:tr>
          </w:tbl>
          <w:p w14:paraId="500A33B4">
            <w:pPr>
              <w:keepNext w:val="0"/>
              <w:keepLines w:val="0"/>
              <w:pageBreakBefore w:val="0"/>
              <w:widowControl/>
              <w:numPr>
                <w:ilvl w:val="0"/>
                <w:numId w:val="0"/>
              </w:numPr>
              <w:suppressLineNumbers w:val="0"/>
              <w:kinsoku/>
              <w:wordWrap/>
              <w:overflowPunct/>
              <w:topLinePunct w:val="0"/>
              <w:bidi w:val="0"/>
              <w:snapToGrid/>
              <w:spacing w:line="480" w:lineRule="exact"/>
              <w:ind w:firstLine="480" w:firstLineChars="200"/>
              <w:jc w:val="left"/>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cs="Times New Roman"/>
                <w:color w:val="auto"/>
                <w:sz w:val="24"/>
                <w:szCs w:val="24"/>
              </w:rPr>
              <w:t>综上，本项目</w:t>
            </w:r>
            <w:r>
              <w:rPr>
                <w:rFonts w:hint="eastAsia" w:cs="Times New Roman"/>
                <w:color w:val="auto"/>
                <w:sz w:val="24"/>
                <w:szCs w:val="24"/>
                <w:lang w:val="en-US" w:eastAsia="zh-CN"/>
              </w:rPr>
              <w:t>符</w:t>
            </w:r>
            <w:r>
              <w:rPr>
                <w:rFonts w:hint="eastAsia" w:ascii="Times New Roman" w:hAnsi="Times New Roman" w:cs="Times New Roman"/>
                <w:color w:val="auto"/>
                <w:sz w:val="24"/>
                <w:szCs w:val="24"/>
                <w:lang w:val="en-US" w:eastAsia="zh-CN"/>
              </w:rPr>
              <w:t>合</w:t>
            </w:r>
            <w:r>
              <w:rPr>
                <w:rFonts w:hint="default" w:ascii="Times New Roman" w:hAnsi="Times New Roman" w:cs="Times New Roman"/>
                <w:color w:val="auto"/>
                <w:sz w:val="24"/>
                <w:szCs w:val="24"/>
                <w:lang w:val="en-US" w:eastAsia="zh-CN"/>
              </w:rPr>
              <w:t>《朝阳市空气质量持续改善行动实施方案》</w:t>
            </w:r>
            <w:r>
              <w:rPr>
                <w:rFonts w:hint="default" w:ascii="Times New Roman" w:hAnsi="Times New Roman" w:cs="Times New Roman"/>
                <w:color w:val="auto"/>
                <w:sz w:val="24"/>
                <w:szCs w:val="24"/>
              </w:rPr>
              <w:t>中相关要求。</w:t>
            </w:r>
          </w:p>
          <w:p w14:paraId="13E92514">
            <w:pPr>
              <w:keepNext w:val="0"/>
              <w:keepLines w:val="0"/>
              <w:pageBreakBefore w:val="0"/>
              <w:widowControl/>
              <w:numPr>
                <w:ilvl w:val="0"/>
                <w:numId w:val="0"/>
              </w:numPr>
              <w:suppressLineNumbers w:val="0"/>
              <w:kinsoku/>
              <w:wordWrap/>
              <w:overflowPunct/>
              <w:topLinePunct w:val="0"/>
              <w:bidi w:val="0"/>
              <w:snapToGrid/>
              <w:spacing w:line="480" w:lineRule="exact"/>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15、与《朝阳市深入打好污染防治攻坚战实施方案》符合性分析</w:t>
            </w:r>
          </w:p>
          <w:p w14:paraId="22A15434">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本项目与</w:t>
            </w:r>
            <w:r>
              <w:rPr>
                <w:rFonts w:hint="eastAsia"/>
                <w:color w:val="auto"/>
                <w:sz w:val="24"/>
              </w:rPr>
              <w:t>《朝阳市深入打好污染防治攻坚战实施方案》</w:t>
            </w:r>
            <w:r>
              <w:rPr>
                <w:rFonts w:hint="eastAsia" w:ascii="Times New Roman" w:hAnsi="Times New Roman" w:eastAsia="宋体" w:cs="Times New Roman"/>
                <w:color w:val="auto"/>
                <w:sz w:val="24"/>
                <w:szCs w:val="24"/>
                <w:highlight w:val="none"/>
                <w:lang w:val="en-US" w:eastAsia="zh-CN"/>
              </w:rPr>
              <w:t>相符性分析见表</w:t>
            </w:r>
            <w:r>
              <w:rPr>
                <w:rFonts w:hint="eastAsia" w:cs="Times New Roman"/>
                <w:color w:val="auto"/>
                <w:sz w:val="24"/>
                <w:szCs w:val="24"/>
                <w:highlight w:val="none"/>
                <w:lang w:val="en-US" w:eastAsia="zh-CN"/>
              </w:rPr>
              <w:t>1-14</w:t>
            </w:r>
            <w:r>
              <w:rPr>
                <w:rFonts w:hint="eastAsia" w:ascii="Times New Roman" w:hAnsi="Times New Roman" w:eastAsia="宋体" w:cs="Times New Roman"/>
                <w:color w:val="auto"/>
                <w:sz w:val="24"/>
                <w:szCs w:val="24"/>
                <w:highlight w:val="none"/>
                <w:lang w:val="en-US" w:eastAsia="zh-CN"/>
              </w:rPr>
              <w:t>。</w:t>
            </w:r>
          </w:p>
          <w:p w14:paraId="09DD1AC1">
            <w:pPr>
              <w:pStyle w:val="41"/>
              <w:spacing w:before="0" w:beforeAutospacing="0" w:after="0" w:line="240" w:lineRule="auto"/>
              <w:ind w:left="0" w:leftChars="0" w:firstLine="0" w:firstLineChars="0"/>
              <w:jc w:val="center"/>
              <w:rPr>
                <w:rFonts w:hint="eastAsia" w:ascii="Times New Roman" w:hAnsi="Times New Roman" w:cs="Times New Roman" w:eastAsiaTheme="minorEastAsia"/>
                <w:b/>
                <w:bCs/>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表1-14 与《朝阳市深入打好污染防治攻坚战实施方案》相符性分析一览表</w:t>
            </w:r>
          </w:p>
          <w:tbl>
            <w:tblPr>
              <w:tblStyle w:val="33"/>
              <w:tblW w:w="78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
              <w:gridCol w:w="3418"/>
              <w:gridCol w:w="2822"/>
              <w:gridCol w:w="1112"/>
            </w:tblGrid>
            <w:tr w14:paraId="6A371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dxa"/>
                  <w:vAlign w:val="center"/>
                </w:tcPr>
                <w:p w14:paraId="0FCC25EF">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auto"/>
                      <w:sz w:val="21"/>
                      <w:szCs w:val="21"/>
                      <w:vertAlign w:val="baseline"/>
                    </w:rPr>
                  </w:pPr>
                  <w:r>
                    <w:rPr>
                      <w:rFonts w:hint="default" w:ascii="Times New Roman" w:hAnsi="Times New Roman" w:cs="Times New Roman" w:eastAsiaTheme="minorEastAsia"/>
                      <w:b/>
                      <w:bCs w:val="0"/>
                      <w:color w:val="auto"/>
                      <w:sz w:val="21"/>
                      <w:szCs w:val="21"/>
                      <w:highlight w:val="none"/>
                      <w:lang w:val="en-US" w:eastAsia="zh-CN"/>
                    </w:rPr>
                    <w:t>序号</w:t>
                  </w:r>
                </w:p>
              </w:tc>
              <w:tc>
                <w:tcPr>
                  <w:tcW w:w="3418" w:type="dxa"/>
                  <w:vAlign w:val="center"/>
                </w:tcPr>
                <w:p w14:paraId="1684A217">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auto"/>
                      <w:sz w:val="21"/>
                      <w:szCs w:val="21"/>
                      <w:vertAlign w:val="baseline"/>
                    </w:rPr>
                  </w:pPr>
                  <w:r>
                    <w:rPr>
                      <w:rFonts w:hint="default" w:ascii="Times New Roman" w:hAnsi="Times New Roman" w:cs="Times New Roman" w:eastAsiaTheme="minorEastAsia"/>
                      <w:b/>
                      <w:bCs w:val="0"/>
                      <w:color w:val="auto"/>
                      <w:sz w:val="21"/>
                      <w:szCs w:val="21"/>
                      <w:highlight w:val="none"/>
                    </w:rPr>
                    <w:t>文件要求</w:t>
                  </w:r>
                </w:p>
              </w:tc>
              <w:tc>
                <w:tcPr>
                  <w:tcW w:w="2822" w:type="dxa"/>
                  <w:vAlign w:val="center"/>
                </w:tcPr>
                <w:p w14:paraId="4B599882">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auto"/>
                      <w:sz w:val="21"/>
                      <w:szCs w:val="21"/>
                      <w:vertAlign w:val="baseline"/>
                    </w:rPr>
                  </w:pPr>
                  <w:r>
                    <w:rPr>
                      <w:rFonts w:hint="default" w:ascii="Times New Roman" w:hAnsi="Times New Roman" w:cs="Times New Roman" w:eastAsiaTheme="minorEastAsia"/>
                      <w:b/>
                      <w:bCs w:val="0"/>
                      <w:color w:val="auto"/>
                      <w:sz w:val="21"/>
                      <w:szCs w:val="21"/>
                      <w:highlight w:val="none"/>
                    </w:rPr>
                    <w:t>本项目情况</w:t>
                  </w:r>
                </w:p>
              </w:tc>
              <w:tc>
                <w:tcPr>
                  <w:tcW w:w="1112" w:type="dxa"/>
                  <w:vAlign w:val="center"/>
                </w:tcPr>
                <w:p w14:paraId="3914686D">
                  <w:pPr>
                    <w:pStyle w:val="1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auto"/>
                      <w:sz w:val="21"/>
                      <w:szCs w:val="21"/>
                      <w:vertAlign w:val="baseline"/>
                    </w:rPr>
                  </w:pPr>
                  <w:r>
                    <w:rPr>
                      <w:rFonts w:hint="default" w:ascii="Times New Roman" w:hAnsi="Times New Roman" w:cs="Times New Roman" w:eastAsiaTheme="minorEastAsia"/>
                      <w:b/>
                      <w:bCs w:val="0"/>
                      <w:color w:val="auto"/>
                      <w:sz w:val="21"/>
                      <w:szCs w:val="21"/>
                      <w:highlight w:val="none"/>
                    </w:rPr>
                    <w:t>符合性</w:t>
                  </w:r>
                </w:p>
              </w:tc>
            </w:tr>
            <w:tr w14:paraId="6D381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dxa"/>
                  <w:vAlign w:val="center"/>
                </w:tcPr>
                <w:p w14:paraId="58340C55">
                  <w:pPr>
                    <w:spacing w:line="36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1</w:t>
                  </w:r>
                </w:p>
              </w:tc>
              <w:tc>
                <w:tcPr>
                  <w:tcW w:w="3418" w:type="dxa"/>
                  <w:vAlign w:val="center"/>
                </w:tcPr>
                <w:p w14:paraId="154D6771">
                  <w:pPr>
                    <w:spacing w:line="240" w:lineRule="auto"/>
                    <w:jc w:val="center"/>
                    <w:rPr>
                      <w:color w:val="auto"/>
                      <w:sz w:val="21"/>
                      <w:szCs w:val="21"/>
                      <w:vertAlign w:val="baseline"/>
                    </w:rPr>
                  </w:pPr>
                  <w:r>
                    <w:rPr>
                      <w:rFonts w:ascii="宋体" w:hAnsi="宋体" w:eastAsia="宋体" w:cs="宋体"/>
                      <w:color w:val="auto"/>
                      <w:sz w:val="21"/>
                      <w:szCs w:val="21"/>
                    </w:rPr>
                    <w:t>加强生态环境分区管控。围绕构建融入京津冀协同发展战略先导区、辽西北承接产业转移示范区发展格局，衔接国土空间规划分区和用途管制要求，推进城市化地区高效集聚发展，促进农产品主产区规模化发展，推动重点生态功能区转型发展，形成主体功能明显、优势互补、高质量发展的国土空间开发保护新格局。严格落实“三线一单”生态环境分区管控要求，优化区域生产力布局。健全以环评制度为主体的源头预防体系，严格规划环评审查和项目环评准入。</w:t>
                  </w:r>
                </w:p>
              </w:tc>
              <w:tc>
                <w:tcPr>
                  <w:tcW w:w="2822" w:type="dxa"/>
                  <w:vAlign w:val="center"/>
                </w:tcPr>
                <w:p w14:paraId="5DE15D0F">
                  <w:pPr>
                    <w:pStyle w:val="115"/>
                    <w:keepNext w:val="0"/>
                    <w:keepLines w:val="0"/>
                    <w:pageBreakBefore w:val="0"/>
                    <w:widowControl w:val="0"/>
                    <w:kinsoku/>
                    <w:wordWrap/>
                    <w:overflowPunct/>
                    <w:topLinePunct w:val="0"/>
                    <w:autoSpaceDE/>
                    <w:autoSpaceDN/>
                    <w:bidi w:val="0"/>
                    <w:adjustRightInd/>
                    <w:snapToGrid/>
                    <w:spacing w:line="240" w:lineRule="auto"/>
                    <w:ind w:left="0" w:right="129"/>
                    <w:jc w:val="center"/>
                    <w:textAlignment w:val="auto"/>
                    <w:rPr>
                      <w:color w:val="auto"/>
                      <w:sz w:val="21"/>
                      <w:szCs w:val="21"/>
                      <w:vertAlign w:val="baseline"/>
                    </w:rPr>
                  </w:pPr>
                  <w:r>
                    <w:rPr>
                      <w:rFonts w:ascii="宋体" w:hAnsi="宋体" w:eastAsia="宋体" w:cs="宋体"/>
                      <w:color w:val="auto"/>
                      <w:kern w:val="2"/>
                      <w:sz w:val="21"/>
                      <w:szCs w:val="21"/>
                      <w:lang w:val="en-US" w:eastAsia="zh-CN" w:bidi="ar-SA"/>
                    </w:rPr>
                    <w:t>本项目已查询“三线一单”，属于</w:t>
                  </w:r>
                  <w:r>
                    <w:rPr>
                      <w:rFonts w:hint="default" w:ascii="宋体" w:hAnsi="宋体" w:eastAsia="宋体" w:cs="宋体"/>
                      <w:color w:val="auto"/>
                      <w:kern w:val="2"/>
                      <w:sz w:val="21"/>
                      <w:szCs w:val="21"/>
                      <w:lang w:val="en-US" w:eastAsia="zh-CN" w:bidi="ar-SA"/>
                    </w:rPr>
                    <w:t>朝阳市喀喇沁左翼蒙古族自治县一般管控区2</w:t>
                  </w:r>
                  <w:r>
                    <w:rPr>
                      <w:rFonts w:hint="eastAsia" w:ascii="宋体" w:hAnsi="宋体" w:eastAsia="宋体" w:cs="宋体"/>
                      <w:color w:val="auto"/>
                      <w:kern w:val="2"/>
                      <w:sz w:val="21"/>
                      <w:szCs w:val="21"/>
                      <w:lang w:val="en-US" w:eastAsia="zh-CN" w:bidi="ar-SA"/>
                    </w:rPr>
                    <w:t>，</w:t>
                  </w:r>
                  <w:r>
                    <w:rPr>
                      <w:rFonts w:ascii="宋体" w:hAnsi="宋体" w:eastAsia="宋体" w:cs="宋体"/>
                      <w:color w:val="auto"/>
                      <w:kern w:val="2"/>
                      <w:sz w:val="21"/>
                      <w:szCs w:val="21"/>
                      <w:lang w:val="en-US" w:eastAsia="zh-CN" w:bidi="ar-SA"/>
                    </w:rPr>
                    <w:t>（管控单元编码：</w:t>
                  </w:r>
                  <w:r>
                    <w:rPr>
                      <w:rFonts w:hint="default" w:ascii="宋体" w:hAnsi="宋体" w:eastAsia="宋体" w:cs="宋体"/>
                      <w:color w:val="auto"/>
                      <w:kern w:val="2"/>
                      <w:sz w:val="21"/>
                      <w:szCs w:val="21"/>
                      <w:lang w:val="en-US" w:eastAsia="zh-CN" w:bidi="ar-SA"/>
                    </w:rPr>
                    <w:t>ZH21132430002</w:t>
                  </w:r>
                  <w:r>
                    <w:rPr>
                      <w:rFonts w:ascii="宋体" w:hAnsi="宋体" w:eastAsia="宋体" w:cs="宋体"/>
                      <w:color w:val="auto"/>
                      <w:kern w:val="2"/>
                      <w:sz w:val="21"/>
                      <w:szCs w:val="21"/>
                      <w:lang w:val="en-US" w:eastAsia="zh-CN" w:bidi="ar-SA"/>
                    </w:rPr>
                    <w:t>），本项目建设符合“三线一单”生态环境分区管控要求，具体见表1-</w:t>
                  </w:r>
                  <w:r>
                    <w:rPr>
                      <w:rFonts w:hint="eastAsia" w:cs="宋体"/>
                      <w:color w:val="auto"/>
                      <w:kern w:val="2"/>
                      <w:sz w:val="21"/>
                      <w:szCs w:val="21"/>
                      <w:lang w:val="en-US" w:eastAsia="zh-CN" w:bidi="ar-SA"/>
                    </w:rPr>
                    <w:t>2</w:t>
                  </w:r>
                  <w:r>
                    <w:rPr>
                      <w:rFonts w:ascii="宋体" w:hAnsi="宋体" w:eastAsia="宋体" w:cs="宋体"/>
                      <w:color w:val="auto"/>
                      <w:kern w:val="2"/>
                      <w:sz w:val="21"/>
                      <w:szCs w:val="21"/>
                      <w:lang w:val="en-US" w:eastAsia="zh-CN" w:bidi="ar-SA"/>
                    </w:rPr>
                    <w:t>分析</w:t>
                  </w:r>
                </w:p>
              </w:tc>
              <w:tc>
                <w:tcPr>
                  <w:tcW w:w="1112" w:type="dxa"/>
                  <w:vAlign w:val="center"/>
                </w:tcPr>
                <w:p w14:paraId="39CC0997">
                  <w:pPr>
                    <w:spacing w:line="36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符合</w:t>
                  </w:r>
                </w:p>
              </w:tc>
            </w:tr>
            <w:tr w14:paraId="2A4B4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dxa"/>
                  <w:vAlign w:val="center"/>
                </w:tcPr>
                <w:p w14:paraId="62B99067">
                  <w:pPr>
                    <w:spacing w:line="36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2</w:t>
                  </w:r>
                </w:p>
              </w:tc>
              <w:tc>
                <w:tcPr>
                  <w:tcW w:w="3418" w:type="dxa"/>
                  <w:vAlign w:val="center"/>
                </w:tcPr>
                <w:p w14:paraId="75222266">
                  <w:pPr>
                    <w:spacing w:line="240" w:lineRule="auto"/>
                    <w:jc w:val="center"/>
                    <w:rPr>
                      <w:color w:val="auto"/>
                      <w:sz w:val="21"/>
                      <w:szCs w:val="21"/>
                      <w:vertAlign w:val="baseline"/>
                    </w:rPr>
                  </w:pPr>
                  <w:r>
                    <w:rPr>
                      <w:rFonts w:ascii="宋体" w:hAnsi="宋体" w:eastAsia="宋体" w:cs="宋体"/>
                      <w:color w:val="auto"/>
                      <w:sz w:val="21"/>
                      <w:szCs w:val="21"/>
                    </w:rPr>
                    <w:t>持续打好城市黑臭水体治理攻坚战。按照“控源截污、内源治理、生态修复、活水保质”的总体思路，实施县级城市黑臭水体排查整治行动。全面开展黑臭水体排查，科学制定系统化整治方案。因地制宜对河湖岸线进行生态化改造，恢复和增强河湖水系的自净功能。到2025年，县级城市建成区基本消除黑臭水体。</w:t>
                  </w:r>
                </w:p>
              </w:tc>
              <w:tc>
                <w:tcPr>
                  <w:tcW w:w="2822" w:type="dxa"/>
                  <w:vAlign w:val="center"/>
                </w:tcPr>
                <w:p w14:paraId="1121757C">
                  <w:pPr>
                    <w:spacing w:line="240" w:lineRule="auto"/>
                    <w:jc w:val="center"/>
                    <w:rPr>
                      <w:rFonts w:hint="eastAsia" w:eastAsia="宋体"/>
                      <w:color w:val="auto"/>
                      <w:sz w:val="21"/>
                      <w:szCs w:val="21"/>
                      <w:vertAlign w:val="baseline"/>
                      <w:lang w:eastAsia="zh-CN"/>
                    </w:rPr>
                  </w:pPr>
                  <w:r>
                    <w:rPr>
                      <w:rFonts w:hint="default" w:ascii="宋体" w:hAnsi="宋体" w:eastAsia="宋体" w:cs="宋体"/>
                      <w:color w:val="auto"/>
                      <w:sz w:val="21"/>
                      <w:szCs w:val="21"/>
                      <w:lang w:val="en-US" w:eastAsia="zh-CN"/>
                    </w:rPr>
                    <w:t>本项目营运期不新增生活污水</w:t>
                  </w:r>
                  <w:r>
                    <w:rPr>
                      <w:rFonts w:hint="eastAsia" w:ascii="宋体" w:hAnsi="宋体" w:eastAsia="宋体" w:cs="宋体"/>
                      <w:color w:val="auto"/>
                      <w:sz w:val="21"/>
                      <w:szCs w:val="21"/>
                      <w:lang w:val="en-US" w:eastAsia="zh-CN"/>
                    </w:rPr>
                    <w:t>，生产废水主要为车间地面清洗废水、过滤器冲洗废水，</w:t>
                  </w:r>
                  <w:r>
                    <w:rPr>
                      <w:rFonts w:hint="default" w:ascii="宋体" w:hAnsi="宋体" w:eastAsia="宋体" w:cs="宋体"/>
                      <w:color w:val="auto"/>
                      <w:sz w:val="21"/>
                      <w:szCs w:val="21"/>
                      <w:lang w:val="en-US" w:eastAsia="zh-CN"/>
                    </w:rPr>
                    <w:t>经隔油沉淀池预处理后排入辽宁红山污水处理站处理达标后用于</w:t>
                  </w:r>
                  <w:r>
                    <w:rPr>
                      <w:rFonts w:hint="eastAsia" w:ascii="宋体" w:hAnsi="宋体" w:eastAsia="宋体" w:cs="宋体"/>
                      <w:color w:val="auto"/>
                      <w:sz w:val="21"/>
                      <w:szCs w:val="21"/>
                      <w:lang w:val="en-US" w:eastAsia="zh-CN"/>
                    </w:rPr>
                    <w:t>厂区</w:t>
                  </w:r>
                  <w:r>
                    <w:rPr>
                      <w:rFonts w:hint="default" w:ascii="宋体" w:hAnsi="宋体" w:eastAsia="宋体" w:cs="宋体"/>
                      <w:color w:val="auto"/>
                      <w:sz w:val="21"/>
                      <w:szCs w:val="21"/>
                      <w:lang w:val="en-US" w:eastAsia="zh-CN"/>
                    </w:rPr>
                    <w:t>道路洒扫</w:t>
                  </w:r>
                  <w:r>
                    <w:rPr>
                      <w:rFonts w:ascii="宋体" w:hAnsi="宋体" w:eastAsia="宋体" w:cs="宋体"/>
                      <w:color w:val="auto"/>
                      <w:sz w:val="21"/>
                      <w:szCs w:val="21"/>
                    </w:rPr>
                    <w:t>，不外排，对地表水影响小</w:t>
                  </w:r>
                  <w:r>
                    <w:rPr>
                      <w:rFonts w:hint="eastAsia" w:ascii="宋体" w:hAnsi="宋体" w:eastAsia="宋体" w:cs="宋体"/>
                      <w:color w:val="auto"/>
                      <w:sz w:val="21"/>
                      <w:szCs w:val="21"/>
                      <w:lang w:eastAsia="zh-CN"/>
                    </w:rPr>
                    <w:t>。</w:t>
                  </w:r>
                </w:p>
              </w:tc>
              <w:tc>
                <w:tcPr>
                  <w:tcW w:w="1112" w:type="dxa"/>
                  <w:vAlign w:val="center"/>
                </w:tcPr>
                <w:p w14:paraId="2B538B2B">
                  <w:pPr>
                    <w:spacing w:line="36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符合</w:t>
                  </w:r>
                </w:p>
              </w:tc>
            </w:tr>
            <w:tr w14:paraId="53755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dxa"/>
                  <w:vAlign w:val="center"/>
                </w:tcPr>
                <w:p w14:paraId="7C3B4043">
                  <w:pPr>
                    <w:spacing w:line="36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3</w:t>
                  </w:r>
                </w:p>
              </w:tc>
              <w:tc>
                <w:tcPr>
                  <w:tcW w:w="3418" w:type="dxa"/>
                  <w:vAlign w:val="center"/>
                </w:tcPr>
                <w:p w14:paraId="38C7D382">
                  <w:pPr>
                    <w:spacing w:line="240" w:lineRule="auto"/>
                    <w:jc w:val="center"/>
                    <w:rPr>
                      <w:color w:val="auto"/>
                      <w:sz w:val="21"/>
                      <w:szCs w:val="21"/>
                      <w:vertAlign w:val="baseline"/>
                    </w:rPr>
                  </w:pPr>
                  <w:r>
                    <w:rPr>
                      <w:rFonts w:ascii="宋体" w:hAnsi="宋体" w:eastAsia="宋体" w:cs="宋体"/>
                      <w:color w:val="auto"/>
                      <w:sz w:val="21"/>
                      <w:szCs w:val="21"/>
                    </w:rPr>
                    <w:t>坚决遏制高耗能高排放项目盲目发展。严格控制新建“两高”项目，坚决停批停建不符合规定的“两高”项目。稳妥做好存量“两高”项目管理，强化常态化监管。严格落实国省制定的政策过渡期安排，积极推进具有节能减排潜力的项目改造升级</w:t>
                  </w:r>
                </w:p>
              </w:tc>
              <w:tc>
                <w:tcPr>
                  <w:tcW w:w="2822" w:type="dxa"/>
                  <w:vAlign w:val="center"/>
                </w:tcPr>
                <w:p w14:paraId="231FCAF7">
                  <w:pPr>
                    <w:spacing w:line="240" w:lineRule="auto"/>
                    <w:jc w:val="center"/>
                    <w:rPr>
                      <w:rFonts w:hint="default" w:eastAsia="宋体"/>
                      <w:color w:val="auto"/>
                      <w:sz w:val="21"/>
                      <w:szCs w:val="21"/>
                      <w:vertAlign w:val="baseline"/>
                      <w:lang w:val="en-US" w:eastAsia="zh-CN"/>
                    </w:rPr>
                  </w:pPr>
                  <w:r>
                    <w:rPr>
                      <w:rFonts w:hint="default" w:ascii="宋体" w:hAnsi="宋体" w:eastAsia="宋体" w:cs="宋体"/>
                      <w:color w:val="auto"/>
                      <w:sz w:val="21"/>
                      <w:szCs w:val="21"/>
                      <w:lang w:val="en-US" w:eastAsia="zh-CN"/>
                    </w:rPr>
                    <w:t>本项目为</w:t>
                  </w:r>
                  <w:r>
                    <w:rPr>
                      <w:rFonts w:hint="eastAsia" w:ascii="宋体" w:hAnsi="宋体" w:eastAsia="宋体" w:cs="宋体"/>
                      <w:color w:val="auto"/>
                      <w:sz w:val="21"/>
                      <w:szCs w:val="21"/>
                      <w:lang w:val="en-US" w:eastAsia="zh-CN"/>
                    </w:rPr>
                    <w:t>炸药、火工及焰火产品制造项目，不属于高耗能、高排放项目。</w:t>
                  </w:r>
                </w:p>
              </w:tc>
              <w:tc>
                <w:tcPr>
                  <w:tcW w:w="1112" w:type="dxa"/>
                  <w:vAlign w:val="center"/>
                </w:tcPr>
                <w:p w14:paraId="3E879D75">
                  <w:pPr>
                    <w:spacing w:line="360" w:lineRule="auto"/>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符合</w:t>
                  </w:r>
                </w:p>
              </w:tc>
            </w:tr>
          </w:tbl>
          <w:p w14:paraId="11786C6B">
            <w:pPr>
              <w:keepNext w:val="0"/>
              <w:keepLines w:val="0"/>
              <w:pageBreakBefore w:val="0"/>
              <w:widowControl/>
              <w:numPr>
                <w:ilvl w:val="0"/>
                <w:numId w:val="0"/>
              </w:numPr>
              <w:suppressLineNumbers w:val="0"/>
              <w:kinsoku/>
              <w:wordWrap/>
              <w:overflowPunct/>
              <w:topLinePunct w:val="0"/>
              <w:bidi w:val="0"/>
              <w:snapToGrid/>
              <w:spacing w:line="480" w:lineRule="exact"/>
              <w:ind w:firstLine="480" w:firstLineChars="200"/>
              <w:jc w:val="left"/>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cs="Times New Roman"/>
                <w:color w:val="auto"/>
                <w:sz w:val="24"/>
                <w:szCs w:val="24"/>
              </w:rPr>
              <w:t>综上，本项目</w:t>
            </w:r>
            <w:r>
              <w:rPr>
                <w:rFonts w:hint="eastAsia" w:cs="Times New Roman"/>
                <w:color w:val="auto"/>
                <w:sz w:val="24"/>
                <w:szCs w:val="24"/>
                <w:lang w:val="en-US" w:eastAsia="zh-CN"/>
              </w:rPr>
              <w:t>符</w:t>
            </w:r>
            <w:r>
              <w:rPr>
                <w:rFonts w:hint="eastAsia" w:ascii="Times New Roman" w:hAnsi="Times New Roman" w:cs="Times New Roman"/>
                <w:color w:val="auto"/>
                <w:sz w:val="24"/>
                <w:szCs w:val="24"/>
                <w:lang w:val="en-US" w:eastAsia="zh-CN"/>
              </w:rPr>
              <w:t>合</w:t>
            </w:r>
            <w:r>
              <w:rPr>
                <w:rFonts w:hint="eastAsia"/>
                <w:color w:val="auto"/>
                <w:sz w:val="24"/>
              </w:rPr>
              <w:t>《朝阳市深入打好污染防治攻坚战实施方案》</w:t>
            </w:r>
            <w:r>
              <w:rPr>
                <w:rFonts w:hint="default" w:ascii="Times New Roman" w:hAnsi="Times New Roman" w:cs="Times New Roman"/>
                <w:color w:val="auto"/>
                <w:sz w:val="24"/>
                <w:szCs w:val="24"/>
              </w:rPr>
              <w:t>中相关要求。</w:t>
            </w:r>
          </w:p>
          <w:p w14:paraId="1105D456">
            <w:pPr>
              <w:rPr>
                <w:color w:val="auto"/>
                <w:sz w:val="24"/>
              </w:rPr>
            </w:pPr>
          </w:p>
        </w:tc>
      </w:tr>
    </w:tbl>
    <w:p w14:paraId="0DA5F9C0">
      <w:pPr>
        <w:rPr>
          <w:rFonts w:eastAsia="黑体"/>
          <w:color w:val="auto"/>
          <w:sz w:val="30"/>
        </w:rPr>
      </w:pPr>
    </w:p>
    <w:p w14:paraId="2988C5F2">
      <w:pPr>
        <w:pStyle w:val="41"/>
        <w:rPr>
          <w:rFonts w:eastAsia="黑体"/>
          <w:color w:val="auto"/>
          <w:sz w:val="30"/>
        </w:rPr>
      </w:pPr>
    </w:p>
    <w:p w14:paraId="00831891">
      <w:pPr>
        <w:rPr>
          <w:color w:val="auto"/>
        </w:rPr>
        <w:sectPr>
          <w:footerReference r:id="rId5" w:type="default"/>
          <w:pgSz w:w="11906" w:h="16838"/>
          <w:pgMar w:top="1701" w:right="1531" w:bottom="1701" w:left="1531" w:header="851" w:footer="1134" w:gutter="0"/>
          <w:pgBorders>
            <w:top w:val="none" w:sz="0" w:space="0"/>
            <w:left w:val="none" w:sz="0" w:space="0"/>
            <w:bottom w:val="none" w:sz="0" w:space="0"/>
            <w:right w:val="none" w:sz="0" w:space="0"/>
          </w:pgBorders>
          <w:pgNumType w:fmt="decimal" w:start="1"/>
          <w:cols w:space="720" w:num="1"/>
          <w:docGrid w:linePitch="312" w:charSpace="0"/>
        </w:sectPr>
      </w:pPr>
    </w:p>
    <w:p w14:paraId="4750A7CC">
      <w:pPr>
        <w:pStyle w:val="2"/>
        <w:numPr>
          <w:ilvl w:val="0"/>
          <w:numId w:val="2"/>
        </w:numPr>
        <w:rPr>
          <w:rFonts w:hint="eastAsia" w:ascii="Times New Roman" w:hAnsi="Times New Roman" w:eastAsia="宋体" w:cs="Times New Roman"/>
          <w:color w:val="auto"/>
        </w:rPr>
      </w:pPr>
      <w:bookmarkStart w:id="28" w:name="_Toc1388"/>
      <w:bookmarkStart w:id="29" w:name="_Toc18198"/>
      <w:bookmarkStart w:id="30" w:name="_Toc22419"/>
      <w:r>
        <w:rPr>
          <w:rFonts w:hint="eastAsia" w:ascii="Times New Roman" w:hAnsi="Times New Roman" w:eastAsia="宋体" w:cs="Times New Roman"/>
          <w:color w:val="auto"/>
        </w:rPr>
        <w:t>建设项目工程分析</w:t>
      </w:r>
      <w:bookmarkEnd w:id="28"/>
      <w:bookmarkEnd w:id="29"/>
      <w:bookmarkEnd w:id="30"/>
    </w:p>
    <w:tbl>
      <w:tblPr>
        <w:tblStyle w:val="3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14"/>
        <w:gridCol w:w="8546"/>
      </w:tblGrid>
      <w:tr w14:paraId="0CC2BC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26" w:hRule="atLeast"/>
          <w:jc w:val="center"/>
        </w:trPr>
        <w:tc>
          <w:tcPr>
            <w:tcW w:w="283" w:type="pct"/>
            <w:vAlign w:val="center"/>
          </w:tcPr>
          <w:p w14:paraId="6DD5B045">
            <w:pPr>
              <w:pStyle w:val="29"/>
              <w:keepNext/>
              <w:keepLines w:val="0"/>
              <w:pageBreakBefore w:val="0"/>
              <w:kinsoku/>
              <w:wordWrap/>
              <w:overflowPunct/>
              <w:topLinePunct w:val="0"/>
              <w:bidi w:val="0"/>
              <w:adjustRightInd w:val="0"/>
              <w:snapToGrid w:val="0"/>
              <w:spacing w:before="0" w:beforeAutospacing="0" w:after="0" w:afterAutospacing="0"/>
              <w:outlineLvl w:val="9"/>
              <w:rPr>
                <w:rFonts w:cs="宋体"/>
                <w:color w:val="auto"/>
                <w:szCs w:val="24"/>
              </w:rPr>
            </w:pPr>
            <w:r>
              <w:rPr>
                <w:rFonts w:hint="eastAsia" w:cs="宋体"/>
                <w:color w:val="auto"/>
                <w:szCs w:val="24"/>
              </w:rPr>
              <w:t>建</w:t>
            </w:r>
          </w:p>
          <w:p w14:paraId="7F8E9697">
            <w:pPr>
              <w:pStyle w:val="29"/>
              <w:keepNext/>
              <w:keepLines w:val="0"/>
              <w:pageBreakBefore w:val="0"/>
              <w:kinsoku/>
              <w:wordWrap/>
              <w:overflowPunct/>
              <w:topLinePunct w:val="0"/>
              <w:bidi w:val="0"/>
              <w:adjustRightInd w:val="0"/>
              <w:snapToGrid w:val="0"/>
              <w:spacing w:before="0" w:beforeAutospacing="0" w:after="0" w:afterAutospacing="0"/>
              <w:outlineLvl w:val="9"/>
              <w:rPr>
                <w:rFonts w:cs="宋体"/>
                <w:color w:val="auto"/>
                <w:szCs w:val="24"/>
              </w:rPr>
            </w:pPr>
            <w:r>
              <w:rPr>
                <w:rFonts w:hint="eastAsia" w:cs="宋体"/>
                <w:color w:val="auto"/>
                <w:szCs w:val="24"/>
              </w:rPr>
              <w:t>设</w:t>
            </w:r>
          </w:p>
          <w:p w14:paraId="2132BF22">
            <w:pPr>
              <w:pStyle w:val="29"/>
              <w:keepNext/>
              <w:keepLines w:val="0"/>
              <w:pageBreakBefore w:val="0"/>
              <w:kinsoku/>
              <w:wordWrap/>
              <w:overflowPunct/>
              <w:topLinePunct w:val="0"/>
              <w:bidi w:val="0"/>
              <w:adjustRightInd w:val="0"/>
              <w:snapToGrid w:val="0"/>
              <w:spacing w:before="0" w:beforeAutospacing="0" w:after="0" w:afterAutospacing="0"/>
              <w:outlineLvl w:val="9"/>
              <w:rPr>
                <w:rFonts w:cs="宋体"/>
                <w:color w:val="auto"/>
                <w:szCs w:val="24"/>
              </w:rPr>
            </w:pPr>
            <w:r>
              <w:rPr>
                <w:rFonts w:hint="eastAsia" w:cs="宋体"/>
                <w:color w:val="auto"/>
                <w:szCs w:val="24"/>
              </w:rPr>
              <w:t>内</w:t>
            </w:r>
          </w:p>
          <w:p w14:paraId="4B1AF505">
            <w:pPr>
              <w:pStyle w:val="29"/>
              <w:keepNext/>
              <w:keepLines w:val="0"/>
              <w:pageBreakBefore w:val="0"/>
              <w:kinsoku/>
              <w:wordWrap/>
              <w:overflowPunct/>
              <w:topLinePunct w:val="0"/>
              <w:bidi w:val="0"/>
              <w:adjustRightInd w:val="0"/>
              <w:snapToGrid w:val="0"/>
              <w:spacing w:before="0" w:beforeAutospacing="0" w:after="0" w:afterAutospacing="0"/>
              <w:outlineLvl w:val="9"/>
              <w:rPr>
                <w:rFonts w:cs="宋体"/>
                <w:color w:val="auto"/>
                <w:sz w:val="21"/>
                <w:szCs w:val="21"/>
              </w:rPr>
            </w:pPr>
            <w:r>
              <w:rPr>
                <w:rFonts w:hint="eastAsia" w:cs="宋体"/>
                <w:color w:val="auto"/>
                <w:szCs w:val="24"/>
              </w:rPr>
              <w:t>容</w:t>
            </w:r>
          </w:p>
        </w:tc>
        <w:tc>
          <w:tcPr>
            <w:tcW w:w="4716" w:type="pct"/>
          </w:tcPr>
          <w:p w14:paraId="574273B5">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rPr>
              <w:t>1、项目背景</w:t>
            </w:r>
          </w:p>
          <w:p w14:paraId="79928E58">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朝阳红山化工有限责任公司</w:t>
            </w:r>
            <w:r>
              <w:rPr>
                <w:rFonts w:hint="eastAsia" w:ascii="Times New Roman" w:hAnsi="Times New Roman" w:cs="Times New Roman"/>
                <w:color w:val="auto"/>
                <w:sz w:val="24"/>
                <w:szCs w:val="24"/>
                <w:highlight w:val="none"/>
                <w:lang w:val="en-US" w:eastAsia="zh-CN"/>
              </w:rPr>
              <w:t>成立于2021年12月，是</w:t>
            </w:r>
            <w:r>
              <w:rPr>
                <w:rFonts w:hint="default" w:ascii="Times New Roman" w:hAnsi="Times New Roman" w:cs="Times New Roman"/>
                <w:color w:val="auto"/>
                <w:sz w:val="24"/>
                <w:szCs w:val="24"/>
                <w:highlight w:val="none"/>
                <w:lang w:val="en-US" w:eastAsia="zh-CN"/>
              </w:rPr>
              <w:t>由辽宁红山化工股份有限公司将民爆资产、业务剥离出来设立的全资子公司</w:t>
            </w:r>
            <w:r>
              <w:rPr>
                <w:rFonts w:hint="eastAsia" w:ascii="Times New Roman" w:hAnsi="Times New Roman" w:cs="Times New Roman"/>
                <w:color w:val="auto"/>
                <w:sz w:val="24"/>
                <w:szCs w:val="24"/>
                <w:highlight w:val="none"/>
                <w:lang w:val="en-US" w:eastAsia="zh-CN"/>
              </w:rPr>
              <w:t>，其位于辽宁省朝阳市喀左县大城子镇小城子村，</w:t>
            </w:r>
            <w:r>
              <w:rPr>
                <w:rFonts w:hint="default" w:ascii="Times New Roman" w:hAnsi="Times New Roman" w:cs="Times New Roman"/>
                <w:color w:val="auto"/>
                <w:sz w:val="24"/>
                <w:szCs w:val="24"/>
                <w:highlight w:val="none"/>
                <w:lang w:val="en-US" w:eastAsia="zh-CN"/>
              </w:rPr>
              <w:t>经营范围包括民用爆炸物品生产和道路危险货物运输</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2023年12月，中国兵器工业特能集团安徽江南化工股份有限公司（以下简称“江南化工”）收购公司70%股权</w:t>
            </w:r>
            <w:r>
              <w:rPr>
                <w:rFonts w:hint="eastAsia" w:ascii="Times New Roman" w:hAnsi="Times New Roman" w:cs="Times New Roman"/>
                <w:color w:val="auto"/>
                <w:sz w:val="24"/>
                <w:szCs w:val="24"/>
                <w:highlight w:val="none"/>
                <w:lang w:val="en-US" w:eastAsia="zh-CN"/>
              </w:rPr>
              <w:t>，朝阳红山化工有限责任</w:t>
            </w:r>
            <w:r>
              <w:rPr>
                <w:rFonts w:hint="eastAsia" w:cs="Times New Roman"/>
                <w:color w:val="auto"/>
                <w:sz w:val="24"/>
                <w:szCs w:val="24"/>
                <w:highlight w:val="none"/>
                <w:lang w:val="en-US" w:eastAsia="zh-CN"/>
              </w:rPr>
              <w:t>公司成为</w:t>
            </w:r>
            <w:r>
              <w:rPr>
                <w:rFonts w:hint="eastAsia" w:ascii="Times New Roman" w:hAnsi="Times New Roman" w:cs="Times New Roman"/>
                <w:color w:val="auto"/>
                <w:sz w:val="24"/>
                <w:szCs w:val="24"/>
                <w:highlight w:val="none"/>
                <w:lang w:val="en-US" w:eastAsia="zh-CN"/>
              </w:rPr>
              <w:t>辽宁红山化工股份有限公司和江南化工共同持股管理的子公司。</w:t>
            </w:r>
            <w:r>
              <w:rPr>
                <w:rFonts w:hint="eastAsia" w:cs="Times New Roman"/>
                <w:color w:val="auto"/>
                <w:sz w:val="24"/>
                <w:szCs w:val="24"/>
                <w:highlight w:val="none"/>
                <w:lang w:val="en-US" w:eastAsia="zh-CN"/>
              </w:rPr>
              <w:t>企业</w:t>
            </w:r>
            <w:r>
              <w:rPr>
                <w:rFonts w:hint="eastAsia" w:ascii="Times New Roman" w:hAnsi="Times New Roman" w:cs="Times New Roman"/>
                <w:color w:val="auto"/>
                <w:sz w:val="24"/>
                <w:szCs w:val="24"/>
                <w:highlight w:val="none"/>
                <w:lang w:val="en-US" w:eastAsia="zh-CN"/>
              </w:rPr>
              <w:t>现</w:t>
            </w:r>
            <w:r>
              <w:rPr>
                <w:rFonts w:hint="default" w:ascii="Times New Roman" w:hAnsi="Times New Roman" w:cs="Times New Roman"/>
                <w:color w:val="auto"/>
                <w:sz w:val="24"/>
                <w:szCs w:val="24"/>
                <w:highlight w:val="none"/>
                <w:lang w:val="en-US" w:eastAsia="zh-CN"/>
              </w:rPr>
              <w:t>拥有1条</w:t>
            </w:r>
            <w:r>
              <w:rPr>
                <w:rFonts w:hint="eastAsia" w:ascii="Times New Roman" w:hAnsi="Times New Roman" w:cs="Times New Roman"/>
                <w:color w:val="auto"/>
                <w:sz w:val="24"/>
                <w:szCs w:val="24"/>
                <w:highlight w:val="none"/>
                <w:lang w:val="en-US" w:eastAsia="zh-CN"/>
              </w:rPr>
              <w:t>年产21000吨乳化粒状铵油炸药生产线（含9000吨乳胶基质）</w:t>
            </w:r>
            <w:r>
              <w:rPr>
                <w:rFonts w:hint="eastAsia" w:cs="Times New Roman"/>
                <w:color w:val="auto"/>
                <w:sz w:val="24"/>
                <w:szCs w:val="24"/>
                <w:highlight w:val="none"/>
                <w:lang w:val="en-US" w:eastAsia="zh-CN"/>
              </w:rPr>
              <w:t>和</w:t>
            </w:r>
            <w:r>
              <w:rPr>
                <w:rFonts w:hint="default" w:ascii="Times New Roman" w:hAnsi="Times New Roman" w:cs="Times New Roman"/>
                <w:color w:val="auto"/>
                <w:sz w:val="24"/>
                <w:szCs w:val="24"/>
                <w:highlight w:val="none"/>
                <w:lang w:val="en-US" w:eastAsia="zh-CN"/>
              </w:rPr>
              <w:t>1条年产</w:t>
            </w:r>
            <w:r>
              <w:rPr>
                <w:rFonts w:hint="eastAsia" w:cs="Times New Roman"/>
                <w:color w:val="auto"/>
                <w:sz w:val="24"/>
                <w:szCs w:val="24"/>
                <w:highlight w:val="none"/>
                <w:lang w:val="en-US" w:eastAsia="zh-CN"/>
              </w:rPr>
              <w:t>20</w:t>
            </w:r>
            <w:r>
              <w:rPr>
                <w:rFonts w:hint="default" w:ascii="Times New Roman" w:hAnsi="Times New Roman" w:cs="Times New Roman"/>
                <w:color w:val="auto"/>
                <w:sz w:val="24"/>
                <w:szCs w:val="24"/>
                <w:highlight w:val="none"/>
                <w:lang w:val="en-US" w:eastAsia="zh-CN"/>
              </w:rPr>
              <w:t>000t乳化炸药</w:t>
            </w:r>
            <w:r>
              <w:rPr>
                <w:rFonts w:hint="eastAsia" w:cs="Times New Roman"/>
                <w:color w:val="auto"/>
                <w:sz w:val="24"/>
                <w:szCs w:val="24"/>
                <w:highlight w:val="none"/>
                <w:lang w:val="en-US" w:eastAsia="zh-CN"/>
              </w:rPr>
              <w:t>（胶状）</w:t>
            </w:r>
            <w:r>
              <w:rPr>
                <w:rFonts w:hint="default" w:ascii="Times New Roman" w:hAnsi="Times New Roman" w:cs="Times New Roman"/>
                <w:color w:val="auto"/>
                <w:sz w:val="24"/>
                <w:szCs w:val="24"/>
                <w:highlight w:val="none"/>
                <w:lang w:val="en-US" w:eastAsia="zh-CN"/>
              </w:rPr>
              <w:t>生产线</w:t>
            </w:r>
            <w:r>
              <w:rPr>
                <w:rFonts w:hint="eastAsia" w:ascii="Times New Roman" w:hAnsi="Times New Roman" w:cs="Times New Roman"/>
                <w:color w:val="auto"/>
                <w:sz w:val="24"/>
                <w:szCs w:val="24"/>
                <w:highlight w:val="none"/>
                <w:lang w:val="en-US" w:eastAsia="zh-CN"/>
              </w:rPr>
              <w:t>。</w:t>
            </w:r>
          </w:p>
          <w:p w14:paraId="61AD8EE3">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2024年8月，工业和信息化部安全生产司下发了《工业和信息化部安全生产司关于调整北方爆破科技有限公司等三家企业民爆物品生产许可能力的复函》</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工安全函</w:t>
            </w:r>
            <w:r>
              <w:rPr>
                <w:rFonts w:hint="eastAsia" w:cs="Times New Roman"/>
                <w:color w:val="auto"/>
                <w:sz w:val="24"/>
                <w:szCs w:val="24"/>
                <w:highlight w:val="none"/>
                <w:lang w:val="en-US" w:eastAsia="zh-CN"/>
              </w:rPr>
              <w:t>〔2024〕177号）</w:t>
            </w:r>
            <w:r>
              <w:rPr>
                <w:rFonts w:hint="eastAsia" w:ascii="Times New Roman" w:hAnsi="Times New Roman" w:cs="Times New Roman"/>
                <w:color w:val="auto"/>
                <w:sz w:val="24"/>
                <w:szCs w:val="24"/>
                <w:highlight w:val="none"/>
                <w:lang w:val="en-US" w:eastAsia="zh-CN"/>
              </w:rPr>
              <w:t>，其中“三、同意北方爆破科技有限公司将北京市生产地址待定的年产7000吨震源药柱生产许可能力，调整至朝阳红山化工有限责任公司，在该公司新建一条年产7000吨震源药柱生产线”</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2025年4月，辽宁省工业和信息化厅下发了《辽宁省工业和信息化厅关于朝阳红山化工有限责任公司新建一条年产7000吨乳化炸药震源药柱生产线项目的批复》</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辽工信民爆</w:t>
            </w:r>
            <w:r>
              <w:rPr>
                <w:rFonts w:hint="eastAsia" w:cs="Times New Roman"/>
                <w:color w:val="auto"/>
                <w:sz w:val="24"/>
                <w:szCs w:val="24"/>
                <w:highlight w:val="none"/>
                <w:lang w:val="en-US" w:eastAsia="zh-CN"/>
              </w:rPr>
              <w:t>〔2025〕47号）</w:t>
            </w:r>
            <w:r>
              <w:rPr>
                <w:rFonts w:hint="default" w:ascii="Times New Roman" w:hAnsi="Times New Roman" w:cs="Times New Roman"/>
                <w:color w:val="auto"/>
                <w:sz w:val="24"/>
                <w:szCs w:val="24"/>
                <w:highlight w:val="none"/>
                <w:lang w:val="en-US" w:eastAsia="zh-CN"/>
              </w:rPr>
              <w:t>，“同意朝阳红山化工有限责任公司新建一条年产7000吨乳化炸药震源药柱生产线”</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本项目拟在公司现有厂区正西方向新征土地</w:t>
            </w:r>
            <w:r>
              <w:rPr>
                <w:rFonts w:hint="eastAsia"/>
                <w:color w:val="auto"/>
                <w:sz w:val="24"/>
                <w:lang w:val="en-US" w:eastAsia="zh-CN"/>
              </w:rPr>
              <w:t>36196m</w:t>
            </w:r>
            <w:r>
              <w:rPr>
                <w:rFonts w:hint="eastAsia"/>
                <w:color w:val="auto"/>
                <w:sz w:val="24"/>
                <w:vertAlign w:val="superscript"/>
                <w:lang w:val="en-US" w:eastAsia="zh-CN"/>
              </w:rPr>
              <w:t>2</w:t>
            </w:r>
            <w:r>
              <w:rPr>
                <w:rFonts w:hint="eastAsia" w:ascii="Times New Roman" w:hAnsi="Times New Roman" w:cs="Times New Roman"/>
                <w:color w:val="auto"/>
                <w:sz w:val="24"/>
                <w:szCs w:val="24"/>
                <w:highlight w:val="none"/>
                <w:lang w:val="en-US" w:eastAsia="zh-CN"/>
              </w:rPr>
              <w:t>，在新征土地上新建</w:t>
            </w:r>
            <w:r>
              <w:rPr>
                <w:rFonts w:hint="default"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val="en-US" w:eastAsia="zh-CN"/>
              </w:rPr>
              <w:t>条年产</w:t>
            </w:r>
            <w:r>
              <w:rPr>
                <w:rFonts w:hint="default" w:ascii="Times New Roman" w:hAnsi="Times New Roman" w:cs="Times New Roman"/>
                <w:color w:val="auto"/>
                <w:sz w:val="24"/>
                <w:szCs w:val="24"/>
                <w:highlight w:val="none"/>
                <w:lang w:val="en-US" w:eastAsia="zh-CN"/>
              </w:rPr>
              <w:t>7000t</w:t>
            </w:r>
            <w:r>
              <w:rPr>
                <w:rFonts w:hint="eastAsia" w:ascii="Times New Roman" w:hAnsi="Times New Roman" w:cs="Times New Roman"/>
                <w:color w:val="auto"/>
                <w:sz w:val="24"/>
                <w:szCs w:val="24"/>
                <w:highlight w:val="none"/>
                <w:lang w:val="en-US" w:eastAsia="zh-CN"/>
              </w:rPr>
              <w:t>乳化炸药震源药柱生产线，主要建设内容为：</w:t>
            </w:r>
            <w:r>
              <w:rPr>
                <w:rFonts w:hint="eastAsia" w:ascii="宋体" w:hAnsi="宋体" w:eastAsia="宋体" w:cs="宋体"/>
                <w:color w:val="auto"/>
                <w:kern w:val="0"/>
                <w:sz w:val="24"/>
                <w:szCs w:val="24"/>
                <w:highlight w:val="none"/>
                <w:lang w:val="en-US" w:eastAsia="zh-CN" w:bidi="ar"/>
              </w:rPr>
              <w:t>新建硝酸铵</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硝酸钠</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库、水油相制备工房、硝酸铵溶液储罐区、管壳输送工房及综合材料库、乳化炸药震源药柱生产工房、控制室及乳化炸药震源药柱成品中转站台</w:t>
            </w:r>
            <w:r>
              <w:rPr>
                <w:rFonts w:hint="eastAsia" w:ascii="Times New Roman" w:hAnsi="Times New Roman" w:cs="Times New Roman"/>
                <w:color w:val="auto"/>
                <w:sz w:val="24"/>
                <w:szCs w:val="24"/>
                <w:highlight w:val="none"/>
                <w:lang w:val="en-US" w:eastAsia="zh-CN"/>
              </w:rPr>
              <w:t>。</w:t>
            </w:r>
          </w:p>
          <w:p w14:paraId="248FB92F">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rPr>
            </w:pPr>
            <w:r>
              <w:rPr>
                <w:color w:val="auto"/>
                <w:sz w:val="24"/>
                <w:szCs w:val="24"/>
                <w:highlight w:val="none"/>
                <w:lang w:eastAsia="zh-CN"/>
              </w:rPr>
              <w:t>根据《中华人民共和国环境保护法</w:t>
            </w:r>
            <w:r>
              <w:rPr>
                <w:rFonts w:hint="eastAsia"/>
                <w:color w:val="auto"/>
                <w:sz w:val="24"/>
                <w:szCs w:val="24"/>
                <w:highlight w:val="none"/>
                <w:lang w:eastAsia="zh-CN"/>
              </w:rPr>
              <w:t>》《</w:t>
            </w:r>
            <w:r>
              <w:rPr>
                <w:color w:val="auto"/>
                <w:sz w:val="24"/>
                <w:szCs w:val="24"/>
                <w:highlight w:val="none"/>
                <w:lang w:eastAsia="zh-CN"/>
              </w:rPr>
              <w:t>中华人民共和国环境影响评</w:t>
            </w:r>
            <w:r>
              <w:rPr>
                <w:color w:val="auto"/>
                <w:spacing w:val="-1"/>
                <w:sz w:val="24"/>
                <w:szCs w:val="24"/>
                <w:highlight w:val="none"/>
                <w:lang w:eastAsia="zh-CN"/>
              </w:rPr>
              <w:t>价法》</w:t>
            </w:r>
            <w:r>
              <w:rPr>
                <w:color w:val="auto"/>
                <w:sz w:val="24"/>
                <w:szCs w:val="24"/>
                <w:highlight w:val="none"/>
                <w:lang w:eastAsia="zh-CN"/>
              </w:rPr>
              <w:t>和《建设项目环境保护管理条例》，项目建设前应进行环境影响评价。根据《建设项目环境影响评价分类管理名录》（</w:t>
            </w:r>
            <w:r>
              <w:rPr>
                <w:rFonts w:ascii="Times New Roman" w:hAnsi="Times New Roman" w:eastAsia="Times New Roman" w:cs="Times New Roman"/>
                <w:color w:val="auto"/>
                <w:sz w:val="24"/>
                <w:szCs w:val="24"/>
                <w:highlight w:val="none"/>
                <w:lang w:eastAsia="zh-CN"/>
              </w:rPr>
              <w:t>2021</w:t>
            </w:r>
            <w:r>
              <w:rPr>
                <w:color w:val="auto"/>
                <w:sz w:val="24"/>
                <w:szCs w:val="24"/>
                <w:highlight w:val="none"/>
                <w:lang w:eastAsia="zh-CN"/>
              </w:rPr>
              <w:t>年版）有关规定，本项目属于“</w:t>
            </w:r>
            <w:r>
              <w:rPr>
                <w:rFonts w:ascii="Times New Roman" w:hAnsi="Times New Roman" w:eastAsia="Times New Roman" w:cs="Times New Roman"/>
                <w:color w:val="auto"/>
                <w:spacing w:val="-1"/>
                <w:sz w:val="24"/>
                <w:szCs w:val="24"/>
                <w:highlight w:val="none"/>
                <w:lang w:eastAsia="zh-CN"/>
              </w:rPr>
              <w:t>二十</w:t>
            </w:r>
            <w:r>
              <w:rPr>
                <w:rFonts w:hint="eastAsia" w:ascii="Times New Roman" w:hAnsi="Times New Roman" w:eastAsia="Times New Roman" w:cs="Times New Roman"/>
                <w:color w:val="auto"/>
                <w:spacing w:val="-1"/>
                <w:sz w:val="24"/>
                <w:szCs w:val="24"/>
                <w:highlight w:val="none"/>
                <w:lang w:val="en-US" w:eastAsia="zh-CN"/>
              </w:rPr>
              <w:t>三</w:t>
            </w:r>
            <w:r>
              <w:rPr>
                <w:rFonts w:ascii="Times New Roman" w:hAnsi="Times New Roman" w:eastAsia="Times New Roman" w:cs="Times New Roman"/>
                <w:color w:val="auto"/>
                <w:spacing w:val="-1"/>
                <w:sz w:val="24"/>
                <w:szCs w:val="24"/>
                <w:highlight w:val="none"/>
                <w:lang w:eastAsia="zh-CN"/>
              </w:rPr>
              <w:t>、</w:t>
            </w:r>
            <w:r>
              <w:rPr>
                <w:rFonts w:hint="eastAsia" w:ascii="Times New Roman" w:hAnsi="Times New Roman" w:cs="Times New Roman"/>
                <w:color w:val="auto"/>
                <w:sz w:val="24"/>
                <w:szCs w:val="24"/>
                <w:lang w:val="en-US" w:eastAsia="zh-CN"/>
              </w:rPr>
              <w:t>化学原料和化学制品制造业</w:t>
            </w:r>
            <w:r>
              <w:rPr>
                <w:rFonts w:hint="eastAsia" w:ascii="Times New Roman" w:hAnsi="Times New Roman" w:eastAsia="Times New Roman" w:cs="Times New Roman"/>
                <w:color w:val="auto"/>
                <w:spacing w:val="-1"/>
                <w:sz w:val="24"/>
                <w:szCs w:val="24"/>
                <w:highlight w:val="none"/>
                <w:lang w:val="en-US" w:eastAsia="zh-CN"/>
              </w:rPr>
              <w:t>26</w:t>
            </w:r>
            <w:r>
              <w:rPr>
                <w:rFonts w:ascii="Times New Roman" w:hAnsi="Times New Roman" w:eastAsia="Times New Roman" w:cs="Times New Roman"/>
                <w:color w:val="auto"/>
                <w:spacing w:val="-1"/>
                <w:sz w:val="24"/>
                <w:szCs w:val="24"/>
                <w:highlight w:val="none"/>
                <w:lang w:eastAsia="zh-CN"/>
              </w:rPr>
              <w:t>、</w:t>
            </w:r>
            <w:r>
              <w:rPr>
                <w:rFonts w:ascii="Times New Roman" w:hAnsi="Times New Roman" w:eastAsia="Times New Roman" w:cs="Times New Roman"/>
                <w:color w:val="auto"/>
                <w:spacing w:val="-1"/>
                <w:sz w:val="24"/>
                <w:szCs w:val="24"/>
                <w:highlight w:val="none"/>
              </w:rPr>
              <w:t>炸药、火工及焰火产品制造 267</w:t>
            </w:r>
            <w:r>
              <w:rPr>
                <w:rFonts w:hint="eastAsia"/>
                <w:color w:val="auto"/>
                <w:sz w:val="24"/>
                <w:szCs w:val="24"/>
                <w:highlight w:val="none"/>
                <w:lang w:val="en-US" w:eastAsia="zh-CN"/>
              </w:rPr>
              <w:t>中</w:t>
            </w:r>
            <w:r>
              <w:rPr>
                <w:rFonts w:hint="eastAsia" w:ascii="宋体" w:hAnsi="宋体" w:eastAsia="宋体" w:cs="宋体"/>
                <w:color w:val="auto"/>
                <w:kern w:val="0"/>
                <w:sz w:val="24"/>
                <w:szCs w:val="24"/>
                <w:highlight w:val="none"/>
                <w:lang w:val="en-US" w:eastAsia="zh-CN" w:bidi="ar"/>
              </w:rPr>
              <w:t>单纯物理分离、物理提纯、混合、分装的（不产生废水或挥发性有机物的除外）</w:t>
            </w:r>
            <w:r>
              <w:rPr>
                <w:color w:val="auto"/>
                <w:sz w:val="24"/>
                <w:szCs w:val="24"/>
                <w:highlight w:val="none"/>
                <w:lang w:eastAsia="zh-CN"/>
              </w:rPr>
              <w:t>”</w:t>
            </w:r>
            <w:r>
              <w:rPr>
                <w:rFonts w:hint="default" w:ascii="Times New Roman" w:hAnsi="Times New Roman" w:eastAsia="宋体" w:cs="Times New Roman"/>
                <w:snapToGrid w:val="0"/>
                <w:color w:val="auto"/>
                <w:kern w:val="56"/>
                <w:sz w:val="24"/>
                <w:highlight w:val="none"/>
                <w:lang w:val="en-US" w:eastAsia="zh-CN"/>
              </w:rPr>
              <w:t>，</w:t>
            </w:r>
            <w:r>
              <w:rPr>
                <w:rFonts w:hint="default" w:ascii="Times New Roman" w:hAnsi="Times New Roman" w:cs="Times New Roman"/>
                <w:color w:val="auto"/>
                <w:sz w:val="24"/>
                <w:szCs w:val="24"/>
              </w:rPr>
              <w:t>因此</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应当编制环境影响报告表。</w:t>
            </w:r>
          </w:p>
          <w:p w14:paraId="253B320A">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rPr>
              <w:t>2、工程内容</w:t>
            </w:r>
          </w:p>
          <w:p w14:paraId="76DF9480">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eastAsia="宋体" w:cs="Times New Roman"/>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本项目拟投资</w:t>
            </w:r>
            <w:r>
              <w:rPr>
                <w:rFonts w:hint="eastAsia" w:ascii="宋体" w:hAnsi="宋体" w:cs="宋体"/>
                <w:color w:val="auto"/>
                <w:kern w:val="0"/>
                <w:sz w:val="24"/>
                <w:szCs w:val="24"/>
                <w:highlight w:val="none"/>
                <w:lang w:val="en-US" w:eastAsia="zh-CN" w:bidi="ar"/>
              </w:rPr>
              <w:t>6000</w:t>
            </w:r>
            <w:r>
              <w:rPr>
                <w:rFonts w:hint="eastAsia" w:ascii="宋体" w:hAnsi="宋体" w:eastAsia="宋体" w:cs="宋体"/>
                <w:color w:val="auto"/>
                <w:kern w:val="0"/>
                <w:sz w:val="24"/>
                <w:szCs w:val="24"/>
                <w:highlight w:val="none"/>
                <w:lang w:val="en-US" w:eastAsia="zh-CN" w:bidi="ar"/>
              </w:rPr>
              <w:t>万元拟在公司现有厂区正西方向新征土地</w:t>
            </w:r>
            <w:r>
              <w:rPr>
                <w:rFonts w:hint="default" w:ascii="Times New Roman" w:hAnsi="Times New Roman" w:eastAsia="宋体" w:cs="Times New Roman"/>
                <w:color w:val="auto"/>
                <w:kern w:val="0"/>
                <w:sz w:val="24"/>
                <w:szCs w:val="24"/>
                <w:highlight w:val="none"/>
                <w:lang w:val="en-US" w:eastAsia="zh-CN" w:bidi="ar"/>
              </w:rPr>
              <w:t>36196m</w:t>
            </w:r>
            <w:r>
              <w:rPr>
                <w:rFonts w:hint="default" w:ascii="Times New Roman" w:hAnsi="Times New Roman" w:eastAsia="宋体" w:cs="Times New Roman"/>
                <w:color w:val="auto"/>
                <w:kern w:val="0"/>
                <w:sz w:val="24"/>
                <w:szCs w:val="24"/>
                <w:highlight w:val="none"/>
                <w:vertAlign w:val="super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，在新征土地上新建1条年产7000t乳化炸药震源药柱生产线，主要建设内容为：新建硝酸铵</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硝酸钠</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库、水油相制备工房、硝酸铵溶液储罐区、管壳输送工房及综合材料库、乳化炸药震源药柱生产工房、控制室及乳化炸药震源药柱成品中转站台，其它工库房及配套设施均利用现有。</w:t>
            </w:r>
          </w:p>
          <w:p w14:paraId="5149AE82">
            <w:pPr>
              <w:keepNext/>
              <w:keepLines w:val="0"/>
              <w:pageBreakBefore w:val="0"/>
              <w:kinsoku/>
              <w:wordWrap/>
              <w:overflowPunct/>
              <w:topLinePunct w:val="0"/>
              <w:bidi w:val="0"/>
              <w:spacing w:line="360" w:lineRule="auto"/>
              <w:ind w:firstLine="480" w:firstLineChars="200"/>
              <w:outlineLvl w:val="9"/>
              <w:rPr>
                <w:color w:val="auto"/>
              </w:rPr>
            </w:pPr>
            <w:r>
              <w:rPr>
                <w:color w:val="auto"/>
                <w:sz w:val="24"/>
              </w:rPr>
              <w:t>本项目建设内容组成见表2-</w:t>
            </w:r>
            <w:r>
              <w:rPr>
                <w:rFonts w:hint="eastAsia"/>
                <w:color w:val="auto"/>
                <w:sz w:val="24"/>
              </w:rPr>
              <w:t>1</w:t>
            </w:r>
            <w:r>
              <w:rPr>
                <w:color w:val="auto"/>
                <w:sz w:val="24"/>
              </w:rPr>
              <w:t>，</w:t>
            </w:r>
            <w:r>
              <w:rPr>
                <w:color w:val="auto"/>
                <w:sz w:val="24"/>
                <w:szCs w:val="32"/>
              </w:rPr>
              <w:t>扩建后全厂工程组成见表2-</w:t>
            </w:r>
            <w:r>
              <w:rPr>
                <w:rFonts w:hint="eastAsia"/>
                <w:color w:val="auto"/>
                <w:sz w:val="24"/>
                <w:szCs w:val="32"/>
              </w:rPr>
              <w:t>2</w:t>
            </w:r>
            <w:r>
              <w:rPr>
                <w:color w:val="auto"/>
                <w:sz w:val="24"/>
                <w:szCs w:val="32"/>
              </w:rPr>
              <w:t>。</w:t>
            </w:r>
          </w:p>
          <w:p w14:paraId="7E765E3F">
            <w:pPr>
              <w:keepNext/>
              <w:keepLines w:val="0"/>
              <w:pageBreakBefore w:val="0"/>
              <w:kinsoku/>
              <w:wordWrap/>
              <w:overflowPunct/>
              <w:topLinePunct w:val="0"/>
              <w:bidi w:val="0"/>
              <w:spacing w:line="440" w:lineRule="exact"/>
              <w:ind w:firstLine="422" w:firstLineChars="200"/>
              <w:jc w:val="center"/>
              <w:outlineLvl w:val="9"/>
              <w:rPr>
                <w:b/>
                <w:bCs/>
                <w:color w:val="auto"/>
                <w:szCs w:val="21"/>
                <w:lang w:val="zh-CN"/>
              </w:rPr>
            </w:pPr>
            <w:r>
              <w:rPr>
                <w:b/>
                <w:bCs/>
                <w:color w:val="auto"/>
                <w:szCs w:val="21"/>
                <w:lang w:val="zh-CN"/>
              </w:rPr>
              <w:t>表2-</w:t>
            </w:r>
            <w:r>
              <w:rPr>
                <w:rFonts w:hint="eastAsia"/>
                <w:b/>
                <w:bCs/>
                <w:color w:val="auto"/>
                <w:szCs w:val="21"/>
              </w:rPr>
              <w:t>1</w:t>
            </w:r>
            <w:r>
              <w:rPr>
                <w:b/>
                <w:bCs/>
                <w:color w:val="auto"/>
                <w:szCs w:val="21"/>
                <w:lang w:val="zh-CN"/>
              </w:rPr>
              <w:t xml:space="preserve">  </w:t>
            </w:r>
            <w:r>
              <w:rPr>
                <w:b/>
                <w:bCs/>
                <w:color w:val="auto"/>
                <w:szCs w:val="21"/>
              </w:rPr>
              <w:t>本</w:t>
            </w:r>
            <w:r>
              <w:rPr>
                <w:b/>
                <w:bCs/>
                <w:color w:val="auto"/>
                <w:szCs w:val="21"/>
                <w:lang w:val="zh-CN"/>
              </w:rPr>
              <w:t>项目组成一览表</w:t>
            </w:r>
          </w:p>
          <w:tbl>
            <w:tblPr>
              <w:tblStyle w:val="32"/>
              <w:tblW w:w="496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787"/>
              <w:gridCol w:w="787"/>
              <w:gridCol w:w="790"/>
              <w:gridCol w:w="4752"/>
              <w:gridCol w:w="660"/>
            </w:tblGrid>
            <w:tr w14:paraId="3B5C5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294" w:type="pct"/>
                  <w:shd w:val="clear" w:color="auto" w:fill="auto"/>
                </w:tcPr>
                <w:p w14:paraId="1CBB3085">
                  <w:pPr>
                    <w:keepNext/>
                    <w:keepLines w:val="0"/>
                    <w:pageBreakBefore w:val="0"/>
                    <w:kinsoku/>
                    <w:wordWrap/>
                    <w:overflowPunct/>
                    <w:topLinePunct w:val="0"/>
                    <w:bidi w:val="0"/>
                    <w:spacing w:line="240" w:lineRule="auto"/>
                    <w:ind w:left="-105" w:leftChars="-50" w:right="-105" w:rightChars="-50" w:firstLine="0"/>
                    <w:jc w:val="center"/>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476" w:type="pct"/>
                  <w:shd w:val="clear" w:color="auto" w:fill="auto"/>
                </w:tcPr>
                <w:p w14:paraId="6D34FB95">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954" w:type="pct"/>
                  <w:gridSpan w:val="2"/>
                  <w:shd w:val="clear" w:color="auto" w:fill="auto"/>
                  <w:tcMar>
                    <w:left w:w="0" w:type="dxa"/>
                    <w:right w:w="0" w:type="dxa"/>
                  </w:tcMar>
                </w:tcPr>
                <w:p w14:paraId="4C18290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2874" w:type="pct"/>
                  <w:shd w:val="clear" w:color="auto" w:fill="auto"/>
                </w:tcPr>
                <w:p w14:paraId="7A94E1B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内容和规模</w:t>
                  </w:r>
                </w:p>
              </w:tc>
              <w:tc>
                <w:tcPr>
                  <w:tcW w:w="399" w:type="pct"/>
                  <w:shd w:val="clear" w:color="auto" w:fill="auto"/>
                </w:tcPr>
                <w:p w14:paraId="15A22F3F">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14:paraId="5542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restart"/>
                  <w:shd w:val="clear" w:color="auto" w:fill="auto"/>
                  <w:vAlign w:val="center"/>
                </w:tcPr>
                <w:p w14:paraId="0B290837">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76" w:type="pct"/>
                  <w:vMerge w:val="restart"/>
                  <w:shd w:val="clear" w:color="auto" w:fill="auto"/>
                  <w:vAlign w:val="center"/>
                </w:tcPr>
                <w:p w14:paraId="16B085D8">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w:t>
                  </w:r>
                </w:p>
                <w:p w14:paraId="62861B4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w:t>
                  </w:r>
                </w:p>
              </w:tc>
              <w:tc>
                <w:tcPr>
                  <w:tcW w:w="954" w:type="pct"/>
                  <w:gridSpan w:val="2"/>
                  <w:shd w:val="clear" w:color="auto" w:fill="auto"/>
                  <w:tcMar>
                    <w:left w:w="0" w:type="dxa"/>
                    <w:right w:w="0" w:type="dxa"/>
                  </w:tcMar>
                  <w:vAlign w:val="center"/>
                </w:tcPr>
                <w:p w14:paraId="23D24821">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水油相制备工房</w:t>
                  </w:r>
                </w:p>
              </w:tc>
              <w:tc>
                <w:tcPr>
                  <w:tcW w:w="2874" w:type="pct"/>
                  <w:shd w:val="clear" w:color="auto" w:fill="auto"/>
                  <w:vAlign w:val="center"/>
                </w:tcPr>
                <w:p w14:paraId="6EF56D02">
                  <w:pPr>
                    <w:keepNext/>
                    <w:keepLines w:val="0"/>
                    <w:pageBreakBefore w:val="0"/>
                    <w:kinsoku/>
                    <w:wordWrap/>
                    <w:overflowPunct/>
                    <w:topLinePunct w:val="0"/>
                    <w:bidi w:val="0"/>
                    <w:spacing w:line="240" w:lineRule="auto"/>
                    <w:ind w:firstLine="0"/>
                    <w:outlineLvl w:val="9"/>
                    <w:rPr>
                      <w:rFonts w:hint="default" w:ascii="Times New Roman" w:hAnsi="Times New Roman" w:eastAsia="宋体" w:cs="Times New Roman"/>
                      <w:color w:val="auto"/>
                      <w:sz w:val="21"/>
                      <w:szCs w:val="21"/>
                      <w:highlight w:val="none"/>
                      <w:lang w:val="en-US" w:eastAsia="zh-CN"/>
                    </w:rPr>
                  </w:pPr>
                  <w:r>
                    <w:rPr>
                      <w:rFonts w:hint="eastAsia" w:cs="Times New Roman"/>
                      <w:snapToGrid w:val="0"/>
                      <w:color w:val="auto"/>
                      <w:sz w:val="21"/>
                      <w:szCs w:val="21"/>
                      <w:highlight w:val="none"/>
                      <w:lang w:val="en-US" w:eastAsia="zh-CN" w:bidi="ar-SA"/>
                    </w:rPr>
                    <w:t>2</w:t>
                  </w:r>
                  <w:r>
                    <w:rPr>
                      <w:rFonts w:hint="default" w:ascii="Times New Roman" w:hAnsi="Times New Roman" w:eastAsia="宋体" w:cs="Times New Roman"/>
                      <w:snapToGrid w:val="0"/>
                      <w:color w:val="auto"/>
                      <w:sz w:val="21"/>
                      <w:szCs w:val="21"/>
                      <w:highlight w:val="none"/>
                      <w:lang w:val="en-US" w:eastAsia="zh-CN" w:bidi="ar-SA"/>
                    </w:rPr>
                    <w:t>层</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占地面积197.97m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，建筑</w:t>
                  </w:r>
                  <w:r>
                    <w:rPr>
                      <w:rFonts w:hint="default" w:ascii="Times New Roman" w:hAnsi="Times New Roman" w:eastAsia="宋体" w:cs="Times New Roman"/>
                      <w:color w:val="auto"/>
                      <w:sz w:val="21"/>
                      <w:szCs w:val="21"/>
                      <w:highlight w:val="none"/>
                      <w:lang w:val="en-US" w:eastAsia="zh-CN"/>
                    </w:rPr>
                    <w:t>面积</w:t>
                  </w:r>
                  <w:r>
                    <w:rPr>
                      <w:rFonts w:hint="eastAsia" w:cs="Times New Roman"/>
                      <w:color w:val="auto"/>
                      <w:sz w:val="21"/>
                      <w:szCs w:val="21"/>
                      <w:highlight w:val="none"/>
                      <w:lang w:val="en-US" w:eastAsia="zh-CN"/>
                    </w:rPr>
                    <w:t>394.38</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，包含</w:t>
                  </w:r>
                  <w:r>
                    <w:rPr>
                      <w:rFonts w:hint="eastAsia"/>
                      <w:color w:val="auto"/>
                      <w:spacing w:val="-2"/>
                      <w:sz w:val="21"/>
                      <w:szCs w:val="21"/>
                      <w:lang w:val="en-US" w:eastAsia="zh-CN"/>
                    </w:rPr>
                    <w:t>1台</w:t>
                  </w:r>
                  <w:r>
                    <w:rPr>
                      <w:color w:val="auto"/>
                      <w:spacing w:val="1"/>
                      <w:sz w:val="21"/>
                      <w:szCs w:val="21"/>
                    </w:rPr>
                    <w:t>螺旋输送机</w:t>
                  </w:r>
                  <w:r>
                    <w:rPr>
                      <w:rFonts w:hint="eastAsia"/>
                      <w:color w:val="auto"/>
                      <w:spacing w:val="1"/>
                      <w:sz w:val="21"/>
                      <w:szCs w:val="21"/>
                      <w:lang w:eastAsia="zh-CN"/>
                    </w:rPr>
                    <w:t>、</w:t>
                  </w:r>
                  <w:r>
                    <w:rPr>
                      <w:rFonts w:hint="eastAsia"/>
                      <w:color w:val="auto"/>
                      <w:spacing w:val="1"/>
                      <w:sz w:val="21"/>
                      <w:szCs w:val="21"/>
                      <w:lang w:val="en-US" w:eastAsia="zh-CN"/>
                    </w:rPr>
                    <w:t>1台</w:t>
                  </w:r>
                  <w:r>
                    <w:rPr>
                      <w:color w:val="auto"/>
                      <w:spacing w:val="3"/>
                      <w:sz w:val="21"/>
                      <w:szCs w:val="21"/>
                    </w:rPr>
                    <w:t>分料螺旋</w:t>
                  </w:r>
                  <w:r>
                    <w:rPr>
                      <w:rFonts w:hint="eastAsia"/>
                      <w:color w:val="auto"/>
                      <w:spacing w:val="3"/>
                      <w:sz w:val="21"/>
                      <w:szCs w:val="21"/>
                      <w:lang w:eastAsia="zh-CN"/>
                    </w:rPr>
                    <w:t>、</w:t>
                  </w:r>
                  <w:r>
                    <w:rPr>
                      <w:rFonts w:hint="eastAsia"/>
                      <w:color w:val="auto"/>
                      <w:spacing w:val="3"/>
                      <w:sz w:val="21"/>
                      <w:szCs w:val="21"/>
                      <w:lang w:val="en-US" w:eastAsia="zh-CN"/>
                    </w:rPr>
                    <w:t>2台</w:t>
                  </w:r>
                  <w:r>
                    <w:rPr>
                      <w:color w:val="auto"/>
                      <w:spacing w:val="2"/>
                      <w:sz w:val="21"/>
                      <w:szCs w:val="21"/>
                    </w:rPr>
                    <w:t>水相制备罐</w:t>
                  </w:r>
                  <w:r>
                    <w:rPr>
                      <w:rFonts w:hint="eastAsia"/>
                      <w:color w:val="auto"/>
                      <w:spacing w:val="2"/>
                      <w:sz w:val="21"/>
                      <w:szCs w:val="21"/>
                      <w:lang w:eastAsia="zh-CN"/>
                    </w:rPr>
                    <w:t>、</w:t>
                  </w:r>
                  <w:r>
                    <w:rPr>
                      <w:rFonts w:hint="eastAsia"/>
                      <w:color w:val="auto"/>
                      <w:spacing w:val="2"/>
                      <w:sz w:val="21"/>
                      <w:szCs w:val="21"/>
                      <w:lang w:val="en-US" w:eastAsia="zh-CN"/>
                    </w:rPr>
                    <w:t>1台</w:t>
                  </w:r>
                  <w:r>
                    <w:rPr>
                      <w:color w:val="auto"/>
                      <w:spacing w:val="2"/>
                      <w:sz w:val="21"/>
                      <w:szCs w:val="21"/>
                    </w:rPr>
                    <w:t>水相过滤器</w:t>
                  </w:r>
                  <w:r>
                    <w:rPr>
                      <w:rFonts w:hint="eastAsia"/>
                      <w:color w:val="auto"/>
                      <w:spacing w:val="2"/>
                      <w:sz w:val="21"/>
                      <w:szCs w:val="21"/>
                      <w:lang w:eastAsia="zh-CN"/>
                    </w:rPr>
                    <w:t>、</w:t>
                  </w:r>
                  <w:r>
                    <w:rPr>
                      <w:rFonts w:hint="eastAsia"/>
                      <w:color w:val="auto"/>
                      <w:spacing w:val="2"/>
                      <w:sz w:val="21"/>
                      <w:szCs w:val="21"/>
                      <w:highlight w:val="none"/>
                      <w:lang w:val="en-US" w:eastAsia="zh-CN"/>
                    </w:rPr>
                    <w:t>1台</w:t>
                  </w:r>
                  <w:r>
                    <w:rPr>
                      <w:color w:val="auto"/>
                      <w:spacing w:val="2"/>
                      <w:sz w:val="21"/>
                      <w:szCs w:val="21"/>
                      <w:highlight w:val="none"/>
                    </w:rPr>
                    <w:t>油相制备罐</w:t>
                  </w:r>
                  <w:r>
                    <w:rPr>
                      <w:rFonts w:hint="eastAsia"/>
                      <w:color w:val="auto"/>
                      <w:spacing w:val="2"/>
                      <w:sz w:val="21"/>
                      <w:szCs w:val="21"/>
                      <w:highlight w:val="none"/>
                      <w:lang w:eastAsia="zh-CN"/>
                    </w:rPr>
                    <w:t>、</w:t>
                  </w:r>
                  <w:r>
                    <w:rPr>
                      <w:rFonts w:hint="eastAsia"/>
                      <w:color w:val="auto"/>
                      <w:spacing w:val="2"/>
                      <w:sz w:val="21"/>
                      <w:szCs w:val="21"/>
                      <w:lang w:val="en-US" w:eastAsia="zh-CN"/>
                    </w:rPr>
                    <w:t>1台</w:t>
                  </w:r>
                  <w:r>
                    <w:rPr>
                      <w:color w:val="auto"/>
                      <w:spacing w:val="2"/>
                      <w:sz w:val="21"/>
                      <w:szCs w:val="21"/>
                    </w:rPr>
                    <w:t>油相过滤器</w:t>
                  </w:r>
                  <w:r>
                    <w:rPr>
                      <w:rFonts w:hint="eastAsia"/>
                      <w:color w:val="auto"/>
                      <w:spacing w:val="2"/>
                      <w:sz w:val="21"/>
                      <w:szCs w:val="21"/>
                      <w:lang w:eastAsia="zh-CN"/>
                    </w:rPr>
                    <w:t>、</w:t>
                  </w:r>
                  <w:r>
                    <w:rPr>
                      <w:rFonts w:hint="eastAsia"/>
                      <w:color w:val="auto"/>
                      <w:spacing w:val="2"/>
                      <w:sz w:val="21"/>
                      <w:szCs w:val="21"/>
                      <w:lang w:val="en-US" w:eastAsia="zh-CN"/>
                    </w:rPr>
                    <w:t>1台</w:t>
                  </w:r>
                  <w:r>
                    <w:rPr>
                      <w:color w:val="auto"/>
                      <w:spacing w:val="3"/>
                      <w:sz w:val="21"/>
                      <w:szCs w:val="21"/>
                    </w:rPr>
                    <w:t>热水罐</w:t>
                  </w:r>
                  <w:r>
                    <w:rPr>
                      <w:rFonts w:hint="eastAsia"/>
                      <w:color w:val="auto"/>
                      <w:spacing w:val="3"/>
                      <w:sz w:val="21"/>
                      <w:szCs w:val="21"/>
                      <w:lang w:val="en-US" w:eastAsia="zh-CN"/>
                    </w:rPr>
                    <w:t>等设备</w:t>
                  </w:r>
                </w:p>
              </w:tc>
              <w:tc>
                <w:tcPr>
                  <w:tcW w:w="399" w:type="pct"/>
                  <w:shd w:val="clear" w:color="auto" w:fill="auto"/>
                  <w:vAlign w:val="center"/>
                </w:tcPr>
                <w:p w14:paraId="0BB9718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30E2D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7139DF6A">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17F5A32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3B8B2E47">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乳化炸药震源药柱生产工房</w:t>
                  </w:r>
                </w:p>
              </w:tc>
              <w:tc>
                <w:tcPr>
                  <w:tcW w:w="2874" w:type="pct"/>
                  <w:shd w:val="clear" w:color="auto" w:fill="auto"/>
                  <w:vAlign w:val="center"/>
                </w:tcPr>
                <w:p w14:paraId="5AE7546E">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cs="Times New Roman"/>
                      <w:snapToGrid w:val="0"/>
                      <w:color w:val="auto"/>
                      <w:sz w:val="21"/>
                      <w:szCs w:val="21"/>
                      <w:highlight w:val="none"/>
                      <w:lang w:val="en-US" w:eastAsia="zh-CN" w:bidi="ar-SA"/>
                    </w:rPr>
                    <w:t>局部2层</w:t>
                  </w:r>
                  <w:r>
                    <w:rPr>
                      <w:rFonts w:hint="eastAsia" w:cs="Times New Roman"/>
                      <w:color w:val="auto"/>
                      <w:sz w:val="21"/>
                      <w:szCs w:val="21"/>
                      <w:highlight w:val="none"/>
                      <w:lang w:val="en-US" w:eastAsia="zh-CN"/>
                    </w:rPr>
                    <w:t>，占地面积1462.59m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，建筑</w:t>
                  </w:r>
                  <w:r>
                    <w:rPr>
                      <w:rFonts w:hint="default" w:ascii="Times New Roman" w:hAnsi="Times New Roman" w:eastAsia="宋体" w:cs="Times New Roman"/>
                      <w:color w:val="auto"/>
                      <w:sz w:val="21"/>
                      <w:szCs w:val="21"/>
                      <w:highlight w:val="none"/>
                      <w:lang w:val="en-US" w:eastAsia="zh-CN"/>
                    </w:rPr>
                    <w:t>面积</w:t>
                  </w:r>
                  <w:r>
                    <w:rPr>
                      <w:rFonts w:hint="eastAsia" w:cs="Times New Roman"/>
                      <w:color w:val="auto"/>
                      <w:sz w:val="21"/>
                      <w:szCs w:val="21"/>
                      <w:highlight w:val="none"/>
                      <w:lang w:val="en-US" w:eastAsia="zh-CN"/>
                    </w:rPr>
                    <w:t>2102.93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。设置一条乳化炸药</w:t>
                  </w:r>
                  <w:r>
                    <w:rPr>
                      <w:rFonts w:hint="eastAsia" w:cs="Times New Roman"/>
                      <w:snapToGrid w:val="0"/>
                      <w:color w:val="auto"/>
                      <w:sz w:val="21"/>
                      <w:szCs w:val="21"/>
                      <w:highlight w:val="none"/>
                      <w:lang w:val="en-US" w:eastAsia="zh-CN" w:bidi="ar-SA"/>
                    </w:rPr>
                    <w:t>震源药柱</w:t>
                  </w:r>
                  <w:r>
                    <w:rPr>
                      <w:rFonts w:hint="default" w:ascii="Times New Roman" w:hAnsi="Times New Roman" w:eastAsia="宋体" w:cs="Times New Roman"/>
                      <w:snapToGrid w:val="0"/>
                      <w:color w:val="auto"/>
                      <w:sz w:val="21"/>
                      <w:szCs w:val="21"/>
                      <w:highlight w:val="none"/>
                      <w:lang w:val="en-US" w:eastAsia="zh-CN" w:bidi="ar-SA"/>
                    </w:rPr>
                    <w:t>生产线，年产量</w:t>
                  </w:r>
                  <w:r>
                    <w:rPr>
                      <w:rFonts w:hint="eastAsia" w:cs="Times New Roman"/>
                      <w:snapToGrid w:val="0"/>
                      <w:color w:val="auto"/>
                      <w:sz w:val="21"/>
                      <w:szCs w:val="21"/>
                      <w:highlight w:val="none"/>
                      <w:lang w:val="en-US" w:eastAsia="zh-CN" w:bidi="ar-SA"/>
                    </w:rPr>
                    <w:t>7000</w:t>
                  </w:r>
                  <w:r>
                    <w:rPr>
                      <w:rFonts w:hint="default" w:ascii="Times New Roman" w:hAnsi="Times New Roman" w:eastAsia="宋体" w:cs="Times New Roman"/>
                      <w:snapToGrid w:val="0"/>
                      <w:color w:val="auto"/>
                      <w:sz w:val="21"/>
                      <w:szCs w:val="21"/>
                      <w:highlight w:val="none"/>
                      <w:lang w:val="en-US" w:eastAsia="zh-CN" w:bidi="ar-SA"/>
                    </w:rPr>
                    <w:t>t。主要包括乳化、</w:t>
                  </w:r>
                  <w:r>
                    <w:rPr>
                      <w:rFonts w:hint="eastAsia" w:cs="Times New Roman"/>
                      <w:snapToGrid w:val="0"/>
                      <w:color w:val="auto"/>
                      <w:sz w:val="21"/>
                      <w:szCs w:val="21"/>
                      <w:highlight w:val="none"/>
                      <w:lang w:val="en-US" w:eastAsia="zh-CN" w:bidi="ar-SA"/>
                    </w:rPr>
                    <w:t>冷却、</w:t>
                  </w:r>
                  <w:r>
                    <w:rPr>
                      <w:rFonts w:hint="default" w:ascii="Times New Roman" w:hAnsi="Times New Roman" w:eastAsia="宋体" w:cs="Times New Roman"/>
                      <w:snapToGrid w:val="0"/>
                      <w:color w:val="auto"/>
                      <w:sz w:val="21"/>
                      <w:szCs w:val="21"/>
                      <w:highlight w:val="none"/>
                      <w:lang w:val="en-US" w:eastAsia="zh-CN" w:bidi="ar-SA"/>
                    </w:rPr>
                    <w:t>敏化</w:t>
                  </w:r>
                  <w:r>
                    <w:rPr>
                      <w:rFonts w:hint="eastAsia" w:cs="Times New Roman"/>
                      <w:snapToGrid w:val="0"/>
                      <w:color w:val="auto"/>
                      <w:sz w:val="21"/>
                      <w:szCs w:val="21"/>
                      <w:highlight w:val="none"/>
                      <w:lang w:val="en-US" w:eastAsia="zh-CN" w:bidi="ar-SA"/>
                    </w:rPr>
                    <w:t>、装药、压盖、封口、装配连接管、包装等工序</w:t>
                  </w:r>
                  <w:r>
                    <w:rPr>
                      <w:rFonts w:hint="default" w:ascii="Times New Roman" w:hAnsi="Times New Roman" w:eastAsia="宋体" w:cs="Times New Roman"/>
                      <w:snapToGrid w:val="0"/>
                      <w:color w:val="auto"/>
                      <w:sz w:val="21"/>
                      <w:szCs w:val="21"/>
                      <w:highlight w:val="none"/>
                      <w:lang w:val="en-US" w:eastAsia="zh-CN" w:bidi="ar-SA"/>
                    </w:rPr>
                    <w:t>。</w:t>
                  </w:r>
                </w:p>
              </w:tc>
              <w:tc>
                <w:tcPr>
                  <w:tcW w:w="399" w:type="pct"/>
                  <w:shd w:val="clear" w:color="auto" w:fill="auto"/>
                  <w:vAlign w:val="center"/>
                </w:tcPr>
                <w:p w14:paraId="3BD6B14A">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cs="Times New Roman"/>
                      <w:color w:val="auto"/>
                      <w:sz w:val="21"/>
                      <w:szCs w:val="21"/>
                      <w:highlight w:val="none"/>
                      <w:lang w:val="en-US" w:eastAsia="zh-CN"/>
                    </w:rPr>
                    <w:t>新建</w:t>
                  </w:r>
                </w:p>
              </w:tc>
            </w:tr>
            <w:tr w14:paraId="30BEA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restart"/>
                  <w:shd w:val="clear" w:color="auto" w:fill="auto"/>
                  <w:vAlign w:val="center"/>
                </w:tcPr>
                <w:p w14:paraId="130D9DFC">
                  <w:pPr>
                    <w:keepNext/>
                    <w:keepLines w:val="0"/>
                    <w:pageBreakBefore w:val="0"/>
                    <w:kinsoku/>
                    <w:wordWrap/>
                    <w:overflowPunct/>
                    <w:topLinePunct w:val="0"/>
                    <w:bidi w:val="0"/>
                    <w:outlineLvl w:val="9"/>
                    <w:rPr>
                      <w:rFonts w:hint="default"/>
                      <w:b w:val="0"/>
                      <w:bCs/>
                      <w:color w:val="auto"/>
                      <w:sz w:val="21"/>
                      <w:szCs w:val="21"/>
                      <w:lang w:val="en-US" w:eastAsia="zh-CN"/>
                    </w:rPr>
                  </w:pPr>
                  <w:r>
                    <w:rPr>
                      <w:rFonts w:hint="default"/>
                      <w:b w:val="0"/>
                      <w:bCs/>
                      <w:color w:val="auto"/>
                      <w:sz w:val="21"/>
                      <w:szCs w:val="21"/>
                      <w:lang w:val="en-US" w:eastAsia="zh-CN"/>
                    </w:rPr>
                    <w:t>2</w:t>
                  </w:r>
                </w:p>
              </w:tc>
              <w:tc>
                <w:tcPr>
                  <w:tcW w:w="476" w:type="pct"/>
                  <w:vMerge w:val="restart"/>
                  <w:shd w:val="clear" w:color="auto" w:fill="auto"/>
                  <w:vAlign w:val="center"/>
                </w:tcPr>
                <w:p w14:paraId="32AA49B3">
                  <w:pPr>
                    <w:keepNext/>
                    <w:keepLines w:val="0"/>
                    <w:pageBreakBefore w:val="0"/>
                    <w:kinsoku/>
                    <w:wordWrap/>
                    <w:overflowPunct/>
                    <w:topLinePunct w:val="0"/>
                    <w:bidi w:val="0"/>
                    <w:outlineLvl w:val="9"/>
                    <w:rPr>
                      <w:rFonts w:hint="default"/>
                      <w:b w:val="0"/>
                      <w:bCs/>
                      <w:color w:val="auto"/>
                      <w:sz w:val="21"/>
                      <w:szCs w:val="21"/>
                      <w:lang w:val="en-US" w:eastAsia="zh-CN"/>
                    </w:rPr>
                  </w:pPr>
                  <w:r>
                    <w:rPr>
                      <w:rFonts w:hint="default"/>
                      <w:b w:val="0"/>
                      <w:bCs/>
                      <w:color w:val="auto"/>
                      <w:sz w:val="21"/>
                      <w:szCs w:val="21"/>
                      <w:lang w:val="en-US" w:eastAsia="zh-CN"/>
                    </w:rPr>
                    <w:t>辅助工程</w:t>
                  </w:r>
                </w:p>
              </w:tc>
              <w:tc>
                <w:tcPr>
                  <w:tcW w:w="954" w:type="pct"/>
                  <w:gridSpan w:val="2"/>
                  <w:shd w:val="clear" w:color="auto" w:fill="auto"/>
                  <w:tcMar>
                    <w:left w:w="0" w:type="dxa"/>
                    <w:right w:w="0" w:type="dxa"/>
                  </w:tcMar>
                  <w:vAlign w:val="center"/>
                </w:tcPr>
                <w:p w14:paraId="398FD55D">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不合格品处</w:t>
                  </w:r>
                </w:p>
                <w:p w14:paraId="7743F331">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理工房</w:t>
                  </w:r>
                </w:p>
              </w:tc>
              <w:tc>
                <w:tcPr>
                  <w:tcW w:w="2874" w:type="pct"/>
                  <w:shd w:val="clear" w:color="auto" w:fill="auto"/>
                  <w:vAlign w:val="center"/>
                </w:tcPr>
                <w:p w14:paraId="7758E031">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cs="Times New Roman"/>
                      <w:snapToGrid w:val="0"/>
                      <w:color w:val="auto"/>
                      <w:sz w:val="21"/>
                      <w:szCs w:val="21"/>
                      <w:highlight w:val="none"/>
                      <w:lang w:val="en-US" w:eastAsia="zh-CN" w:bidi="ar-SA"/>
                    </w:rPr>
                    <w:t>依托现有不合格品处理工房，</w:t>
                  </w:r>
                  <w:r>
                    <w:rPr>
                      <w:rFonts w:hint="default" w:ascii="Times New Roman" w:hAnsi="Times New Roman" w:eastAsia="宋体" w:cs="Times New Roman"/>
                      <w:snapToGrid w:val="0"/>
                      <w:color w:val="auto"/>
                      <w:sz w:val="21"/>
                      <w:szCs w:val="21"/>
                      <w:highlight w:val="none"/>
                      <w:lang w:val="en-US" w:eastAsia="zh-CN" w:bidi="ar-SA"/>
                    </w:rPr>
                    <w:t>用于不合格品处理</w:t>
                  </w:r>
                </w:p>
              </w:tc>
              <w:tc>
                <w:tcPr>
                  <w:tcW w:w="399" w:type="pct"/>
                  <w:shd w:val="clear" w:color="auto" w:fill="auto"/>
                  <w:vAlign w:val="center"/>
                </w:tcPr>
                <w:p w14:paraId="534A4587">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w:t>
                  </w:r>
                </w:p>
              </w:tc>
            </w:tr>
            <w:tr w14:paraId="0D7A4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6D3F96ED">
                  <w:pPr>
                    <w:keepNext/>
                    <w:keepLines w:val="0"/>
                    <w:pageBreakBefore w:val="0"/>
                    <w:kinsoku/>
                    <w:wordWrap/>
                    <w:overflowPunct/>
                    <w:topLinePunct w:val="0"/>
                    <w:bidi w:val="0"/>
                    <w:outlineLvl w:val="9"/>
                    <w:rPr>
                      <w:rFonts w:hint="default"/>
                      <w:b w:val="0"/>
                      <w:bCs/>
                      <w:color w:val="auto"/>
                      <w:sz w:val="21"/>
                      <w:szCs w:val="21"/>
                      <w:lang w:val="en-US" w:eastAsia="zh-CN"/>
                    </w:rPr>
                  </w:pPr>
                </w:p>
              </w:tc>
              <w:tc>
                <w:tcPr>
                  <w:tcW w:w="476" w:type="pct"/>
                  <w:vMerge w:val="continue"/>
                  <w:shd w:val="clear" w:color="auto" w:fill="auto"/>
                  <w:vAlign w:val="center"/>
                </w:tcPr>
                <w:p w14:paraId="3DB637BF">
                  <w:pPr>
                    <w:keepNext/>
                    <w:keepLines w:val="0"/>
                    <w:pageBreakBefore w:val="0"/>
                    <w:kinsoku/>
                    <w:wordWrap/>
                    <w:overflowPunct/>
                    <w:topLinePunct w:val="0"/>
                    <w:bidi w:val="0"/>
                    <w:outlineLvl w:val="9"/>
                    <w:rPr>
                      <w:rFonts w:hint="default"/>
                      <w:b w:val="0"/>
                      <w:bCs/>
                      <w:color w:val="auto"/>
                      <w:sz w:val="21"/>
                      <w:szCs w:val="21"/>
                      <w:lang w:val="en-US" w:eastAsia="zh-CN"/>
                    </w:rPr>
                  </w:pPr>
                </w:p>
              </w:tc>
              <w:tc>
                <w:tcPr>
                  <w:tcW w:w="954" w:type="pct"/>
                  <w:gridSpan w:val="2"/>
                  <w:shd w:val="clear" w:color="auto" w:fill="auto"/>
                  <w:tcMar>
                    <w:left w:w="0" w:type="dxa"/>
                    <w:right w:w="0" w:type="dxa"/>
                  </w:tcMar>
                  <w:vAlign w:val="center"/>
                </w:tcPr>
                <w:p w14:paraId="013C8375">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cs="Times New Roman"/>
                      <w:snapToGrid w:val="0"/>
                      <w:color w:val="auto"/>
                      <w:sz w:val="21"/>
                      <w:szCs w:val="21"/>
                      <w:highlight w:val="none"/>
                      <w:lang w:val="en-US" w:eastAsia="zh-CN" w:bidi="ar-SA"/>
                    </w:rPr>
                    <w:t>循环水池</w:t>
                  </w:r>
                </w:p>
              </w:tc>
              <w:tc>
                <w:tcPr>
                  <w:tcW w:w="2874" w:type="pct"/>
                  <w:shd w:val="clear" w:color="auto" w:fill="auto"/>
                  <w:vAlign w:val="center"/>
                </w:tcPr>
                <w:p w14:paraId="5FC876F1">
                  <w:pPr>
                    <w:keepNext/>
                    <w:keepLines w:val="0"/>
                    <w:pageBreakBefore w:val="0"/>
                    <w:kinsoku/>
                    <w:wordWrap/>
                    <w:overflowPunct/>
                    <w:topLinePunct w:val="0"/>
                    <w:bidi w:val="0"/>
                    <w:spacing w:line="240" w:lineRule="auto"/>
                    <w:ind w:firstLine="0" w:firstLineChars="0"/>
                    <w:outlineLvl w:val="9"/>
                    <w:rPr>
                      <w:rFonts w:hint="default" w:cs="Times New Roman"/>
                      <w:snapToGrid w:val="0"/>
                      <w:color w:val="auto"/>
                      <w:sz w:val="21"/>
                      <w:szCs w:val="21"/>
                      <w:highlight w:val="none"/>
                      <w:lang w:val="en-US" w:eastAsia="zh-CN" w:bidi="ar-SA"/>
                    </w:rPr>
                  </w:pPr>
                  <w:r>
                    <w:rPr>
                      <w:rFonts w:hint="eastAsia" w:cs="Times New Roman"/>
                      <w:snapToGrid w:val="0"/>
                      <w:color w:val="auto"/>
                      <w:sz w:val="21"/>
                      <w:szCs w:val="21"/>
                      <w:highlight w:val="none"/>
                      <w:lang w:val="en-US" w:eastAsia="zh-CN" w:bidi="ar-SA"/>
                    </w:rPr>
                    <w:t>为乳化炸药震源药柱生产线提供循环水，容积270m</w:t>
                  </w:r>
                  <w:r>
                    <w:rPr>
                      <w:rFonts w:hint="eastAsia" w:cs="Times New Roman"/>
                      <w:snapToGrid w:val="0"/>
                      <w:color w:val="auto"/>
                      <w:sz w:val="21"/>
                      <w:szCs w:val="21"/>
                      <w:highlight w:val="none"/>
                      <w:vertAlign w:val="superscript"/>
                      <w:lang w:val="en-US" w:eastAsia="zh-CN" w:bidi="ar-SA"/>
                    </w:rPr>
                    <w:t>3</w:t>
                  </w:r>
                  <w:r>
                    <w:rPr>
                      <w:rFonts w:hint="eastAsia" w:cs="Times New Roman"/>
                      <w:snapToGrid w:val="0"/>
                      <w:color w:val="auto"/>
                      <w:sz w:val="21"/>
                      <w:szCs w:val="21"/>
                      <w:highlight w:val="none"/>
                      <w:lang w:val="en-US" w:eastAsia="zh-CN" w:bidi="ar-SA"/>
                    </w:rPr>
                    <w:t>。</w:t>
                  </w:r>
                </w:p>
              </w:tc>
              <w:tc>
                <w:tcPr>
                  <w:tcW w:w="399" w:type="pct"/>
                  <w:shd w:val="clear" w:color="auto" w:fill="auto"/>
                  <w:vAlign w:val="center"/>
                </w:tcPr>
                <w:p w14:paraId="5A6F48A5">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437F8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5746B2B7">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476" w:type="pct"/>
                  <w:vMerge w:val="continue"/>
                  <w:shd w:val="clear" w:color="auto" w:fill="auto"/>
                  <w:vAlign w:val="center"/>
                </w:tcPr>
                <w:p w14:paraId="6AF1A4B8">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954" w:type="pct"/>
                  <w:gridSpan w:val="2"/>
                  <w:shd w:val="clear" w:color="auto" w:fill="auto"/>
                  <w:tcMar>
                    <w:left w:w="0" w:type="dxa"/>
                    <w:right w:w="0" w:type="dxa"/>
                  </w:tcMar>
                  <w:vAlign w:val="center"/>
                </w:tcPr>
                <w:p w14:paraId="46704422">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cs="Times New Roman"/>
                      <w:snapToGrid w:val="0"/>
                      <w:color w:val="auto"/>
                      <w:sz w:val="21"/>
                      <w:szCs w:val="21"/>
                      <w:highlight w:val="none"/>
                      <w:lang w:val="en-US" w:eastAsia="zh-CN" w:bidi="ar-SA"/>
                    </w:rPr>
                    <w:t>控制室</w:t>
                  </w:r>
                </w:p>
              </w:tc>
              <w:tc>
                <w:tcPr>
                  <w:tcW w:w="2874" w:type="pct"/>
                  <w:shd w:val="clear" w:color="auto" w:fill="auto"/>
                  <w:vAlign w:val="center"/>
                </w:tcPr>
                <w:p w14:paraId="5487A58D">
                  <w:pPr>
                    <w:keepNext/>
                    <w:keepLines w:val="0"/>
                    <w:pageBreakBefore w:val="0"/>
                    <w:kinsoku/>
                    <w:wordWrap/>
                    <w:overflowPunct/>
                    <w:topLinePunct w:val="0"/>
                    <w:bidi w:val="0"/>
                    <w:spacing w:line="240" w:lineRule="auto"/>
                    <w:ind w:firstLine="0" w:firstLineChars="0"/>
                    <w:outlineLvl w:val="9"/>
                    <w:rPr>
                      <w:rFonts w:hint="default" w:cs="Times New Roman"/>
                      <w:snapToGrid w:val="0"/>
                      <w:color w:val="auto"/>
                      <w:sz w:val="21"/>
                      <w:szCs w:val="21"/>
                      <w:highlight w:val="none"/>
                      <w:lang w:val="en-US" w:eastAsia="zh-CN" w:bidi="ar-SA"/>
                    </w:rPr>
                  </w:pPr>
                  <w:r>
                    <w:rPr>
                      <w:rFonts w:hint="eastAsia" w:cs="Times New Roman"/>
                      <w:snapToGrid w:val="0"/>
                      <w:color w:val="auto"/>
                      <w:sz w:val="21"/>
                      <w:szCs w:val="21"/>
                      <w:highlight w:val="none"/>
                      <w:lang w:val="en-US" w:eastAsia="zh-CN" w:bidi="ar-SA"/>
                    </w:rPr>
                    <w:t>1层，建筑面积61.75m</w:t>
                  </w:r>
                  <w:r>
                    <w:rPr>
                      <w:rFonts w:hint="eastAsia" w:cs="Times New Roman"/>
                      <w:snapToGrid w:val="0"/>
                      <w:color w:val="auto"/>
                      <w:sz w:val="21"/>
                      <w:szCs w:val="21"/>
                      <w:highlight w:val="none"/>
                      <w:vertAlign w:val="superscript"/>
                      <w:lang w:val="en-US" w:eastAsia="zh-CN" w:bidi="ar-SA"/>
                    </w:rPr>
                    <w:t>2</w:t>
                  </w:r>
                  <w:r>
                    <w:rPr>
                      <w:rFonts w:hint="eastAsia" w:cs="Times New Roman"/>
                      <w:snapToGrid w:val="0"/>
                      <w:color w:val="auto"/>
                      <w:sz w:val="21"/>
                      <w:szCs w:val="21"/>
                      <w:highlight w:val="none"/>
                      <w:lang w:val="en-US" w:eastAsia="zh-CN" w:bidi="ar-SA"/>
                    </w:rPr>
                    <w:t>。</w:t>
                  </w:r>
                </w:p>
              </w:tc>
              <w:tc>
                <w:tcPr>
                  <w:tcW w:w="399" w:type="pct"/>
                  <w:shd w:val="clear" w:color="auto" w:fill="auto"/>
                  <w:vAlign w:val="center"/>
                </w:tcPr>
                <w:p w14:paraId="37A85B8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22603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615BE6D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476" w:type="pct"/>
                  <w:vMerge w:val="continue"/>
                  <w:shd w:val="clear" w:color="auto" w:fill="auto"/>
                  <w:vAlign w:val="center"/>
                </w:tcPr>
                <w:p w14:paraId="7E0BA623">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954" w:type="pct"/>
                  <w:gridSpan w:val="2"/>
                  <w:shd w:val="clear" w:color="auto" w:fill="auto"/>
                  <w:tcMar>
                    <w:left w:w="0" w:type="dxa"/>
                    <w:right w:w="0" w:type="dxa"/>
                  </w:tcMar>
                  <w:vAlign w:val="center"/>
                </w:tcPr>
                <w:p w14:paraId="6B521105">
                  <w:pPr>
                    <w:keepNext/>
                    <w:keepLines w:val="0"/>
                    <w:pageBreakBefore w:val="0"/>
                    <w:kinsoku/>
                    <w:wordWrap/>
                    <w:overflowPunct/>
                    <w:topLinePunct w:val="0"/>
                    <w:bidi w:val="0"/>
                    <w:spacing w:line="240" w:lineRule="auto"/>
                    <w:ind w:firstLine="0" w:firstLineChars="0"/>
                    <w:jc w:val="center"/>
                    <w:outlineLvl w:val="9"/>
                    <w:rPr>
                      <w:rFonts w:hint="eastAsia" w:cs="Times New Roman"/>
                      <w:snapToGrid w:val="0"/>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办公生活设施</w:t>
                  </w:r>
                </w:p>
              </w:tc>
              <w:tc>
                <w:tcPr>
                  <w:tcW w:w="2874" w:type="pct"/>
                  <w:shd w:val="clear" w:color="auto" w:fill="auto"/>
                  <w:vAlign w:val="center"/>
                </w:tcPr>
                <w:p w14:paraId="230F9EC5">
                  <w:pPr>
                    <w:keepNext/>
                    <w:keepLines w:val="0"/>
                    <w:pageBreakBefore w:val="0"/>
                    <w:kinsoku/>
                    <w:wordWrap/>
                    <w:overflowPunct/>
                    <w:topLinePunct w:val="0"/>
                    <w:bidi w:val="0"/>
                    <w:spacing w:line="240" w:lineRule="auto"/>
                    <w:ind w:firstLine="0" w:firstLineChars="0"/>
                    <w:outlineLvl w:val="9"/>
                    <w:rPr>
                      <w:rFonts w:hint="eastAsia" w:cs="Times New Roman"/>
                      <w:snapToGrid w:val="0"/>
                      <w:color w:val="auto"/>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依托辽宁红山办公楼和食堂。不新增员工。</w:t>
                  </w:r>
                </w:p>
              </w:tc>
              <w:tc>
                <w:tcPr>
                  <w:tcW w:w="399" w:type="pct"/>
                  <w:shd w:val="clear" w:color="auto" w:fill="auto"/>
                  <w:vAlign w:val="center"/>
                </w:tcPr>
                <w:p w14:paraId="286C988C">
                  <w:pPr>
                    <w:keepNext/>
                    <w:keepLines w:val="0"/>
                    <w:pageBreakBefore w:val="0"/>
                    <w:kinsoku/>
                    <w:wordWrap/>
                    <w:overflowPunct/>
                    <w:topLinePunct w:val="0"/>
                    <w:bidi w:val="0"/>
                    <w:spacing w:line="240" w:lineRule="auto"/>
                    <w:ind w:firstLine="0" w:firstLineChars="0"/>
                    <w:jc w:val="center"/>
                    <w:outlineLvl w:val="9"/>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w:t>
                  </w:r>
                </w:p>
              </w:tc>
            </w:tr>
            <w:tr w14:paraId="6C52B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restart"/>
                  <w:shd w:val="clear" w:color="auto" w:fill="auto"/>
                  <w:vAlign w:val="center"/>
                </w:tcPr>
                <w:p w14:paraId="2DF5286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3</w:t>
                  </w:r>
                </w:p>
              </w:tc>
              <w:tc>
                <w:tcPr>
                  <w:tcW w:w="476" w:type="pct"/>
                  <w:vMerge w:val="restart"/>
                  <w:shd w:val="clear" w:color="auto" w:fill="auto"/>
                  <w:vAlign w:val="center"/>
                </w:tcPr>
                <w:p w14:paraId="4816EF38">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储运</w:t>
                  </w:r>
                  <w:r>
                    <w:rPr>
                      <w:rFonts w:hint="default" w:ascii="Times New Roman" w:hAnsi="Times New Roman" w:cs="Times New Roman"/>
                      <w:color w:val="auto"/>
                      <w:sz w:val="21"/>
                      <w:szCs w:val="21"/>
                      <w:highlight w:val="none"/>
                    </w:rPr>
                    <w:t>工程</w:t>
                  </w:r>
                </w:p>
              </w:tc>
              <w:tc>
                <w:tcPr>
                  <w:tcW w:w="954" w:type="pct"/>
                  <w:gridSpan w:val="2"/>
                  <w:shd w:val="clear" w:color="auto" w:fill="auto"/>
                  <w:tcMar>
                    <w:left w:w="0" w:type="dxa"/>
                    <w:right w:w="0" w:type="dxa"/>
                  </w:tcMar>
                  <w:vAlign w:val="center"/>
                </w:tcPr>
                <w:p w14:paraId="397ABB12">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管壳输送工房及综合材料库</w:t>
                  </w:r>
                </w:p>
              </w:tc>
              <w:tc>
                <w:tcPr>
                  <w:tcW w:w="2874" w:type="pct"/>
                  <w:shd w:val="clear" w:color="auto" w:fill="auto"/>
                  <w:vAlign w:val="center"/>
                </w:tcPr>
                <w:p w14:paraId="3A9AC821">
                  <w:pPr>
                    <w:keepNext/>
                    <w:keepLines w:val="0"/>
                    <w:pageBreakBefore w:val="0"/>
                    <w:kinsoku/>
                    <w:wordWrap/>
                    <w:overflowPunct/>
                    <w:topLinePunct w:val="0"/>
                    <w:bidi w:val="0"/>
                    <w:spacing w:line="240" w:lineRule="auto"/>
                    <w:ind w:firstLine="0"/>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1层，建筑面积</w:t>
                  </w:r>
                  <w:r>
                    <w:rPr>
                      <w:rFonts w:hint="eastAsia" w:cs="Times New Roman"/>
                      <w:snapToGrid w:val="0"/>
                      <w:color w:val="auto"/>
                      <w:sz w:val="21"/>
                      <w:szCs w:val="21"/>
                      <w:highlight w:val="none"/>
                      <w:lang w:val="en-US" w:eastAsia="zh-CN" w:bidi="ar-SA"/>
                    </w:rPr>
                    <w:t>439.55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vertAlign w:val="baseline"/>
                      <w:lang w:val="en-US" w:eastAsia="zh-CN"/>
                    </w:rPr>
                    <w:t>，存放</w:t>
                  </w:r>
                  <w:r>
                    <w:rPr>
                      <w:rFonts w:hint="eastAsia" w:ascii="宋体" w:hAnsi="宋体" w:eastAsia="宋体" w:cs="宋体"/>
                      <w:color w:val="auto"/>
                      <w:kern w:val="0"/>
                      <w:sz w:val="21"/>
                      <w:szCs w:val="21"/>
                      <w:highlight w:val="none"/>
                      <w:lang w:val="en-US" w:eastAsia="zh-CN" w:bidi="ar"/>
                    </w:rPr>
                    <w:t>壳</w:t>
                  </w:r>
                  <w:r>
                    <w:rPr>
                      <w:rFonts w:hint="eastAsia" w:ascii="宋体" w:hAnsi="宋体" w:cs="宋体"/>
                      <w:color w:val="auto"/>
                      <w:kern w:val="0"/>
                      <w:sz w:val="21"/>
                      <w:szCs w:val="21"/>
                      <w:highlight w:val="none"/>
                      <w:lang w:val="en-US" w:eastAsia="zh-CN" w:bidi="ar"/>
                    </w:rPr>
                    <w:t>体、连接套等。</w:t>
                  </w:r>
                </w:p>
              </w:tc>
              <w:tc>
                <w:tcPr>
                  <w:tcW w:w="399" w:type="pct"/>
                  <w:shd w:val="clear" w:color="auto" w:fill="auto"/>
                  <w:vAlign w:val="center"/>
                </w:tcPr>
                <w:p w14:paraId="2BCEA40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pt-BR" w:eastAsia="zh-CN"/>
                    </w:rPr>
                  </w:pPr>
                  <w:r>
                    <w:rPr>
                      <w:rFonts w:hint="eastAsia" w:cs="Times New Roman"/>
                      <w:color w:val="auto"/>
                      <w:sz w:val="21"/>
                      <w:szCs w:val="21"/>
                      <w:highlight w:val="none"/>
                      <w:lang w:val="en-US" w:eastAsia="zh-CN"/>
                    </w:rPr>
                    <w:t>新建</w:t>
                  </w:r>
                </w:p>
              </w:tc>
            </w:tr>
            <w:tr w14:paraId="261F0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245D1C17">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476" w:type="pct"/>
                  <w:vMerge w:val="continue"/>
                  <w:shd w:val="clear" w:color="auto" w:fill="auto"/>
                  <w:vAlign w:val="center"/>
                </w:tcPr>
                <w:p w14:paraId="0BE744C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954" w:type="pct"/>
                  <w:gridSpan w:val="2"/>
                  <w:shd w:val="clear" w:color="auto" w:fill="auto"/>
                  <w:tcMar>
                    <w:left w:w="0" w:type="dxa"/>
                    <w:right w:w="0" w:type="dxa"/>
                  </w:tcMar>
                  <w:vAlign w:val="center"/>
                </w:tcPr>
                <w:p w14:paraId="01C2BAC3">
                  <w:pPr>
                    <w:keepNext/>
                    <w:keepLines w:val="0"/>
                    <w:pageBreakBefore w:val="0"/>
                    <w:kinsoku/>
                    <w:wordWrap/>
                    <w:overflowPunct/>
                    <w:topLinePunct w:val="0"/>
                    <w:bidi w:val="0"/>
                    <w:spacing w:line="240" w:lineRule="auto"/>
                    <w:ind w:firstLine="0" w:firstLineChars="0"/>
                    <w:jc w:val="center"/>
                    <w:outlineLvl w:val="9"/>
                    <w:rPr>
                      <w:rFonts w:hint="default"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硝酸铵（硝酸钠）库</w:t>
                  </w:r>
                </w:p>
              </w:tc>
              <w:tc>
                <w:tcPr>
                  <w:tcW w:w="2874" w:type="pct"/>
                  <w:shd w:val="clear" w:color="auto" w:fill="auto"/>
                  <w:vAlign w:val="center"/>
                </w:tcPr>
                <w:p w14:paraId="088F4A37">
                  <w:pPr>
                    <w:keepNext/>
                    <w:keepLines w:val="0"/>
                    <w:pageBreakBefore w:val="0"/>
                    <w:kinsoku/>
                    <w:wordWrap/>
                    <w:overflowPunct/>
                    <w:topLinePunct w:val="0"/>
                    <w:bidi w:val="0"/>
                    <w:spacing w:line="240" w:lineRule="auto"/>
                    <w:ind w:firstLine="0"/>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lang w:val="en-US" w:eastAsia="zh-CN" w:bidi="ar-SA"/>
                    </w:rPr>
                    <w:t>1层，建筑面积</w:t>
                  </w:r>
                  <w:r>
                    <w:rPr>
                      <w:rFonts w:hint="eastAsia" w:cs="Times New Roman"/>
                      <w:snapToGrid w:val="0"/>
                      <w:color w:val="auto"/>
                      <w:sz w:val="21"/>
                      <w:szCs w:val="21"/>
                      <w:highlight w:val="none"/>
                      <w:lang w:val="en-US" w:eastAsia="zh-CN" w:bidi="ar-SA"/>
                    </w:rPr>
                    <w:t>653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snapToGrid w:val="0"/>
                      <w:color w:val="auto"/>
                      <w:sz w:val="21"/>
                      <w:szCs w:val="21"/>
                      <w:highlight w:val="none"/>
                      <w:lang w:val="en-US" w:eastAsia="zh-CN" w:bidi="ar-SA"/>
                    </w:rPr>
                    <w:t>，</w:t>
                  </w:r>
                  <w:r>
                    <w:rPr>
                      <w:rFonts w:hint="eastAsia" w:ascii="Times New Roman" w:hAnsi="Times New Roman" w:eastAsia="宋体" w:cs="Times New Roman"/>
                      <w:color w:val="auto"/>
                      <w:sz w:val="21"/>
                      <w:szCs w:val="21"/>
                      <w:highlight w:val="none"/>
                      <w:vertAlign w:val="baseline"/>
                      <w:lang w:val="en-US" w:eastAsia="zh-CN"/>
                    </w:rPr>
                    <w:t>存放颗粒状硝酸钠，硝酸钠的储存能力为200t。</w:t>
                  </w:r>
                </w:p>
              </w:tc>
              <w:tc>
                <w:tcPr>
                  <w:tcW w:w="399" w:type="pct"/>
                  <w:shd w:val="clear" w:color="auto" w:fill="auto"/>
                  <w:vAlign w:val="center"/>
                </w:tcPr>
                <w:p w14:paraId="1B3F6D2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新建</w:t>
                  </w:r>
                </w:p>
              </w:tc>
            </w:tr>
            <w:tr w14:paraId="1CE3D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7D7E9F48">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476" w:type="pct"/>
                  <w:vMerge w:val="continue"/>
                  <w:shd w:val="clear" w:color="auto" w:fill="auto"/>
                  <w:vAlign w:val="center"/>
                </w:tcPr>
                <w:p w14:paraId="5695AAA3">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954" w:type="pct"/>
                  <w:gridSpan w:val="2"/>
                  <w:shd w:val="clear" w:color="auto" w:fill="auto"/>
                  <w:tcMar>
                    <w:left w:w="0" w:type="dxa"/>
                    <w:right w:w="0" w:type="dxa"/>
                  </w:tcMar>
                  <w:vAlign w:val="center"/>
                </w:tcPr>
                <w:p w14:paraId="6C714987">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rPr>
                  </w:pPr>
                  <w:r>
                    <w:rPr>
                      <w:rFonts w:hint="eastAsia" w:ascii="宋体" w:hAnsi="宋体" w:eastAsia="宋体" w:cs="宋体"/>
                      <w:color w:val="auto"/>
                      <w:kern w:val="0"/>
                      <w:sz w:val="21"/>
                      <w:szCs w:val="21"/>
                      <w:highlight w:val="none"/>
                      <w:lang w:val="en-US" w:eastAsia="zh-CN" w:bidi="ar"/>
                    </w:rPr>
                    <w:t>硝酸铵溶液储罐区</w:t>
                  </w:r>
                </w:p>
              </w:tc>
              <w:tc>
                <w:tcPr>
                  <w:tcW w:w="2874" w:type="pct"/>
                  <w:shd w:val="clear" w:color="auto" w:fill="auto"/>
                  <w:vAlign w:val="center"/>
                </w:tcPr>
                <w:p w14:paraId="1D26710F">
                  <w:pPr>
                    <w:keepNext/>
                    <w:keepLines w:val="0"/>
                    <w:pageBreakBefore w:val="0"/>
                    <w:kinsoku/>
                    <w:wordWrap/>
                    <w:overflowPunct/>
                    <w:topLinePunct w:val="0"/>
                    <w:bidi w:val="0"/>
                    <w:spacing w:line="240" w:lineRule="auto"/>
                    <w:ind w:firstLine="0"/>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w:t>
                  </w:r>
                  <w:r>
                    <w:rPr>
                      <w:rFonts w:hint="eastAsia" w:cs="Times New Roman"/>
                      <w:color w:val="auto"/>
                      <w:sz w:val="21"/>
                      <w:szCs w:val="21"/>
                      <w:highlight w:val="none"/>
                      <w:lang w:val="en-US" w:eastAsia="zh-CN"/>
                    </w:rPr>
                    <w:t>180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新建2个</w:t>
                  </w:r>
                  <w:r>
                    <w:rPr>
                      <w:rFonts w:hint="eastAsia" w:ascii="Times New Roman" w:hAnsi="Times New Roman" w:eastAsia="宋体" w:cs="Times New Roman"/>
                      <w:color w:val="auto"/>
                      <w:sz w:val="21"/>
                      <w:szCs w:val="21"/>
                      <w:highlight w:val="none"/>
                      <w:lang w:val="en-US" w:eastAsia="zh-CN"/>
                    </w:rPr>
                    <w:t>有效容积</w:t>
                  </w:r>
                  <w:r>
                    <w:rPr>
                      <w:rFonts w:hint="default" w:ascii="Times New Roman" w:hAnsi="Times New Roman" w:eastAsia="宋体" w:cs="Times New Roman"/>
                      <w:color w:val="auto"/>
                      <w:sz w:val="21"/>
                      <w:szCs w:val="21"/>
                      <w:highlight w:val="none"/>
                      <w:lang w:val="en-US" w:eastAsia="zh-CN"/>
                    </w:rPr>
                    <w:t>40m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vertAlign w:val="baseline"/>
                      <w:lang w:val="en-US" w:eastAsia="zh-CN"/>
                    </w:rPr>
                    <w:t>的</w:t>
                  </w:r>
                  <w:r>
                    <w:rPr>
                      <w:rFonts w:hint="default" w:ascii="Times New Roman" w:hAnsi="Times New Roman" w:eastAsia="宋体" w:cs="Times New Roman"/>
                      <w:color w:val="auto"/>
                      <w:sz w:val="21"/>
                      <w:szCs w:val="21"/>
                      <w:highlight w:val="none"/>
                      <w:vertAlign w:val="baseline"/>
                      <w:lang w:val="en-US" w:eastAsia="zh-CN"/>
                    </w:rPr>
                    <w:t>不锈钢</w:t>
                  </w:r>
                  <w:r>
                    <w:rPr>
                      <w:rFonts w:hint="default" w:ascii="Times New Roman" w:hAnsi="Times New Roman" w:eastAsia="宋体" w:cs="Times New Roman"/>
                      <w:color w:val="auto"/>
                      <w:sz w:val="21"/>
                      <w:szCs w:val="21"/>
                      <w:highlight w:val="none"/>
                      <w:lang w:val="en-US" w:eastAsia="zh-CN"/>
                    </w:rPr>
                    <w:t>硝酸铵溶液储罐，常</w:t>
                  </w:r>
                  <w:r>
                    <w:rPr>
                      <w:rFonts w:hint="default" w:cs="Times New Roman"/>
                      <w:color w:val="auto"/>
                      <w:sz w:val="21"/>
                      <w:szCs w:val="21"/>
                      <w:highlight w:val="none"/>
                      <w:lang w:val="en-US" w:eastAsia="zh-CN"/>
                    </w:rPr>
                    <w:t>压，80~100℃保温</w:t>
                  </w:r>
                  <w:r>
                    <w:rPr>
                      <w:rFonts w:hint="default" w:ascii="Times New Roman" w:hAnsi="Times New Roman" w:eastAsia="宋体" w:cs="Times New Roman"/>
                      <w:color w:val="auto"/>
                      <w:sz w:val="21"/>
                      <w:szCs w:val="21"/>
                      <w:highlight w:val="none"/>
                      <w:lang w:val="en-US" w:eastAsia="zh-CN"/>
                    </w:rPr>
                    <w:t>。</w:t>
                  </w:r>
                </w:p>
              </w:tc>
              <w:tc>
                <w:tcPr>
                  <w:tcW w:w="399" w:type="pct"/>
                  <w:shd w:val="clear" w:color="auto" w:fill="auto"/>
                  <w:vAlign w:val="center"/>
                </w:tcPr>
                <w:p w14:paraId="27E68F6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新建</w:t>
                  </w:r>
                </w:p>
              </w:tc>
            </w:tr>
            <w:tr w14:paraId="22C6B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Merge w:val="continue"/>
                  <w:shd w:val="clear" w:color="auto" w:fill="auto"/>
                  <w:vAlign w:val="center"/>
                </w:tcPr>
                <w:p w14:paraId="40C2DB63">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476" w:type="pct"/>
                  <w:vMerge w:val="continue"/>
                  <w:shd w:val="clear" w:color="auto" w:fill="auto"/>
                  <w:vAlign w:val="center"/>
                </w:tcPr>
                <w:p w14:paraId="7B04F6BF">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954" w:type="pct"/>
                  <w:gridSpan w:val="2"/>
                  <w:shd w:val="clear" w:color="auto" w:fill="auto"/>
                  <w:tcMar>
                    <w:left w:w="0" w:type="dxa"/>
                    <w:right w:w="0" w:type="dxa"/>
                  </w:tcMar>
                  <w:vAlign w:val="center"/>
                </w:tcPr>
                <w:p w14:paraId="59CB27A4">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成品中转站</w:t>
                  </w:r>
                </w:p>
                <w:p w14:paraId="011C601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2874" w:type="pct"/>
                  <w:shd w:val="clear" w:color="auto" w:fill="auto"/>
                  <w:vAlign w:val="center"/>
                </w:tcPr>
                <w:p w14:paraId="3ADB8767">
                  <w:pPr>
                    <w:keepNext/>
                    <w:keepLines w:val="0"/>
                    <w:pageBreakBefore w:val="0"/>
                    <w:kinsoku/>
                    <w:wordWrap/>
                    <w:overflowPunct/>
                    <w:topLinePunct w:val="0"/>
                    <w:bidi w:val="0"/>
                    <w:spacing w:line="240" w:lineRule="auto"/>
                    <w:ind w:firstLine="0"/>
                    <w:outlineLvl w:val="9"/>
                    <w:rPr>
                      <w:rFonts w:hint="default" w:ascii="Times New Roman" w:hAnsi="Times New Roman" w:eastAsia="宋体" w:cs="Times New Roman"/>
                      <w:snapToGrid w:val="0"/>
                      <w:color w:val="auto"/>
                      <w:sz w:val="21"/>
                      <w:szCs w:val="21"/>
                      <w:highlight w:val="yellow"/>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占地面积</w:t>
                  </w:r>
                  <w:r>
                    <w:rPr>
                      <w:rFonts w:hint="eastAsia" w:cs="Times New Roman"/>
                      <w:snapToGrid w:val="0"/>
                      <w:color w:val="auto"/>
                      <w:sz w:val="21"/>
                      <w:szCs w:val="21"/>
                      <w:highlight w:val="none"/>
                      <w:lang w:val="en-US" w:eastAsia="zh-CN" w:bidi="ar-SA"/>
                    </w:rPr>
                    <w:t>99.75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eastAsia" w:cs="Times New Roman"/>
                      <w:snapToGrid w:val="0"/>
                      <w:color w:val="auto"/>
                      <w:sz w:val="21"/>
                      <w:szCs w:val="21"/>
                      <w:highlight w:val="none"/>
                      <w:lang w:val="en-US" w:eastAsia="zh-CN" w:bidi="ar-SA"/>
                    </w:rPr>
                    <w:t>，</w:t>
                  </w:r>
                  <w:r>
                    <w:rPr>
                      <w:rFonts w:hint="eastAsia" w:ascii="Times New Roman" w:hAnsi="Times New Roman" w:eastAsia="宋体" w:cs="Times New Roman"/>
                      <w:color w:val="auto"/>
                      <w:sz w:val="21"/>
                      <w:szCs w:val="21"/>
                      <w:highlight w:val="none"/>
                      <w:lang w:val="en-US" w:eastAsia="zh-CN"/>
                    </w:rPr>
                    <w:t>新</w:t>
                  </w:r>
                  <w:r>
                    <w:rPr>
                      <w:rFonts w:hint="eastAsia" w:cs="Times New Roman"/>
                      <w:color w:val="auto"/>
                      <w:sz w:val="21"/>
                      <w:szCs w:val="21"/>
                      <w:highlight w:val="none"/>
                      <w:lang w:val="en-US" w:eastAsia="zh-CN"/>
                    </w:rPr>
                    <w:t>建一套</w:t>
                  </w:r>
                  <w:r>
                    <w:rPr>
                      <w:rFonts w:hint="default" w:ascii="Times New Roman" w:hAnsi="Times New Roman" w:eastAsia="宋体" w:cs="Times New Roman"/>
                      <w:color w:val="auto"/>
                      <w:sz w:val="21"/>
                      <w:szCs w:val="21"/>
                      <w:highlight w:val="none"/>
                      <w:lang w:val="en-US" w:eastAsia="zh-CN"/>
                    </w:rPr>
                    <w:t>湖南金能自动化提供的KNACPM 型工业炸药成品箱</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袋</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自动上车系统</w:t>
                  </w:r>
                </w:p>
              </w:tc>
              <w:tc>
                <w:tcPr>
                  <w:tcW w:w="399" w:type="pct"/>
                  <w:shd w:val="clear" w:color="auto" w:fill="auto"/>
                  <w:vAlign w:val="center"/>
                </w:tcPr>
                <w:p w14:paraId="3FB4B333">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新建</w:t>
                  </w:r>
                </w:p>
              </w:tc>
            </w:tr>
            <w:tr w14:paraId="2DA40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37D11B6D">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476" w:type="pct"/>
                  <w:vMerge w:val="continue"/>
                  <w:shd w:val="clear" w:color="auto" w:fill="auto"/>
                  <w:vAlign w:val="center"/>
                </w:tcPr>
                <w:p w14:paraId="708CB09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954" w:type="pct"/>
                  <w:gridSpan w:val="2"/>
                  <w:shd w:val="clear" w:color="auto" w:fill="auto"/>
                  <w:tcMar>
                    <w:left w:w="0" w:type="dxa"/>
                    <w:right w:w="0" w:type="dxa"/>
                  </w:tcMar>
                  <w:vAlign w:val="center"/>
                </w:tcPr>
                <w:p w14:paraId="3C43278D">
                  <w:pPr>
                    <w:keepNext/>
                    <w:keepLines w:val="0"/>
                    <w:pageBreakBefore w:val="0"/>
                    <w:kinsoku/>
                    <w:wordWrap/>
                    <w:overflowPunct/>
                    <w:topLinePunct w:val="0"/>
                    <w:bidi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总库区</w:t>
                  </w:r>
                </w:p>
              </w:tc>
              <w:tc>
                <w:tcPr>
                  <w:tcW w:w="2874" w:type="pct"/>
                  <w:shd w:val="clear" w:color="auto" w:fill="auto"/>
                  <w:vAlign w:val="center"/>
                </w:tcPr>
                <w:p w14:paraId="6CFBD7DE">
                  <w:pPr>
                    <w:keepNext/>
                    <w:keepLines w:val="0"/>
                    <w:pageBreakBefore w:val="0"/>
                    <w:kinsoku/>
                    <w:wordWrap/>
                    <w:overflowPunct/>
                    <w:topLinePunct w:val="0"/>
                    <w:bidi w:val="0"/>
                    <w:spacing w:line="240" w:lineRule="auto"/>
                    <w:ind w:firstLine="0" w:firstLineChars="0"/>
                    <w:rPr>
                      <w:rFonts w:hint="default" w:ascii="Times New Roman" w:hAnsi="Times New Roman" w:eastAsia="宋体" w:cs="Times New Roman"/>
                      <w:snapToGrid w:val="0"/>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依托现有，总储存量581t。</w:t>
                  </w:r>
                </w:p>
              </w:tc>
              <w:tc>
                <w:tcPr>
                  <w:tcW w:w="399" w:type="pct"/>
                  <w:shd w:val="clear" w:color="auto" w:fill="auto"/>
                  <w:vAlign w:val="center"/>
                </w:tcPr>
                <w:p w14:paraId="22FF9043">
                  <w:pPr>
                    <w:keepNext/>
                    <w:keepLines w:val="0"/>
                    <w:pageBreakBefore w:val="0"/>
                    <w:kinsoku/>
                    <w:wordWrap/>
                    <w:overflowPunct/>
                    <w:topLinePunct w:val="0"/>
                    <w:bidi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w:t>
                  </w:r>
                </w:p>
              </w:tc>
            </w:tr>
            <w:tr w14:paraId="15220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restart"/>
                  <w:shd w:val="clear" w:color="auto" w:fill="auto"/>
                  <w:vAlign w:val="center"/>
                </w:tcPr>
                <w:p w14:paraId="64C5612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4</w:t>
                  </w:r>
                </w:p>
              </w:tc>
              <w:tc>
                <w:tcPr>
                  <w:tcW w:w="476" w:type="pct"/>
                  <w:vMerge w:val="restart"/>
                  <w:shd w:val="clear" w:color="auto" w:fill="auto"/>
                  <w:vAlign w:val="center"/>
                </w:tcPr>
                <w:p w14:paraId="5029107C">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w:t>
                  </w:r>
                </w:p>
                <w:p w14:paraId="48A2CC34">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w:t>
                  </w:r>
                </w:p>
              </w:tc>
              <w:tc>
                <w:tcPr>
                  <w:tcW w:w="954" w:type="pct"/>
                  <w:gridSpan w:val="2"/>
                  <w:shd w:val="clear" w:color="auto" w:fill="auto"/>
                  <w:tcMar>
                    <w:left w:w="0" w:type="dxa"/>
                    <w:right w:w="0" w:type="dxa"/>
                  </w:tcMar>
                  <w:vAlign w:val="center"/>
                </w:tcPr>
                <w:p w14:paraId="5B66FE54">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给水</w:t>
                  </w:r>
                </w:p>
              </w:tc>
              <w:tc>
                <w:tcPr>
                  <w:tcW w:w="2874" w:type="pct"/>
                  <w:shd w:val="clear" w:color="auto" w:fill="auto"/>
                  <w:vAlign w:val="center"/>
                </w:tcPr>
                <w:p w14:paraId="59595395">
                  <w:pPr>
                    <w:keepNext/>
                    <w:keepLines w:val="0"/>
                    <w:pageBreakBefore w:val="0"/>
                    <w:kinsoku/>
                    <w:wordWrap/>
                    <w:overflowPunct/>
                    <w:topLinePunct w:val="0"/>
                    <w:bidi w:val="0"/>
                    <w:spacing w:line="240" w:lineRule="auto"/>
                    <w:ind w:firstLine="0"/>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依托</w:t>
                  </w:r>
                  <w:r>
                    <w:rPr>
                      <w:rFonts w:hint="eastAsia" w:ascii="Times New Roman" w:hAnsi="Times New Roman" w:cs="Times New Roman"/>
                      <w:color w:val="auto"/>
                      <w:sz w:val="21"/>
                      <w:szCs w:val="21"/>
                      <w:highlight w:val="none"/>
                      <w:lang w:val="en-US" w:eastAsia="zh-CN"/>
                    </w:rPr>
                    <w:t>辽宁红山深水井供</w:t>
                  </w:r>
                  <w:r>
                    <w:rPr>
                      <w:rFonts w:hint="default" w:ascii="Times New Roman" w:hAnsi="Times New Roman" w:cs="Times New Roman"/>
                      <w:color w:val="auto"/>
                      <w:sz w:val="21"/>
                      <w:szCs w:val="21"/>
                      <w:highlight w:val="none"/>
                      <w:lang w:val="en-US" w:eastAsia="zh-CN"/>
                    </w:rPr>
                    <w:t>水</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总出水能力59.8m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/h，已办理取水证</w:t>
                  </w:r>
                  <w:r>
                    <w:rPr>
                      <w:rFonts w:hint="default" w:ascii="Times New Roman" w:hAnsi="Times New Roman" w:cs="Times New Roman"/>
                      <w:color w:val="auto"/>
                      <w:sz w:val="21"/>
                      <w:szCs w:val="21"/>
                      <w:highlight w:val="none"/>
                      <w:lang w:eastAsia="zh-CN"/>
                    </w:rPr>
                    <w:t>。</w:t>
                  </w:r>
                </w:p>
              </w:tc>
              <w:tc>
                <w:tcPr>
                  <w:tcW w:w="399" w:type="pct"/>
                  <w:shd w:val="clear" w:color="auto" w:fill="auto"/>
                  <w:vAlign w:val="center"/>
                </w:tcPr>
                <w:p w14:paraId="43B2423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pt-BR"/>
                    </w:rPr>
                  </w:pPr>
                  <w:r>
                    <w:rPr>
                      <w:rFonts w:hint="default" w:ascii="Times New Roman" w:hAnsi="Times New Roman" w:cs="Times New Roman"/>
                      <w:color w:val="auto"/>
                      <w:sz w:val="21"/>
                      <w:szCs w:val="21"/>
                      <w:highlight w:val="none"/>
                      <w:lang w:val="pt-BR"/>
                    </w:rPr>
                    <w:t>依托</w:t>
                  </w:r>
                </w:p>
              </w:tc>
            </w:tr>
            <w:tr w14:paraId="267AA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0D5C76D3">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7C72FD9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2901043F">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2874" w:type="pct"/>
                  <w:shd w:val="clear" w:color="auto" w:fill="auto"/>
                  <w:vAlign w:val="center"/>
                </w:tcPr>
                <w:p w14:paraId="52F67078">
                  <w:pPr>
                    <w:keepNext/>
                    <w:keepLines w:val="0"/>
                    <w:pageBreakBefore w:val="0"/>
                    <w:kinsoku/>
                    <w:wordWrap/>
                    <w:overflowPunct/>
                    <w:topLinePunct w:val="0"/>
                    <w:bidi w:val="0"/>
                    <w:spacing w:line="240" w:lineRule="auto"/>
                    <w:ind w:firstLine="0"/>
                    <w:outlineLvl w:val="9"/>
                    <w:rPr>
                      <w:rFonts w:hint="default" w:ascii="Times New Roman" w:hAnsi="Times New Roman" w:cs="Times New Roman" w:eastAsiaTheme="minorEastAsia"/>
                      <w:color w:val="auto"/>
                      <w:sz w:val="21"/>
                      <w:szCs w:val="21"/>
                      <w:highlight w:val="none"/>
                      <w:lang w:val="en-US" w:eastAsia="zh-CN"/>
                    </w:rPr>
                  </w:pPr>
                  <w:r>
                    <w:rPr>
                      <w:rFonts w:hint="eastAsia" w:cs="Times New Roman"/>
                      <w:color w:val="auto"/>
                      <w:sz w:val="21"/>
                      <w:szCs w:val="21"/>
                      <w:highlight w:val="none"/>
                      <w:lang w:val="en-US" w:eastAsia="zh-CN"/>
                    </w:rPr>
                    <w:t>新建2座隔油沉淀池，</w:t>
                  </w:r>
                  <w:r>
                    <w:rPr>
                      <w:rFonts w:hint="default" w:ascii="Times New Roman" w:hAnsi="Times New Roman" w:cs="Times New Roman"/>
                      <w:color w:val="auto"/>
                      <w:sz w:val="21"/>
                      <w:szCs w:val="21"/>
                      <w:highlight w:val="none"/>
                      <w:lang w:val="en-US" w:eastAsia="zh-CN"/>
                    </w:rPr>
                    <w:t>车间地面</w:t>
                  </w:r>
                  <w:r>
                    <w:rPr>
                      <w:rFonts w:hint="eastAsia" w:ascii="Times New Roman" w:hAnsi="Times New Roman" w:cs="Times New Roman"/>
                      <w:color w:val="auto"/>
                      <w:sz w:val="21"/>
                      <w:szCs w:val="21"/>
                      <w:highlight w:val="none"/>
                      <w:lang w:val="en-US" w:eastAsia="zh-CN"/>
                    </w:rPr>
                    <w:t>清</w:t>
                  </w:r>
                  <w:r>
                    <w:rPr>
                      <w:rFonts w:hint="default" w:ascii="Times New Roman" w:hAnsi="Times New Roman" w:cs="Times New Roman"/>
                      <w:color w:val="auto"/>
                      <w:sz w:val="21"/>
                      <w:szCs w:val="21"/>
                      <w:highlight w:val="none"/>
                      <w:lang w:val="en-US" w:eastAsia="zh-CN"/>
                    </w:rPr>
                    <w:t>洗和设备冲洗</w:t>
                  </w:r>
                  <w:r>
                    <w:rPr>
                      <w:rFonts w:hint="eastAsia" w:ascii="Times New Roman" w:hAnsi="Times New Roman" w:cs="Times New Roman"/>
                      <w:color w:val="auto"/>
                      <w:sz w:val="21"/>
                      <w:szCs w:val="21"/>
                      <w:highlight w:val="none"/>
                      <w:lang w:val="en-US" w:eastAsia="zh-CN"/>
                    </w:rPr>
                    <w:t>废</w:t>
                  </w:r>
                  <w:r>
                    <w:rPr>
                      <w:rFonts w:hint="default" w:ascii="Times New Roman" w:hAnsi="Times New Roman" w:cs="Times New Roman"/>
                      <w:color w:val="auto"/>
                      <w:sz w:val="21"/>
                      <w:szCs w:val="21"/>
                      <w:highlight w:val="none"/>
                      <w:lang w:val="en-US" w:eastAsia="zh-CN"/>
                    </w:rPr>
                    <w:t>水</w:t>
                  </w:r>
                  <w:r>
                    <w:rPr>
                      <w:rFonts w:hint="eastAsia" w:cs="Times New Roman"/>
                      <w:color w:val="auto"/>
                      <w:sz w:val="21"/>
                      <w:szCs w:val="21"/>
                      <w:highlight w:val="none"/>
                      <w:lang w:val="en-US" w:eastAsia="zh-CN"/>
                    </w:rPr>
                    <w:t>经</w:t>
                  </w:r>
                  <w:r>
                    <w:rPr>
                      <w:rFonts w:hint="default" w:ascii="Times New Roman" w:hAnsi="Times New Roman" w:cs="Times New Roman"/>
                      <w:color w:val="auto"/>
                      <w:sz w:val="21"/>
                      <w:szCs w:val="21"/>
                      <w:highlight w:val="none"/>
                      <w:lang w:val="en-US" w:eastAsia="zh-CN"/>
                    </w:rPr>
                    <w:t>隔油沉淀池</w:t>
                  </w:r>
                  <w:r>
                    <w:rPr>
                      <w:rFonts w:hint="eastAsia" w:ascii="Times New Roman" w:hAnsi="Times New Roman" w:cs="Times New Roman"/>
                      <w:color w:val="auto"/>
                      <w:sz w:val="21"/>
                      <w:szCs w:val="21"/>
                      <w:highlight w:val="none"/>
                      <w:lang w:val="en-US" w:eastAsia="zh-CN"/>
                    </w:rPr>
                    <w:t>预</w:t>
                  </w:r>
                  <w:r>
                    <w:rPr>
                      <w:rFonts w:hint="default" w:ascii="Times New Roman" w:hAnsi="Times New Roman" w:cs="Times New Roman"/>
                      <w:color w:val="auto"/>
                      <w:sz w:val="21"/>
                      <w:szCs w:val="21"/>
                      <w:highlight w:val="none"/>
                      <w:lang w:val="en-US" w:eastAsia="zh-CN"/>
                    </w:rPr>
                    <w:t>处理后</w:t>
                  </w:r>
                  <w:r>
                    <w:rPr>
                      <w:rFonts w:hint="eastAsia" w:cs="Times New Roman"/>
                      <w:color w:val="auto"/>
                      <w:sz w:val="21"/>
                      <w:szCs w:val="21"/>
                      <w:highlight w:val="none"/>
                      <w:lang w:val="en-US" w:eastAsia="zh-CN"/>
                    </w:rPr>
                    <w:t>经管道输送</w:t>
                  </w:r>
                  <w:r>
                    <w:rPr>
                      <w:rFonts w:hint="eastAsia" w:ascii="Times New Roman" w:hAnsi="Times New Roman" w:cs="Times New Roman"/>
                      <w:color w:val="auto"/>
                      <w:sz w:val="21"/>
                      <w:szCs w:val="21"/>
                      <w:highlight w:val="none"/>
                      <w:lang w:val="en-US" w:eastAsia="zh-CN"/>
                    </w:rPr>
                    <w:t>排入辽宁红山污水处理站处理后</w:t>
                  </w:r>
                  <w:r>
                    <w:rPr>
                      <w:rFonts w:hint="default" w:ascii="Times New Roman" w:hAnsi="Times New Roman" w:cs="Times New Roman"/>
                      <w:color w:val="auto"/>
                      <w:sz w:val="21"/>
                      <w:szCs w:val="21"/>
                      <w:highlight w:val="none"/>
                      <w:lang w:val="en-US" w:eastAsia="zh-CN"/>
                    </w:rPr>
                    <w:t>用于</w:t>
                  </w:r>
                  <w:r>
                    <w:rPr>
                      <w:rFonts w:hint="eastAsia" w:cs="Times New Roman"/>
                      <w:color w:val="auto"/>
                      <w:sz w:val="21"/>
                      <w:szCs w:val="21"/>
                      <w:highlight w:val="none"/>
                      <w:lang w:val="en-US" w:eastAsia="zh-CN"/>
                    </w:rPr>
                    <w:t>厂区</w:t>
                  </w:r>
                  <w:r>
                    <w:rPr>
                      <w:rFonts w:hint="eastAsia" w:ascii="Times New Roman" w:hAnsi="Times New Roman" w:cs="Times New Roman"/>
                      <w:color w:val="auto"/>
                      <w:sz w:val="21"/>
                      <w:szCs w:val="21"/>
                      <w:highlight w:val="none"/>
                      <w:lang w:val="en-US" w:eastAsia="zh-CN"/>
                    </w:rPr>
                    <w:t>道路洒扫</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本次</w:t>
                  </w:r>
                  <w:r>
                    <w:rPr>
                      <w:rFonts w:hint="default" w:ascii="Times New Roman" w:hAnsi="Times New Roman" w:cs="Times New Roman"/>
                      <w:color w:val="auto"/>
                      <w:sz w:val="21"/>
                      <w:szCs w:val="21"/>
                      <w:highlight w:val="none"/>
                      <w:lang w:val="en-US" w:eastAsia="zh-CN"/>
                    </w:rPr>
                    <w:t>不新增生活污水。</w:t>
                  </w:r>
                </w:p>
              </w:tc>
              <w:tc>
                <w:tcPr>
                  <w:tcW w:w="399" w:type="pct"/>
                  <w:shd w:val="clear" w:color="auto" w:fill="auto"/>
                  <w:vAlign w:val="center"/>
                </w:tcPr>
                <w:p w14:paraId="78882CB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7DCBA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07B0704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4BF79DFD">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6530BFC4">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供热</w:t>
                  </w:r>
                </w:p>
              </w:tc>
              <w:tc>
                <w:tcPr>
                  <w:tcW w:w="2874" w:type="pct"/>
                  <w:shd w:val="clear" w:color="auto" w:fill="auto"/>
                  <w:vAlign w:val="center"/>
                </w:tcPr>
                <w:p w14:paraId="28CAC297">
                  <w:pPr>
                    <w:keepNext/>
                    <w:keepLines w:val="0"/>
                    <w:pageBreakBefore w:val="0"/>
                    <w:kinsoku/>
                    <w:wordWrap/>
                    <w:overflowPunct/>
                    <w:topLinePunct w:val="0"/>
                    <w:bidi w:val="0"/>
                    <w:spacing w:line="240" w:lineRule="auto"/>
                    <w:ind w:firstLine="0"/>
                    <w:outlineLvl w:val="9"/>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生产用热</w:t>
                  </w:r>
                  <w:r>
                    <w:rPr>
                      <w:rFonts w:hint="eastAsia" w:cs="Times New Roman"/>
                      <w:color w:val="auto"/>
                      <w:sz w:val="21"/>
                      <w:szCs w:val="21"/>
                      <w:highlight w:val="none"/>
                      <w:lang w:val="en-US" w:eastAsia="zh-CN"/>
                    </w:rPr>
                    <w:t>拟</w:t>
                  </w:r>
                  <w:r>
                    <w:rPr>
                      <w:rFonts w:hint="default" w:ascii="Times New Roman" w:hAnsi="Times New Roman" w:cs="Times New Roman"/>
                      <w:color w:val="auto"/>
                      <w:sz w:val="21"/>
                      <w:szCs w:val="21"/>
                      <w:highlight w:val="none"/>
                      <w:lang w:val="en-US" w:eastAsia="zh-CN"/>
                    </w:rPr>
                    <w:t>依托</w:t>
                  </w:r>
                  <w:r>
                    <w:rPr>
                      <w:rFonts w:hint="eastAsia" w:cs="Times New Roman"/>
                      <w:color w:val="auto"/>
                      <w:sz w:val="21"/>
                      <w:szCs w:val="21"/>
                      <w:highlight w:val="none"/>
                      <w:lang w:val="en-US" w:eastAsia="zh-CN"/>
                    </w:rPr>
                    <w:t>厂区内新建2台6t燃气蒸汽锅炉（一用一备）提供，满足生产用热需求，锅炉另行环保手续，正在办理中。</w:t>
                  </w:r>
                </w:p>
              </w:tc>
              <w:tc>
                <w:tcPr>
                  <w:tcW w:w="399" w:type="pct"/>
                  <w:shd w:val="clear" w:color="auto" w:fill="auto"/>
                  <w:vAlign w:val="center"/>
                </w:tcPr>
                <w:p w14:paraId="1D0CA04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cs="Times New Roman"/>
                      <w:color w:val="auto"/>
                      <w:sz w:val="21"/>
                      <w:szCs w:val="21"/>
                      <w:highlight w:val="none"/>
                      <w:lang w:val="en-US" w:eastAsia="zh-CN"/>
                    </w:rPr>
                    <w:t>依托</w:t>
                  </w:r>
                </w:p>
              </w:tc>
            </w:tr>
            <w:tr w14:paraId="51EE4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7" w:hRule="atLeast"/>
              </w:trPr>
              <w:tc>
                <w:tcPr>
                  <w:tcW w:w="294" w:type="pct"/>
                  <w:vMerge w:val="continue"/>
                  <w:shd w:val="clear" w:color="auto" w:fill="auto"/>
                  <w:vAlign w:val="center"/>
                </w:tcPr>
                <w:p w14:paraId="0889077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0E3B2093">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5433318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供暖</w:t>
                  </w:r>
                </w:p>
              </w:tc>
              <w:tc>
                <w:tcPr>
                  <w:tcW w:w="2874" w:type="pct"/>
                  <w:shd w:val="clear" w:color="auto" w:fill="auto"/>
                  <w:vAlign w:val="center"/>
                </w:tcPr>
                <w:p w14:paraId="0A5BF59A">
                  <w:pPr>
                    <w:keepNext/>
                    <w:keepLines w:val="0"/>
                    <w:pageBreakBefore w:val="0"/>
                    <w:kinsoku/>
                    <w:wordWrap/>
                    <w:overflowPunct/>
                    <w:topLinePunct w:val="0"/>
                    <w:bidi w:val="0"/>
                    <w:spacing w:line="240" w:lineRule="auto"/>
                    <w:ind w:firstLine="0"/>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w:t>
                  </w:r>
                  <w:r>
                    <w:rPr>
                      <w:rFonts w:hint="eastAsia" w:cs="Times New Roman"/>
                      <w:color w:val="auto"/>
                      <w:sz w:val="21"/>
                      <w:szCs w:val="21"/>
                      <w:highlight w:val="none"/>
                      <w:lang w:val="en-US" w:eastAsia="zh-CN"/>
                    </w:rPr>
                    <w:t>厂区内新建的2台6t燃气蒸汽锅炉（一用一备）</w:t>
                  </w:r>
                  <w:r>
                    <w:rPr>
                      <w:rFonts w:hint="default" w:ascii="Times New Roman" w:hAnsi="Times New Roman" w:cs="Times New Roman"/>
                      <w:color w:val="auto"/>
                      <w:sz w:val="21"/>
                      <w:szCs w:val="21"/>
                      <w:highlight w:val="none"/>
                      <w:lang w:val="en-US" w:eastAsia="zh-CN"/>
                    </w:rPr>
                    <w:t>供暖。</w:t>
                  </w:r>
                </w:p>
              </w:tc>
              <w:tc>
                <w:tcPr>
                  <w:tcW w:w="399" w:type="pct"/>
                  <w:shd w:val="clear" w:color="auto" w:fill="auto"/>
                  <w:vAlign w:val="center"/>
                </w:tcPr>
                <w:p w14:paraId="3620F99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w:t>
                  </w:r>
                </w:p>
              </w:tc>
            </w:tr>
            <w:tr w14:paraId="0F454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23C7225F">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1E600650">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4255257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2874" w:type="pct"/>
                  <w:shd w:val="clear" w:color="auto" w:fill="auto"/>
                  <w:vAlign w:val="center"/>
                </w:tcPr>
                <w:p w14:paraId="04D4B5A5">
                  <w:pPr>
                    <w:keepNext/>
                    <w:keepLines w:val="0"/>
                    <w:pageBreakBefore w:val="0"/>
                    <w:kinsoku/>
                    <w:wordWrap/>
                    <w:overflowPunct/>
                    <w:topLinePunct w:val="0"/>
                    <w:bidi w:val="0"/>
                    <w:spacing w:line="240" w:lineRule="auto"/>
                    <w:ind w:firstLine="0"/>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年耗电量</w:t>
                  </w:r>
                  <w:r>
                    <w:rPr>
                      <w:rFonts w:hint="eastAsia" w:cs="Times New Roman"/>
                      <w:color w:val="auto"/>
                      <w:sz w:val="21"/>
                      <w:szCs w:val="21"/>
                      <w:highlight w:val="none"/>
                      <w:lang w:val="en-US" w:eastAsia="zh-CN"/>
                    </w:rPr>
                    <w:t>77</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0625</w:t>
                  </w:r>
                  <w:r>
                    <w:rPr>
                      <w:rFonts w:hint="default" w:ascii="Times New Roman" w:hAnsi="Times New Roman" w:cs="Times New Roman"/>
                      <w:color w:val="auto"/>
                      <w:sz w:val="21"/>
                      <w:szCs w:val="21"/>
                      <w:highlight w:val="none"/>
                      <w:lang w:val="en-US" w:eastAsia="zh-CN"/>
                    </w:rPr>
                    <w:t>万</w:t>
                  </w:r>
                  <w:r>
                    <w:rPr>
                      <w:rFonts w:hint="eastAsia" w:cs="Times New Roman"/>
                      <w:color w:val="auto"/>
                      <w:sz w:val="21"/>
                      <w:szCs w:val="21"/>
                      <w:highlight w:val="none"/>
                      <w:lang w:val="en-US" w:eastAsia="zh-CN"/>
                    </w:rPr>
                    <w:t>kW</w:t>
                  </w:r>
                  <w:r>
                    <w:rPr>
                      <w:rFonts w:hint="eastAsia" w:ascii="宋体" w:hAnsi="宋体" w:eastAsia="宋体" w:cs="宋体"/>
                      <w:color w:val="auto"/>
                      <w:sz w:val="21"/>
                      <w:szCs w:val="21"/>
                      <w:highlight w:val="none"/>
                      <w:lang w:val="en-US" w:eastAsia="zh-CN"/>
                    </w:rPr>
                    <w:t>·</w:t>
                  </w:r>
                  <w:r>
                    <w:rPr>
                      <w:rFonts w:hint="eastAsia" w:cs="Times New Roman"/>
                      <w:color w:val="auto"/>
                      <w:sz w:val="21"/>
                      <w:szCs w:val="21"/>
                      <w:highlight w:val="none"/>
                      <w:lang w:val="en-US" w:eastAsia="zh-CN"/>
                    </w:rPr>
                    <w:t>h</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本项目新建1座500kVA箱式变电站，高压电缆由公司总变电所引入</w:t>
                  </w:r>
                  <w:r>
                    <w:rPr>
                      <w:rFonts w:hint="default" w:ascii="Times New Roman" w:hAnsi="Times New Roman" w:cs="Times New Roman"/>
                      <w:color w:val="auto"/>
                      <w:sz w:val="21"/>
                      <w:szCs w:val="21"/>
                      <w:highlight w:val="none"/>
                      <w:lang w:val="en-US" w:eastAsia="zh-CN"/>
                    </w:rPr>
                    <w:t>。</w:t>
                  </w:r>
                </w:p>
              </w:tc>
              <w:tc>
                <w:tcPr>
                  <w:tcW w:w="399" w:type="pct"/>
                  <w:shd w:val="clear" w:color="auto" w:fill="auto"/>
                  <w:vAlign w:val="center"/>
                </w:tcPr>
                <w:p w14:paraId="7864F93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pt-BR" w:eastAsia="zh-CN"/>
                    </w:rPr>
                  </w:pPr>
                  <w:r>
                    <w:rPr>
                      <w:rFonts w:hint="eastAsia" w:cs="Times New Roman"/>
                      <w:color w:val="auto"/>
                      <w:sz w:val="21"/>
                      <w:szCs w:val="21"/>
                      <w:highlight w:val="none"/>
                      <w:lang w:val="en-US" w:eastAsia="zh-CN"/>
                    </w:rPr>
                    <w:t>新建</w:t>
                  </w:r>
                </w:p>
              </w:tc>
            </w:tr>
            <w:tr w14:paraId="41CD0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Merge w:val="continue"/>
                  <w:shd w:val="clear" w:color="auto" w:fill="auto"/>
                  <w:vAlign w:val="center"/>
                </w:tcPr>
                <w:p w14:paraId="4266DD9A">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68B2FEAF">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38312BD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压缩空气</w:t>
                  </w:r>
                </w:p>
              </w:tc>
              <w:tc>
                <w:tcPr>
                  <w:tcW w:w="2874" w:type="pct"/>
                  <w:shd w:val="clear" w:color="auto" w:fill="auto"/>
                  <w:vAlign w:val="center"/>
                </w:tcPr>
                <w:p w14:paraId="2B7B0BC6">
                  <w:pPr>
                    <w:keepNext/>
                    <w:keepLines w:val="0"/>
                    <w:pageBreakBefore w:val="0"/>
                    <w:kinsoku/>
                    <w:wordWrap/>
                    <w:overflowPunct/>
                    <w:topLinePunct w:val="0"/>
                    <w:bidi w:val="0"/>
                    <w:spacing w:line="240" w:lineRule="auto"/>
                    <w:ind w:firstLine="0"/>
                    <w:outlineLvl w:val="9"/>
                    <w:rPr>
                      <w:rFonts w:hint="default" w:ascii="Times New Roman" w:hAnsi="Times New Roman"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在乳化炸药震源</w:t>
                  </w:r>
                  <w:r>
                    <w:rPr>
                      <w:rFonts w:hint="default" w:ascii="Times New Roman" w:hAnsi="Times New Roman" w:eastAsia="宋体" w:cs="Times New Roman"/>
                      <w:color w:val="auto"/>
                      <w:kern w:val="0"/>
                      <w:sz w:val="21"/>
                      <w:szCs w:val="21"/>
                      <w:highlight w:val="none"/>
                      <w:lang w:val="en-US" w:eastAsia="zh-CN" w:bidi="ar"/>
                    </w:rPr>
                    <w:t>药柱生产工房内新建一个空压间，新增一台GA75型空气压缩机（N=37</w:t>
                  </w:r>
                  <w:r>
                    <w:rPr>
                      <w:rFonts w:hint="eastAsia" w:cs="Times New Roman"/>
                      <w:color w:val="auto"/>
                      <w:kern w:val="0"/>
                      <w:sz w:val="21"/>
                      <w:szCs w:val="21"/>
                      <w:highlight w:val="none"/>
                      <w:lang w:val="en-US" w:eastAsia="zh-CN" w:bidi="ar"/>
                    </w:rPr>
                    <w:t>kW</w:t>
                  </w:r>
                  <w:r>
                    <w:rPr>
                      <w:rFonts w:hint="default" w:ascii="Times New Roman" w:hAnsi="Times New Roman" w:eastAsia="宋体" w:cs="Times New Roman"/>
                      <w:color w:val="auto"/>
                      <w:kern w:val="0"/>
                      <w:sz w:val="21"/>
                      <w:szCs w:val="21"/>
                      <w:highlight w:val="none"/>
                      <w:lang w:val="en-US" w:eastAsia="zh-CN" w:bidi="ar"/>
                    </w:rPr>
                    <w:t>、Q=6.38m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/min、p=0.85MPa）</w:t>
                  </w:r>
                </w:p>
              </w:tc>
              <w:tc>
                <w:tcPr>
                  <w:tcW w:w="399" w:type="pct"/>
                  <w:shd w:val="clear" w:color="auto" w:fill="auto"/>
                  <w:vAlign w:val="center"/>
                </w:tcPr>
                <w:p w14:paraId="18930768">
                  <w:pPr>
                    <w:keepNext/>
                    <w:keepLines w:val="0"/>
                    <w:pageBreakBefore w:val="0"/>
                    <w:kinsoku/>
                    <w:wordWrap/>
                    <w:overflowPunct/>
                    <w:topLinePunct w:val="0"/>
                    <w:bidi w:val="0"/>
                    <w:spacing w:line="240" w:lineRule="auto"/>
                    <w:ind w:firstLine="0"/>
                    <w:jc w:val="center"/>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7DF69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Merge w:val="continue"/>
                  <w:shd w:val="clear" w:color="auto" w:fill="auto"/>
                  <w:vAlign w:val="center"/>
                </w:tcPr>
                <w:p w14:paraId="7B98C2D5">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561F1414">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6EA01402">
                  <w:pPr>
                    <w:keepNext/>
                    <w:keepLines w:val="0"/>
                    <w:pageBreakBefore w:val="0"/>
                    <w:kinsoku/>
                    <w:wordWrap/>
                    <w:overflowPunct/>
                    <w:topLinePunct w:val="0"/>
                    <w:bidi w:val="0"/>
                    <w:spacing w:line="240" w:lineRule="auto"/>
                    <w:ind w:firstLine="0"/>
                    <w:jc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消防水泵房</w:t>
                  </w:r>
                </w:p>
              </w:tc>
              <w:tc>
                <w:tcPr>
                  <w:tcW w:w="2874" w:type="pct"/>
                  <w:shd w:val="clear" w:color="auto" w:fill="auto"/>
                  <w:vAlign w:val="center"/>
                </w:tcPr>
                <w:p w14:paraId="26B36069">
                  <w:pPr>
                    <w:keepNext/>
                    <w:keepLines w:val="0"/>
                    <w:pageBreakBefore w:val="0"/>
                    <w:kinsoku/>
                    <w:wordWrap/>
                    <w:overflowPunct/>
                    <w:topLinePunct w:val="0"/>
                    <w:bidi w:val="0"/>
                    <w:spacing w:line="240" w:lineRule="auto"/>
                    <w:ind w:firstLine="0"/>
                    <w:outlineLvl w:val="9"/>
                    <w:rPr>
                      <w:rFonts w:hint="default" w:ascii="宋体" w:hAnsi="宋体" w:eastAsia="宋体" w:cs="宋体"/>
                      <w:color w:val="auto"/>
                      <w:kern w:val="0"/>
                      <w:sz w:val="21"/>
                      <w:szCs w:val="21"/>
                      <w:highlight w:val="none"/>
                      <w:lang w:val="en-US" w:eastAsia="zh-CN" w:bidi="ar"/>
                    </w:rPr>
                  </w:pPr>
                  <w:r>
                    <w:rPr>
                      <w:rFonts w:hint="eastAsia" w:ascii="宋体" w:hAnsi="宋体" w:cs="宋体"/>
                      <w:color w:val="auto"/>
                      <w:kern w:val="0"/>
                      <w:sz w:val="21"/>
                      <w:szCs w:val="21"/>
                      <w:highlight w:val="none"/>
                      <w:lang w:val="en-US" w:eastAsia="zh-CN" w:bidi="ar"/>
                    </w:rPr>
                    <w:t>占地面积</w:t>
                  </w:r>
                  <w:r>
                    <w:rPr>
                      <w:rFonts w:hint="eastAsia" w:cs="Times New Roman"/>
                      <w:color w:val="auto"/>
                      <w:sz w:val="21"/>
                      <w:szCs w:val="21"/>
                      <w:highlight w:val="none"/>
                      <w:lang w:val="en-US" w:eastAsia="zh-CN"/>
                    </w:rPr>
                    <w:t>50m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w:t>
                  </w:r>
                </w:p>
              </w:tc>
              <w:tc>
                <w:tcPr>
                  <w:tcW w:w="399" w:type="pct"/>
                  <w:shd w:val="clear" w:color="auto" w:fill="auto"/>
                  <w:vAlign w:val="center"/>
                </w:tcPr>
                <w:p w14:paraId="21444DD8">
                  <w:pPr>
                    <w:keepNext/>
                    <w:keepLines w:val="0"/>
                    <w:pageBreakBefore w:val="0"/>
                    <w:kinsoku/>
                    <w:wordWrap/>
                    <w:overflowPunct/>
                    <w:topLinePunct w:val="0"/>
                    <w:bidi w:val="0"/>
                    <w:spacing w:line="240" w:lineRule="auto"/>
                    <w:ind w:firstLine="0"/>
                    <w:jc w:val="center"/>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50779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4" w:type="pct"/>
                  <w:vMerge w:val="restart"/>
                  <w:shd w:val="clear" w:color="auto" w:fill="auto"/>
                  <w:vAlign w:val="center"/>
                </w:tcPr>
                <w:p w14:paraId="178323D7">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w:t>
                  </w:r>
                </w:p>
              </w:tc>
              <w:tc>
                <w:tcPr>
                  <w:tcW w:w="476" w:type="pct"/>
                  <w:vMerge w:val="restart"/>
                  <w:shd w:val="clear" w:color="auto" w:fill="auto"/>
                  <w:vAlign w:val="center"/>
                </w:tcPr>
                <w:p w14:paraId="1E2A433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w:t>
                  </w:r>
                </w:p>
                <w:p w14:paraId="2B83A3C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工程</w:t>
                  </w:r>
                </w:p>
              </w:tc>
              <w:tc>
                <w:tcPr>
                  <w:tcW w:w="954" w:type="pct"/>
                  <w:gridSpan w:val="2"/>
                  <w:vMerge w:val="restart"/>
                  <w:shd w:val="clear" w:color="auto" w:fill="auto"/>
                  <w:tcMar>
                    <w:left w:w="0" w:type="dxa"/>
                    <w:right w:w="0" w:type="dxa"/>
                  </w:tcMar>
                  <w:vAlign w:val="center"/>
                </w:tcPr>
                <w:p w14:paraId="6F098325">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废气处理系统</w:t>
                  </w:r>
                </w:p>
              </w:tc>
              <w:tc>
                <w:tcPr>
                  <w:tcW w:w="2874" w:type="pct"/>
                  <w:shd w:val="clear" w:color="auto" w:fill="auto"/>
                </w:tcPr>
                <w:p w14:paraId="09A8E3AF">
                  <w:pPr>
                    <w:keepNext/>
                    <w:keepLines w:val="0"/>
                    <w:pageBreakBefore w:val="0"/>
                    <w:kinsoku/>
                    <w:wordWrap/>
                    <w:overflowPunct/>
                    <w:topLinePunct w:val="0"/>
                    <w:bidi w:val="0"/>
                    <w:spacing w:line="240" w:lineRule="auto"/>
                    <w:ind w:firstLine="0"/>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w:t>
                  </w:r>
                  <w:r>
                    <w:rPr>
                      <w:rFonts w:hint="eastAsia" w:cs="Times New Roman"/>
                      <w:color w:val="auto"/>
                      <w:sz w:val="21"/>
                      <w:szCs w:val="21"/>
                      <w:highlight w:val="none"/>
                      <w:lang w:val="en-US" w:eastAsia="zh-CN"/>
                    </w:rPr>
                    <w:t>油</w:t>
                  </w:r>
                  <w:r>
                    <w:rPr>
                      <w:rFonts w:hint="eastAsia" w:ascii="Times New Roman" w:hAnsi="Times New Roman" w:eastAsia="宋体" w:cs="Times New Roman"/>
                      <w:color w:val="auto"/>
                      <w:sz w:val="21"/>
                      <w:szCs w:val="21"/>
                      <w:highlight w:val="none"/>
                      <w:lang w:val="en-US" w:eastAsia="zh-CN"/>
                    </w:rPr>
                    <w:t>相制备工房</w:t>
                  </w:r>
                  <w:r>
                    <w:rPr>
                      <w:rFonts w:hint="eastAsia" w:ascii="宋体" w:hAnsi="宋体" w:eastAsia="宋体" w:cs="宋体"/>
                      <w:color w:val="auto"/>
                      <w:kern w:val="0"/>
                      <w:sz w:val="21"/>
                      <w:szCs w:val="21"/>
                      <w:highlight w:val="none"/>
                      <w:lang w:val="en-US" w:eastAsia="zh-CN" w:bidi="ar"/>
                    </w:rPr>
                    <w:t>中</w:t>
                  </w:r>
                  <w:r>
                    <w:rPr>
                      <w:rFonts w:hint="default" w:ascii="宋体" w:hAnsi="宋体" w:eastAsia="宋体" w:cs="宋体"/>
                      <w:color w:val="auto"/>
                      <w:kern w:val="0"/>
                      <w:sz w:val="21"/>
                      <w:szCs w:val="21"/>
                      <w:highlight w:val="none"/>
                      <w:lang w:val="en-US" w:eastAsia="zh-CN" w:bidi="ar"/>
                    </w:rPr>
                    <w:t>硝酸钠通过密闭螺旋输送机输送，</w:t>
                  </w:r>
                  <w:r>
                    <w:rPr>
                      <w:rFonts w:hint="eastAsia" w:ascii="宋体" w:hAnsi="宋体" w:eastAsia="宋体" w:cs="宋体"/>
                      <w:color w:val="auto"/>
                      <w:kern w:val="0"/>
                      <w:sz w:val="21"/>
                      <w:szCs w:val="21"/>
                      <w:highlight w:val="none"/>
                      <w:lang w:val="en-US" w:eastAsia="zh-CN" w:bidi="ar"/>
                    </w:rPr>
                    <w:t>仅上料过程会产生粉尘，</w:t>
                  </w:r>
                  <w:r>
                    <w:rPr>
                      <w:rFonts w:hint="eastAsia" w:cs="Times New Roman"/>
                      <w:color w:val="auto"/>
                      <w:sz w:val="21"/>
                      <w:szCs w:val="21"/>
                      <w:highlight w:val="none"/>
                      <w:lang w:val="en-US" w:eastAsia="zh-CN"/>
                    </w:rPr>
                    <w:t>油相上料过程储罐产生的有机废气，</w:t>
                  </w:r>
                  <w:r>
                    <w:rPr>
                      <w:rFonts w:hint="eastAsia" w:ascii="Times New Roman" w:hAnsi="Times New Roman" w:cs="Times New Roman"/>
                      <w:color w:val="auto"/>
                      <w:sz w:val="21"/>
                      <w:szCs w:val="21"/>
                      <w:highlight w:val="none"/>
                      <w:lang w:val="en-US" w:eastAsia="zh-CN"/>
                    </w:rPr>
                    <w:t>通过封闭工房阻隔后无组织排放。</w:t>
                  </w:r>
                </w:p>
              </w:tc>
              <w:tc>
                <w:tcPr>
                  <w:tcW w:w="399" w:type="pct"/>
                  <w:shd w:val="clear" w:color="auto" w:fill="auto"/>
                  <w:vAlign w:val="center"/>
                </w:tcPr>
                <w:p w14:paraId="428E8C89">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yellow"/>
                      <w:lang w:val="pt-BR"/>
                    </w:rPr>
                  </w:pPr>
                  <w:r>
                    <w:rPr>
                      <w:rFonts w:hint="eastAsia" w:cs="Times New Roman"/>
                      <w:color w:val="auto"/>
                      <w:sz w:val="21"/>
                      <w:szCs w:val="21"/>
                      <w:highlight w:val="none"/>
                      <w:lang w:val="en-US" w:eastAsia="zh-CN"/>
                    </w:rPr>
                    <w:t>新建</w:t>
                  </w:r>
                </w:p>
              </w:tc>
            </w:tr>
            <w:tr w14:paraId="32C97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5AF9377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476" w:type="pct"/>
                  <w:vMerge w:val="continue"/>
                  <w:shd w:val="clear" w:color="auto" w:fill="auto"/>
                  <w:vAlign w:val="center"/>
                </w:tcPr>
                <w:p w14:paraId="05C99D15">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vMerge w:val="continue"/>
                  <w:shd w:val="clear" w:color="auto" w:fill="auto"/>
                  <w:tcMar>
                    <w:left w:w="0" w:type="dxa"/>
                    <w:right w:w="0" w:type="dxa"/>
                  </w:tcMar>
                  <w:vAlign w:val="center"/>
                </w:tcPr>
                <w:p w14:paraId="7BA199C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2874" w:type="pct"/>
                  <w:shd w:val="clear" w:color="auto" w:fill="auto"/>
                </w:tcPr>
                <w:p w14:paraId="2B917FB1">
                  <w:pPr>
                    <w:keepNext/>
                    <w:keepLines w:val="0"/>
                    <w:pageBreakBefore w:val="0"/>
                    <w:kinsoku/>
                    <w:wordWrap/>
                    <w:overflowPunct/>
                    <w:topLinePunct w:val="0"/>
                    <w:bidi w:val="0"/>
                    <w:spacing w:line="240" w:lineRule="auto"/>
                    <w:ind w:firstLine="0"/>
                    <w:outlineLvl w:val="9"/>
                    <w:rPr>
                      <w:rFonts w:hint="default" w:ascii="Times New Roman" w:hAnsi="Times New Roman"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乳化炸药震源药柱生产工房</w:t>
                  </w:r>
                  <w:r>
                    <w:rPr>
                      <w:rFonts w:hint="eastAsia" w:ascii="宋体" w:hAnsi="宋体" w:cs="宋体"/>
                      <w:color w:val="auto"/>
                      <w:kern w:val="0"/>
                      <w:sz w:val="21"/>
                      <w:szCs w:val="21"/>
                      <w:highlight w:val="none"/>
                      <w:lang w:val="en-US" w:eastAsia="zh-CN" w:bidi="ar"/>
                    </w:rPr>
                    <w:t>中</w:t>
                  </w:r>
                  <w:r>
                    <w:rPr>
                      <w:rFonts w:hint="default" w:ascii="Times New Roman" w:hAnsi="Times New Roman" w:cs="Times New Roman"/>
                      <w:color w:val="auto"/>
                      <w:sz w:val="21"/>
                      <w:szCs w:val="21"/>
                      <w:highlight w:val="none"/>
                      <w:lang w:val="en-US" w:eastAsia="zh-CN"/>
                    </w:rPr>
                    <w:t>珍珠岩</w:t>
                  </w:r>
                  <w:r>
                    <w:rPr>
                      <w:rFonts w:hint="eastAsia" w:ascii="Times New Roman" w:hAnsi="Times New Roman" w:eastAsia="宋体" w:cs="Times New Roman"/>
                      <w:color w:val="auto"/>
                      <w:sz w:val="21"/>
                      <w:szCs w:val="21"/>
                      <w:highlight w:val="none"/>
                      <w:lang w:val="en-US" w:eastAsia="zh-CN"/>
                    </w:rPr>
                    <w:t>上料产生</w:t>
                  </w:r>
                  <w:r>
                    <w:rPr>
                      <w:rFonts w:hint="eastAsia" w:cs="Times New Roman"/>
                      <w:color w:val="auto"/>
                      <w:sz w:val="21"/>
                      <w:szCs w:val="21"/>
                      <w:highlight w:val="none"/>
                      <w:lang w:val="en-US" w:eastAsia="zh-CN"/>
                    </w:rPr>
                    <w:t>的</w:t>
                  </w:r>
                  <w:r>
                    <w:rPr>
                      <w:rFonts w:hint="eastAsia" w:ascii="Times New Roman" w:hAnsi="Times New Roman" w:eastAsia="宋体" w:cs="Times New Roman"/>
                      <w:color w:val="auto"/>
                      <w:sz w:val="21"/>
                      <w:szCs w:val="21"/>
                      <w:highlight w:val="none"/>
                      <w:lang w:val="en-US" w:eastAsia="zh-CN"/>
                    </w:rPr>
                    <w:t>粉尘，</w:t>
                  </w:r>
                  <w:r>
                    <w:rPr>
                      <w:rFonts w:hint="default" w:ascii="Times New Roman" w:hAnsi="Times New Roman" w:cs="Times New Roman"/>
                      <w:color w:val="auto"/>
                      <w:sz w:val="21"/>
                      <w:szCs w:val="21"/>
                      <w:highlight w:val="none"/>
                      <w:lang w:val="en-US" w:eastAsia="zh-CN"/>
                    </w:rPr>
                    <w:t>物料进行钢带冷却和散料皮带输送过程中产生的挥发性有机</w:t>
                  </w:r>
                  <w:r>
                    <w:rPr>
                      <w:rFonts w:hint="eastAsia" w:ascii="Times New Roman" w:hAnsi="Times New Roman" w:cs="Times New Roman"/>
                      <w:color w:val="auto"/>
                      <w:sz w:val="21"/>
                      <w:szCs w:val="21"/>
                      <w:highlight w:val="none"/>
                      <w:lang w:val="en-US" w:eastAsia="zh-CN"/>
                    </w:rPr>
                    <w:t>废气，</w:t>
                  </w:r>
                  <w:bookmarkStart w:id="31" w:name="OLE_LINK5"/>
                  <w:r>
                    <w:rPr>
                      <w:rFonts w:hint="eastAsia" w:cs="Times New Roman"/>
                      <w:color w:val="auto"/>
                      <w:sz w:val="21"/>
                      <w:szCs w:val="21"/>
                      <w:highlight w:val="none"/>
                      <w:lang w:val="en-US" w:eastAsia="zh-CN"/>
                    </w:rPr>
                    <w:t>喷码机喷码过程产生的挥发性有机废气，</w:t>
                  </w:r>
                  <w:bookmarkEnd w:id="31"/>
                  <w:r>
                    <w:rPr>
                      <w:rFonts w:hint="eastAsia" w:ascii="Times New Roman" w:hAnsi="Times New Roman" w:cs="Times New Roman"/>
                      <w:color w:val="auto"/>
                      <w:sz w:val="21"/>
                      <w:szCs w:val="21"/>
                      <w:highlight w:val="none"/>
                      <w:lang w:val="en-US" w:eastAsia="zh-CN"/>
                    </w:rPr>
                    <w:t>通过封闭工房阻隔后无组织排放。</w:t>
                  </w:r>
                </w:p>
              </w:tc>
              <w:tc>
                <w:tcPr>
                  <w:tcW w:w="399" w:type="pct"/>
                  <w:shd w:val="clear" w:color="auto" w:fill="auto"/>
                  <w:vAlign w:val="center"/>
                </w:tcPr>
                <w:p w14:paraId="30839A97">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13AD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294" w:type="pct"/>
                  <w:vMerge w:val="continue"/>
                  <w:shd w:val="clear" w:color="auto" w:fill="auto"/>
                  <w:vAlign w:val="center"/>
                </w:tcPr>
                <w:p w14:paraId="01FE1026">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00ABED75">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034E4206">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废水处理系统</w:t>
                  </w:r>
                </w:p>
              </w:tc>
              <w:tc>
                <w:tcPr>
                  <w:tcW w:w="2874" w:type="pct"/>
                  <w:shd w:val="clear" w:color="auto" w:fill="auto"/>
                  <w:vAlign w:val="center"/>
                </w:tcPr>
                <w:p w14:paraId="059FFE9C">
                  <w:pPr>
                    <w:keepNext/>
                    <w:keepLines w:val="0"/>
                    <w:pageBreakBefore w:val="0"/>
                    <w:kinsoku/>
                    <w:wordWrap/>
                    <w:overflowPunct/>
                    <w:topLinePunct w:val="0"/>
                    <w:bidi w:val="0"/>
                    <w:spacing w:line="240" w:lineRule="auto"/>
                    <w:ind w:firstLine="0"/>
                    <w:textAlignment w:val="auto"/>
                    <w:outlineLvl w:val="9"/>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sz w:val="21"/>
                      <w:szCs w:val="21"/>
                      <w:highlight w:val="none"/>
                      <w:lang w:val="en-US" w:eastAsia="zh-CN"/>
                    </w:rPr>
                    <w:t>新建2座隔油沉淀池，</w:t>
                  </w:r>
                  <w:r>
                    <w:rPr>
                      <w:rFonts w:hint="default" w:ascii="Times New Roman" w:hAnsi="Times New Roman" w:cs="Times New Roman"/>
                      <w:color w:val="auto"/>
                      <w:sz w:val="21"/>
                      <w:szCs w:val="21"/>
                      <w:highlight w:val="none"/>
                      <w:lang w:val="en-US" w:eastAsia="zh-CN"/>
                    </w:rPr>
                    <w:t>车间地面</w:t>
                  </w:r>
                  <w:r>
                    <w:rPr>
                      <w:rFonts w:hint="eastAsia" w:ascii="Times New Roman" w:hAnsi="Times New Roman" w:cs="Times New Roman"/>
                      <w:color w:val="auto"/>
                      <w:sz w:val="21"/>
                      <w:szCs w:val="21"/>
                      <w:highlight w:val="none"/>
                      <w:lang w:val="en-US" w:eastAsia="zh-CN"/>
                    </w:rPr>
                    <w:t>清</w:t>
                  </w:r>
                  <w:r>
                    <w:rPr>
                      <w:rFonts w:hint="default" w:ascii="Times New Roman" w:hAnsi="Times New Roman" w:cs="Times New Roman"/>
                      <w:color w:val="auto"/>
                      <w:sz w:val="21"/>
                      <w:szCs w:val="21"/>
                      <w:highlight w:val="none"/>
                      <w:lang w:val="en-US" w:eastAsia="zh-CN"/>
                    </w:rPr>
                    <w:t>洗和设备冲洗</w:t>
                  </w:r>
                  <w:r>
                    <w:rPr>
                      <w:rFonts w:hint="eastAsia" w:ascii="Times New Roman" w:hAnsi="Times New Roman" w:cs="Times New Roman"/>
                      <w:color w:val="auto"/>
                      <w:sz w:val="21"/>
                      <w:szCs w:val="21"/>
                      <w:highlight w:val="none"/>
                      <w:lang w:val="en-US" w:eastAsia="zh-CN"/>
                    </w:rPr>
                    <w:t>废</w:t>
                  </w:r>
                  <w:r>
                    <w:rPr>
                      <w:rFonts w:hint="default" w:ascii="Times New Roman" w:hAnsi="Times New Roman" w:cs="Times New Roman"/>
                      <w:color w:val="auto"/>
                      <w:sz w:val="21"/>
                      <w:szCs w:val="21"/>
                      <w:highlight w:val="none"/>
                      <w:lang w:val="en-US" w:eastAsia="zh-CN"/>
                    </w:rPr>
                    <w:t>水</w:t>
                  </w:r>
                  <w:r>
                    <w:rPr>
                      <w:rFonts w:hint="eastAsia" w:cs="Times New Roman"/>
                      <w:color w:val="auto"/>
                      <w:sz w:val="21"/>
                      <w:szCs w:val="21"/>
                      <w:highlight w:val="none"/>
                      <w:lang w:val="en-US" w:eastAsia="zh-CN"/>
                    </w:rPr>
                    <w:t>经</w:t>
                  </w:r>
                  <w:r>
                    <w:rPr>
                      <w:rFonts w:hint="default" w:ascii="Times New Roman" w:hAnsi="Times New Roman" w:cs="Times New Roman"/>
                      <w:color w:val="auto"/>
                      <w:sz w:val="21"/>
                      <w:szCs w:val="21"/>
                      <w:highlight w:val="none"/>
                      <w:lang w:val="en-US" w:eastAsia="zh-CN"/>
                    </w:rPr>
                    <w:t>隔油沉淀池</w:t>
                  </w:r>
                  <w:r>
                    <w:rPr>
                      <w:rFonts w:hint="eastAsia" w:ascii="Times New Roman" w:hAnsi="Times New Roman" w:cs="Times New Roman"/>
                      <w:color w:val="auto"/>
                      <w:sz w:val="21"/>
                      <w:szCs w:val="21"/>
                      <w:highlight w:val="none"/>
                      <w:lang w:val="en-US" w:eastAsia="zh-CN"/>
                    </w:rPr>
                    <w:t>预</w:t>
                  </w:r>
                  <w:r>
                    <w:rPr>
                      <w:rFonts w:hint="default" w:ascii="Times New Roman" w:hAnsi="Times New Roman" w:cs="Times New Roman"/>
                      <w:color w:val="auto"/>
                      <w:sz w:val="21"/>
                      <w:szCs w:val="21"/>
                      <w:highlight w:val="none"/>
                      <w:lang w:val="en-US" w:eastAsia="zh-CN"/>
                    </w:rPr>
                    <w:t>处理后</w:t>
                  </w:r>
                  <w:r>
                    <w:rPr>
                      <w:rFonts w:hint="eastAsia" w:cs="Times New Roman"/>
                      <w:color w:val="auto"/>
                      <w:sz w:val="21"/>
                      <w:szCs w:val="21"/>
                      <w:highlight w:val="none"/>
                      <w:lang w:val="en-US" w:eastAsia="zh-CN"/>
                    </w:rPr>
                    <w:t>经管道输送</w:t>
                  </w:r>
                  <w:r>
                    <w:rPr>
                      <w:rFonts w:hint="eastAsia" w:ascii="Times New Roman" w:hAnsi="Times New Roman" w:cs="Times New Roman"/>
                      <w:color w:val="auto"/>
                      <w:sz w:val="21"/>
                      <w:szCs w:val="21"/>
                      <w:highlight w:val="none"/>
                      <w:lang w:val="en-US" w:eastAsia="zh-CN"/>
                    </w:rPr>
                    <w:t>排入辽宁红山污水处理站处理后</w:t>
                  </w:r>
                  <w:r>
                    <w:rPr>
                      <w:rFonts w:hint="default" w:ascii="Times New Roman" w:hAnsi="Times New Roman" w:cs="Times New Roman"/>
                      <w:color w:val="auto"/>
                      <w:sz w:val="21"/>
                      <w:szCs w:val="21"/>
                      <w:highlight w:val="none"/>
                      <w:lang w:val="en-US" w:eastAsia="zh-CN"/>
                    </w:rPr>
                    <w:t>用于</w:t>
                  </w:r>
                  <w:r>
                    <w:rPr>
                      <w:rFonts w:hint="eastAsia" w:cs="Times New Roman"/>
                      <w:color w:val="auto"/>
                      <w:sz w:val="21"/>
                      <w:szCs w:val="21"/>
                      <w:highlight w:val="none"/>
                      <w:lang w:val="en-US" w:eastAsia="zh-CN"/>
                    </w:rPr>
                    <w:t>厂区</w:t>
                  </w:r>
                  <w:r>
                    <w:rPr>
                      <w:rFonts w:hint="eastAsia" w:ascii="Times New Roman" w:hAnsi="Times New Roman" w:cs="Times New Roman"/>
                      <w:color w:val="auto"/>
                      <w:sz w:val="21"/>
                      <w:szCs w:val="21"/>
                      <w:highlight w:val="none"/>
                      <w:lang w:val="en-US" w:eastAsia="zh-CN"/>
                    </w:rPr>
                    <w:t>道路洒扫</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本次</w:t>
                  </w:r>
                  <w:r>
                    <w:rPr>
                      <w:rFonts w:hint="default" w:ascii="Times New Roman" w:hAnsi="Times New Roman" w:cs="Times New Roman"/>
                      <w:color w:val="auto"/>
                      <w:sz w:val="21"/>
                      <w:szCs w:val="21"/>
                      <w:highlight w:val="none"/>
                      <w:lang w:val="en-US" w:eastAsia="zh-CN"/>
                    </w:rPr>
                    <w:t>不新增生活污水。</w:t>
                  </w:r>
                </w:p>
              </w:tc>
              <w:tc>
                <w:tcPr>
                  <w:tcW w:w="399" w:type="pct"/>
                  <w:shd w:val="clear" w:color="auto" w:fill="auto"/>
                  <w:vAlign w:val="center"/>
                </w:tcPr>
                <w:p w14:paraId="0543AAB5">
                  <w:pPr>
                    <w:keepNext/>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cs="Times New Roman"/>
                      <w:color w:val="auto"/>
                      <w:kern w:val="24"/>
                      <w:sz w:val="21"/>
                      <w:szCs w:val="21"/>
                      <w:highlight w:val="none"/>
                      <w:lang w:val="en-US"/>
                    </w:rPr>
                  </w:pPr>
                  <w:r>
                    <w:rPr>
                      <w:rFonts w:hint="eastAsia" w:cs="Times New Roman"/>
                      <w:color w:val="auto"/>
                      <w:sz w:val="21"/>
                      <w:szCs w:val="21"/>
                      <w:highlight w:val="none"/>
                      <w:lang w:val="en-US" w:eastAsia="zh-CN"/>
                    </w:rPr>
                    <w:t>新建</w:t>
                  </w:r>
                </w:p>
              </w:tc>
            </w:tr>
            <w:tr w14:paraId="7912B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611A3816">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76C4956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restart"/>
                  <w:shd w:val="clear" w:color="auto" w:fill="auto"/>
                  <w:tcMar>
                    <w:left w:w="0" w:type="dxa"/>
                    <w:right w:w="0" w:type="dxa"/>
                  </w:tcMar>
                  <w:vAlign w:val="center"/>
                </w:tcPr>
                <w:p w14:paraId="5C4EE731">
                  <w:pPr>
                    <w:keepNext/>
                    <w:keepLines w:val="0"/>
                    <w:pageBreakBefore w:val="0"/>
                    <w:kinsoku/>
                    <w:wordWrap/>
                    <w:overflowPunct/>
                    <w:topLinePunct w:val="0"/>
                    <w:bidi w:val="0"/>
                    <w:spacing w:line="240" w:lineRule="auto"/>
                    <w:ind w:firstLine="0"/>
                    <w:jc w:val="center"/>
                    <w:outlineLvl w:val="9"/>
                    <w:rPr>
                      <w:rFonts w:hint="default"/>
                      <w:color w:val="auto"/>
                      <w:sz w:val="21"/>
                      <w:szCs w:val="21"/>
                    </w:rPr>
                  </w:pPr>
                  <w:r>
                    <w:rPr>
                      <w:rFonts w:hint="default" w:ascii="Times New Roman" w:hAnsi="Times New Roman" w:eastAsia="宋体" w:cs="Times New Roman"/>
                      <w:color w:val="auto"/>
                      <w:sz w:val="21"/>
                      <w:szCs w:val="21"/>
                      <w:highlight w:val="none"/>
                    </w:rPr>
                    <w:t>固废设施</w:t>
                  </w:r>
                </w:p>
              </w:tc>
              <w:tc>
                <w:tcPr>
                  <w:tcW w:w="478" w:type="pct"/>
                  <w:vMerge w:val="restart"/>
                  <w:shd w:val="clear" w:color="auto" w:fill="auto"/>
                  <w:tcMar>
                    <w:left w:w="0" w:type="dxa"/>
                    <w:right w:w="0" w:type="dxa"/>
                  </w:tcMar>
                  <w:vAlign w:val="center"/>
                </w:tcPr>
                <w:p w14:paraId="7CFBFD3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危险废物</w:t>
                  </w:r>
                </w:p>
              </w:tc>
              <w:tc>
                <w:tcPr>
                  <w:tcW w:w="2874" w:type="pct"/>
                  <w:shd w:val="clear" w:color="auto" w:fill="auto"/>
                  <w:vAlign w:val="top"/>
                </w:tcPr>
                <w:p w14:paraId="4703C834">
                  <w:pPr>
                    <w:keepNext/>
                    <w:keepLines w:val="0"/>
                    <w:pageBreakBefore w:val="0"/>
                    <w:kinsoku/>
                    <w:wordWrap/>
                    <w:overflowPunct/>
                    <w:topLinePunct w:val="0"/>
                    <w:bidi w:val="0"/>
                    <w:spacing w:line="240" w:lineRule="auto"/>
                    <w:ind w:firstLine="0" w:firstLineChars="0"/>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硝酸钠废</w:t>
                  </w:r>
                  <w:r>
                    <w:rPr>
                      <w:rFonts w:hint="eastAsia" w:ascii="Times New Roman" w:hAnsi="Times New Roman" w:cs="Times New Roman"/>
                      <w:color w:val="auto"/>
                      <w:sz w:val="21"/>
                      <w:szCs w:val="21"/>
                      <w:highlight w:val="none"/>
                      <w:lang w:val="en-US" w:eastAsia="zh-CN"/>
                    </w:rPr>
                    <w:t>包装袋</w:t>
                  </w:r>
                  <w:r>
                    <w:rPr>
                      <w:rFonts w:hint="default" w:ascii="Times New Roman" w:hAnsi="Times New Roman" w:cs="Times New Roman"/>
                      <w:color w:val="auto"/>
                      <w:sz w:val="21"/>
                      <w:szCs w:val="21"/>
                      <w:highlight w:val="none"/>
                      <w:lang w:val="en-US" w:eastAsia="zh-CN"/>
                    </w:rPr>
                    <w:t>、滤渣、废滤网、</w:t>
                  </w:r>
                  <w:r>
                    <w:rPr>
                      <w:rFonts w:hint="eastAsia" w:cs="Times New Roman"/>
                      <w:color w:val="auto"/>
                      <w:sz w:val="21"/>
                      <w:szCs w:val="21"/>
                      <w:highlight w:val="none"/>
                      <w:lang w:val="en-US" w:eastAsia="zh-CN"/>
                    </w:rPr>
                    <w:t>废包装瓶、</w:t>
                  </w:r>
                  <w:r>
                    <w:rPr>
                      <w:rFonts w:hint="default" w:ascii="Times New Roman" w:hAnsi="Times New Roman" w:cs="Times New Roman"/>
                      <w:color w:val="auto"/>
                      <w:sz w:val="21"/>
                      <w:szCs w:val="21"/>
                      <w:highlight w:val="none"/>
                      <w:lang w:val="en-US" w:eastAsia="zh-CN"/>
                    </w:rPr>
                    <w:t>废机油、</w:t>
                  </w:r>
                  <w:r>
                    <w:rPr>
                      <w:rFonts w:hint="eastAsia" w:cs="Times New Roman"/>
                      <w:color w:val="auto"/>
                      <w:sz w:val="21"/>
                      <w:szCs w:val="21"/>
                      <w:highlight w:val="none"/>
                      <w:lang w:val="en-US" w:eastAsia="zh-CN"/>
                    </w:rPr>
                    <w:t>废油桶、</w:t>
                  </w:r>
                  <w:r>
                    <w:rPr>
                      <w:rFonts w:hint="default" w:ascii="Times New Roman" w:hAnsi="Times New Roman" w:cs="Times New Roman"/>
                      <w:color w:val="auto"/>
                      <w:sz w:val="21"/>
                      <w:szCs w:val="21"/>
                      <w:highlight w:val="none"/>
                      <w:lang w:val="en-US" w:eastAsia="zh-CN"/>
                    </w:rPr>
                    <w:t>含油抹布</w:t>
                  </w:r>
                  <w:r>
                    <w:rPr>
                      <w:rFonts w:hint="eastAsia" w:ascii="Times New Roman" w:hAnsi="Times New Roman" w:cs="Times New Roman"/>
                      <w:color w:val="auto"/>
                      <w:sz w:val="21"/>
                      <w:szCs w:val="21"/>
                      <w:highlight w:val="none"/>
                      <w:lang w:val="en-US" w:eastAsia="zh-CN"/>
                    </w:rPr>
                    <w:t>、隔油沉淀池污泥</w:t>
                  </w:r>
                  <w:r>
                    <w:rPr>
                      <w:rFonts w:hint="default" w:ascii="Times New Roman" w:hAnsi="Times New Roman" w:cs="Times New Roman"/>
                      <w:color w:val="auto"/>
                      <w:sz w:val="21"/>
                      <w:szCs w:val="21"/>
                      <w:highlight w:val="none"/>
                      <w:lang w:val="en-US" w:eastAsia="zh-CN"/>
                    </w:rPr>
                    <w:t>分类收集后依托现有</w:t>
                  </w:r>
                  <w:r>
                    <w:rPr>
                      <w:rFonts w:hint="eastAsia" w:ascii="Times New Roman" w:hAnsi="Times New Roman" w:cs="Times New Roman"/>
                      <w:color w:val="auto"/>
                      <w:sz w:val="21"/>
                      <w:szCs w:val="21"/>
                      <w:highlight w:val="none"/>
                      <w:lang w:val="en-US" w:eastAsia="zh-CN"/>
                    </w:rPr>
                    <w:t>15m</w:t>
                  </w:r>
                  <w:r>
                    <w:rPr>
                      <w:rFonts w:hint="eastAsia"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rPr>
                    <w:t>危废</w:t>
                  </w:r>
                  <w:r>
                    <w:rPr>
                      <w:rFonts w:hint="eastAsia" w:ascii="Times New Roman" w:hAnsi="Times New Roman" w:cs="Times New Roman"/>
                      <w:color w:val="auto"/>
                      <w:sz w:val="21"/>
                      <w:szCs w:val="21"/>
                      <w:highlight w:val="none"/>
                      <w:lang w:val="en-US" w:eastAsia="zh-CN"/>
                    </w:rPr>
                    <w:t>贮存点</w:t>
                  </w:r>
                  <w:r>
                    <w:rPr>
                      <w:rFonts w:hint="default" w:ascii="Times New Roman" w:hAnsi="Times New Roman" w:cs="Times New Roman"/>
                      <w:color w:val="auto"/>
                      <w:sz w:val="21"/>
                      <w:szCs w:val="21"/>
                      <w:highlight w:val="none"/>
                      <w:lang w:val="en-US" w:eastAsia="zh-CN"/>
                    </w:rPr>
                    <w:t>暂存，定期委托有资质单位外运处置。</w:t>
                  </w:r>
                </w:p>
              </w:tc>
              <w:tc>
                <w:tcPr>
                  <w:tcW w:w="399" w:type="pct"/>
                  <w:shd w:val="clear" w:color="auto" w:fill="auto"/>
                  <w:vAlign w:val="center"/>
                </w:tcPr>
                <w:p w14:paraId="6ECCE93F">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依托</w:t>
                  </w:r>
                </w:p>
              </w:tc>
            </w:tr>
            <w:tr w14:paraId="58538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6206FE41">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5F133542">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tcMar>
                    <w:left w:w="0" w:type="dxa"/>
                    <w:right w:w="0" w:type="dxa"/>
                  </w:tcMar>
                  <w:vAlign w:val="center"/>
                </w:tcPr>
                <w:p w14:paraId="4C307AD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8" w:type="pct"/>
                  <w:vMerge w:val="continue"/>
                  <w:shd w:val="clear" w:color="auto" w:fill="auto"/>
                  <w:tcMar>
                    <w:left w:w="0" w:type="dxa"/>
                    <w:right w:w="0" w:type="dxa"/>
                  </w:tcMar>
                  <w:vAlign w:val="center"/>
                </w:tcPr>
                <w:p w14:paraId="05E46AB0">
                  <w:pPr>
                    <w:keepNext/>
                    <w:keepLines w:val="0"/>
                    <w:pageBreakBefore w:val="0"/>
                    <w:kinsoku/>
                    <w:wordWrap/>
                    <w:overflowPunct/>
                    <w:topLinePunct w:val="0"/>
                    <w:bidi w:val="0"/>
                    <w:spacing w:line="240" w:lineRule="auto"/>
                    <w:ind w:firstLine="0"/>
                    <w:jc w:val="center"/>
                    <w:outlineLvl w:val="9"/>
                    <w:rPr>
                      <w:rFonts w:hint="eastAsia" w:ascii="Times New Roman" w:hAnsi="Times New Roman" w:cs="Times New Roman"/>
                      <w:color w:val="auto"/>
                      <w:sz w:val="21"/>
                      <w:szCs w:val="21"/>
                      <w:highlight w:val="none"/>
                      <w:lang w:val="en-US" w:eastAsia="zh-CN"/>
                    </w:rPr>
                  </w:pPr>
                </w:p>
              </w:tc>
              <w:tc>
                <w:tcPr>
                  <w:tcW w:w="2874" w:type="pct"/>
                  <w:shd w:val="clear" w:color="auto" w:fill="auto"/>
                  <w:vAlign w:val="top"/>
                </w:tcPr>
                <w:p w14:paraId="427673FF">
                  <w:pPr>
                    <w:keepNext/>
                    <w:keepLines w:val="0"/>
                    <w:pageBreakBefore w:val="0"/>
                    <w:kinsoku/>
                    <w:wordWrap/>
                    <w:overflowPunct/>
                    <w:topLinePunct w:val="0"/>
                    <w:bidi w:val="0"/>
                    <w:spacing w:line="240" w:lineRule="auto"/>
                    <w:ind w:firstLine="0" w:firstLineChars="0"/>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废炸药包装</w:t>
                  </w:r>
                  <w:r>
                    <w:rPr>
                      <w:rFonts w:hint="eastAsia" w:cs="Times New Roman"/>
                      <w:color w:val="auto"/>
                      <w:sz w:val="21"/>
                      <w:szCs w:val="21"/>
                      <w:highlight w:val="none"/>
                      <w:lang w:val="en-US" w:eastAsia="zh-CN"/>
                    </w:rPr>
                    <w:t>依托辽宁红山危险品销毁场，</w:t>
                  </w:r>
                  <w:r>
                    <w:rPr>
                      <w:rFonts w:hint="eastAsia" w:ascii="Times New Roman" w:hAnsi="Times New Roman" w:eastAsia="宋体" w:cs="Times New Roman"/>
                      <w:color w:val="auto"/>
                      <w:sz w:val="21"/>
                      <w:szCs w:val="21"/>
                      <w:highlight w:val="none"/>
                      <w:lang w:val="en-US" w:eastAsia="zh-CN"/>
                    </w:rPr>
                    <w:t>进行烧毁法销毁。</w:t>
                  </w:r>
                </w:p>
              </w:tc>
              <w:tc>
                <w:tcPr>
                  <w:tcW w:w="399" w:type="pct"/>
                  <w:shd w:val="clear" w:color="auto" w:fill="auto"/>
                  <w:vAlign w:val="center"/>
                </w:tcPr>
                <w:p w14:paraId="2EB24A7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依托</w:t>
                  </w:r>
                </w:p>
              </w:tc>
            </w:tr>
            <w:tr w14:paraId="09D7B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3CA96C4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6F2A4E6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tcMar>
                    <w:left w:w="0" w:type="dxa"/>
                    <w:right w:w="0" w:type="dxa"/>
                  </w:tcMar>
                  <w:vAlign w:val="center"/>
                </w:tcPr>
                <w:p w14:paraId="0C01DA3D">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8" w:type="pct"/>
                  <w:shd w:val="clear" w:color="auto" w:fill="auto"/>
                  <w:tcMar>
                    <w:left w:w="0" w:type="dxa"/>
                    <w:right w:w="0" w:type="dxa"/>
                  </w:tcMar>
                  <w:vAlign w:val="center"/>
                </w:tcPr>
                <w:p w14:paraId="3073ECDC">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一般固废</w:t>
                  </w:r>
                </w:p>
              </w:tc>
              <w:tc>
                <w:tcPr>
                  <w:tcW w:w="2874" w:type="pct"/>
                  <w:shd w:val="clear" w:color="auto" w:fill="auto"/>
                </w:tcPr>
                <w:p w14:paraId="6E498E5A">
                  <w:pPr>
                    <w:keepNext/>
                    <w:keepLines w:val="0"/>
                    <w:pageBreakBefore w:val="0"/>
                    <w:kinsoku/>
                    <w:wordWrap/>
                    <w:overflowPunct/>
                    <w:topLinePunct w:val="0"/>
                    <w:bidi w:val="0"/>
                    <w:spacing w:line="240" w:lineRule="auto"/>
                    <w:ind w:firstLine="0" w:firstLineChars="0"/>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珍珠岩废包装袋集中收集于车间外</w:t>
                  </w:r>
                  <w:r>
                    <w:rPr>
                      <w:rFonts w:hint="eastAsia" w:cs="Times New Roman"/>
                      <w:color w:val="auto"/>
                      <w:sz w:val="21"/>
                      <w:szCs w:val="21"/>
                      <w:highlight w:val="none"/>
                      <w:lang w:val="en-US" w:eastAsia="zh-CN"/>
                    </w:rPr>
                    <w:t>指定的带盖收集桶暂存</w:t>
                  </w:r>
                  <w:r>
                    <w:rPr>
                      <w:rFonts w:hint="default" w:ascii="Times New Roman" w:hAnsi="Times New Roman" w:eastAsia="宋体" w:cs="Times New Roman"/>
                      <w:color w:val="auto"/>
                      <w:sz w:val="21"/>
                      <w:szCs w:val="21"/>
                      <w:highlight w:val="none"/>
                      <w:lang w:val="en-US" w:eastAsia="zh-CN"/>
                    </w:rPr>
                    <w:t>，定期外售。</w:t>
                  </w:r>
                </w:p>
              </w:tc>
              <w:tc>
                <w:tcPr>
                  <w:tcW w:w="399" w:type="pct"/>
                  <w:shd w:val="clear" w:color="auto" w:fill="auto"/>
                  <w:vAlign w:val="center"/>
                </w:tcPr>
                <w:p w14:paraId="23D64C80">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48C97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7642A618">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4547B744">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tcMar>
                    <w:left w:w="0" w:type="dxa"/>
                    <w:right w:w="0" w:type="dxa"/>
                  </w:tcMar>
                  <w:vAlign w:val="center"/>
                </w:tcPr>
                <w:p w14:paraId="51B87E5F">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8" w:type="pct"/>
                  <w:shd w:val="clear" w:color="auto" w:fill="auto"/>
                  <w:tcMar>
                    <w:left w:w="0" w:type="dxa"/>
                    <w:right w:w="0" w:type="dxa"/>
                  </w:tcMar>
                  <w:vAlign w:val="center"/>
                </w:tcPr>
                <w:p w14:paraId="2C198F09">
                  <w:pPr>
                    <w:keepNext/>
                    <w:keepLines w:val="0"/>
                    <w:pageBreakBefore w:val="0"/>
                    <w:kinsoku/>
                    <w:wordWrap/>
                    <w:overflowPunct/>
                    <w:topLinePunct w:val="0"/>
                    <w:bidi w:val="0"/>
                    <w:spacing w:line="240" w:lineRule="auto"/>
                    <w:ind w:firstLine="0" w:firstLine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2874" w:type="pct"/>
                  <w:shd w:val="clear" w:color="auto" w:fill="auto"/>
                  <w:vAlign w:val="top"/>
                </w:tcPr>
                <w:p w14:paraId="7FE919A2">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不合格品收集至不合格品处理工房</w:t>
                  </w:r>
                  <w:r>
                    <w:rPr>
                      <w:rFonts w:hint="eastAsia" w:ascii="Times New Roman" w:hAnsi="Times New Roman" w:cs="Times New Roman"/>
                      <w:color w:val="auto"/>
                      <w:sz w:val="21"/>
                      <w:szCs w:val="21"/>
                      <w:highlight w:val="none"/>
                      <w:lang w:val="en-US" w:eastAsia="zh-CN"/>
                    </w:rPr>
                    <w:t>加工成产品</w:t>
                  </w:r>
                  <w:r>
                    <w:rPr>
                      <w:rFonts w:hint="default" w:ascii="Times New Roman" w:hAnsi="Times New Roman" w:cs="Times New Roman"/>
                      <w:color w:val="auto"/>
                      <w:sz w:val="21"/>
                      <w:szCs w:val="21"/>
                      <w:highlight w:val="none"/>
                      <w:lang w:val="en-US" w:eastAsia="zh-CN"/>
                    </w:rPr>
                    <w:t>后外售</w:t>
                  </w:r>
                  <w:r>
                    <w:rPr>
                      <w:rFonts w:hint="eastAsia" w:ascii="Times New Roman" w:hAnsi="Times New Roman" w:cs="Times New Roman"/>
                      <w:color w:val="auto"/>
                      <w:sz w:val="21"/>
                      <w:szCs w:val="21"/>
                      <w:highlight w:val="none"/>
                      <w:lang w:val="en-US" w:eastAsia="zh-CN"/>
                    </w:rPr>
                    <w:t>，不按固废管理</w:t>
                  </w:r>
                  <w:r>
                    <w:rPr>
                      <w:rFonts w:hint="default" w:ascii="Times New Roman" w:hAnsi="Times New Roman" w:cs="Times New Roman"/>
                      <w:color w:val="auto"/>
                      <w:sz w:val="21"/>
                      <w:szCs w:val="21"/>
                      <w:highlight w:val="none"/>
                      <w:lang w:val="en-US" w:eastAsia="zh-CN"/>
                    </w:rPr>
                    <w:t>。</w:t>
                  </w:r>
                </w:p>
              </w:tc>
              <w:tc>
                <w:tcPr>
                  <w:tcW w:w="399" w:type="pct"/>
                  <w:shd w:val="clear" w:color="auto" w:fill="auto"/>
                  <w:vAlign w:val="center"/>
                </w:tcPr>
                <w:p w14:paraId="0126EA87">
                  <w:pPr>
                    <w:keepNext/>
                    <w:keepLines w:val="0"/>
                    <w:pageBreakBefore w:val="0"/>
                    <w:kinsoku/>
                    <w:wordWrap/>
                    <w:overflowPunct/>
                    <w:topLinePunct w:val="0"/>
                    <w:bidi w:val="0"/>
                    <w:spacing w:line="240" w:lineRule="auto"/>
                    <w:ind w:firstLine="0" w:firstLineChars="0"/>
                    <w:jc w:val="center"/>
                    <w:outlineLvl w:val="9"/>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依托</w:t>
                  </w:r>
                </w:p>
              </w:tc>
            </w:tr>
            <w:tr w14:paraId="7453F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45B3B616">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3CBF9E4D">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shd w:val="clear" w:color="auto" w:fill="auto"/>
                  <w:tcMar>
                    <w:left w:w="0" w:type="dxa"/>
                    <w:right w:w="0" w:type="dxa"/>
                  </w:tcMar>
                  <w:vAlign w:val="center"/>
                </w:tcPr>
                <w:p w14:paraId="4E65032A">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噪声防治</w:t>
                  </w:r>
                </w:p>
              </w:tc>
              <w:tc>
                <w:tcPr>
                  <w:tcW w:w="2874" w:type="pct"/>
                  <w:shd w:val="clear" w:color="auto" w:fill="auto"/>
                  <w:vAlign w:val="center"/>
                </w:tcPr>
                <w:p w14:paraId="52F2BFAD">
                  <w:pPr>
                    <w:keepNext/>
                    <w:keepLines w:val="0"/>
                    <w:pageBreakBefore w:val="0"/>
                    <w:kinsoku/>
                    <w:wordWrap/>
                    <w:overflowPunct/>
                    <w:topLinePunct w:val="0"/>
                    <w:bidi w:val="0"/>
                    <w:spacing w:line="240" w:lineRule="auto"/>
                    <w:ind w:firstLine="0"/>
                    <w:jc w:val="both"/>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选用低噪设备，基础减震和厂房隔声。</w:t>
                  </w:r>
                </w:p>
              </w:tc>
              <w:tc>
                <w:tcPr>
                  <w:tcW w:w="399" w:type="pct"/>
                  <w:shd w:val="clear" w:color="auto" w:fill="auto"/>
                  <w:vAlign w:val="center"/>
                </w:tcPr>
                <w:p w14:paraId="2B686040">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新建</w:t>
                  </w:r>
                </w:p>
              </w:tc>
            </w:tr>
            <w:tr w14:paraId="39508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1E5D7FDC">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18919E7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vMerge w:val="restart"/>
                  <w:shd w:val="clear" w:color="auto" w:fill="auto"/>
                  <w:tcMar>
                    <w:left w:w="0" w:type="dxa"/>
                    <w:right w:w="0" w:type="dxa"/>
                  </w:tcMar>
                  <w:vAlign w:val="center"/>
                </w:tcPr>
                <w:p w14:paraId="5F385E48">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环境</w:t>
                  </w:r>
                  <w:r>
                    <w:rPr>
                      <w:rFonts w:hint="default" w:ascii="Times New Roman" w:hAnsi="Times New Roman" w:cs="Times New Roman"/>
                      <w:color w:val="auto"/>
                      <w:sz w:val="21"/>
                      <w:szCs w:val="21"/>
                      <w:highlight w:val="none"/>
                    </w:rPr>
                    <w:t>风险</w:t>
                  </w:r>
                </w:p>
              </w:tc>
              <w:tc>
                <w:tcPr>
                  <w:tcW w:w="2874" w:type="pct"/>
                  <w:shd w:val="clear" w:color="auto" w:fill="auto"/>
                  <w:vAlign w:val="center"/>
                </w:tcPr>
                <w:p w14:paraId="5020CB00">
                  <w:pPr>
                    <w:keepNext/>
                    <w:keepLines w:val="0"/>
                    <w:pageBreakBefore w:val="0"/>
                    <w:kinsoku/>
                    <w:wordWrap/>
                    <w:overflowPunct/>
                    <w:topLinePunct w:val="0"/>
                    <w:bidi w:val="0"/>
                    <w:spacing w:line="240" w:lineRule="auto"/>
                    <w:ind w:firstLine="0"/>
                    <w:jc w:val="both"/>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依托厂区</w:t>
                  </w:r>
                  <w:r>
                    <w:rPr>
                      <w:rFonts w:hint="default" w:ascii="Times New Roman" w:hAnsi="Times New Roman" w:eastAsia="宋体" w:cs="Times New Roman"/>
                      <w:color w:val="auto"/>
                      <w:sz w:val="21"/>
                      <w:szCs w:val="21"/>
                      <w:highlight w:val="none"/>
                      <w:lang w:val="en-US" w:eastAsia="zh-CN"/>
                    </w:rPr>
                    <w:t>现有600m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事故池</w:t>
                  </w:r>
                  <w:r>
                    <w:rPr>
                      <w:rFonts w:hint="eastAsia" w:cs="Times New Roman"/>
                      <w:color w:val="auto"/>
                      <w:sz w:val="21"/>
                      <w:szCs w:val="21"/>
                      <w:highlight w:val="none"/>
                      <w:lang w:val="en-US" w:eastAsia="zh-CN"/>
                    </w:rPr>
                    <w:t>。</w:t>
                  </w:r>
                </w:p>
              </w:tc>
              <w:tc>
                <w:tcPr>
                  <w:tcW w:w="399" w:type="pct"/>
                  <w:shd w:val="clear" w:color="auto" w:fill="auto"/>
                  <w:vAlign w:val="center"/>
                </w:tcPr>
                <w:p w14:paraId="1A23981C">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依托</w:t>
                  </w:r>
                </w:p>
              </w:tc>
            </w:tr>
            <w:tr w14:paraId="0A230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7D2E2583">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10860EC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vMerge w:val="continue"/>
                  <w:shd w:val="clear" w:color="auto" w:fill="auto"/>
                  <w:tcMar>
                    <w:left w:w="0" w:type="dxa"/>
                    <w:right w:w="0" w:type="dxa"/>
                  </w:tcMar>
                  <w:vAlign w:val="center"/>
                </w:tcPr>
                <w:p w14:paraId="46280DC9">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2874" w:type="pct"/>
                  <w:shd w:val="clear" w:color="auto" w:fill="auto"/>
                  <w:vAlign w:val="center"/>
                </w:tcPr>
                <w:p w14:paraId="75C86192">
                  <w:pPr>
                    <w:keepNext/>
                    <w:keepLines w:val="0"/>
                    <w:pageBreakBefore w:val="0"/>
                    <w:kinsoku/>
                    <w:wordWrap/>
                    <w:overflowPunct/>
                    <w:topLinePunct w:val="0"/>
                    <w:bidi w:val="0"/>
                    <w:spacing w:line="240" w:lineRule="auto"/>
                    <w:ind w:firstLine="0"/>
                    <w:jc w:val="both"/>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新建有效容积为300m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的初期雨水收集池，用于收集本项目产生的初期雨水。</w:t>
                  </w:r>
                </w:p>
              </w:tc>
              <w:tc>
                <w:tcPr>
                  <w:tcW w:w="399" w:type="pct"/>
                  <w:shd w:val="clear" w:color="auto" w:fill="auto"/>
                  <w:vAlign w:val="center"/>
                </w:tcPr>
                <w:p w14:paraId="41FCBA24">
                  <w:pPr>
                    <w:keepNext/>
                    <w:keepLines w:val="0"/>
                    <w:pageBreakBefore w:val="0"/>
                    <w:kinsoku/>
                    <w:wordWrap/>
                    <w:overflowPunct/>
                    <w:topLinePunct w:val="0"/>
                    <w:bidi w:val="0"/>
                    <w:spacing w:line="240" w:lineRule="auto"/>
                    <w:ind w:firstLine="0"/>
                    <w:jc w:val="center"/>
                    <w:outlineLvl w:val="9"/>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新建</w:t>
                  </w:r>
                </w:p>
              </w:tc>
            </w:tr>
            <w:tr w14:paraId="09086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 w:type="pct"/>
                  <w:vMerge w:val="continue"/>
                  <w:shd w:val="clear" w:color="auto" w:fill="auto"/>
                  <w:vAlign w:val="center"/>
                </w:tcPr>
                <w:p w14:paraId="3F8CF4EE">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476" w:type="pct"/>
                  <w:vMerge w:val="continue"/>
                  <w:shd w:val="clear" w:color="auto" w:fill="auto"/>
                  <w:vAlign w:val="center"/>
                </w:tcPr>
                <w:p w14:paraId="419C2A8F">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rPr>
                  </w:pPr>
                </w:p>
              </w:tc>
              <w:tc>
                <w:tcPr>
                  <w:tcW w:w="954" w:type="pct"/>
                  <w:gridSpan w:val="2"/>
                  <w:vMerge w:val="continue"/>
                  <w:shd w:val="clear" w:color="auto" w:fill="auto"/>
                  <w:tcMar>
                    <w:left w:w="0" w:type="dxa"/>
                    <w:right w:w="0" w:type="dxa"/>
                  </w:tcMar>
                  <w:vAlign w:val="center"/>
                </w:tcPr>
                <w:p w14:paraId="740784CB">
                  <w:pPr>
                    <w:keepNext/>
                    <w:keepLines w:val="0"/>
                    <w:pageBreakBefore w:val="0"/>
                    <w:kinsoku/>
                    <w:wordWrap/>
                    <w:overflowPunct/>
                    <w:topLinePunct w:val="0"/>
                    <w:bidi w:val="0"/>
                    <w:spacing w:line="240" w:lineRule="auto"/>
                    <w:ind w:firstLine="0"/>
                    <w:jc w:val="center"/>
                    <w:outlineLvl w:val="9"/>
                    <w:rPr>
                      <w:rFonts w:hint="default" w:ascii="Times New Roman" w:hAnsi="Times New Roman" w:cs="Times New Roman"/>
                      <w:color w:val="auto"/>
                      <w:sz w:val="21"/>
                      <w:szCs w:val="21"/>
                      <w:highlight w:val="none"/>
                      <w:lang w:val="en-US" w:eastAsia="zh-CN"/>
                    </w:rPr>
                  </w:pPr>
                </w:p>
              </w:tc>
              <w:tc>
                <w:tcPr>
                  <w:tcW w:w="2874" w:type="pct"/>
                  <w:shd w:val="clear" w:color="auto" w:fill="auto"/>
                  <w:vAlign w:val="center"/>
                </w:tcPr>
                <w:p w14:paraId="2E4FC654">
                  <w:pPr>
                    <w:keepNext/>
                    <w:keepLines w:val="0"/>
                    <w:pageBreakBefore w:val="0"/>
                    <w:kinsoku/>
                    <w:wordWrap/>
                    <w:overflowPunct/>
                    <w:topLinePunct w:val="0"/>
                    <w:bidi w:val="0"/>
                    <w:spacing w:line="240" w:lineRule="auto"/>
                    <w:ind w:firstLine="0"/>
                    <w:jc w:val="both"/>
                    <w:outlineLvl w:val="9"/>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硝酸铵罐区设置围堰，围堰尺寸17.3m*9.2m*1.2m，有效容积190m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399" w:type="pct"/>
                  <w:shd w:val="clear" w:color="auto" w:fill="auto"/>
                  <w:vAlign w:val="center"/>
                </w:tcPr>
                <w:p w14:paraId="603D1633">
                  <w:pPr>
                    <w:keepNext/>
                    <w:keepLines w:val="0"/>
                    <w:pageBreakBefore w:val="0"/>
                    <w:kinsoku/>
                    <w:wordWrap/>
                    <w:overflowPunct/>
                    <w:topLinePunct w:val="0"/>
                    <w:bidi w:val="0"/>
                    <w:spacing w:line="240" w:lineRule="auto"/>
                    <w:ind w:firstLine="0"/>
                    <w:jc w:val="center"/>
                    <w:outlineLvl w:val="9"/>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新建</w:t>
                  </w:r>
                </w:p>
              </w:tc>
            </w:tr>
          </w:tbl>
          <w:p w14:paraId="55341BDD">
            <w:pPr>
              <w:keepNext/>
              <w:keepLines w:val="0"/>
              <w:pageBreakBefore w:val="0"/>
              <w:kinsoku/>
              <w:wordWrap/>
              <w:overflowPunct/>
              <w:topLinePunct w:val="0"/>
              <w:bidi w:val="0"/>
              <w:spacing w:line="440" w:lineRule="exact"/>
              <w:ind w:firstLine="422" w:firstLineChars="200"/>
              <w:jc w:val="center"/>
              <w:outlineLvl w:val="9"/>
              <w:rPr>
                <w:b/>
                <w:bCs/>
                <w:color w:val="auto"/>
                <w:szCs w:val="21"/>
                <w:lang w:val="zh-CN"/>
              </w:rPr>
            </w:pPr>
            <w:r>
              <w:rPr>
                <w:b/>
                <w:bCs/>
                <w:color w:val="auto"/>
                <w:szCs w:val="21"/>
                <w:lang w:val="zh-CN"/>
              </w:rPr>
              <w:t>表2-</w:t>
            </w:r>
            <w:r>
              <w:rPr>
                <w:rFonts w:hint="eastAsia"/>
                <w:b/>
                <w:bCs/>
                <w:color w:val="auto"/>
                <w:szCs w:val="21"/>
              </w:rPr>
              <w:t>2</w:t>
            </w:r>
            <w:r>
              <w:rPr>
                <w:b/>
                <w:bCs/>
                <w:color w:val="auto"/>
                <w:szCs w:val="21"/>
                <w:lang w:val="zh-CN"/>
              </w:rPr>
              <w:t xml:space="preserve">  </w:t>
            </w:r>
            <w:r>
              <w:rPr>
                <w:b/>
                <w:bCs/>
                <w:color w:val="auto"/>
                <w:szCs w:val="21"/>
              </w:rPr>
              <w:t>全厂</w:t>
            </w:r>
            <w:r>
              <w:rPr>
                <w:b/>
                <w:bCs/>
                <w:color w:val="auto"/>
                <w:szCs w:val="21"/>
                <w:lang w:val="zh-CN"/>
              </w:rPr>
              <w:t>项目组成一览表</w:t>
            </w:r>
          </w:p>
          <w:tbl>
            <w:tblPr>
              <w:tblStyle w:val="32"/>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
              <w:gridCol w:w="427"/>
              <w:gridCol w:w="274"/>
              <w:gridCol w:w="291"/>
              <w:gridCol w:w="1333"/>
              <w:gridCol w:w="2025"/>
              <w:gridCol w:w="2122"/>
              <w:gridCol w:w="1444"/>
            </w:tblGrid>
            <w:tr w14:paraId="3E0D5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4" w:type="pct"/>
                  <w:vMerge w:val="restart"/>
                  <w:shd w:val="clear" w:color="auto" w:fill="auto"/>
                  <w:vAlign w:val="center"/>
                </w:tcPr>
                <w:p w14:paraId="65721456">
                  <w:pPr>
                    <w:keepNext/>
                    <w:keepLines w:val="0"/>
                    <w:pageBreakBefore w:val="0"/>
                    <w:kinsoku/>
                    <w:wordWrap/>
                    <w:overflowPunct/>
                    <w:topLinePunct w:val="0"/>
                    <w:bidi w:val="0"/>
                    <w:spacing w:line="240" w:lineRule="auto"/>
                    <w:ind w:left="-105" w:leftChars="-50" w:right="-105" w:rightChars="-50" w:firstLine="0"/>
                    <w:jc w:val="center"/>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59" w:type="pct"/>
                  <w:vMerge w:val="restart"/>
                  <w:shd w:val="clear" w:color="auto" w:fill="auto"/>
                  <w:vAlign w:val="center"/>
                </w:tcPr>
                <w:p w14:paraId="77EFAAC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342" w:type="pct"/>
                  <w:gridSpan w:val="2"/>
                  <w:vMerge w:val="restart"/>
                  <w:shd w:val="clear" w:color="auto" w:fill="auto"/>
                  <w:tcMar>
                    <w:left w:w="0" w:type="dxa"/>
                    <w:right w:w="0" w:type="dxa"/>
                  </w:tcMar>
                  <w:vAlign w:val="center"/>
                </w:tcPr>
                <w:p w14:paraId="2E28EEF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2038" w:type="pct"/>
                  <w:gridSpan w:val="2"/>
                  <w:shd w:val="clear" w:color="auto" w:fill="auto"/>
                  <w:vAlign w:val="center"/>
                </w:tcPr>
                <w:p w14:paraId="1CC96ACD">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kern w:val="0"/>
                      <w:sz w:val="21"/>
                      <w:szCs w:val="21"/>
                    </w:rPr>
                    <w:t>现有项目建设内容</w:t>
                  </w:r>
                </w:p>
              </w:tc>
              <w:tc>
                <w:tcPr>
                  <w:tcW w:w="1288" w:type="pct"/>
                  <w:vMerge w:val="restart"/>
                  <w:shd w:val="clear" w:color="auto" w:fill="auto"/>
                  <w:vAlign w:val="center"/>
                </w:tcPr>
                <w:p w14:paraId="0A0EB07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本项目建设内容</w:t>
                  </w:r>
                </w:p>
              </w:tc>
              <w:tc>
                <w:tcPr>
                  <w:tcW w:w="876" w:type="pct"/>
                  <w:vMerge w:val="restart"/>
                  <w:shd w:val="clear" w:color="auto" w:fill="auto"/>
                  <w:vAlign w:val="center"/>
                </w:tcPr>
                <w:p w14:paraId="475C015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扩建后全厂</w:t>
                  </w:r>
                </w:p>
              </w:tc>
            </w:tr>
            <w:tr w14:paraId="62E2D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94" w:type="pct"/>
                  <w:vMerge w:val="continue"/>
                  <w:shd w:val="clear" w:color="auto" w:fill="auto"/>
                  <w:vAlign w:val="center"/>
                </w:tcPr>
                <w:p w14:paraId="16B17EDC">
                  <w:pPr>
                    <w:keepNext/>
                    <w:keepLines w:val="0"/>
                    <w:pageBreakBefore w:val="0"/>
                    <w:kinsoku/>
                    <w:wordWrap/>
                    <w:overflowPunct/>
                    <w:topLinePunct w:val="0"/>
                    <w:bidi w:val="0"/>
                    <w:spacing w:line="240" w:lineRule="auto"/>
                    <w:ind w:left="-105" w:leftChars="-50" w:right="-105" w:rightChars="-50" w:firstLine="0"/>
                    <w:jc w:val="center"/>
                    <w:outlineLvl w:val="9"/>
                    <w:rPr>
                      <w:rFonts w:hint="default" w:ascii="Times New Roman" w:hAnsi="Times New Roman" w:eastAsia="宋体" w:cs="Times New Roman"/>
                      <w:b/>
                      <w:bCs/>
                      <w:color w:val="auto"/>
                      <w:sz w:val="21"/>
                      <w:szCs w:val="21"/>
                      <w:highlight w:val="none"/>
                    </w:rPr>
                  </w:pPr>
                </w:p>
              </w:tc>
              <w:tc>
                <w:tcPr>
                  <w:tcW w:w="259" w:type="pct"/>
                  <w:vMerge w:val="continue"/>
                  <w:shd w:val="clear" w:color="auto" w:fill="auto"/>
                  <w:vAlign w:val="center"/>
                </w:tcPr>
                <w:p w14:paraId="58DAE9C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b/>
                      <w:bCs/>
                      <w:color w:val="auto"/>
                      <w:sz w:val="21"/>
                      <w:szCs w:val="21"/>
                      <w:highlight w:val="none"/>
                    </w:rPr>
                  </w:pPr>
                </w:p>
              </w:tc>
              <w:tc>
                <w:tcPr>
                  <w:tcW w:w="342" w:type="pct"/>
                  <w:gridSpan w:val="2"/>
                  <w:vMerge w:val="continue"/>
                  <w:shd w:val="clear" w:color="auto" w:fill="auto"/>
                  <w:tcMar>
                    <w:left w:w="0" w:type="dxa"/>
                    <w:right w:w="0" w:type="dxa"/>
                  </w:tcMar>
                  <w:vAlign w:val="center"/>
                </w:tcPr>
                <w:p w14:paraId="672372F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b/>
                      <w:bCs/>
                      <w:color w:val="auto"/>
                      <w:sz w:val="21"/>
                      <w:szCs w:val="21"/>
                      <w:highlight w:val="none"/>
                    </w:rPr>
                  </w:pPr>
                </w:p>
              </w:tc>
              <w:tc>
                <w:tcPr>
                  <w:tcW w:w="809" w:type="pct"/>
                  <w:shd w:val="clear" w:color="auto" w:fill="auto"/>
                  <w:vAlign w:val="center"/>
                </w:tcPr>
                <w:p w14:paraId="70B99192">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rPr>
                    <w:t>年产21000吨乳化粒状铵油炸药生产线</w:t>
                  </w:r>
                </w:p>
              </w:tc>
              <w:tc>
                <w:tcPr>
                  <w:tcW w:w="1228" w:type="pct"/>
                  <w:shd w:val="clear" w:color="auto" w:fill="auto"/>
                  <w:vAlign w:val="center"/>
                </w:tcPr>
                <w:p w14:paraId="771BFEF7">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lang w:val="en-US" w:eastAsia="zh-CN"/>
                    </w:rPr>
                    <w:t>年产20000t乳化炸药生产线</w:t>
                  </w:r>
                </w:p>
              </w:tc>
              <w:tc>
                <w:tcPr>
                  <w:tcW w:w="1288" w:type="pct"/>
                  <w:vMerge w:val="continue"/>
                  <w:shd w:val="clear" w:color="auto" w:fill="auto"/>
                  <w:vAlign w:val="center"/>
                </w:tcPr>
                <w:p w14:paraId="53EC3B0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lang w:val="en-US" w:eastAsia="zh-CN"/>
                    </w:rPr>
                  </w:pPr>
                </w:p>
              </w:tc>
              <w:tc>
                <w:tcPr>
                  <w:tcW w:w="876" w:type="pct"/>
                  <w:vMerge w:val="continue"/>
                  <w:shd w:val="clear" w:color="auto" w:fill="auto"/>
                  <w:vAlign w:val="center"/>
                </w:tcPr>
                <w:p w14:paraId="290A1454">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b/>
                      <w:bCs/>
                      <w:color w:val="auto"/>
                      <w:sz w:val="21"/>
                      <w:szCs w:val="21"/>
                      <w:highlight w:val="none"/>
                    </w:rPr>
                  </w:pPr>
                </w:p>
              </w:tc>
            </w:tr>
            <w:tr w14:paraId="64EDF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restart"/>
                  <w:shd w:val="clear" w:color="auto" w:fill="auto"/>
                  <w:vAlign w:val="center"/>
                </w:tcPr>
                <w:p w14:paraId="6E8C805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259" w:type="pct"/>
                  <w:vMerge w:val="restart"/>
                  <w:shd w:val="clear" w:color="auto" w:fill="auto"/>
                  <w:vAlign w:val="center"/>
                </w:tcPr>
                <w:p w14:paraId="45D7B788">
                  <w:pPr>
                    <w:keepNext/>
                    <w:keepLines w:val="0"/>
                    <w:pageBreakBefore w:val="0"/>
                    <w:kinsoku/>
                    <w:wordWrap/>
                    <w:overflowPunct/>
                    <w:topLinePunct w:val="0"/>
                    <w:bidi w:val="0"/>
                    <w:spacing w:line="240" w:lineRule="auto"/>
                    <w:ind w:firstLine="0"/>
                    <w:jc w:val="right"/>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14:paraId="600169C6">
                  <w:pPr>
                    <w:keepNext/>
                    <w:keepLines w:val="0"/>
                    <w:pageBreakBefore w:val="0"/>
                    <w:kinsoku/>
                    <w:wordWrap/>
                    <w:overflowPunct/>
                    <w:topLinePunct w:val="0"/>
                    <w:bidi w:val="0"/>
                    <w:spacing w:line="240" w:lineRule="auto"/>
                    <w:ind w:firstLine="0"/>
                    <w:jc w:val="right"/>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342" w:type="pct"/>
                  <w:gridSpan w:val="2"/>
                  <w:shd w:val="clear" w:color="auto" w:fill="auto"/>
                  <w:tcMar>
                    <w:left w:w="0" w:type="dxa"/>
                    <w:right w:w="0" w:type="dxa"/>
                  </w:tcMar>
                  <w:vAlign w:val="center"/>
                </w:tcPr>
                <w:p w14:paraId="7FCA71EA">
                  <w:pPr>
                    <w:pStyle w:val="115"/>
                    <w:keepNext/>
                    <w:keepLines w:val="0"/>
                    <w:pageBreakBefore w:val="0"/>
                    <w:kinsoku/>
                    <w:wordWrap/>
                    <w:overflowPunct/>
                    <w:topLinePunct w:val="0"/>
                    <w:bidi w:val="0"/>
                    <w:spacing w:before="65" w:line="227" w:lineRule="auto"/>
                    <w:ind w:left="123"/>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pacing w:val="3"/>
                      <w:sz w:val="21"/>
                      <w:szCs w:val="21"/>
                    </w:rPr>
                    <w:t>乳胶</w:t>
                  </w:r>
                  <w:r>
                    <w:rPr>
                      <w:rFonts w:hint="default" w:ascii="Times New Roman" w:hAnsi="Times New Roman" w:eastAsia="宋体" w:cs="Times New Roman"/>
                      <w:color w:val="auto"/>
                      <w:spacing w:val="4"/>
                      <w:sz w:val="21"/>
                      <w:szCs w:val="21"/>
                    </w:rPr>
                    <w:t>基质制备</w:t>
                  </w:r>
                  <w:r>
                    <w:rPr>
                      <w:rFonts w:hint="default" w:ascii="Times New Roman" w:hAnsi="Times New Roman" w:eastAsia="宋体" w:cs="Times New Roman"/>
                      <w:color w:val="auto"/>
                      <w:spacing w:val="3"/>
                      <w:sz w:val="21"/>
                      <w:szCs w:val="21"/>
                    </w:rPr>
                    <w:t>工房</w:t>
                  </w:r>
                </w:p>
              </w:tc>
              <w:tc>
                <w:tcPr>
                  <w:tcW w:w="809" w:type="pct"/>
                  <w:shd w:val="clear" w:color="auto" w:fill="auto"/>
                  <w:vAlign w:val="center"/>
                </w:tcPr>
                <w:p w14:paraId="270D02B7">
                  <w:pPr>
                    <w:pStyle w:val="115"/>
                    <w:keepNext/>
                    <w:keepLines w:val="0"/>
                    <w:pageBreakBefore w:val="0"/>
                    <w:widowControl w:val="0"/>
                    <w:kinsoku/>
                    <w:wordWrap/>
                    <w:overflowPunct/>
                    <w:topLinePunct w:val="0"/>
                    <w:autoSpaceDE/>
                    <w:autoSpaceDN/>
                    <w:bidi w:val="0"/>
                    <w:adjustRightInd/>
                    <w:snapToGrid/>
                    <w:spacing w:line="228" w:lineRule="auto"/>
                    <w:ind w:lef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制备乳胶基质并储存备</w:t>
                  </w:r>
                  <w:r>
                    <w:rPr>
                      <w:rFonts w:hint="default" w:ascii="Times New Roman" w:hAnsi="Times New Roman" w:eastAsia="宋体" w:cs="Times New Roman"/>
                      <w:color w:val="auto"/>
                      <w:spacing w:val="-1"/>
                      <w:sz w:val="21"/>
                      <w:szCs w:val="21"/>
                    </w:rPr>
                    <w:t>用，主要包括硝酸铵投料斗、硝酸铵溜槽、水相制备罐、水相输送泵、油相制备罐、油相输送泵、粗乳器、乳胶基质泵、精乳</w:t>
                  </w:r>
                  <w:r>
                    <w:rPr>
                      <w:rFonts w:hint="default" w:ascii="Times New Roman" w:hAnsi="Times New Roman" w:eastAsia="宋体" w:cs="Times New Roman"/>
                      <w:color w:val="auto"/>
                      <w:sz w:val="21"/>
                      <w:szCs w:val="21"/>
                    </w:rPr>
                    <w:t>器、乳胶基质暂存罐、热</w:t>
                  </w:r>
                  <w:r>
                    <w:rPr>
                      <w:rFonts w:hint="default" w:ascii="Times New Roman" w:hAnsi="Times New Roman" w:eastAsia="宋体" w:cs="Times New Roman"/>
                      <w:color w:val="auto"/>
                      <w:spacing w:val="-10"/>
                      <w:sz w:val="21"/>
                      <w:szCs w:val="21"/>
                    </w:rPr>
                    <w:t>水罐、热水泵、发泡剂罐、</w:t>
                  </w:r>
                  <w:r>
                    <w:rPr>
                      <w:rFonts w:hint="default" w:ascii="Times New Roman" w:hAnsi="Times New Roman" w:eastAsia="宋体" w:cs="Times New Roman"/>
                      <w:color w:val="auto"/>
                      <w:spacing w:val="-1"/>
                      <w:sz w:val="21"/>
                      <w:szCs w:val="21"/>
                    </w:rPr>
                    <w:t>发泡剂输送泵等。建筑面</w:t>
                  </w:r>
                  <w:r>
                    <w:rPr>
                      <w:rFonts w:hint="default" w:ascii="Times New Roman" w:hAnsi="Times New Roman" w:eastAsia="宋体" w:cs="Times New Roman"/>
                      <w:color w:val="auto"/>
                      <w:spacing w:val="3"/>
                      <w:sz w:val="21"/>
                      <w:szCs w:val="21"/>
                    </w:rPr>
                    <w:t>积</w:t>
                  </w:r>
                  <w:r>
                    <w:rPr>
                      <w:rFonts w:hint="default" w:ascii="Times New Roman" w:hAnsi="Times New Roman" w:eastAsia="宋体" w:cs="Times New Roman"/>
                      <w:color w:val="auto"/>
                      <w:spacing w:val="-41"/>
                      <w:sz w:val="21"/>
                      <w:szCs w:val="21"/>
                    </w:rPr>
                    <w:t xml:space="preserve"> </w:t>
                  </w:r>
                  <w:r>
                    <w:rPr>
                      <w:rFonts w:hint="default" w:ascii="Times New Roman" w:hAnsi="Times New Roman" w:eastAsia="宋体" w:cs="Times New Roman"/>
                      <w:color w:val="auto"/>
                      <w:spacing w:val="3"/>
                      <w:sz w:val="21"/>
                      <w:szCs w:val="21"/>
                    </w:rPr>
                    <w:t>480m</w:t>
                  </w:r>
                  <w:r>
                    <w:rPr>
                      <w:rFonts w:hint="default" w:ascii="Times New Roman" w:hAnsi="Times New Roman" w:eastAsia="宋体" w:cs="Times New Roman"/>
                      <w:color w:val="auto"/>
                      <w:spacing w:val="3"/>
                      <w:sz w:val="21"/>
                      <w:szCs w:val="21"/>
                      <w:vertAlign w:val="superscript"/>
                      <w:lang w:val="en-US" w:eastAsia="zh-CN"/>
                    </w:rPr>
                    <w:t>2</w:t>
                  </w:r>
                </w:p>
              </w:tc>
              <w:tc>
                <w:tcPr>
                  <w:tcW w:w="1228" w:type="pct"/>
                  <w:shd w:val="clear" w:color="auto" w:fill="auto"/>
                  <w:vAlign w:val="center"/>
                </w:tcPr>
                <w:p w14:paraId="3D5A05A9">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281E88A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4A8B9831">
                  <w:pPr>
                    <w:pStyle w:val="115"/>
                    <w:keepNext/>
                    <w:keepLines w:val="0"/>
                    <w:pageBreakBefore w:val="0"/>
                    <w:widowControl w:val="0"/>
                    <w:kinsoku/>
                    <w:wordWrap/>
                    <w:overflowPunct/>
                    <w:topLinePunct w:val="0"/>
                    <w:autoSpaceDE/>
                    <w:autoSpaceDN/>
                    <w:bidi w:val="0"/>
                    <w:adjustRightInd/>
                    <w:snapToGrid/>
                    <w:spacing w:line="228"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8"/>
                      <w:sz w:val="21"/>
                      <w:szCs w:val="21"/>
                    </w:rPr>
                    <w:t>制备乳胶基质并储存备</w:t>
                  </w:r>
                  <w:r>
                    <w:rPr>
                      <w:rFonts w:hint="default" w:ascii="Times New Roman" w:hAnsi="Times New Roman" w:eastAsia="宋体" w:cs="Times New Roman"/>
                      <w:color w:val="auto"/>
                      <w:spacing w:val="-1"/>
                      <w:sz w:val="21"/>
                      <w:szCs w:val="21"/>
                    </w:rPr>
                    <w:t>用，主要包括硝酸铵投料斗、硝酸铵溜槽、水相制备罐、水相输送泵、油相制备罐、油相输送泵、粗乳器、乳胶基质泵、精乳</w:t>
                  </w:r>
                  <w:r>
                    <w:rPr>
                      <w:rFonts w:hint="default" w:ascii="Times New Roman" w:hAnsi="Times New Roman" w:eastAsia="宋体" w:cs="Times New Roman"/>
                      <w:color w:val="auto"/>
                      <w:sz w:val="21"/>
                      <w:szCs w:val="21"/>
                    </w:rPr>
                    <w:t>器、乳胶基质暂存罐、热</w:t>
                  </w:r>
                  <w:r>
                    <w:rPr>
                      <w:rFonts w:hint="default" w:ascii="Times New Roman" w:hAnsi="Times New Roman" w:eastAsia="宋体" w:cs="Times New Roman"/>
                      <w:color w:val="auto"/>
                      <w:spacing w:val="-10"/>
                      <w:sz w:val="21"/>
                      <w:szCs w:val="21"/>
                    </w:rPr>
                    <w:t>水罐、热水泵、发泡剂罐、</w:t>
                  </w:r>
                  <w:r>
                    <w:rPr>
                      <w:rFonts w:hint="default" w:ascii="Times New Roman" w:hAnsi="Times New Roman" w:eastAsia="宋体" w:cs="Times New Roman"/>
                      <w:color w:val="auto"/>
                      <w:spacing w:val="-1"/>
                      <w:sz w:val="21"/>
                      <w:szCs w:val="21"/>
                    </w:rPr>
                    <w:t>发泡剂输送泵等。建筑面</w:t>
                  </w:r>
                  <w:r>
                    <w:rPr>
                      <w:rFonts w:hint="default" w:ascii="Times New Roman" w:hAnsi="Times New Roman" w:eastAsia="宋体" w:cs="Times New Roman"/>
                      <w:color w:val="auto"/>
                      <w:spacing w:val="3"/>
                      <w:sz w:val="21"/>
                      <w:szCs w:val="21"/>
                    </w:rPr>
                    <w:t>积</w:t>
                  </w:r>
                  <w:r>
                    <w:rPr>
                      <w:rFonts w:hint="default" w:ascii="Times New Roman" w:hAnsi="Times New Roman" w:eastAsia="宋体" w:cs="Times New Roman"/>
                      <w:color w:val="auto"/>
                      <w:spacing w:val="-41"/>
                      <w:sz w:val="21"/>
                      <w:szCs w:val="21"/>
                    </w:rPr>
                    <w:t xml:space="preserve"> </w:t>
                  </w:r>
                  <w:r>
                    <w:rPr>
                      <w:rFonts w:hint="default" w:ascii="Times New Roman" w:hAnsi="Times New Roman" w:eastAsia="宋体" w:cs="Times New Roman"/>
                      <w:color w:val="auto"/>
                      <w:spacing w:val="3"/>
                      <w:sz w:val="21"/>
                      <w:szCs w:val="21"/>
                    </w:rPr>
                    <w:t>480m</w:t>
                  </w:r>
                  <w:r>
                    <w:rPr>
                      <w:rFonts w:hint="default" w:ascii="Times New Roman" w:hAnsi="Times New Roman" w:eastAsia="宋体" w:cs="Times New Roman"/>
                      <w:color w:val="auto"/>
                      <w:spacing w:val="3"/>
                      <w:sz w:val="21"/>
                      <w:szCs w:val="21"/>
                      <w:vertAlign w:val="superscript"/>
                      <w:lang w:val="en-US" w:eastAsia="zh-CN"/>
                    </w:rPr>
                    <w:t>2</w:t>
                  </w:r>
                </w:p>
              </w:tc>
            </w:tr>
            <w:tr w14:paraId="34D49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1112ACF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74EE7D88">
                  <w:pPr>
                    <w:keepNext/>
                    <w:keepLines w:val="0"/>
                    <w:pageBreakBefore w:val="0"/>
                    <w:kinsoku/>
                    <w:wordWrap/>
                    <w:overflowPunct/>
                    <w:topLinePunct w:val="0"/>
                    <w:bidi w:val="0"/>
                    <w:spacing w:line="240" w:lineRule="auto"/>
                    <w:ind w:firstLine="0"/>
                    <w:jc w:val="right"/>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0BB95426">
                  <w:pPr>
                    <w:pStyle w:val="115"/>
                    <w:keepNext/>
                    <w:keepLines w:val="0"/>
                    <w:pageBreakBefore w:val="0"/>
                    <w:kinsoku/>
                    <w:wordWrap/>
                    <w:overflowPunct/>
                    <w:topLinePunct w:val="0"/>
                    <w:bidi w:val="0"/>
                    <w:spacing w:before="66" w:line="229" w:lineRule="auto"/>
                    <w:ind w:left="125"/>
                    <w:jc w:val="center"/>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1"/>
                      <w:sz w:val="21"/>
                      <w:szCs w:val="21"/>
                    </w:rPr>
                    <w:t>多孔</w:t>
                  </w:r>
                  <w:r>
                    <w:rPr>
                      <w:rFonts w:hint="default" w:ascii="Times New Roman" w:hAnsi="Times New Roman" w:eastAsia="宋体" w:cs="Times New Roman"/>
                      <w:color w:val="auto"/>
                      <w:spacing w:val="4"/>
                      <w:sz w:val="21"/>
                      <w:szCs w:val="21"/>
                    </w:rPr>
                    <w:t>粒状</w:t>
                  </w:r>
                  <w:r>
                    <w:rPr>
                      <w:rFonts w:hint="default" w:ascii="Times New Roman" w:hAnsi="Times New Roman" w:eastAsia="宋体" w:cs="Times New Roman"/>
                      <w:color w:val="auto"/>
                      <w:spacing w:val="3"/>
                      <w:sz w:val="21"/>
                      <w:szCs w:val="21"/>
                    </w:rPr>
                    <w:t>硝酸</w:t>
                  </w:r>
                  <w:r>
                    <w:rPr>
                      <w:rFonts w:hint="default" w:ascii="Times New Roman" w:hAnsi="Times New Roman" w:eastAsia="宋体" w:cs="Times New Roman"/>
                      <w:color w:val="auto"/>
                      <w:spacing w:val="4"/>
                      <w:sz w:val="21"/>
                      <w:szCs w:val="21"/>
                    </w:rPr>
                    <w:t>铵装</w:t>
                  </w:r>
                  <w:r>
                    <w:rPr>
                      <w:rFonts w:hint="default" w:ascii="Times New Roman" w:hAnsi="Times New Roman" w:eastAsia="宋体" w:cs="Times New Roman"/>
                      <w:color w:val="auto"/>
                      <w:spacing w:val="3"/>
                      <w:sz w:val="21"/>
                      <w:szCs w:val="21"/>
                    </w:rPr>
                    <w:t>车工</w:t>
                  </w:r>
                  <w:r>
                    <w:rPr>
                      <w:rFonts w:hint="default" w:ascii="Times New Roman" w:hAnsi="Times New Roman" w:eastAsia="宋体" w:cs="Times New Roman"/>
                      <w:color w:val="auto"/>
                      <w:sz w:val="21"/>
                      <w:szCs w:val="21"/>
                    </w:rPr>
                    <w:t>房</w:t>
                  </w:r>
                </w:p>
              </w:tc>
              <w:tc>
                <w:tcPr>
                  <w:tcW w:w="809" w:type="pct"/>
                  <w:shd w:val="clear" w:color="auto" w:fill="auto"/>
                  <w:vAlign w:val="center"/>
                </w:tcPr>
                <w:p w14:paraId="7B8A797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8"/>
                      <w:sz w:val="21"/>
                      <w:szCs w:val="21"/>
                    </w:rPr>
                    <w:t>利用防爆钢丝绳电动葫芦给混装车装载多孔粒状硝酸铵物料，包括1</w:t>
                  </w:r>
                  <w:r>
                    <w:rPr>
                      <w:rFonts w:hint="default" w:ascii="Times New Roman" w:hAnsi="Times New Roman" w:eastAsia="宋体" w:cs="Times New Roman"/>
                      <w:color w:val="auto"/>
                      <w:spacing w:val="5"/>
                      <w:sz w:val="21"/>
                      <w:szCs w:val="21"/>
                    </w:rPr>
                    <w:t>个</w:t>
                  </w:r>
                  <w:r>
                    <w:rPr>
                      <w:rFonts w:hint="default" w:ascii="Times New Roman" w:hAnsi="Times New Roman" w:eastAsia="宋体" w:cs="Times New Roman"/>
                      <w:color w:val="auto"/>
                      <w:spacing w:val="8"/>
                      <w:sz w:val="21"/>
                      <w:szCs w:val="21"/>
                      <w:lang w:val="en-US" w:eastAsia="zh-CN"/>
                    </w:rPr>
                    <w:t>20</w:t>
                  </w:r>
                  <w:r>
                    <w:rPr>
                      <w:rFonts w:hint="default" w:ascii="Times New Roman" w:hAnsi="Times New Roman" w:eastAsia="宋体" w:cs="Times New Roman"/>
                      <w:color w:val="auto"/>
                      <w:spacing w:val="8"/>
                      <w:sz w:val="21"/>
                      <w:szCs w:val="21"/>
                    </w:rPr>
                    <w:t>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5"/>
                      <w:sz w:val="21"/>
                      <w:szCs w:val="21"/>
                    </w:rPr>
                    <w:t>多孔粒状硝酸铵</w:t>
                  </w:r>
                  <w:r>
                    <w:rPr>
                      <w:rFonts w:hint="default" w:ascii="Times New Roman" w:hAnsi="Times New Roman" w:eastAsia="宋体" w:cs="Times New Roman"/>
                      <w:color w:val="auto"/>
                      <w:spacing w:val="6"/>
                      <w:sz w:val="21"/>
                      <w:szCs w:val="21"/>
                    </w:rPr>
                    <w:t>料仓。</w:t>
                  </w:r>
                </w:p>
              </w:tc>
              <w:tc>
                <w:tcPr>
                  <w:tcW w:w="1228" w:type="pct"/>
                  <w:shd w:val="clear" w:color="auto" w:fill="auto"/>
                  <w:vAlign w:val="center"/>
                </w:tcPr>
                <w:p w14:paraId="77E50B0B">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2A9AFC1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75E97D9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8"/>
                      <w:sz w:val="21"/>
                      <w:szCs w:val="21"/>
                    </w:rPr>
                    <w:t>利用防爆钢丝绳电动葫芦给混装车装载多孔粒状硝酸铵物料，包括1</w:t>
                  </w:r>
                  <w:r>
                    <w:rPr>
                      <w:rFonts w:hint="default" w:ascii="Times New Roman" w:hAnsi="Times New Roman" w:eastAsia="宋体" w:cs="Times New Roman"/>
                      <w:color w:val="auto"/>
                      <w:spacing w:val="5"/>
                      <w:sz w:val="21"/>
                      <w:szCs w:val="21"/>
                    </w:rPr>
                    <w:t>个</w:t>
                  </w:r>
                  <w:r>
                    <w:rPr>
                      <w:rFonts w:hint="default" w:ascii="Times New Roman" w:hAnsi="Times New Roman" w:eastAsia="宋体" w:cs="Times New Roman"/>
                      <w:color w:val="auto"/>
                      <w:spacing w:val="8"/>
                      <w:sz w:val="21"/>
                      <w:szCs w:val="21"/>
                      <w:lang w:val="en-US" w:eastAsia="zh-CN"/>
                    </w:rPr>
                    <w:t>20</w:t>
                  </w:r>
                  <w:r>
                    <w:rPr>
                      <w:rFonts w:hint="default" w:ascii="Times New Roman" w:hAnsi="Times New Roman" w:eastAsia="宋体" w:cs="Times New Roman"/>
                      <w:color w:val="auto"/>
                      <w:spacing w:val="8"/>
                      <w:sz w:val="21"/>
                      <w:szCs w:val="21"/>
                    </w:rPr>
                    <w:t>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5"/>
                      <w:sz w:val="21"/>
                      <w:szCs w:val="21"/>
                    </w:rPr>
                    <w:t>多孔粒状硝酸铵</w:t>
                  </w:r>
                  <w:r>
                    <w:rPr>
                      <w:rFonts w:hint="default" w:ascii="Times New Roman" w:hAnsi="Times New Roman" w:eastAsia="宋体" w:cs="Times New Roman"/>
                      <w:color w:val="auto"/>
                      <w:spacing w:val="6"/>
                      <w:sz w:val="21"/>
                      <w:szCs w:val="21"/>
                    </w:rPr>
                    <w:t>料仓。</w:t>
                  </w:r>
                </w:p>
              </w:tc>
            </w:tr>
            <w:tr w14:paraId="136B5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94" w:type="pct"/>
                  <w:vMerge w:val="continue"/>
                  <w:shd w:val="clear" w:color="auto" w:fill="auto"/>
                  <w:vAlign w:val="center"/>
                </w:tcPr>
                <w:p w14:paraId="6554B44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2FD3E81D">
                  <w:pPr>
                    <w:keepNext/>
                    <w:keepLines w:val="0"/>
                    <w:pageBreakBefore w:val="0"/>
                    <w:kinsoku/>
                    <w:wordWrap/>
                    <w:overflowPunct/>
                    <w:topLinePunct w:val="0"/>
                    <w:bidi w:val="0"/>
                    <w:spacing w:line="240" w:lineRule="auto"/>
                    <w:ind w:firstLine="0"/>
                    <w:jc w:val="right"/>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0796F4CF">
                  <w:pPr>
                    <w:pStyle w:val="115"/>
                    <w:keepNext/>
                    <w:keepLines w:val="0"/>
                    <w:pageBreakBefore w:val="0"/>
                    <w:kinsoku/>
                    <w:wordWrap/>
                    <w:overflowPunct/>
                    <w:topLinePunct w:val="0"/>
                    <w:bidi w:val="0"/>
                    <w:spacing w:before="290" w:line="229" w:lineRule="auto"/>
                    <w:ind w:left="117"/>
                    <w:jc w:val="center"/>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乳化</w:t>
                  </w:r>
                  <w:r>
                    <w:rPr>
                      <w:rFonts w:hint="default" w:ascii="Times New Roman" w:hAnsi="Times New Roman" w:eastAsia="宋体" w:cs="Times New Roman"/>
                      <w:color w:val="auto"/>
                      <w:spacing w:val="4"/>
                      <w:sz w:val="21"/>
                      <w:szCs w:val="21"/>
                    </w:rPr>
                    <w:t>粒状铵油</w:t>
                  </w:r>
                  <w:r>
                    <w:rPr>
                      <w:rFonts w:hint="default" w:ascii="Times New Roman" w:hAnsi="Times New Roman" w:eastAsia="宋体" w:cs="Times New Roman"/>
                      <w:color w:val="auto"/>
                      <w:spacing w:val="3"/>
                      <w:sz w:val="21"/>
                      <w:szCs w:val="21"/>
                    </w:rPr>
                    <w:t>炸药生产工房</w:t>
                  </w:r>
                </w:p>
              </w:tc>
              <w:tc>
                <w:tcPr>
                  <w:tcW w:w="809" w:type="pct"/>
                  <w:shd w:val="clear" w:color="auto" w:fill="auto"/>
                  <w:vAlign w:val="center"/>
                </w:tcPr>
                <w:p w14:paraId="10E17C12">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8"/>
                      <w:sz w:val="21"/>
                      <w:szCs w:val="21"/>
                    </w:rPr>
                    <w:t>生产制备乳化粒状铵油</w:t>
                  </w:r>
                  <w:r>
                    <w:rPr>
                      <w:rFonts w:hint="default" w:ascii="Times New Roman" w:hAnsi="Times New Roman" w:eastAsia="宋体" w:cs="Times New Roman"/>
                      <w:color w:val="auto"/>
                      <w:spacing w:val="-1"/>
                      <w:sz w:val="21"/>
                      <w:szCs w:val="21"/>
                    </w:rPr>
                    <w:t>炸药，主要包括硝酸铵投料斗、硝酸铵溜槽、水相</w:t>
                  </w:r>
                  <w:r>
                    <w:rPr>
                      <w:rFonts w:hint="default" w:ascii="Times New Roman" w:hAnsi="Times New Roman" w:eastAsia="宋体" w:cs="Times New Roman"/>
                      <w:color w:val="auto"/>
                      <w:sz w:val="21"/>
                      <w:szCs w:val="21"/>
                    </w:rPr>
                    <w:t>制备罐、水相输送泵、油</w:t>
                  </w:r>
                  <w:r>
                    <w:rPr>
                      <w:rFonts w:hint="default" w:ascii="Times New Roman" w:hAnsi="Times New Roman" w:eastAsia="宋体" w:cs="Times New Roman"/>
                      <w:color w:val="auto"/>
                      <w:spacing w:val="8"/>
                      <w:sz w:val="21"/>
                      <w:szCs w:val="21"/>
                    </w:rPr>
                    <w:t>相制备罐、油相输送泵、</w:t>
                  </w:r>
                  <w:r>
                    <w:rPr>
                      <w:rFonts w:hint="default" w:ascii="Times New Roman" w:hAnsi="Times New Roman" w:eastAsia="宋体" w:cs="Times New Roman"/>
                      <w:color w:val="auto"/>
                      <w:sz w:val="21"/>
                      <w:szCs w:val="21"/>
                    </w:rPr>
                    <w:t>粗乳器、乳胶基质泵、精</w:t>
                  </w:r>
                  <w:r>
                    <w:rPr>
                      <w:rFonts w:hint="default" w:ascii="Times New Roman" w:hAnsi="Times New Roman" w:eastAsia="宋体" w:cs="Times New Roman"/>
                      <w:color w:val="auto"/>
                      <w:spacing w:val="-1"/>
                      <w:sz w:val="21"/>
                      <w:szCs w:val="21"/>
                    </w:rPr>
                    <w:t>乳器等。三层，建筑面积</w:t>
                  </w:r>
                  <w:r>
                    <w:rPr>
                      <w:rFonts w:hint="default" w:ascii="Times New Roman" w:hAnsi="Times New Roman" w:eastAsia="宋体" w:cs="Times New Roman"/>
                      <w:color w:val="auto"/>
                      <w:spacing w:val="4"/>
                      <w:sz w:val="21"/>
                      <w:szCs w:val="21"/>
                    </w:rPr>
                    <w:t>475m</w:t>
                  </w:r>
                  <w:r>
                    <w:rPr>
                      <w:rFonts w:hint="default" w:ascii="Times New Roman" w:hAnsi="Times New Roman" w:eastAsia="宋体" w:cs="Times New Roman"/>
                      <w:color w:val="auto"/>
                      <w:spacing w:val="4"/>
                      <w:sz w:val="21"/>
                      <w:szCs w:val="21"/>
                      <w:vertAlign w:val="superscript"/>
                      <w:lang w:val="en-US" w:eastAsia="zh-CN"/>
                    </w:rPr>
                    <w:t>2</w:t>
                  </w:r>
                </w:p>
              </w:tc>
              <w:tc>
                <w:tcPr>
                  <w:tcW w:w="1228" w:type="pct"/>
                  <w:shd w:val="clear" w:color="auto" w:fill="auto"/>
                  <w:vAlign w:val="center"/>
                </w:tcPr>
                <w:p w14:paraId="39880AEB">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3516C9C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006F62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8"/>
                      <w:sz w:val="21"/>
                      <w:szCs w:val="21"/>
                    </w:rPr>
                    <w:t>生产制备乳化粒状铵油</w:t>
                  </w:r>
                  <w:r>
                    <w:rPr>
                      <w:rFonts w:hint="default" w:ascii="Times New Roman" w:hAnsi="Times New Roman" w:eastAsia="宋体" w:cs="Times New Roman"/>
                      <w:color w:val="auto"/>
                      <w:spacing w:val="-1"/>
                      <w:sz w:val="21"/>
                      <w:szCs w:val="21"/>
                    </w:rPr>
                    <w:t>炸药，主要包括硝酸铵投料斗、硝酸铵溜槽、水相</w:t>
                  </w:r>
                  <w:r>
                    <w:rPr>
                      <w:rFonts w:hint="default" w:ascii="Times New Roman" w:hAnsi="Times New Roman" w:eastAsia="宋体" w:cs="Times New Roman"/>
                      <w:color w:val="auto"/>
                      <w:sz w:val="21"/>
                      <w:szCs w:val="21"/>
                    </w:rPr>
                    <w:t>制备罐、水相输送泵、油</w:t>
                  </w:r>
                  <w:r>
                    <w:rPr>
                      <w:rFonts w:hint="default" w:ascii="Times New Roman" w:hAnsi="Times New Roman" w:eastAsia="宋体" w:cs="Times New Roman"/>
                      <w:color w:val="auto"/>
                      <w:spacing w:val="8"/>
                      <w:sz w:val="21"/>
                      <w:szCs w:val="21"/>
                    </w:rPr>
                    <w:t>相制备罐、油相输送泵、</w:t>
                  </w:r>
                  <w:r>
                    <w:rPr>
                      <w:rFonts w:hint="default" w:ascii="Times New Roman" w:hAnsi="Times New Roman" w:eastAsia="宋体" w:cs="Times New Roman"/>
                      <w:color w:val="auto"/>
                      <w:sz w:val="21"/>
                      <w:szCs w:val="21"/>
                    </w:rPr>
                    <w:t>粗乳器、乳胶基质泵、精</w:t>
                  </w:r>
                  <w:r>
                    <w:rPr>
                      <w:rFonts w:hint="default" w:ascii="Times New Roman" w:hAnsi="Times New Roman" w:eastAsia="宋体" w:cs="Times New Roman"/>
                      <w:color w:val="auto"/>
                      <w:spacing w:val="-1"/>
                      <w:sz w:val="21"/>
                      <w:szCs w:val="21"/>
                    </w:rPr>
                    <w:t>乳器等。三层，建筑面积</w:t>
                  </w:r>
                  <w:r>
                    <w:rPr>
                      <w:rFonts w:hint="default" w:ascii="Times New Roman" w:hAnsi="Times New Roman" w:eastAsia="宋体" w:cs="Times New Roman"/>
                      <w:color w:val="auto"/>
                      <w:spacing w:val="4"/>
                      <w:sz w:val="21"/>
                      <w:szCs w:val="21"/>
                    </w:rPr>
                    <w:t>475m</w:t>
                  </w:r>
                  <w:r>
                    <w:rPr>
                      <w:rFonts w:hint="default" w:ascii="Times New Roman" w:hAnsi="Times New Roman" w:eastAsia="宋体" w:cs="Times New Roman"/>
                      <w:color w:val="auto"/>
                      <w:spacing w:val="4"/>
                      <w:sz w:val="21"/>
                      <w:szCs w:val="21"/>
                      <w:vertAlign w:val="superscript"/>
                      <w:lang w:val="en-US" w:eastAsia="zh-CN"/>
                    </w:rPr>
                    <w:t>2</w:t>
                  </w:r>
                </w:p>
              </w:tc>
            </w:tr>
            <w:tr w14:paraId="0C068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5ED59534">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00F8796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07BB0C23">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水相制备工房</w:t>
                  </w:r>
                </w:p>
              </w:tc>
              <w:tc>
                <w:tcPr>
                  <w:tcW w:w="809" w:type="pct"/>
                  <w:shd w:val="clear" w:color="auto" w:fill="auto"/>
                  <w:vAlign w:val="center"/>
                </w:tcPr>
                <w:p w14:paraId="39E5737A">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3D929FA9">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1层3级阶梯式</w:t>
                  </w:r>
                  <w:r>
                    <w:rPr>
                      <w:rFonts w:hint="default" w:ascii="Times New Roman" w:hAnsi="Times New Roman" w:eastAsia="宋体" w:cs="Times New Roman"/>
                      <w:color w:val="auto"/>
                      <w:sz w:val="21"/>
                      <w:szCs w:val="21"/>
                      <w:highlight w:val="none"/>
                      <w:lang w:val="en-US" w:eastAsia="zh-CN"/>
                    </w:rPr>
                    <w:t>，建筑面积800m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，包含制备区和备料区。制备区设置破碎设备1套、水相制备罐2个，破碎设备保留备用，用于少量结块硝酸钠破碎；水相制备罐用于水相制备。备料区用于临时存放水相制备用原料。</w:t>
                  </w:r>
                </w:p>
              </w:tc>
              <w:tc>
                <w:tcPr>
                  <w:tcW w:w="1288" w:type="pct"/>
                  <w:shd w:val="clear" w:color="auto" w:fill="auto"/>
                  <w:vAlign w:val="center"/>
                </w:tcPr>
                <w:p w14:paraId="7AA9F2E8">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368E1CEA">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1层3级阶梯式</w:t>
                  </w:r>
                  <w:r>
                    <w:rPr>
                      <w:rFonts w:hint="default" w:ascii="Times New Roman" w:hAnsi="Times New Roman" w:eastAsia="宋体" w:cs="Times New Roman"/>
                      <w:color w:val="auto"/>
                      <w:sz w:val="21"/>
                      <w:szCs w:val="21"/>
                      <w:highlight w:val="none"/>
                      <w:lang w:val="en-US" w:eastAsia="zh-CN"/>
                    </w:rPr>
                    <w:t>，建筑面积800m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，包含制备区和备料区。制备区设置破碎设备1套、水相制备罐2个，破碎设备保留备用，用于少量结块硝酸钠破碎；水相制备罐用于水相制备。备料区用于临时存放水相制备用原料。</w:t>
                  </w:r>
                </w:p>
              </w:tc>
            </w:tr>
            <w:tr w14:paraId="3CE15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2EE0F47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3179BA1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7FA369A4">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乳化炸药生产工房</w:t>
                  </w:r>
                </w:p>
              </w:tc>
              <w:tc>
                <w:tcPr>
                  <w:tcW w:w="809" w:type="pct"/>
                  <w:shd w:val="clear" w:color="auto" w:fill="auto"/>
                  <w:vAlign w:val="center"/>
                </w:tcPr>
                <w:p w14:paraId="64A24C0B">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0384A810">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1层2级阶梯式，建筑面积1058.4</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。设置一条乳化炸药生产线，年产量20000t。主要包括静态乳化系统、敏化系统和包装系统。</w:t>
                  </w:r>
                </w:p>
              </w:tc>
              <w:tc>
                <w:tcPr>
                  <w:tcW w:w="1288" w:type="pct"/>
                  <w:shd w:val="clear" w:color="auto" w:fill="auto"/>
                  <w:vAlign w:val="center"/>
                </w:tcPr>
                <w:p w14:paraId="4960710B">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D87EDD7">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1层2级阶梯式，建筑面积1058.4</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。设置一条乳化炸药生产线，年产量20000t。主要包括静态乳化系统、敏化系统和包装系统。</w:t>
                  </w:r>
                </w:p>
              </w:tc>
            </w:tr>
            <w:tr w14:paraId="0BE3D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6F6FB1F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0D61926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66F97659">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水油相制备工房</w:t>
                  </w:r>
                </w:p>
              </w:tc>
              <w:tc>
                <w:tcPr>
                  <w:tcW w:w="809" w:type="pct"/>
                  <w:shd w:val="clear" w:color="auto" w:fill="auto"/>
                  <w:vAlign w:val="center"/>
                </w:tcPr>
                <w:p w14:paraId="65EF66AC">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74C11BA9">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64DCEA23">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2层</w:t>
                  </w:r>
                  <w:r>
                    <w:rPr>
                      <w:rFonts w:hint="default" w:ascii="Times New Roman" w:hAnsi="Times New Roman" w:eastAsia="宋体" w:cs="Times New Roman"/>
                      <w:color w:val="auto"/>
                      <w:sz w:val="21"/>
                      <w:szCs w:val="21"/>
                      <w:highlight w:val="none"/>
                      <w:lang w:val="en-US" w:eastAsia="zh-CN"/>
                    </w:rPr>
                    <w:t>，占地面积197.97m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，建筑面积394.38m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，包含</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1"/>
                      <w:sz w:val="21"/>
                      <w:szCs w:val="21"/>
                      <w:highlight w:val="none"/>
                    </w:rPr>
                    <w:t>螺旋输送机</w:t>
                  </w:r>
                  <w:r>
                    <w:rPr>
                      <w:rFonts w:hint="default" w:ascii="Times New Roman" w:hAnsi="Times New Roman" w:eastAsia="宋体" w:cs="Times New Roman"/>
                      <w:color w:val="auto"/>
                      <w:spacing w:val="1"/>
                      <w:sz w:val="21"/>
                      <w:szCs w:val="21"/>
                      <w:highlight w:val="none"/>
                      <w:lang w:eastAsia="zh-CN"/>
                    </w:rPr>
                    <w:t>、</w:t>
                  </w:r>
                  <w:r>
                    <w:rPr>
                      <w:rFonts w:hint="default" w:ascii="Times New Roman" w:hAnsi="Times New Roman" w:eastAsia="宋体" w:cs="Times New Roman"/>
                      <w:color w:val="auto"/>
                      <w:spacing w:val="1"/>
                      <w:sz w:val="21"/>
                      <w:szCs w:val="21"/>
                      <w:highlight w:val="none"/>
                      <w:lang w:val="en-US" w:eastAsia="zh-CN"/>
                    </w:rPr>
                    <w:t>1台</w:t>
                  </w:r>
                  <w:r>
                    <w:rPr>
                      <w:rFonts w:hint="default" w:ascii="Times New Roman" w:hAnsi="Times New Roman" w:eastAsia="宋体" w:cs="Times New Roman"/>
                      <w:color w:val="auto"/>
                      <w:spacing w:val="3"/>
                      <w:sz w:val="21"/>
                      <w:szCs w:val="21"/>
                      <w:highlight w:val="none"/>
                    </w:rPr>
                    <w:t>分料螺旋</w:t>
                  </w:r>
                  <w:r>
                    <w:rPr>
                      <w:rFonts w:hint="default" w:ascii="Times New Roman" w:hAnsi="Times New Roman" w:eastAsia="宋体" w:cs="Times New Roman"/>
                      <w:color w:val="auto"/>
                      <w:spacing w:val="3"/>
                      <w:sz w:val="21"/>
                      <w:szCs w:val="21"/>
                      <w:highlight w:val="none"/>
                      <w:lang w:eastAsia="zh-CN"/>
                    </w:rPr>
                    <w:t>、</w:t>
                  </w:r>
                  <w:r>
                    <w:rPr>
                      <w:rFonts w:hint="default" w:ascii="Times New Roman" w:hAnsi="Times New Roman" w:eastAsia="宋体" w:cs="Times New Roman"/>
                      <w:color w:val="auto"/>
                      <w:spacing w:val="3"/>
                      <w:sz w:val="21"/>
                      <w:szCs w:val="21"/>
                      <w:highlight w:val="none"/>
                      <w:lang w:val="en-US" w:eastAsia="zh-CN"/>
                    </w:rPr>
                    <w:t>2台</w:t>
                  </w:r>
                  <w:r>
                    <w:rPr>
                      <w:rFonts w:hint="default" w:ascii="Times New Roman" w:hAnsi="Times New Roman" w:eastAsia="宋体" w:cs="Times New Roman"/>
                      <w:color w:val="auto"/>
                      <w:spacing w:val="2"/>
                      <w:sz w:val="21"/>
                      <w:szCs w:val="21"/>
                      <w:highlight w:val="none"/>
                    </w:rPr>
                    <w:t>水相制备罐</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2"/>
                      <w:sz w:val="21"/>
                      <w:szCs w:val="21"/>
                      <w:highlight w:val="none"/>
                    </w:rPr>
                    <w:t>水相过滤器</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2"/>
                      <w:sz w:val="21"/>
                      <w:szCs w:val="21"/>
                      <w:highlight w:val="none"/>
                    </w:rPr>
                    <w:t>油相制备罐</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2"/>
                      <w:sz w:val="21"/>
                      <w:szCs w:val="21"/>
                      <w:highlight w:val="none"/>
                    </w:rPr>
                    <w:t>油相过滤器</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3"/>
                      <w:sz w:val="21"/>
                      <w:szCs w:val="21"/>
                      <w:highlight w:val="none"/>
                    </w:rPr>
                    <w:t>热水罐</w:t>
                  </w:r>
                  <w:r>
                    <w:rPr>
                      <w:rFonts w:hint="default" w:ascii="Times New Roman" w:hAnsi="Times New Roman" w:eastAsia="宋体" w:cs="Times New Roman"/>
                      <w:color w:val="auto"/>
                      <w:spacing w:val="3"/>
                      <w:sz w:val="21"/>
                      <w:szCs w:val="21"/>
                      <w:highlight w:val="none"/>
                      <w:lang w:val="en-US" w:eastAsia="zh-CN"/>
                    </w:rPr>
                    <w:t>等设备</w:t>
                  </w:r>
                </w:p>
              </w:tc>
              <w:tc>
                <w:tcPr>
                  <w:tcW w:w="876" w:type="pct"/>
                  <w:shd w:val="clear" w:color="auto" w:fill="auto"/>
                  <w:vAlign w:val="center"/>
                </w:tcPr>
                <w:p w14:paraId="3D23BAB6">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2层</w:t>
                  </w:r>
                  <w:r>
                    <w:rPr>
                      <w:rFonts w:hint="default" w:ascii="Times New Roman" w:hAnsi="Times New Roman" w:eastAsia="宋体" w:cs="Times New Roman"/>
                      <w:color w:val="auto"/>
                      <w:sz w:val="21"/>
                      <w:szCs w:val="21"/>
                      <w:highlight w:val="none"/>
                      <w:lang w:val="en-US" w:eastAsia="zh-CN"/>
                    </w:rPr>
                    <w:t>，占地面积197.97m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，建筑面积394.38m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，包含</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1"/>
                      <w:sz w:val="21"/>
                      <w:szCs w:val="21"/>
                      <w:highlight w:val="none"/>
                    </w:rPr>
                    <w:t>螺旋输送机</w:t>
                  </w:r>
                  <w:r>
                    <w:rPr>
                      <w:rFonts w:hint="default" w:ascii="Times New Roman" w:hAnsi="Times New Roman" w:eastAsia="宋体" w:cs="Times New Roman"/>
                      <w:color w:val="auto"/>
                      <w:spacing w:val="1"/>
                      <w:sz w:val="21"/>
                      <w:szCs w:val="21"/>
                      <w:highlight w:val="none"/>
                      <w:lang w:eastAsia="zh-CN"/>
                    </w:rPr>
                    <w:t>、</w:t>
                  </w:r>
                  <w:r>
                    <w:rPr>
                      <w:rFonts w:hint="default" w:ascii="Times New Roman" w:hAnsi="Times New Roman" w:eastAsia="宋体" w:cs="Times New Roman"/>
                      <w:color w:val="auto"/>
                      <w:spacing w:val="1"/>
                      <w:sz w:val="21"/>
                      <w:szCs w:val="21"/>
                      <w:highlight w:val="none"/>
                      <w:lang w:val="en-US" w:eastAsia="zh-CN"/>
                    </w:rPr>
                    <w:t>1台</w:t>
                  </w:r>
                  <w:r>
                    <w:rPr>
                      <w:rFonts w:hint="default" w:ascii="Times New Roman" w:hAnsi="Times New Roman" w:eastAsia="宋体" w:cs="Times New Roman"/>
                      <w:color w:val="auto"/>
                      <w:spacing w:val="3"/>
                      <w:sz w:val="21"/>
                      <w:szCs w:val="21"/>
                      <w:highlight w:val="none"/>
                    </w:rPr>
                    <w:t>分料螺旋</w:t>
                  </w:r>
                  <w:r>
                    <w:rPr>
                      <w:rFonts w:hint="default" w:ascii="Times New Roman" w:hAnsi="Times New Roman" w:eastAsia="宋体" w:cs="Times New Roman"/>
                      <w:color w:val="auto"/>
                      <w:spacing w:val="3"/>
                      <w:sz w:val="21"/>
                      <w:szCs w:val="21"/>
                      <w:highlight w:val="none"/>
                      <w:lang w:eastAsia="zh-CN"/>
                    </w:rPr>
                    <w:t>、</w:t>
                  </w:r>
                  <w:r>
                    <w:rPr>
                      <w:rFonts w:hint="default" w:ascii="Times New Roman" w:hAnsi="Times New Roman" w:eastAsia="宋体" w:cs="Times New Roman"/>
                      <w:color w:val="auto"/>
                      <w:spacing w:val="3"/>
                      <w:sz w:val="21"/>
                      <w:szCs w:val="21"/>
                      <w:highlight w:val="none"/>
                      <w:lang w:val="en-US" w:eastAsia="zh-CN"/>
                    </w:rPr>
                    <w:t>2台</w:t>
                  </w:r>
                  <w:r>
                    <w:rPr>
                      <w:rFonts w:hint="default" w:ascii="Times New Roman" w:hAnsi="Times New Roman" w:eastAsia="宋体" w:cs="Times New Roman"/>
                      <w:color w:val="auto"/>
                      <w:spacing w:val="2"/>
                      <w:sz w:val="21"/>
                      <w:szCs w:val="21"/>
                      <w:highlight w:val="none"/>
                    </w:rPr>
                    <w:t>水相制备罐</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2"/>
                      <w:sz w:val="21"/>
                      <w:szCs w:val="21"/>
                      <w:highlight w:val="none"/>
                    </w:rPr>
                    <w:t>水相过滤器</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2"/>
                      <w:sz w:val="21"/>
                      <w:szCs w:val="21"/>
                      <w:highlight w:val="none"/>
                    </w:rPr>
                    <w:t>油相制备罐</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2"/>
                      <w:sz w:val="21"/>
                      <w:szCs w:val="21"/>
                      <w:highlight w:val="none"/>
                    </w:rPr>
                    <w:t>油相过滤器</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宋体" w:cs="Times New Roman"/>
                      <w:color w:val="auto"/>
                      <w:spacing w:val="2"/>
                      <w:sz w:val="21"/>
                      <w:szCs w:val="21"/>
                      <w:highlight w:val="none"/>
                      <w:lang w:val="en-US" w:eastAsia="zh-CN"/>
                    </w:rPr>
                    <w:t>1台</w:t>
                  </w:r>
                  <w:r>
                    <w:rPr>
                      <w:rFonts w:hint="default" w:ascii="Times New Roman" w:hAnsi="Times New Roman" w:eastAsia="宋体" w:cs="Times New Roman"/>
                      <w:color w:val="auto"/>
                      <w:spacing w:val="3"/>
                      <w:sz w:val="21"/>
                      <w:szCs w:val="21"/>
                      <w:highlight w:val="none"/>
                    </w:rPr>
                    <w:t>热水罐</w:t>
                  </w:r>
                  <w:r>
                    <w:rPr>
                      <w:rFonts w:hint="default" w:ascii="Times New Roman" w:hAnsi="Times New Roman" w:eastAsia="宋体" w:cs="Times New Roman"/>
                      <w:color w:val="auto"/>
                      <w:spacing w:val="3"/>
                      <w:sz w:val="21"/>
                      <w:szCs w:val="21"/>
                      <w:highlight w:val="none"/>
                      <w:lang w:val="en-US" w:eastAsia="zh-CN"/>
                    </w:rPr>
                    <w:t>等设备</w:t>
                  </w:r>
                </w:p>
              </w:tc>
            </w:tr>
            <w:tr w14:paraId="77741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4" w:type="pct"/>
                  <w:vMerge w:val="continue"/>
                  <w:shd w:val="clear" w:color="auto" w:fill="auto"/>
                  <w:vAlign w:val="center"/>
                </w:tcPr>
                <w:p w14:paraId="3EDB889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52803F7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0BC24901">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乳化炸药震源药柱生产工房</w:t>
                  </w:r>
                </w:p>
              </w:tc>
              <w:tc>
                <w:tcPr>
                  <w:tcW w:w="809" w:type="pct"/>
                  <w:shd w:val="clear" w:color="auto" w:fill="auto"/>
                  <w:vAlign w:val="center"/>
                </w:tcPr>
                <w:p w14:paraId="135A663B">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29A60927">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000960DA">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局部2层</w:t>
                  </w:r>
                  <w:r>
                    <w:rPr>
                      <w:rFonts w:hint="default" w:ascii="Times New Roman" w:hAnsi="Times New Roman" w:eastAsia="宋体" w:cs="Times New Roman"/>
                      <w:color w:val="auto"/>
                      <w:sz w:val="21"/>
                      <w:szCs w:val="21"/>
                      <w:highlight w:val="none"/>
                      <w:lang w:val="en-US" w:eastAsia="zh-CN"/>
                    </w:rPr>
                    <w:t>，占地面积1462.59m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，建筑面积2102.93m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。设置一条乳化炸药震源药柱生产线，年产量7000t。主要包括乳化、冷却、敏化、装药、压盖、封口、装配连接管、包装等工序。</w:t>
                  </w:r>
                </w:p>
              </w:tc>
              <w:tc>
                <w:tcPr>
                  <w:tcW w:w="876" w:type="pct"/>
                  <w:shd w:val="clear" w:color="auto" w:fill="auto"/>
                  <w:vAlign w:val="center"/>
                </w:tcPr>
                <w:p w14:paraId="749EDD5B">
                  <w:pPr>
                    <w:keepNext/>
                    <w:keepLines w:val="0"/>
                    <w:pageBreakBefore w:val="0"/>
                    <w:kinsoku/>
                    <w:wordWrap/>
                    <w:overflowPunct/>
                    <w:topLinePunct w:val="0"/>
                    <w:bidi w:val="0"/>
                    <w:spacing w:line="240" w:lineRule="auto"/>
                    <w:ind w:firstLine="0" w:firstLineChars="0"/>
                    <w:jc w:val="left"/>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局部2层</w:t>
                  </w:r>
                  <w:r>
                    <w:rPr>
                      <w:rFonts w:hint="default" w:ascii="Times New Roman" w:hAnsi="Times New Roman" w:eastAsia="宋体" w:cs="Times New Roman"/>
                      <w:color w:val="auto"/>
                      <w:sz w:val="21"/>
                      <w:szCs w:val="21"/>
                      <w:highlight w:val="none"/>
                      <w:lang w:val="en-US" w:eastAsia="zh-CN"/>
                    </w:rPr>
                    <w:t>，占地面积1462.59m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，建筑面积2102.93m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。设置一条乳化炸药震源药柱生产线，年产量7000t。主要包括乳化、冷却、敏化、装药、压盖、封口、装配连接管、包装等工序。</w:t>
                  </w:r>
                </w:p>
              </w:tc>
            </w:tr>
            <w:tr w14:paraId="73499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restart"/>
                  <w:shd w:val="clear" w:color="auto" w:fill="auto"/>
                  <w:vAlign w:val="center"/>
                </w:tcPr>
                <w:p w14:paraId="5558A10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59" w:type="pct"/>
                  <w:vMerge w:val="restart"/>
                  <w:shd w:val="clear" w:color="auto" w:fill="auto"/>
                  <w:vAlign w:val="center"/>
                </w:tcPr>
                <w:p w14:paraId="5F831F0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辅助工程</w:t>
                  </w:r>
                </w:p>
              </w:tc>
              <w:tc>
                <w:tcPr>
                  <w:tcW w:w="342" w:type="pct"/>
                  <w:gridSpan w:val="2"/>
                  <w:shd w:val="clear" w:color="auto" w:fill="auto"/>
                  <w:tcMar>
                    <w:left w:w="0" w:type="dxa"/>
                    <w:right w:w="0" w:type="dxa"/>
                  </w:tcMar>
                  <w:vAlign w:val="top"/>
                </w:tcPr>
                <w:p w14:paraId="6C8AD973">
                  <w:pPr>
                    <w:pStyle w:val="115"/>
                    <w:keepNext/>
                    <w:keepLines w:val="0"/>
                    <w:pageBreakBefore w:val="0"/>
                    <w:kinsoku/>
                    <w:wordWrap/>
                    <w:overflowPunct/>
                    <w:topLinePunct w:val="0"/>
                    <w:bidi w:val="0"/>
                    <w:spacing w:before="172" w:line="251" w:lineRule="auto"/>
                    <w:ind w:left="217" w:leftChars="0" w:right="118" w:rightChars="0" w:hanging="102"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加油</w:t>
                  </w:r>
                  <w:r>
                    <w:rPr>
                      <w:rFonts w:hint="default" w:ascii="Times New Roman" w:hAnsi="Times New Roman" w:eastAsia="宋体" w:cs="Times New Roman"/>
                      <w:color w:val="auto"/>
                      <w:spacing w:val="1"/>
                      <w:sz w:val="21"/>
                      <w:szCs w:val="21"/>
                    </w:rPr>
                    <w:t>机</w:t>
                  </w:r>
                </w:p>
              </w:tc>
              <w:tc>
                <w:tcPr>
                  <w:tcW w:w="809" w:type="pct"/>
                  <w:shd w:val="clear" w:color="auto" w:fill="auto"/>
                  <w:vAlign w:val="center"/>
                </w:tcPr>
                <w:p w14:paraId="221BBBBB">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8"/>
                      <w:sz w:val="21"/>
                      <w:szCs w:val="21"/>
                      <w:lang w:val="en-US" w:eastAsia="zh-CN"/>
                    </w:rPr>
                  </w:pPr>
                  <w:r>
                    <w:rPr>
                      <w:rFonts w:hint="default" w:ascii="Times New Roman" w:hAnsi="Times New Roman" w:eastAsia="宋体" w:cs="Times New Roman"/>
                      <w:color w:val="auto"/>
                      <w:spacing w:val="8"/>
                      <w:sz w:val="21"/>
                      <w:szCs w:val="21"/>
                    </w:rPr>
                    <w:t>1台，利用输送泵给混装车加注轻柴油，紧邻地埋式柴油储罐。</w:t>
                  </w:r>
                </w:p>
              </w:tc>
              <w:tc>
                <w:tcPr>
                  <w:tcW w:w="1228" w:type="pct"/>
                  <w:shd w:val="clear" w:color="auto" w:fill="auto"/>
                  <w:vAlign w:val="center"/>
                </w:tcPr>
                <w:p w14:paraId="4F174C4C">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596FF3E5">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876" w:type="pct"/>
                  <w:shd w:val="clear" w:color="auto" w:fill="auto"/>
                  <w:vAlign w:val="center"/>
                </w:tcPr>
                <w:p w14:paraId="6B474A7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1台，利用输送泵给混装车加注轻柴油，紧邻地埋式柴油储罐。</w:t>
                  </w:r>
                </w:p>
              </w:tc>
            </w:tr>
            <w:tr w14:paraId="620AD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73D75F0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3905730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top"/>
                </w:tcPr>
                <w:p w14:paraId="21A4EA8E">
                  <w:pPr>
                    <w:pStyle w:val="115"/>
                    <w:keepNext/>
                    <w:keepLines w:val="0"/>
                    <w:pageBreakBefore w:val="0"/>
                    <w:kinsoku/>
                    <w:wordWrap/>
                    <w:overflowPunct/>
                    <w:topLinePunct w:val="0"/>
                    <w:bidi w:val="0"/>
                    <w:spacing w:before="37" w:line="231" w:lineRule="auto"/>
                    <w:ind w:left="217" w:leftChars="0" w:right="118" w:rightChars="0" w:hanging="103"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洗车</w:t>
                  </w:r>
                  <w:r>
                    <w:rPr>
                      <w:rFonts w:hint="default" w:ascii="Times New Roman" w:hAnsi="Times New Roman" w:eastAsia="宋体" w:cs="Times New Roman"/>
                      <w:color w:val="auto"/>
                      <w:spacing w:val="1"/>
                      <w:sz w:val="21"/>
                      <w:szCs w:val="21"/>
                    </w:rPr>
                    <w:t>场</w:t>
                  </w:r>
                </w:p>
              </w:tc>
              <w:tc>
                <w:tcPr>
                  <w:tcW w:w="809" w:type="pct"/>
                  <w:shd w:val="clear" w:color="auto" w:fill="auto"/>
                  <w:vAlign w:val="center"/>
                </w:tcPr>
                <w:p w14:paraId="3ACE1A2F">
                  <w:pPr>
                    <w:keepNext/>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outlineLvl w:val="9"/>
                    <w:rPr>
                      <w:rFonts w:hint="default"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kern w:val="2"/>
                      <w:sz w:val="21"/>
                      <w:szCs w:val="21"/>
                      <w:lang w:val="en-US" w:eastAsia="en-US" w:bidi="ar-SA"/>
                    </w:rPr>
                    <w:t>除冬季外冲洗现场混装车。</w:t>
                  </w:r>
                </w:p>
              </w:tc>
              <w:tc>
                <w:tcPr>
                  <w:tcW w:w="1228" w:type="pct"/>
                  <w:shd w:val="clear" w:color="auto" w:fill="auto"/>
                  <w:vAlign w:val="center"/>
                </w:tcPr>
                <w:p w14:paraId="4A017203">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3630560D">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876" w:type="pct"/>
                  <w:shd w:val="clear" w:color="auto" w:fill="auto"/>
                  <w:vAlign w:val="center"/>
                </w:tcPr>
                <w:p w14:paraId="211CE394">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除冬季外冲洗现场混装车。</w:t>
                  </w:r>
                </w:p>
              </w:tc>
            </w:tr>
            <w:tr w14:paraId="61811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55F518A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6B0265E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top"/>
                </w:tcPr>
                <w:p w14:paraId="05A22000">
                  <w:pPr>
                    <w:pStyle w:val="115"/>
                    <w:keepNext/>
                    <w:keepLines w:val="0"/>
                    <w:pageBreakBefore w:val="0"/>
                    <w:kinsoku/>
                    <w:wordWrap/>
                    <w:overflowPunct/>
                    <w:topLinePunct w:val="0"/>
                    <w:bidi w:val="0"/>
                    <w:spacing w:before="41" w:line="228" w:lineRule="auto"/>
                    <w:ind w:left="118"/>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sz w:val="21"/>
                      <w:szCs w:val="21"/>
                    </w:rPr>
                    <w:t>嵌入</w:t>
                  </w:r>
                  <w:r>
                    <w:rPr>
                      <w:rFonts w:hint="default" w:ascii="Times New Roman" w:hAnsi="Times New Roman" w:eastAsia="宋体" w:cs="Times New Roman"/>
                      <w:color w:val="auto"/>
                      <w:spacing w:val="2"/>
                      <w:sz w:val="21"/>
                      <w:szCs w:val="21"/>
                    </w:rPr>
                    <w:t>式控</w:t>
                  </w:r>
                  <w:r>
                    <w:rPr>
                      <w:rFonts w:hint="default" w:ascii="Times New Roman" w:hAnsi="Times New Roman" w:eastAsia="宋体" w:cs="Times New Roman"/>
                      <w:color w:val="auto"/>
                      <w:spacing w:val="4"/>
                      <w:sz w:val="21"/>
                      <w:szCs w:val="21"/>
                    </w:rPr>
                    <w:t>制室</w:t>
                  </w:r>
                </w:p>
              </w:tc>
              <w:tc>
                <w:tcPr>
                  <w:tcW w:w="809" w:type="pct"/>
                  <w:shd w:val="clear" w:color="auto" w:fill="auto"/>
                  <w:vAlign w:val="center"/>
                </w:tcPr>
                <w:p w14:paraId="462E10D1">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kern w:val="2"/>
                      <w:sz w:val="21"/>
                      <w:szCs w:val="21"/>
                      <w:lang w:val="en-US" w:eastAsia="en-US" w:bidi="ar-SA"/>
                    </w:rPr>
                    <w:t>1层，建筑面积54m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，操控室</w:t>
                  </w:r>
                </w:p>
              </w:tc>
              <w:tc>
                <w:tcPr>
                  <w:tcW w:w="1228" w:type="pct"/>
                  <w:shd w:val="clear" w:color="auto" w:fill="auto"/>
                  <w:vAlign w:val="center"/>
                </w:tcPr>
                <w:p w14:paraId="2CD33DC1">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4B2FEDA4">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876" w:type="pct"/>
                  <w:shd w:val="clear" w:color="auto" w:fill="auto"/>
                  <w:vAlign w:val="center"/>
                </w:tcPr>
                <w:p w14:paraId="7B33D11E">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1层，建筑面积54m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，操控室</w:t>
                  </w:r>
                </w:p>
              </w:tc>
            </w:tr>
            <w:tr w14:paraId="5D6D5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595D40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4AAE6EC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2A291355">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不合格品处</w:t>
                  </w:r>
                </w:p>
                <w:p w14:paraId="17C30FA5">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理工房</w:t>
                  </w:r>
                </w:p>
              </w:tc>
              <w:tc>
                <w:tcPr>
                  <w:tcW w:w="809" w:type="pct"/>
                  <w:shd w:val="clear" w:color="auto" w:fill="auto"/>
                  <w:vAlign w:val="center"/>
                </w:tcPr>
                <w:p w14:paraId="61BB6D8B">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kern w:val="2"/>
                      <w:sz w:val="21"/>
                      <w:szCs w:val="21"/>
                      <w:lang w:val="en-US" w:eastAsia="zh-CN" w:bidi="ar-SA"/>
                    </w:rPr>
                    <w:t>/</w:t>
                  </w:r>
                </w:p>
              </w:tc>
              <w:tc>
                <w:tcPr>
                  <w:tcW w:w="1228" w:type="pct"/>
                  <w:shd w:val="clear" w:color="auto" w:fill="auto"/>
                  <w:vAlign w:val="center"/>
                </w:tcPr>
                <w:p w14:paraId="6DDF9D38">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一层，建筑面积302.64</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用于不合格品处理，采用物理敏化处理后外售，最大处理能力1吨/次。</w:t>
                  </w:r>
                </w:p>
              </w:tc>
              <w:tc>
                <w:tcPr>
                  <w:tcW w:w="1288" w:type="pct"/>
                  <w:shd w:val="clear" w:color="auto" w:fill="auto"/>
                  <w:vAlign w:val="center"/>
                </w:tcPr>
                <w:p w14:paraId="6C8810D8">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依托现有不合格品处理工房，用于不合格品处理</w:t>
                  </w:r>
                </w:p>
              </w:tc>
              <w:tc>
                <w:tcPr>
                  <w:tcW w:w="876" w:type="pct"/>
                  <w:shd w:val="clear" w:color="auto" w:fill="auto"/>
                  <w:vAlign w:val="center"/>
                </w:tcPr>
                <w:p w14:paraId="4AADBA50">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一层，建筑面积302.64</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用于不合格品处理，采用物理敏化处理后外售，最大处理能力1吨/次。</w:t>
                  </w:r>
                </w:p>
              </w:tc>
            </w:tr>
            <w:tr w14:paraId="01087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EB51D3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3AA38A7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2BEBA60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控制室</w:t>
                  </w:r>
                </w:p>
              </w:tc>
              <w:tc>
                <w:tcPr>
                  <w:tcW w:w="809" w:type="pct"/>
                  <w:shd w:val="clear" w:color="auto" w:fill="auto"/>
                  <w:vAlign w:val="center"/>
                </w:tcPr>
                <w:p w14:paraId="64A778A9">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5DAE9026">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750BF279">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1层，建筑面积61.75m</w:t>
                  </w:r>
                  <w:r>
                    <w:rPr>
                      <w:rFonts w:hint="default" w:ascii="Times New Roman" w:hAnsi="Times New Roman" w:eastAsia="宋体" w:cs="Times New Roman"/>
                      <w:snapToGrid w:val="0"/>
                      <w:color w:val="auto"/>
                      <w:sz w:val="21"/>
                      <w:szCs w:val="21"/>
                      <w:highlight w:val="none"/>
                      <w:vertAlign w:val="superscript"/>
                      <w:lang w:val="en-US" w:eastAsia="zh-CN" w:bidi="ar-SA"/>
                    </w:rPr>
                    <w:t>2</w:t>
                  </w:r>
                  <w:r>
                    <w:rPr>
                      <w:rFonts w:hint="default" w:ascii="Times New Roman" w:hAnsi="Times New Roman" w:eastAsia="宋体" w:cs="Times New Roman"/>
                      <w:snapToGrid w:val="0"/>
                      <w:color w:val="auto"/>
                      <w:sz w:val="21"/>
                      <w:szCs w:val="21"/>
                      <w:highlight w:val="none"/>
                      <w:lang w:val="en-US" w:eastAsia="zh-CN" w:bidi="ar-SA"/>
                    </w:rPr>
                    <w:t>。</w:t>
                  </w:r>
                </w:p>
              </w:tc>
              <w:tc>
                <w:tcPr>
                  <w:tcW w:w="876" w:type="pct"/>
                  <w:shd w:val="clear" w:color="auto" w:fill="auto"/>
                  <w:vAlign w:val="center"/>
                </w:tcPr>
                <w:p w14:paraId="2BF44027">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1层，建筑面积61.75m</w:t>
                  </w:r>
                  <w:r>
                    <w:rPr>
                      <w:rFonts w:hint="default" w:ascii="Times New Roman" w:hAnsi="Times New Roman" w:eastAsia="宋体" w:cs="Times New Roman"/>
                      <w:snapToGrid w:val="0"/>
                      <w:color w:val="auto"/>
                      <w:sz w:val="21"/>
                      <w:szCs w:val="21"/>
                      <w:highlight w:val="none"/>
                      <w:vertAlign w:val="superscript"/>
                      <w:lang w:val="en-US" w:eastAsia="zh-CN" w:bidi="ar-SA"/>
                    </w:rPr>
                    <w:t>2</w:t>
                  </w:r>
                  <w:r>
                    <w:rPr>
                      <w:rFonts w:hint="default" w:ascii="Times New Roman" w:hAnsi="Times New Roman" w:eastAsia="宋体" w:cs="Times New Roman"/>
                      <w:snapToGrid w:val="0"/>
                      <w:color w:val="auto"/>
                      <w:sz w:val="21"/>
                      <w:szCs w:val="21"/>
                      <w:highlight w:val="none"/>
                      <w:lang w:val="en-US" w:eastAsia="zh-CN" w:bidi="ar-SA"/>
                    </w:rPr>
                    <w:t>。</w:t>
                  </w:r>
                </w:p>
              </w:tc>
            </w:tr>
            <w:tr w14:paraId="6F1E3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734E66F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2F053EB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5935EC8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办公生活设施</w:t>
                  </w:r>
                </w:p>
              </w:tc>
              <w:tc>
                <w:tcPr>
                  <w:tcW w:w="809" w:type="pct"/>
                  <w:shd w:val="clear" w:color="auto" w:fill="auto"/>
                  <w:vAlign w:val="center"/>
                </w:tcPr>
                <w:p w14:paraId="2262C81A">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38D56144">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依托辽宁红山办公楼和食堂。不新增员工。</w:t>
                  </w:r>
                </w:p>
              </w:tc>
              <w:tc>
                <w:tcPr>
                  <w:tcW w:w="1288" w:type="pct"/>
                  <w:shd w:val="clear" w:color="auto" w:fill="auto"/>
                  <w:vAlign w:val="center"/>
                </w:tcPr>
                <w:p w14:paraId="7D01571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依托辽宁红山办公楼和食堂。不新增员工。</w:t>
                  </w:r>
                </w:p>
              </w:tc>
              <w:tc>
                <w:tcPr>
                  <w:tcW w:w="876" w:type="pct"/>
                  <w:shd w:val="clear" w:color="auto" w:fill="auto"/>
                  <w:vAlign w:val="center"/>
                </w:tcPr>
                <w:p w14:paraId="3581B6B2">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依托辽宁红山办公楼和食堂。</w:t>
                  </w:r>
                </w:p>
              </w:tc>
            </w:tr>
            <w:tr w14:paraId="3D0BA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restart"/>
                  <w:shd w:val="clear" w:color="auto" w:fill="auto"/>
                  <w:vAlign w:val="center"/>
                </w:tcPr>
                <w:p w14:paraId="75861DD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p>
              </w:tc>
              <w:tc>
                <w:tcPr>
                  <w:tcW w:w="259" w:type="pct"/>
                  <w:vMerge w:val="restart"/>
                  <w:shd w:val="clear" w:color="auto" w:fill="auto"/>
                  <w:vAlign w:val="center"/>
                </w:tcPr>
                <w:p w14:paraId="67D5B96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储运</w:t>
                  </w:r>
                  <w:r>
                    <w:rPr>
                      <w:rFonts w:hint="default" w:ascii="Times New Roman" w:hAnsi="Times New Roman" w:eastAsia="宋体" w:cs="Times New Roman"/>
                      <w:color w:val="auto"/>
                      <w:sz w:val="21"/>
                      <w:szCs w:val="21"/>
                      <w:highlight w:val="none"/>
                    </w:rPr>
                    <w:t>工程</w:t>
                  </w:r>
                </w:p>
              </w:tc>
              <w:tc>
                <w:tcPr>
                  <w:tcW w:w="342" w:type="pct"/>
                  <w:gridSpan w:val="2"/>
                  <w:shd w:val="clear" w:color="auto" w:fill="auto"/>
                  <w:tcMar>
                    <w:left w:w="0" w:type="dxa"/>
                    <w:right w:w="0" w:type="dxa"/>
                  </w:tcMar>
                  <w:vAlign w:val="center"/>
                </w:tcPr>
                <w:p w14:paraId="7A5728AF">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rPr>
                    <w:t>乳化</w:t>
                  </w:r>
                  <w:r>
                    <w:rPr>
                      <w:rFonts w:hint="default" w:ascii="Times New Roman" w:hAnsi="Times New Roman" w:eastAsia="宋体" w:cs="Times New Roman"/>
                      <w:color w:val="auto"/>
                      <w:spacing w:val="4"/>
                      <w:sz w:val="21"/>
                      <w:szCs w:val="21"/>
                    </w:rPr>
                    <w:t>粒状铵油</w:t>
                  </w:r>
                  <w:r>
                    <w:rPr>
                      <w:rFonts w:hint="default" w:ascii="Times New Roman" w:hAnsi="Times New Roman" w:eastAsia="宋体" w:cs="Times New Roman"/>
                      <w:color w:val="auto"/>
                      <w:spacing w:val="3"/>
                      <w:sz w:val="21"/>
                      <w:szCs w:val="21"/>
                    </w:rPr>
                    <w:t>炸药成品</w:t>
                  </w:r>
                  <w:r>
                    <w:rPr>
                      <w:rFonts w:hint="default" w:ascii="Times New Roman" w:hAnsi="Times New Roman" w:eastAsia="宋体" w:cs="Times New Roman"/>
                      <w:color w:val="auto"/>
                      <w:spacing w:val="-5"/>
                      <w:sz w:val="21"/>
                      <w:szCs w:val="21"/>
                    </w:rPr>
                    <w:t>中转</w:t>
                  </w:r>
                  <w:r>
                    <w:rPr>
                      <w:rFonts w:hint="default" w:ascii="Times New Roman" w:hAnsi="Times New Roman" w:eastAsia="宋体" w:cs="Times New Roman"/>
                      <w:color w:val="auto"/>
                      <w:spacing w:val="4"/>
                      <w:sz w:val="21"/>
                      <w:szCs w:val="21"/>
                    </w:rPr>
                    <w:t>站台</w:t>
                  </w:r>
                </w:p>
              </w:tc>
              <w:tc>
                <w:tcPr>
                  <w:tcW w:w="809" w:type="pct"/>
                  <w:shd w:val="clear" w:color="auto" w:fill="auto"/>
                  <w:vAlign w:val="center"/>
                </w:tcPr>
                <w:p w14:paraId="1C452C07">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kern w:val="2"/>
                      <w:sz w:val="21"/>
                      <w:szCs w:val="21"/>
                      <w:lang w:val="en-US" w:eastAsia="en-US" w:bidi="ar-SA"/>
                    </w:rPr>
                    <w:t>1层，建筑面积60m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，炸药中转平台</w:t>
                  </w:r>
                </w:p>
              </w:tc>
              <w:tc>
                <w:tcPr>
                  <w:tcW w:w="1228" w:type="pct"/>
                  <w:shd w:val="clear" w:color="auto" w:fill="auto"/>
                  <w:vAlign w:val="center"/>
                </w:tcPr>
                <w:p w14:paraId="492A52F4">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4CBC5E38">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3506D707">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1层，建筑面积60m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，炸药中转平台</w:t>
                  </w:r>
                </w:p>
              </w:tc>
            </w:tr>
            <w:tr w14:paraId="6D2BC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D9619B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6E5AD92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7824E213">
                  <w:pPr>
                    <w:pStyle w:val="115"/>
                    <w:keepNext/>
                    <w:keepLines w:val="0"/>
                    <w:pageBreakBefore w:val="0"/>
                    <w:kinsoku/>
                    <w:wordWrap/>
                    <w:overflowPunct/>
                    <w:topLinePunct w:val="0"/>
                    <w:bidi w:val="0"/>
                    <w:spacing w:before="65" w:line="229" w:lineRule="auto"/>
                    <w:ind w:left="117"/>
                    <w:jc w:val="center"/>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硝酸</w:t>
                  </w:r>
                  <w:r>
                    <w:rPr>
                      <w:rFonts w:hint="default" w:ascii="Times New Roman" w:hAnsi="Times New Roman" w:eastAsia="宋体" w:cs="Times New Roman"/>
                      <w:color w:val="auto"/>
                      <w:spacing w:val="4"/>
                      <w:sz w:val="21"/>
                      <w:szCs w:val="21"/>
                    </w:rPr>
                    <w:t>铵库</w:t>
                  </w:r>
                </w:p>
              </w:tc>
              <w:tc>
                <w:tcPr>
                  <w:tcW w:w="809" w:type="pct"/>
                  <w:shd w:val="clear" w:color="auto" w:fill="auto"/>
                  <w:vAlign w:val="center"/>
                </w:tcPr>
                <w:p w14:paraId="060DFF6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kern w:val="2"/>
                      <w:sz w:val="21"/>
                      <w:szCs w:val="21"/>
                      <w:lang w:val="en-US" w:eastAsia="en-US" w:bidi="ar-SA"/>
                    </w:rPr>
                    <w:t>本项目硝酸铵库占地面积1000m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，最大储存量500t，用于储存项目原材料硝酸铵及多孔粒状硝酸铵。仓库为全封闭式，机械通风，地面采用环氧自流平地面。仓库的进料及出料由防爆叉车运输。</w:t>
                  </w:r>
                </w:p>
              </w:tc>
              <w:tc>
                <w:tcPr>
                  <w:tcW w:w="1228" w:type="pct"/>
                  <w:shd w:val="clear" w:color="auto" w:fill="auto"/>
                  <w:vAlign w:val="center"/>
                </w:tcPr>
                <w:p w14:paraId="7EB7AA92">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70DDAE98">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27196E8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本项目硝酸铵库占地面积1000m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，最大储存量500t，用于储存项目原材料硝酸铵及多孔粒状硝酸铵。仓库为全封闭式，机械通风，地面采用环氧自流平地面。仓库的进料及出料由防爆叉车运输。</w:t>
                  </w:r>
                </w:p>
              </w:tc>
            </w:tr>
            <w:tr w14:paraId="778FE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2B4D901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090966B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50A6C5B3">
                  <w:pPr>
                    <w:pStyle w:val="115"/>
                    <w:keepNext/>
                    <w:keepLines w:val="0"/>
                    <w:pageBreakBefore w:val="0"/>
                    <w:kinsoku/>
                    <w:wordWrap/>
                    <w:overflowPunct/>
                    <w:topLinePunct w:val="0"/>
                    <w:bidi w:val="0"/>
                    <w:spacing w:before="200" w:line="235" w:lineRule="auto"/>
                    <w:ind w:left="115"/>
                    <w:jc w:val="center"/>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4"/>
                      <w:sz w:val="21"/>
                      <w:szCs w:val="21"/>
                    </w:rPr>
                    <w:t>地埋</w:t>
                  </w:r>
                  <w:r>
                    <w:rPr>
                      <w:rFonts w:hint="default" w:ascii="Times New Roman" w:hAnsi="Times New Roman" w:eastAsia="宋体" w:cs="Times New Roman"/>
                      <w:color w:val="auto"/>
                      <w:spacing w:val="2"/>
                      <w:sz w:val="21"/>
                      <w:szCs w:val="21"/>
                    </w:rPr>
                    <w:t>式柴</w:t>
                  </w:r>
                  <w:r>
                    <w:rPr>
                      <w:rFonts w:hint="default" w:ascii="Times New Roman" w:hAnsi="Times New Roman" w:eastAsia="宋体" w:cs="Times New Roman"/>
                      <w:color w:val="auto"/>
                      <w:spacing w:val="3"/>
                      <w:sz w:val="21"/>
                      <w:szCs w:val="21"/>
                    </w:rPr>
                    <w:t>油储</w:t>
                  </w:r>
                  <w:r>
                    <w:rPr>
                      <w:rFonts w:hint="default" w:ascii="Times New Roman" w:hAnsi="Times New Roman" w:eastAsia="宋体" w:cs="Times New Roman"/>
                      <w:color w:val="auto"/>
                      <w:sz w:val="21"/>
                      <w:szCs w:val="21"/>
                    </w:rPr>
                    <w:t>罐</w:t>
                  </w:r>
                </w:p>
              </w:tc>
              <w:tc>
                <w:tcPr>
                  <w:tcW w:w="809" w:type="pct"/>
                  <w:shd w:val="clear" w:color="auto" w:fill="auto"/>
                  <w:vAlign w:val="center"/>
                </w:tcPr>
                <w:p w14:paraId="5FDF33EA">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kern w:val="2"/>
                      <w:sz w:val="21"/>
                      <w:szCs w:val="21"/>
                      <w:lang w:val="en-US" w:eastAsia="en-US" w:bidi="ar-SA"/>
                    </w:rPr>
                    <w:t>储存原料轻柴油，储罐材质为Q234B，使用容积30m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，最大储罐量25.8t，罐体表面为环氧树脂漆，周围埋地砂浆。</w:t>
                  </w:r>
                </w:p>
              </w:tc>
              <w:tc>
                <w:tcPr>
                  <w:tcW w:w="1228" w:type="pct"/>
                  <w:shd w:val="clear" w:color="auto" w:fill="auto"/>
                  <w:vAlign w:val="center"/>
                </w:tcPr>
                <w:p w14:paraId="420EB29E">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021FDA3E">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4D34FD2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储存原料轻柴油，储罐材质为Q234B，使用容积30m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，最大储罐量25.8t，罐体表面为环氧树脂漆，周围埋地砂浆。</w:t>
                  </w:r>
                </w:p>
              </w:tc>
            </w:tr>
            <w:tr w14:paraId="5C1F9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2C7298C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754F6B4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58B879E1">
                  <w:pPr>
                    <w:pStyle w:val="115"/>
                    <w:keepNext/>
                    <w:keepLines w:val="0"/>
                    <w:pageBreakBefore w:val="0"/>
                    <w:kinsoku/>
                    <w:wordWrap/>
                    <w:overflowPunct/>
                    <w:topLinePunct w:val="0"/>
                    <w:bidi w:val="0"/>
                    <w:spacing w:before="200" w:line="235" w:lineRule="auto"/>
                    <w:ind w:left="115"/>
                    <w:jc w:val="center"/>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4"/>
                      <w:sz w:val="21"/>
                      <w:szCs w:val="21"/>
                    </w:rPr>
                    <w:t>混装车</w:t>
                  </w:r>
                </w:p>
              </w:tc>
              <w:tc>
                <w:tcPr>
                  <w:tcW w:w="809" w:type="pct"/>
                  <w:shd w:val="clear" w:color="auto" w:fill="auto"/>
                  <w:vAlign w:val="center"/>
                </w:tcPr>
                <w:p w14:paraId="2E6652F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kern w:val="2"/>
                      <w:sz w:val="21"/>
                      <w:szCs w:val="21"/>
                      <w:lang w:val="en-US" w:eastAsia="en-US" w:bidi="ar-SA"/>
                    </w:rPr>
                    <w:t>本项目混装车为山西惠丰特种汽车有限公司提</w:t>
                  </w:r>
                </w:p>
                <w:p w14:paraId="384A0696">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kern w:val="2"/>
                      <w:sz w:val="21"/>
                      <w:szCs w:val="21"/>
                      <w:lang w:val="en-US" w:eastAsia="en-US" w:bidi="ar-SA"/>
                    </w:rPr>
                    <w:t>供的BCRH-15型现场混装乳化炸药车1辆和BCZH-15型现场混装重铵油炸药车2辆，共计3辆混装车。日常停放在混装车车库及维修间，工作时依次行驶至乳胶基质制备工房、多孔粒状硝酸铵装车工房、加油机旁，分别接受乳胶基质、多孔粒状硝酸铵、轻柴油。装料完毕后，运输至爆破现场，完成炸药的混制与装填。</w:t>
                  </w:r>
                </w:p>
              </w:tc>
              <w:tc>
                <w:tcPr>
                  <w:tcW w:w="1228" w:type="pct"/>
                  <w:shd w:val="clear" w:color="auto" w:fill="auto"/>
                  <w:vAlign w:val="center"/>
                </w:tcPr>
                <w:p w14:paraId="3529D025">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2E732EC0">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17C605D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kern w:val="2"/>
                      <w:sz w:val="21"/>
                      <w:szCs w:val="21"/>
                      <w:lang w:val="en-US" w:eastAsia="en-US" w:bidi="ar-SA"/>
                    </w:rPr>
                    <w:t>本项目混装车为山西惠丰特种汽车有限公司提</w:t>
                  </w:r>
                </w:p>
                <w:p w14:paraId="5A1D84C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供的BCRH-15型现场混装乳化炸药车1辆和BCZH-15型现场混装重铵油炸药车2辆，共计3辆混装车。日常停放在混装车车库及维修间，工作时依次行驶至乳胶基质制备工房、多孔粒状硝酸铵装车工房、加油机旁，分别接受乳胶基质、多孔粒状硝酸铵、轻柴油。装料完毕后，运输至爆破现场，完成炸药的混制与装填。</w:t>
                  </w:r>
                </w:p>
              </w:tc>
            </w:tr>
            <w:tr w14:paraId="10F3D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94" w:type="pct"/>
                  <w:vMerge w:val="continue"/>
                  <w:shd w:val="clear" w:color="auto" w:fill="auto"/>
                  <w:vAlign w:val="center"/>
                </w:tcPr>
                <w:p w14:paraId="6130DA3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31E610F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0C55A969">
                  <w:pPr>
                    <w:pStyle w:val="115"/>
                    <w:keepNext/>
                    <w:keepLines w:val="0"/>
                    <w:pageBreakBefore w:val="0"/>
                    <w:kinsoku/>
                    <w:wordWrap/>
                    <w:overflowPunct/>
                    <w:topLinePunct w:val="0"/>
                    <w:bidi w:val="0"/>
                    <w:spacing w:before="37" w:line="229" w:lineRule="auto"/>
                    <w:ind w:left="117"/>
                    <w:jc w:val="center"/>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硝酸</w:t>
                  </w:r>
                  <w:r>
                    <w:rPr>
                      <w:rFonts w:hint="default" w:ascii="Times New Roman" w:hAnsi="Times New Roman" w:eastAsia="宋体" w:cs="Times New Roman"/>
                      <w:color w:val="auto"/>
                      <w:spacing w:val="4"/>
                      <w:sz w:val="21"/>
                      <w:szCs w:val="21"/>
                    </w:rPr>
                    <w:t>铵溶</w:t>
                  </w:r>
                  <w:r>
                    <w:rPr>
                      <w:rFonts w:hint="default" w:ascii="Times New Roman" w:hAnsi="Times New Roman" w:eastAsia="宋体" w:cs="Times New Roman"/>
                      <w:color w:val="auto"/>
                      <w:spacing w:val="3"/>
                      <w:sz w:val="21"/>
                      <w:szCs w:val="21"/>
                    </w:rPr>
                    <w:t>液储罐区</w:t>
                  </w:r>
                </w:p>
              </w:tc>
              <w:tc>
                <w:tcPr>
                  <w:tcW w:w="809" w:type="pct"/>
                  <w:shd w:val="clear" w:color="auto" w:fill="auto"/>
                  <w:vAlign w:val="center"/>
                </w:tcPr>
                <w:p w14:paraId="429C8B1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kern w:val="2"/>
                      <w:sz w:val="21"/>
                      <w:szCs w:val="21"/>
                      <w:lang w:val="en-US" w:eastAsia="en-US" w:bidi="ar-SA"/>
                    </w:rPr>
                    <w:t>设置2个40m</w:t>
                  </w:r>
                  <w:r>
                    <w:rPr>
                      <w:rFonts w:hint="default" w:ascii="Times New Roman" w:hAnsi="Times New Roman" w:eastAsia="宋体" w:cs="Times New Roman"/>
                      <w:color w:val="auto"/>
                      <w:spacing w:val="8"/>
                      <w:kern w:val="2"/>
                      <w:sz w:val="21"/>
                      <w:szCs w:val="21"/>
                      <w:vertAlign w:val="superscript"/>
                      <w:lang w:val="en-US" w:eastAsia="en-US" w:bidi="ar-SA"/>
                    </w:rPr>
                    <w:t>3</w:t>
                  </w:r>
                  <w:r>
                    <w:rPr>
                      <w:rFonts w:hint="default" w:ascii="Times New Roman" w:hAnsi="Times New Roman" w:eastAsia="宋体" w:cs="Times New Roman"/>
                      <w:color w:val="auto"/>
                      <w:spacing w:val="8"/>
                      <w:kern w:val="2"/>
                      <w:sz w:val="21"/>
                      <w:szCs w:val="21"/>
                      <w:lang w:val="en-US" w:eastAsia="en-US" w:bidi="ar-SA"/>
                    </w:rPr>
                    <w:t>储罐</w:t>
                  </w:r>
                </w:p>
              </w:tc>
              <w:tc>
                <w:tcPr>
                  <w:tcW w:w="1228" w:type="pct"/>
                  <w:shd w:val="clear" w:color="auto" w:fill="auto"/>
                  <w:vAlign w:val="center"/>
                </w:tcPr>
                <w:p w14:paraId="193CB2B9">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46C87551">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78AA627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设置2个40m</w:t>
                  </w:r>
                  <w:r>
                    <w:rPr>
                      <w:rFonts w:hint="default" w:ascii="Times New Roman" w:hAnsi="Times New Roman" w:eastAsia="宋体" w:cs="Times New Roman"/>
                      <w:color w:val="auto"/>
                      <w:spacing w:val="8"/>
                      <w:kern w:val="2"/>
                      <w:sz w:val="21"/>
                      <w:szCs w:val="21"/>
                      <w:vertAlign w:val="superscript"/>
                      <w:lang w:val="en-US" w:eastAsia="en-US" w:bidi="ar-SA"/>
                    </w:rPr>
                    <w:t>3</w:t>
                  </w:r>
                  <w:r>
                    <w:rPr>
                      <w:rFonts w:hint="default" w:ascii="Times New Roman" w:hAnsi="Times New Roman" w:eastAsia="宋体" w:cs="Times New Roman"/>
                      <w:color w:val="auto"/>
                      <w:spacing w:val="8"/>
                      <w:kern w:val="2"/>
                      <w:sz w:val="21"/>
                      <w:szCs w:val="21"/>
                      <w:lang w:val="en-US" w:eastAsia="en-US" w:bidi="ar-SA"/>
                    </w:rPr>
                    <w:t>储罐</w:t>
                  </w:r>
                </w:p>
              </w:tc>
            </w:tr>
            <w:tr w14:paraId="317F3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41D4CFD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76C95CE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54ADEB41">
                  <w:pPr>
                    <w:pStyle w:val="115"/>
                    <w:keepNext/>
                    <w:keepLines w:val="0"/>
                    <w:pageBreakBefore w:val="0"/>
                    <w:kinsoku/>
                    <w:wordWrap/>
                    <w:overflowPunct/>
                    <w:topLinePunct w:val="0"/>
                    <w:bidi w:val="0"/>
                    <w:spacing w:before="173" w:line="228" w:lineRule="auto"/>
                    <w:ind w:left="118"/>
                    <w:jc w:val="center"/>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混装车车</w:t>
                  </w:r>
                  <w:r>
                    <w:rPr>
                      <w:rFonts w:hint="default" w:ascii="Times New Roman" w:hAnsi="Times New Roman" w:eastAsia="宋体" w:cs="Times New Roman"/>
                      <w:color w:val="auto"/>
                      <w:sz w:val="21"/>
                      <w:szCs w:val="21"/>
                    </w:rPr>
                    <w:t>库</w:t>
                  </w:r>
                </w:p>
              </w:tc>
              <w:tc>
                <w:tcPr>
                  <w:tcW w:w="809" w:type="pct"/>
                  <w:shd w:val="clear" w:color="auto" w:fill="auto"/>
                  <w:vAlign w:val="center"/>
                </w:tcPr>
                <w:p w14:paraId="7F7A44DB">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kern w:val="2"/>
                      <w:sz w:val="21"/>
                      <w:szCs w:val="21"/>
                      <w:lang w:val="en-US" w:eastAsia="en-US" w:bidi="ar-SA"/>
                    </w:rPr>
                    <w:t>1层钢结构，建筑面积600m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，运输甲类物品的Ⅳ类车库，在厂区大门东南侧</w:t>
                  </w:r>
                </w:p>
              </w:tc>
              <w:tc>
                <w:tcPr>
                  <w:tcW w:w="1228" w:type="pct"/>
                  <w:shd w:val="clear" w:color="auto" w:fill="auto"/>
                  <w:vAlign w:val="center"/>
                </w:tcPr>
                <w:p w14:paraId="549828B1">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6DA896D1">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128A00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kern w:val="2"/>
                      <w:sz w:val="21"/>
                      <w:szCs w:val="21"/>
                      <w:lang w:val="en-US" w:eastAsia="en-US" w:bidi="ar-SA"/>
                    </w:rPr>
                    <w:t>1层钢结构，建筑面积600m</w:t>
                  </w:r>
                  <w:r>
                    <w:rPr>
                      <w:rFonts w:hint="default" w:ascii="Times New Roman" w:hAnsi="Times New Roman" w:eastAsia="宋体" w:cs="Times New Roman"/>
                      <w:color w:val="auto"/>
                      <w:spacing w:val="8"/>
                      <w:kern w:val="2"/>
                      <w:sz w:val="21"/>
                      <w:szCs w:val="21"/>
                      <w:vertAlign w:val="superscript"/>
                      <w:lang w:val="en-US" w:eastAsia="en-US" w:bidi="ar-SA"/>
                    </w:rPr>
                    <w:t>2</w:t>
                  </w:r>
                  <w:r>
                    <w:rPr>
                      <w:rFonts w:hint="default" w:ascii="Times New Roman" w:hAnsi="Times New Roman" w:eastAsia="宋体" w:cs="Times New Roman"/>
                      <w:color w:val="auto"/>
                      <w:spacing w:val="8"/>
                      <w:kern w:val="2"/>
                      <w:sz w:val="21"/>
                      <w:szCs w:val="21"/>
                      <w:lang w:val="en-US" w:eastAsia="en-US" w:bidi="ar-SA"/>
                    </w:rPr>
                    <w:t>，运输甲类物品的Ⅳ类车库，在厂区大门东南侧</w:t>
                  </w:r>
                </w:p>
              </w:tc>
            </w:tr>
            <w:tr w14:paraId="15AF1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5D29DF17">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eastAsia="zh-CN"/>
                    </w:rPr>
                  </w:pPr>
                </w:p>
              </w:tc>
              <w:tc>
                <w:tcPr>
                  <w:tcW w:w="259" w:type="pct"/>
                  <w:vMerge w:val="continue"/>
                  <w:shd w:val="clear" w:color="auto" w:fill="auto"/>
                  <w:vAlign w:val="center"/>
                </w:tcPr>
                <w:p w14:paraId="3576503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1D01DDD2">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硝酸铵</w:t>
                  </w:r>
                  <w:r>
                    <w:rPr>
                      <w:rFonts w:hint="default" w:ascii="Times New Roman" w:hAnsi="Times New Roman" w:eastAsia="宋体" w:cs="Times New Roman"/>
                      <w:color w:val="auto"/>
                      <w:sz w:val="21"/>
                      <w:szCs w:val="21"/>
                      <w:highlight w:val="none"/>
                      <w:lang w:val="en-US" w:eastAsia="zh-CN"/>
                    </w:rPr>
                    <w:t>及硝酸钠</w:t>
                  </w:r>
                  <w:r>
                    <w:rPr>
                      <w:rFonts w:hint="default" w:ascii="Times New Roman" w:hAnsi="Times New Roman" w:eastAsia="宋体" w:cs="Times New Roman"/>
                      <w:color w:val="auto"/>
                      <w:sz w:val="21"/>
                      <w:szCs w:val="21"/>
                      <w:highlight w:val="none"/>
                    </w:rPr>
                    <w:t>库</w:t>
                  </w:r>
                </w:p>
              </w:tc>
              <w:tc>
                <w:tcPr>
                  <w:tcW w:w="809" w:type="pct"/>
                  <w:shd w:val="clear" w:color="auto" w:fill="auto"/>
                  <w:vAlign w:val="center"/>
                </w:tcPr>
                <w:p w14:paraId="67156C8A">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5797AC8E">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建筑面积890.62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，存放颗粒状硝酸铵和硝酸钠，储存能力各50t</w:t>
                  </w:r>
                  <w:r>
                    <w:rPr>
                      <w:rFonts w:hint="default" w:ascii="Times New Roman" w:hAnsi="Times New Roman" w:eastAsia="宋体" w:cs="Times New Roman"/>
                      <w:snapToGrid w:val="0"/>
                      <w:color w:val="auto"/>
                      <w:sz w:val="21"/>
                      <w:szCs w:val="21"/>
                      <w:highlight w:val="none"/>
                      <w:lang w:val="en-US" w:eastAsia="zh-CN" w:bidi="ar-SA"/>
                    </w:rPr>
                    <w:t>。硝酸铵转为备用。</w:t>
                  </w:r>
                </w:p>
              </w:tc>
              <w:tc>
                <w:tcPr>
                  <w:tcW w:w="1288" w:type="pct"/>
                  <w:shd w:val="clear" w:color="auto" w:fill="auto"/>
                  <w:vAlign w:val="center"/>
                </w:tcPr>
                <w:p w14:paraId="04A7BD1C">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7075C9C3">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snapToGrid w:val="0"/>
                      <w:color w:val="auto"/>
                      <w:sz w:val="21"/>
                      <w:szCs w:val="21"/>
                      <w:highlight w:val="none"/>
                      <w:lang w:val="en-US" w:eastAsia="zh-CN" w:bidi="ar-SA"/>
                    </w:rPr>
                    <w:t>建筑面积890.62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，存放颗粒状硝酸铵和硝酸钠，储存能力各50t</w:t>
                  </w:r>
                  <w:r>
                    <w:rPr>
                      <w:rFonts w:hint="default" w:ascii="Times New Roman" w:hAnsi="Times New Roman" w:eastAsia="宋体" w:cs="Times New Roman"/>
                      <w:snapToGrid w:val="0"/>
                      <w:color w:val="auto"/>
                      <w:sz w:val="21"/>
                      <w:szCs w:val="21"/>
                      <w:highlight w:val="none"/>
                      <w:lang w:val="en-US" w:eastAsia="zh-CN" w:bidi="ar-SA"/>
                    </w:rPr>
                    <w:t>。硝酸铵转为备用。</w:t>
                  </w:r>
                </w:p>
              </w:tc>
            </w:tr>
            <w:tr w14:paraId="1BBF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0E8260B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617B518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33A82546">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硝酸铵溶液</w:t>
                  </w:r>
                </w:p>
                <w:p w14:paraId="3CE9F722">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储罐区</w:t>
                  </w:r>
                </w:p>
              </w:tc>
              <w:tc>
                <w:tcPr>
                  <w:tcW w:w="809" w:type="pct"/>
                  <w:shd w:val="clear" w:color="auto" w:fill="auto"/>
                  <w:vAlign w:val="center"/>
                </w:tcPr>
                <w:p w14:paraId="755561E6">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6FEB9127">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占地面积380m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。新建2个有效容积40m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的不锈钢</w:t>
                  </w:r>
                  <w:r>
                    <w:rPr>
                      <w:rFonts w:hint="default" w:ascii="Times New Roman" w:hAnsi="Times New Roman" w:eastAsia="宋体" w:cs="Times New Roman"/>
                      <w:color w:val="auto"/>
                      <w:sz w:val="21"/>
                      <w:szCs w:val="21"/>
                      <w:highlight w:val="none"/>
                      <w:lang w:val="en-US" w:eastAsia="zh-CN"/>
                    </w:rPr>
                    <w:t>硝酸铵溶液储罐，高4.6m，直径4.5m，常压，80~100℃保温。</w:t>
                  </w:r>
                </w:p>
              </w:tc>
              <w:tc>
                <w:tcPr>
                  <w:tcW w:w="1288" w:type="pct"/>
                  <w:shd w:val="clear" w:color="auto" w:fill="auto"/>
                  <w:vAlign w:val="center"/>
                </w:tcPr>
                <w:p w14:paraId="00438662">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4BD27832">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占地面积380m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。新建2个有效容积40m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的不锈钢</w:t>
                  </w:r>
                  <w:r>
                    <w:rPr>
                      <w:rFonts w:hint="default" w:ascii="Times New Roman" w:hAnsi="Times New Roman" w:eastAsia="宋体" w:cs="Times New Roman"/>
                      <w:color w:val="auto"/>
                      <w:sz w:val="21"/>
                      <w:szCs w:val="21"/>
                      <w:highlight w:val="none"/>
                      <w:lang w:val="en-US" w:eastAsia="zh-CN"/>
                    </w:rPr>
                    <w:t>硝酸铵溶液储罐，高4.6m，直径4.5m，常压，80~100℃保温。</w:t>
                  </w:r>
                </w:p>
              </w:tc>
            </w:tr>
            <w:tr w14:paraId="57BA2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419EF4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045A92F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72BF5D3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乳化炸药运输廊道</w:t>
                  </w:r>
                </w:p>
              </w:tc>
              <w:tc>
                <w:tcPr>
                  <w:tcW w:w="809" w:type="pct"/>
                  <w:shd w:val="clear" w:color="auto" w:fill="auto"/>
                  <w:vAlign w:val="center"/>
                </w:tcPr>
                <w:p w14:paraId="236EE066">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244E44EF">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占地面积187.88m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5F01C890">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5E6C2D7">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占地面积187.88m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r>
            <w:tr w14:paraId="70F6E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48876F6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277313E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0BA707F6">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成品中转站</w:t>
                  </w:r>
                </w:p>
                <w:p w14:paraId="5F376D63">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809" w:type="pct"/>
                  <w:shd w:val="clear" w:color="auto" w:fill="auto"/>
                  <w:vAlign w:val="center"/>
                </w:tcPr>
                <w:p w14:paraId="5A24BAC1">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2C4D9439">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占地面积240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3E67B071">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D6E05BF">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占地面积240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w:t>
                  </w:r>
                </w:p>
              </w:tc>
            </w:tr>
            <w:tr w14:paraId="43E25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51D200C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57B6547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342" w:type="pct"/>
                  <w:gridSpan w:val="2"/>
                  <w:shd w:val="clear" w:color="auto" w:fill="auto"/>
                  <w:tcMar>
                    <w:left w:w="0" w:type="dxa"/>
                    <w:right w:w="0" w:type="dxa"/>
                  </w:tcMar>
                  <w:vAlign w:val="center"/>
                </w:tcPr>
                <w:p w14:paraId="04447A9C">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材料储存</w:t>
                  </w:r>
                </w:p>
              </w:tc>
              <w:tc>
                <w:tcPr>
                  <w:tcW w:w="809" w:type="pct"/>
                  <w:shd w:val="clear" w:color="auto" w:fill="auto"/>
                  <w:vAlign w:val="center"/>
                </w:tcPr>
                <w:p w14:paraId="00EC057E">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64A7B4B5">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依托辽宁红山材料库建筑面积1200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。储存发泡剂、促进剂、珍珠岩、氯化钾等原辅料。</w:t>
                  </w:r>
                </w:p>
              </w:tc>
              <w:tc>
                <w:tcPr>
                  <w:tcW w:w="1288" w:type="pct"/>
                  <w:shd w:val="clear" w:color="auto" w:fill="auto"/>
                  <w:vAlign w:val="center"/>
                </w:tcPr>
                <w:p w14:paraId="67AE10FA">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DAC76ED">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依托辽宁红山材料库建筑面积1200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。储存发泡剂、促进剂、珍珠岩、氯化钾等原辅料。</w:t>
                  </w:r>
                </w:p>
              </w:tc>
            </w:tr>
            <w:tr w14:paraId="2F984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59A5A717">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041AECF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7703BC04">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总库区</w:t>
                  </w:r>
                </w:p>
              </w:tc>
              <w:tc>
                <w:tcPr>
                  <w:tcW w:w="809" w:type="pct"/>
                  <w:shd w:val="clear" w:color="auto" w:fill="auto"/>
                  <w:vAlign w:val="center"/>
                </w:tcPr>
                <w:p w14:paraId="1AC62DA6">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70018C15">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依托现有，总储存量581t。</w:t>
                  </w:r>
                </w:p>
              </w:tc>
              <w:tc>
                <w:tcPr>
                  <w:tcW w:w="1288" w:type="pct"/>
                  <w:shd w:val="clear" w:color="auto" w:fill="auto"/>
                  <w:vAlign w:val="center"/>
                </w:tcPr>
                <w:p w14:paraId="4452F844">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依托现有，总储存量581t。</w:t>
                  </w:r>
                </w:p>
              </w:tc>
              <w:tc>
                <w:tcPr>
                  <w:tcW w:w="876" w:type="pct"/>
                  <w:shd w:val="clear" w:color="auto" w:fill="auto"/>
                  <w:vAlign w:val="center"/>
                </w:tcPr>
                <w:p w14:paraId="5A30272D">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color w:val="auto"/>
                      <w:sz w:val="21"/>
                      <w:szCs w:val="21"/>
                      <w:highlight w:val="none"/>
                      <w:lang w:val="en-US" w:eastAsia="zh-CN"/>
                    </w:rPr>
                    <w:t>依托现有，总储存量581t。</w:t>
                  </w:r>
                </w:p>
              </w:tc>
            </w:tr>
            <w:tr w14:paraId="796B1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5D97B00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5171CE4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61C15FA9">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管壳输送工房及综合材料库</w:t>
                  </w:r>
                </w:p>
              </w:tc>
              <w:tc>
                <w:tcPr>
                  <w:tcW w:w="809" w:type="pct"/>
                  <w:shd w:val="clear" w:color="auto" w:fill="auto"/>
                  <w:vAlign w:val="center"/>
                </w:tcPr>
                <w:p w14:paraId="05AA44B0">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7AA7BBC5">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5EAB0709">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1层，建筑面积439.55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，存放</w:t>
                  </w:r>
                  <w:r>
                    <w:rPr>
                      <w:rFonts w:hint="default" w:ascii="Times New Roman" w:hAnsi="Times New Roman" w:eastAsia="宋体" w:cs="Times New Roman"/>
                      <w:color w:val="auto"/>
                      <w:kern w:val="0"/>
                      <w:sz w:val="21"/>
                      <w:szCs w:val="21"/>
                      <w:highlight w:val="none"/>
                      <w:lang w:val="en-US" w:eastAsia="zh-CN" w:bidi="ar"/>
                    </w:rPr>
                    <w:t>壳体、连接套等。</w:t>
                  </w:r>
                </w:p>
              </w:tc>
              <w:tc>
                <w:tcPr>
                  <w:tcW w:w="876" w:type="pct"/>
                  <w:shd w:val="clear" w:color="auto" w:fill="auto"/>
                  <w:vAlign w:val="center"/>
                </w:tcPr>
                <w:p w14:paraId="3AC9B821">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snapToGrid w:val="0"/>
                      <w:color w:val="auto"/>
                      <w:sz w:val="21"/>
                      <w:szCs w:val="21"/>
                      <w:highlight w:val="none"/>
                      <w:lang w:val="en-US" w:eastAsia="zh-CN" w:bidi="ar-SA"/>
                    </w:rPr>
                    <w:t>1层，建筑面积439.55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，存放</w:t>
                  </w:r>
                  <w:r>
                    <w:rPr>
                      <w:rFonts w:hint="default" w:ascii="Times New Roman" w:hAnsi="Times New Roman" w:eastAsia="宋体" w:cs="Times New Roman"/>
                      <w:color w:val="auto"/>
                      <w:kern w:val="0"/>
                      <w:sz w:val="21"/>
                      <w:szCs w:val="21"/>
                      <w:highlight w:val="none"/>
                      <w:lang w:val="en-US" w:eastAsia="zh-CN" w:bidi="ar"/>
                    </w:rPr>
                    <w:t>壳体、连接套等。</w:t>
                  </w:r>
                </w:p>
              </w:tc>
            </w:tr>
            <w:tr w14:paraId="465F0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69653F3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25A7423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5007B828">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硝酸铵（硝酸钠）库</w:t>
                  </w:r>
                </w:p>
              </w:tc>
              <w:tc>
                <w:tcPr>
                  <w:tcW w:w="809" w:type="pct"/>
                  <w:shd w:val="clear" w:color="auto" w:fill="auto"/>
                  <w:vAlign w:val="center"/>
                </w:tcPr>
                <w:p w14:paraId="59115CAA">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3433E4C2">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14B19E65">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1层，建筑面积653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vertAlign w:val="baseline"/>
                      <w:lang w:val="en-US" w:eastAsia="zh-CN"/>
                    </w:rPr>
                    <w:t>存放颗粒状硝酸钠，硝酸钠的储存能力为200t。</w:t>
                  </w:r>
                  <w:r>
                    <w:rPr>
                      <w:rFonts w:hint="default" w:ascii="Times New Roman" w:hAnsi="Times New Roman" w:eastAsia="宋体" w:cs="Times New Roman"/>
                      <w:snapToGrid w:val="0"/>
                      <w:color w:val="auto"/>
                      <w:sz w:val="21"/>
                      <w:szCs w:val="21"/>
                      <w:highlight w:val="none"/>
                      <w:lang w:val="en-US" w:eastAsia="zh-CN" w:bidi="ar-SA"/>
                    </w:rPr>
                    <w:t>硝酸铵为备用。</w:t>
                  </w:r>
                </w:p>
              </w:tc>
              <w:tc>
                <w:tcPr>
                  <w:tcW w:w="876" w:type="pct"/>
                  <w:shd w:val="clear" w:color="auto" w:fill="auto"/>
                  <w:vAlign w:val="center"/>
                </w:tcPr>
                <w:p w14:paraId="10DF1F7F">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snapToGrid w:val="0"/>
                      <w:color w:val="auto"/>
                      <w:sz w:val="21"/>
                      <w:szCs w:val="21"/>
                      <w:highlight w:val="none"/>
                      <w:lang w:val="en-US" w:eastAsia="zh-CN" w:bidi="ar-SA"/>
                    </w:rPr>
                    <w:t>1层，建筑面积653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vertAlign w:val="baseline"/>
                      <w:lang w:val="en-US" w:eastAsia="zh-CN"/>
                    </w:rPr>
                    <w:t>存放颗粒状硝酸钠，硝酸钠的储存能力为200t。</w:t>
                  </w:r>
                  <w:r>
                    <w:rPr>
                      <w:rFonts w:hint="default" w:ascii="Times New Roman" w:hAnsi="Times New Roman" w:eastAsia="宋体" w:cs="Times New Roman"/>
                      <w:snapToGrid w:val="0"/>
                      <w:color w:val="auto"/>
                      <w:sz w:val="21"/>
                      <w:szCs w:val="21"/>
                      <w:highlight w:val="none"/>
                      <w:lang w:val="en-US" w:eastAsia="zh-CN" w:bidi="ar-SA"/>
                    </w:rPr>
                    <w:t>硝酸铵为备用。</w:t>
                  </w:r>
                </w:p>
              </w:tc>
            </w:tr>
            <w:tr w14:paraId="1C1BF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10CE2FF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21479FE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054FD31E">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硝酸铵溶液储罐区</w:t>
                  </w:r>
                </w:p>
              </w:tc>
              <w:tc>
                <w:tcPr>
                  <w:tcW w:w="809" w:type="pct"/>
                  <w:shd w:val="clear" w:color="auto" w:fill="auto"/>
                  <w:vAlign w:val="center"/>
                </w:tcPr>
                <w:p w14:paraId="21BF164F">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065398B3">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2CCB55A2">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占地面积180m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，新建2个有效容积40m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的不锈钢</w:t>
                  </w:r>
                  <w:r>
                    <w:rPr>
                      <w:rFonts w:hint="default" w:ascii="Times New Roman" w:hAnsi="Times New Roman" w:eastAsia="宋体" w:cs="Times New Roman"/>
                      <w:color w:val="auto"/>
                      <w:sz w:val="21"/>
                      <w:szCs w:val="21"/>
                      <w:highlight w:val="none"/>
                      <w:lang w:val="en-US" w:eastAsia="zh-CN"/>
                    </w:rPr>
                    <w:t>硝酸铵溶液储罐，常压，80~100℃保温。</w:t>
                  </w:r>
                </w:p>
              </w:tc>
              <w:tc>
                <w:tcPr>
                  <w:tcW w:w="876" w:type="pct"/>
                  <w:shd w:val="clear" w:color="auto" w:fill="auto"/>
                  <w:vAlign w:val="center"/>
                </w:tcPr>
                <w:p w14:paraId="0BD8AA80">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color w:val="auto"/>
                      <w:sz w:val="21"/>
                      <w:szCs w:val="21"/>
                      <w:highlight w:val="none"/>
                      <w:lang w:val="en-US" w:eastAsia="zh-CN"/>
                    </w:rPr>
                    <w:t>占地面积180m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，新建2个有效容积40m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的不锈钢</w:t>
                  </w:r>
                  <w:r>
                    <w:rPr>
                      <w:rFonts w:hint="default" w:ascii="Times New Roman" w:hAnsi="Times New Roman" w:eastAsia="宋体" w:cs="Times New Roman"/>
                      <w:color w:val="auto"/>
                      <w:sz w:val="21"/>
                      <w:szCs w:val="21"/>
                      <w:highlight w:val="none"/>
                      <w:lang w:val="en-US" w:eastAsia="zh-CN"/>
                    </w:rPr>
                    <w:t>硝酸铵溶液储罐，常压，80~100℃保温。</w:t>
                  </w:r>
                </w:p>
              </w:tc>
            </w:tr>
            <w:tr w14:paraId="1775D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487ED83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0740BF3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37D3AC81">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成品中转站</w:t>
                  </w:r>
                </w:p>
                <w:p w14:paraId="1914117E">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台</w:t>
                  </w:r>
                </w:p>
              </w:tc>
              <w:tc>
                <w:tcPr>
                  <w:tcW w:w="809" w:type="pct"/>
                  <w:shd w:val="clear" w:color="auto" w:fill="auto"/>
                  <w:vAlign w:val="center"/>
                </w:tcPr>
                <w:p w14:paraId="25F97283">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val="0"/>
                      <w:color w:val="auto"/>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w:t>
                  </w:r>
                </w:p>
              </w:tc>
              <w:tc>
                <w:tcPr>
                  <w:tcW w:w="1228" w:type="pct"/>
                  <w:shd w:val="clear" w:color="auto" w:fill="auto"/>
                  <w:vAlign w:val="center"/>
                </w:tcPr>
                <w:p w14:paraId="1567115F">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bidi="ar-SA"/>
                    </w:rPr>
                    <w:t>/</w:t>
                  </w:r>
                </w:p>
              </w:tc>
              <w:tc>
                <w:tcPr>
                  <w:tcW w:w="1288" w:type="pct"/>
                  <w:shd w:val="clear" w:color="auto" w:fill="auto"/>
                  <w:vAlign w:val="center"/>
                </w:tcPr>
                <w:p w14:paraId="4211D110">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SA"/>
                    </w:rPr>
                    <w:t>占地面积99.75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新建一套湖南金能自动化提供的KNACPM型工业炸药成品 箱</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袋</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自动上车系统</w:t>
                  </w:r>
                </w:p>
              </w:tc>
              <w:tc>
                <w:tcPr>
                  <w:tcW w:w="876" w:type="pct"/>
                  <w:shd w:val="clear" w:color="auto" w:fill="auto"/>
                  <w:vAlign w:val="center"/>
                </w:tcPr>
                <w:p w14:paraId="1A996441">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snapToGrid w:val="0"/>
                      <w:color w:val="auto"/>
                      <w:sz w:val="21"/>
                      <w:szCs w:val="21"/>
                      <w:highlight w:val="none"/>
                      <w:lang w:val="en-US" w:eastAsia="zh-CN" w:bidi="ar-SA"/>
                    </w:rPr>
                    <w:t>占地面积99.75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新建一套湖南金能自动化提供的KNACPM型工业炸药成品 箱</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袋</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自动上车系统</w:t>
                  </w:r>
                </w:p>
              </w:tc>
            </w:tr>
            <w:tr w14:paraId="74B9A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restart"/>
                  <w:shd w:val="clear" w:color="auto" w:fill="auto"/>
                  <w:vAlign w:val="center"/>
                </w:tcPr>
                <w:p w14:paraId="2B17FC8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4</w:t>
                  </w:r>
                </w:p>
              </w:tc>
              <w:tc>
                <w:tcPr>
                  <w:tcW w:w="259" w:type="pct"/>
                  <w:vMerge w:val="restart"/>
                  <w:shd w:val="clear" w:color="auto" w:fill="auto"/>
                  <w:vAlign w:val="center"/>
                </w:tcPr>
                <w:p w14:paraId="78FD484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w:t>
                  </w:r>
                </w:p>
                <w:p w14:paraId="3866373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342" w:type="pct"/>
                  <w:gridSpan w:val="2"/>
                  <w:shd w:val="clear" w:color="auto" w:fill="auto"/>
                  <w:tcMar>
                    <w:left w:w="0" w:type="dxa"/>
                    <w:right w:w="0" w:type="dxa"/>
                  </w:tcMar>
                  <w:vAlign w:val="center"/>
                </w:tcPr>
                <w:p w14:paraId="576CDDF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w:t>
                  </w:r>
                </w:p>
              </w:tc>
              <w:tc>
                <w:tcPr>
                  <w:tcW w:w="809" w:type="pct"/>
                  <w:shd w:val="clear" w:color="auto" w:fill="auto"/>
                  <w:vAlign w:val="center"/>
                </w:tcPr>
                <w:p w14:paraId="3F30420D">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6"/>
                      <w:sz w:val="21"/>
                      <w:szCs w:val="21"/>
                    </w:rPr>
                    <w:t>依托辽宁红化公司</w:t>
                  </w:r>
                  <w:r>
                    <w:rPr>
                      <w:rFonts w:hint="default" w:ascii="Times New Roman" w:hAnsi="Times New Roman" w:eastAsia="宋体" w:cs="Times New Roman"/>
                      <w:color w:val="auto"/>
                      <w:spacing w:val="-43"/>
                      <w:sz w:val="21"/>
                      <w:szCs w:val="21"/>
                    </w:rPr>
                    <w:t xml:space="preserve"> </w:t>
                  </w:r>
                  <w:r>
                    <w:rPr>
                      <w:rFonts w:hint="default" w:ascii="Times New Roman" w:hAnsi="Times New Roman" w:eastAsia="宋体" w:cs="Times New Roman"/>
                      <w:color w:val="auto"/>
                      <w:spacing w:val="6"/>
                      <w:sz w:val="21"/>
                      <w:szCs w:val="21"/>
                    </w:rPr>
                    <w:t>3眼深井</w:t>
                  </w:r>
                  <w:r>
                    <w:rPr>
                      <w:rFonts w:hint="default" w:ascii="Times New Roman" w:hAnsi="Times New Roman" w:eastAsia="宋体" w:cs="Times New Roman"/>
                      <w:color w:val="auto"/>
                      <w:spacing w:val="6"/>
                      <w:sz w:val="21"/>
                      <w:szCs w:val="21"/>
                      <w:lang w:val="en-US" w:eastAsia="zh-CN"/>
                    </w:rPr>
                    <w:t>供水</w:t>
                  </w:r>
                </w:p>
              </w:tc>
              <w:tc>
                <w:tcPr>
                  <w:tcW w:w="1228" w:type="pct"/>
                  <w:shd w:val="clear" w:color="auto" w:fill="auto"/>
                  <w:vAlign w:val="center"/>
                </w:tcPr>
                <w:p w14:paraId="47166FD5">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采用辽宁红山深水井供水</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总出水能力59.8m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rPr>
                    <w:t>依托厂区现有</w:t>
                  </w:r>
                  <w:r>
                    <w:rPr>
                      <w:rFonts w:hint="default" w:ascii="Times New Roman" w:hAnsi="Times New Roman" w:eastAsia="宋体" w:cs="Times New Roman"/>
                      <w:color w:val="auto"/>
                      <w:sz w:val="21"/>
                      <w:szCs w:val="21"/>
                      <w:highlight w:val="none"/>
                      <w:lang w:val="en-US" w:eastAsia="zh-CN"/>
                    </w:rPr>
                    <w:t>高位水池及</w:t>
                  </w:r>
                  <w:r>
                    <w:rPr>
                      <w:rFonts w:hint="default" w:ascii="Times New Roman" w:hAnsi="Times New Roman" w:eastAsia="宋体" w:cs="Times New Roman"/>
                      <w:color w:val="auto"/>
                      <w:sz w:val="21"/>
                      <w:szCs w:val="21"/>
                      <w:highlight w:val="none"/>
                    </w:rPr>
                    <w:t>给水系统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已办理取水证</w:t>
                  </w:r>
                  <w:r>
                    <w:rPr>
                      <w:rFonts w:hint="default" w:ascii="Times New Roman" w:hAnsi="Times New Roman" w:eastAsia="宋体" w:cs="Times New Roman"/>
                      <w:color w:val="auto"/>
                      <w:sz w:val="21"/>
                      <w:szCs w:val="21"/>
                      <w:highlight w:val="none"/>
                      <w:lang w:eastAsia="zh-CN"/>
                    </w:rPr>
                    <w:t>。</w:t>
                  </w:r>
                </w:p>
              </w:tc>
              <w:tc>
                <w:tcPr>
                  <w:tcW w:w="1288" w:type="pct"/>
                  <w:shd w:val="clear" w:color="auto" w:fill="auto"/>
                  <w:vAlign w:val="center"/>
                </w:tcPr>
                <w:p w14:paraId="5C207F24">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辽宁红山深水井供水</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总出水能力59.8m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/h，已办理取水证</w:t>
                  </w:r>
                  <w:r>
                    <w:rPr>
                      <w:rFonts w:hint="default" w:ascii="Times New Roman" w:hAnsi="Times New Roman" w:eastAsia="宋体" w:cs="Times New Roman"/>
                      <w:color w:val="auto"/>
                      <w:sz w:val="21"/>
                      <w:szCs w:val="21"/>
                      <w:highlight w:val="none"/>
                      <w:lang w:eastAsia="zh-CN"/>
                    </w:rPr>
                    <w:t>。</w:t>
                  </w:r>
                </w:p>
              </w:tc>
              <w:tc>
                <w:tcPr>
                  <w:tcW w:w="876" w:type="pct"/>
                  <w:shd w:val="clear" w:color="auto" w:fill="auto"/>
                  <w:vAlign w:val="center"/>
                </w:tcPr>
                <w:p w14:paraId="49AC83D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pt-BR"/>
                    </w:rPr>
                  </w:pPr>
                  <w:r>
                    <w:rPr>
                      <w:rFonts w:hint="eastAsia"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val="en-US" w:eastAsia="zh-CN"/>
                    </w:rPr>
                    <w:t>辽宁红山深水井供水</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总出水能力59.8m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/h，已办理取水证</w:t>
                  </w:r>
                  <w:r>
                    <w:rPr>
                      <w:rFonts w:hint="default" w:ascii="Times New Roman" w:hAnsi="Times New Roman" w:eastAsia="宋体" w:cs="Times New Roman"/>
                      <w:color w:val="auto"/>
                      <w:sz w:val="21"/>
                      <w:szCs w:val="21"/>
                      <w:highlight w:val="none"/>
                      <w:lang w:eastAsia="zh-CN"/>
                    </w:rPr>
                    <w:t>。</w:t>
                  </w:r>
                </w:p>
              </w:tc>
            </w:tr>
            <w:tr w14:paraId="28037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66B3F71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3AEBE32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4C3820C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w:t>
                  </w:r>
                </w:p>
              </w:tc>
              <w:tc>
                <w:tcPr>
                  <w:tcW w:w="809" w:type="pct"/>
                  <w:shd w:val="clear" w:color="auto" w:fill="auto"/>
                  <w:vAlign w:val="center"/>
                </w:tcPr>
                <w:p w14:paraId="2C9952A4">
                  <w:pPr>
                    <w:pStyle w:val="115"/>
                    <w:keepNext/>
                    <w:keepLines w:val="0"/>
                    <w:pageBreakBefore w:val="0"/>
                    <w:widowControl w:val="0"/>
                    <w:kinsoku/>
                    <w:wordWrap/>
                    <w:overflowPunct/>
                    <w:topLinePunct w:val="0"/>
                    <w:autoSpaceDE/>
                    <w:autoSpaceDN/>
                    <w:bidi w:val="0"/>
                    <w:adjustRightInd/>
                    <w:snapToGrid/>
                    <w:spacing w:line="240" w:lineRule="auto"/>
                    <w:ind w:left="0"/>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生产废水：设2个隔油沉淀池，容积均为16.8m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，分别位于乳化粒状铵油炸药生产工房南侧和乳胶基质制备工房南侧。冲洗废水经过隔油沉淀池全部回用不外排。</w:t>
                  </w:r>
                </w:p>
                <w:p w14:paraId="71C0422C">
                  <w:pPr>
                    <w:pStyle w:val="115"/>
                    <w:keepNext/>
                    <w:keepLines w:val="0"/>
                    <w:pageBreakBefore w:val="0"/>
                    <w:widowControl w:val="0"/>
                    <w:kinsoku/>
                    <w:wordWrap/>
                    <w:overflowPunct/>
                    <w:topLinePunct w:val="0"/>
                    <w:autoSpaceDE/>
                    <w:autoSpaceDN/>
                    <w:bidi w:val="0"/>
                    <w:adjustRightInd/>
                    <w:snapToGrid/>
                    <w:spacing w:line="240" w:lineRule="auto"/>
                    <w:ind w:left="0"/>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生活污水：依托辽宁红化公司地埋式一体化污水处理站（A/0法），处理后用于绿化浇灌</w:t>
                  </w:r>
                </w:p>
              </w:tc>
              <w:tc>
                <w:tcPr>
                  <w:tcW w:w="1228" w:type="pct"/>
                  <w:shd w:val="clear" w:color="auto" w:fill="auto"/>
                  <w:vAlign w:val="center"/>
                </w:tcPr>
                <w:p w14:paraId="2A8866FF">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项目污水</w:t>
                  </w:r>
                  <w:r>
                    <w:rPr>
                      <w:rFonts w:hint="default" w:ascii="Times New Roman" w:hAnsi="Times New Roman" w:eastAsia="宋体" w:cs="Times New Roman"/>
                      <w:color w:val="auto"/>
                      <w:sz w:val="21"/>
                      <w:szCs w:val="21"/>
                      <w:highlight w:val="none"/>
                      <w:lang w:val="en-US" w:eastAsia="zh-CN"/>
                    </w:rPr>
                    <w:t>依托现有收集系统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车间地面清洗和设备冲洗废水依托现有隔油沉淀池预处理后排入辽宁红山污水处理站处理后用于绿化和道路洒扫。本次不新增生活污水。</w:t>
                  </w:r>
                </w:p>
              </w:tc>
              <w:tc>
                <w:tcPr>
                  <w:tcW w:w="1288" w:type="pct"/>
                  <w:shd w:val="clear" w:color="auto" w:fill="auto"/>
                  <w:vAlign w:val="center"/>
                </w:tcPr>
                <w:p w14:paraId="09FB2043">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新建2座隔油沉淀池，车间地面清洗和设备冲洗废水经隔油沉淀池预处理后</w:t>
                  </w:r>
                  <w:r>
                    <w:rPr>
                      <w:rFonts w:hint="eastAsia" w:cs="Times New Roman"/>
                      <w:color w:val="auto"/>
                      <w:sz w:val="21"/>
                      <w:szCs w:val="21"/>
                      <w:highlight w:val="none"/>
                      <w:lang w:val="en-US" w:eastAsia="zh-CN"/>
                    </w:rPr>
                    <w:t>经管道输送</w:t>
                  </w:r>
                  <w:r>
                    <w:rPr>
                      <w:rFonts w:hint="default" w:ascii="Times New Roman" w:hAnsi="Times New Roman" w:eastAsia="宋体" w:cs="Times New Roman"/>
                      <w:color w:val="auto"/>
                      <w:sz w:val="21"/>
                      <w:szCs w:val="21"/>
                      <w:highlight w:val="none"/>
                      <w:lang w:val="en-US" w:eastAsia="zh-CN"/>
                    </w:rPr>
                    <w:t>排入辽宁红山污水处理站处理后用于道路洒扫。本次不新增生活污水。</w:t>
                  </w:r>
                </w:p>
              </w:tc>
              <w:tc>
                <w:tcPr>
                  <w:tcW w:w="876" w:type="pct"/>
                  <w:shd w:val="clear" w:color="auto" w:fill="auto"/>
                  <w:vAlign w:val="center"/>
                </w:tcPr>
                <w:p w14:paraId="5EF1246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生产废水：</w:t>
                  </w:r>
                  <w:r>
                    <w:rPr>
                      <w:rFonts w:hint="default" w:ascii="Times New Roman" w:hAnsi="Times New Roman" w:eastAsia="宋体" w:cs="Times New Roman"/>
                      <w:color w:val="auto"/>
                      <w:sz w:val="21"/>
                      <w:szCs w:val="21"/>
                      <w:highlight w:val="none"/>
                      <w:lang w:val="en-US" w:eastAsia="zh-CN"/>
                    </w:rPr>
                    <w:t>经隔油沉淀池预处理后排入辽宁红山污水处理站处理后用于绿化和道路洒扫。</w:t>
                  </w:r>
                </w:p>
                <w:p w14:paraId="037F763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生活污水：依托辽宁</w:t>
                  </w:r>
                  <w:r>
                    <w:rPr>
                      <w:rFonts w:hint="eastAsia" w:cs="Times New Roman"/>
                      <w:color w:val="auto"/>
                      <w:kern w:val="2"/>
                      <w:sz w:val="21"/>
                      <w:szCs w:val="21"/>
                      <w:highlight w:val="none"/>
                      <w:lang w:val="en-US" w:eastAsia="zh-CN" w:bidi="ar-SA"/>
                    </w:rPr>
                    <w:t>红山化工污水处理站</w:t>
                  </w:r>
                  <w:r>
                    <w:rPr>
                      <w:rFonts w:hint="default" w:ascii="Times New Roman" w:hAnsi="Times New Roman" w:eastAsia="宋体" w:cs="Times New Roman"/>
                      <w:color w:val="auto"/>
                      <w:kern w:val="2"/>
                      <w:sz w:val="21"/>
                      <w:szCs w:val="21"/>
                      <w:highlight w:val="none"/>
                      <w:lang w:val="en-US" w:eastAsia="zh-CN" w:bidi="ar-SA"/>
                    </w:rPr>
                    <w:t>处理后用于</w:t>
                  </w:r>
                  <w:r>
                    <w:rPr>
                      <w:rFonts w:hint="default" w:ascii="Times New Roman" w:hAnsi="Times New Roman" w:eastAsia="宋体" w:cs="Times New Roman"/>
                      <w:color w:val="auto"/>
                      <w:sz w:val="21"/>
                      <w:szCs w:val="21"/>
                      <w:highlight w:val="none"/>
                      <w:lang w:val="en-US" w:eastAsia="zh-CN"/>
                    </w:rPr>
                    <w:t>绿化和道路洒扫</w:t>
                  </w:r>
                  <w:r>
                    <w:rPr>
                      <w:rFonts w:hint="eastAsia" w:cs="Times New Roman"/>
                      <w:color w:val="auto"/>
                      <w:kern w:val="2"/>
                      <w:sz w:val="21"/>
                      <w:szCs w:val="21"/>
                      <w:highlight w:val="none"/>
                      <w:lang w:val="en-US" w:eastAsia="zh-CN" w:bidi="ar-SA"/>
                    </w:rPr>
                    <w:t>。</w:t>
                  </w:r>
                </w:p>
              </w:tc>
            </w:tr>
            <w:tr w14:paraId="1039C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2238314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2CDB3F2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78D65E27">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供热</w:t>
                  </w:r>
                </w:p>
              </w:tc>
              <w:tc>
                <w:tcPr>
                  <w:tcW w:w="809" w:type="pct"/>
                  <w:shd w:val="clear" w:color="auto" w:fill="auto"/>
                  <w:vAlign w:val="center"/>
                </w:tcPr>
                <w:p w14:paraId="4E3C7C76">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4B3F8B5E">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生产用热依托辽宁红山现有2台20t/h燃煤蒸汽锅炉提供，满足生产用热需求。</w:t>
                  </w:r>
                </w:p>
              </w:tc>
              <w:tc>
                <w:tcPr>
                  <w:tcW w:w="1288" w:type="pct"/>
                  <w:shd w:val="clear" w:color="auto" w:fill="auto"/>
                  <w:vAlign w:val="center"/>
                </w:tcPr>
                <w:p w14:paraId="645B2585">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生产用热依托厂区内新建2台6t</w:t>
                  </w:r>
                  <w:r>
                    <w:rPr>
                      <w:rFonts w:hint="eastAsia"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val="en-US" w:eastAsia="zh-CN"/>
                    </w:rPr>
                    <w:t>燃气蒸汽锅炉</w:t>
                  </w:r>
                  <w:r>
                    <w:rPr>
                      <w:rFonts w:hint="eastAsia" w:cs="Times New Roman"/>
                      <w:color w:val="auto"/>
                      <w:sz w:val="21"/>
                      <w:szCs w:val="21"/>
                      <w:highlight w:val="none"/>
                      <w:lang w:val="en-US" w:eastAsia="zh-CN"/>
                    </w:rPr>
                    <w:t>（一用一备）</w:t>
                  </w:r>
                  <w:r>
                    <w:rPr>
                      <w:rFonts w:hint="default" w:ascii="Times New Roman" w:hAnsi="Times New Roman" w:eastAsia="宋体" w:cs="Times New Roman"/>
                      <w:color w:val="auto"/>
                      <w:sz w:val="21"/>
                      <w:szCs w:val="21"/>
                      <w:highlight w:val="none"/>
                      <w:lang w:val="en-US" w:eastAsia="zh-CN"/>
                    </w:rPr>
                    <w:t>提供，满足生产用热需求。</w:t>
                  </w:r>
                </w:p>
              </w:tc>
              <w:tc>
                <w:tcPr>
                  <w:tcW w:w="876" w:type="pct"/>
                  <w:shd w:val="clear" w:color="auto" w:fill="auto"/>
                  <w:vAlign w:val="center"/>
                </w:tcPr>
                <w:p w14:paraId="6051120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color w:val="auto"/>
                      <w:sz w:val="21"/>
                      <w:szCs w:val="21"/>
                      <w:highlight w:val="none"/>
                      <w:lang w:val="en-US" w:eastAsia="zh-CN"/>
                    </w:rPr>
                    <w:t>生产用热依托厂区内新建2台6t</w:t>
                  </w:r>
                  <w:r>
                    <w:rPr>
                      <w:rFonts w:hint="eastAsia"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val="en-US" w:eastAsia="zh-CN"/>
                    </w:rPr>
                    <w:t>燃气蒸汽锅炉</w:t>
                  </w:r>
                  <w:r>
                    <w:rPr>
                      <w:rFonts w:hint="eastAsia" w:cs="Times New Roman"/>
                      <w:color w:val="auto"/>
                      <w:sz w:val="21"/>
                      <w:szCs w:val="21"/>
                      <w:highlight w:val="none"/>
                      <w:lang w:val="en-US" w:eastAsia="zh-CN"/>
                    </w:rPr>
                    <w:t>（一用一备）</w:t>
                  </w:r>
                  <w:r>
                    <w:rPr>
                      <w:rFonts w:hint="default" w:ascii="Times New Roman" w:hAnsi="Times New Roman" w:eastAsia="宋体" w:cs="Times New Roman"/>
                      <w:color w:val="auto"/>
                      <w:sz w:val="21"/>
                      <w:szCs w:val="21"/>
                      <w:highlight w:val="none"/>
                      <w:lang w:val="en-US" w:eastAsia="zh-CN"/>
                    </w:rPr>
                    <w:t>提供，满足生产用热需求。</w:t>
                  </w:r>
                </w:p>
              </w:tc>
            </w:tr>
            <w:tr w14:paraId="2E425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865D25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11618D3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3A713CB5">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供暖</w:t>
                  </w:r>
                </w:p>
              </w:tc>
              <w:tc>
                <w:tcPr>
                  <w:tcW w:w="809" w:type="pct"/>
                  <w:shd w:val="clear" w:color="auto" w:fill="auto"/>
                  <w:vAlign w:val="center"/>
                </w:tcPr>
                <w:p w14:paraId="528FA9DD">
                  <w:pPr>
                    <w:pStyle w:val="115"/>
                    <w:keepNext/>
                    <w:keepLines w:val="0"/>
                    <w:pageBreakBefore w:val="0"/>
                    <w:widowControl w:val="0"/>
                    <w:kinsoku/>
                    <w:wordWrap/>
                    <w:overflowPunct/>
                    <w:topLinePunct w:val="0"/>
                    <w:autoSpaceDE/>
                    <w:autoSpaceDN/>
                    <w:bidi w:val="0"/>
                    <w:adjustRightInd/>
                    <w:snapToGrid/>
                    <w:spacing w:line="240" w:lineRule="auto"/>
                    <w:ind w:left="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乳化粒状铵油炸药生产</w:t>
                  </w:r>
                  <w:r>
                    <w:rPr>
                      <w:rFonts w:hint="default" w:ascii="Times New Roman" w:hAnsi="Times New Roman" w:eastAsia="宋体" w:cs="Times New Roman"/>
                      <w:color w:val="auto"/>
                      <w:spacing w:val="1"/>
                      <w:sz w:val="21"/>
                      <w:szCs w:val="21"/>
                    </w:rPr>
                    <w:t>工房采用新增1t/h电热</w:t>
                  </w:r>
                  <w:r>
                    <w:rPr>
                      <w:rFonts w:hint="default" w:ascii="Times New Roman" w:hAnsi="Times New Roman" w:eastAsia="宋体" w:cs="Times New Roman"/>
                      <w:color w:val="auto"/>
                      <w:spacing w:val="-1"/>
                      <w:sz w:val="21"/>
                      <w:szCs w:val="21"/>
                    </w:rPr>
                    <w:t>水锅炉供暖，其余依托原</w:t>
                  </w:r>
                  <w:r>
                    <w:rPr>
                      <w:rFonts w:hint="default" w:ascii="Times New Roman" w:hAnsi="Times New Roman" w:eastAsia="宋体" w:cs="Times New Roman"/>
                      <w:color w:val="auto"/>
                      <w:spacing w:val="8"/>
                      <w:sz w:val="21"/>
                      <w:szCs w:val="21"/>
                    </w:rPr>
                    <w:t>有辽宁红化公司设备供</w:t>
                  </w:r>
                  <w:r>
                    <w:rPr>
                      <w:rFonts w:hint="default" w:ascii="Times New Roman" w:hAnsi="Times New Roman" w:eastAsia="宋体" w:cs="Times New Roman"/>
                      <w:color w:val="auto"/>
                      <w:sz w:val="21"/>
                      <w:szCs w:val="21"/>
                    </w:rPr>
                    <w:t>暖</w:t>
                  </w:r>
                </w:p>
              </w:tc>
              <w:tc>
                <w:tcPr>
                  <w:tcW w:w="1228" w:type="pct"/>
                  <w:shd w:val="clear" w:color="auto" w:fill="auto"/>
                  <w:vAlign w:val="center"/>
                </w:tcPr>
                <w:p w14:paraId="40CCE54D">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依托辽宁红山现有2台20t/h燃煤蒸汽锅炉供暖。</w:t>
                  </w:r>
                </w:p>
              </w:tc>
              <w:tc>
                <w:tcPr>
                  <w:tcW w:w="1288" w:type="pct"/>
                  <w:shd w:val="clear" w:color="auto" w:fill="auto"/>
                  <w:vAlign w:val="center"/>
                </w:tcPr>
                <w:p w14:paraId="79A2859B">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依托厂区内新建的2台6t</w:t>
                  </w:r>
                  <w:r>
                    <w:rPr>
                      <w:rFonts w:hint="eastAsia"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val="en-US" w:eastAsia="zh-CN"/>
                    </w:rPr>
                    <w:t>燃气蒸汽锅炉</w:t>
                  </w:r>
                  <w:r>
                    <w:rPr>
                      <w:rFonts w:hint="eastAsia" w:cs="Times New Roman"/>
                      <w:color w:val="auto"/>
                      <w:sz w:val="21"/>
                      <w:szCs w:val="21"/>
                      <w:highlight w:val="none"/>
                      <w:lang w:val="en-US" w:eastAsia="zh-CN"/>
                    </w:rPr>
                    <w:t>（一用一备）</w:t>
                  </w:r>
                  <w:r>
                    <w:rPr>
                      <w:rFonts w:hint="default" w:ascii="Times New Roman" w:hAnsi="Times New Roman" w:eastAsia="宋体" w:cs="Times New Roman"/>
                      <w:color w:val="auto"/>
                      <w:sz w:val="21"/>
                      <w:szCs w:val="21"/>
                      <w:highlight w:val="none"/>
                      <w:lang w:val="en-US" w:eastAsia="zh-CN"/>
                    </w:rPr>
                    <w:t>供暖。</w:t>
                  </w:r>
                </w:p>
              </w:tc>
              <w:tc>
                <w:tcPr>
                  <w:tcW w:w="876" w:type="pct"/>
                  <w:shd w:val="clear" w:color="auto" w:fill="auto"/>
                  <w:vAlign w:val="center"/>
                </w:tcPr>
                <w:p w14:paraId="4B44428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依托厂区内新建的2台6t</w:t>
                  </w:r>
                  <w:r>
                    <w:rPr>
                      <w:rFonts w:hint="eastAsia"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val="en-US" w:eastAsia="zh-CN"/>
                    </w:rPr>
                    <w:t>燃气蒸汽锅炉</w:t>
                  </w:r>
                  <w:r>
                    <w:rPr>
                      <w:rFonts w:hint="eastAsia" w:cs="Times New Roman"/>
                      <w:color w:val="auto"/>
                      <w:sz w:val="21"/>
                      <w:szCs w:val="21"/>
                      <w:highlight w:val="none"/>
                      <w:lang w:val="en-US" w:eastAsia="zh-CN"/>
                    </w:rPr>
                    <w:t>（一用一备）</w:t>
                  </w:r>
                  <w:r>
                    <w:rPr>
                      <w:rFonts w:hint="default" w:ascii="Times New Roman" w:hAnsi="Times New Roman" w:eastAsia="宋体" w:cs="Times New Roman"/>
                      <w:color w:val="auto"/>
                      <w:sz w:val="21"/>
                      <w:szCs w:val="21"/>
                      <w:highlight w:val="none"/>
                      <w:lang w:val="en-US" w:eastAsia="zh-CN"/>
                    </w:rPr>
                    <w:t>供暖。</w:t>
                  </w:r>
                </w:p>
              </w:tc>
            </w:tr>
            <w:tr w14:paraId="14BDB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1E1BEE7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42C4C4A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4E8D1CC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w:t>
                  </w:r>
                </w:p>
              </w:tc>
              <w:tc>
                <w:tcPr>
                  <w:tcW w:w="809" w:type="pct"/>
                  <w:shd w:val="clear" w:color="auto" w:fill="auto"/>
                  <w:vAlign w:val="center"/>
                </w:tcPr>
                <w:p w14:paraId="7B0F1222">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6"/>
                      <w:sz w:val="21"/>
                      <w:szCs w:val="21"/>
                    </w:rPr>
                    <w:t>由辽宁红化公司现有变电站接入</w:t>
                  </w:r>
                </w:p>
              </w:tc>
              <w:tc>
                <w:tcPr>
                  <w:tcW w:w="1228" w:type="pct"/>
                  <w:shd w:val="clear" w:color="auto" w:fill="auto"/>
                  <w:vAlign w:val="center"/>
                </w:tcPr>
                <w:p w14:paraId="725D0B85">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年耗电量100.125万</w:t>
                  </w:r>
                  <w:r>
                    <w:rPr>
                      <w:rFonts w:hint="eastAsia" w:cs="Times New Roman"/>
                      <w:color w:val="auto"/>
                      <w:sz w:val="21"/>
                      <w:szCs w:val="21"/>
                      <w:highlight w:val="none"/>
                      <w:lang w:val="en-US" w:eastAsia="zh-CN"/>
                    </w:rPr>
                    <w:t>kW</w:t>
                  </w:r>
                  <w:r>
                    <w:rPr>
                      <w:rFonts w:hint="default" w:ascii="Times New Roman" w:hAnsi="Times New Roman" w:eastAsia="宋体" w:cs="Times New Roman"/>
                      <w:color w:val="auto"/>
                      <w:sz w:val="21"/>
                      <w:szCs w:val="21"/>
                      <w:highlight w:val="none"/>
                      <w:lang w:val="en-US" w:eastAsia="zh-CN"/>
                    </w:rPr>
                    <w:t>。依托辽宁红山现有2台变压器，剩余负荷满足用电需求。</w:t>
                  </w:r>
                </w:p>
              </w:tc>
              <w:tc>
                <w:tcPr>
                  <w:tcW w:w="1288" w:type="pct"/>
                  <w:shd w:val="clear" w:color="auto" w:fill="auto"/>
                  <w:vAlign w:val="center"/>
                </w:tcPr>
                <w:p w14:paraId="0D9AF7E0">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年耗电量77.0625万</w:t>
                  </w:r>
                  <w:r>
                    <w:rPr>
                      <w:rFonts w:hint="eastAsia" w:cs="Times New Roman"/>
                      <w:color w:val="auto"/>
                      <w:sz w:val="21"/>
                      <w:szCs w:val="21"/>
                      <w:highlight w:val="none"/>
                      <w:lang w:val="en-US" w:eastAsia="zh-CN"/>
                    </w:rPr>
                    <w:t>kW</w:t>
                  </w:r>
                  <w:r>
                    <w:rPr>
                      <w:rFonts w:hint="default" w:ascii="Times New Roman" w:hAnsi="Times New Roman" w:eastAsia="宋体" w:cs="Times New Roman"/>
                      <w:color w:val="auto"/>
                      <w:sz w:val="21"/>
                      <w:szCs w:val="21"/>
                      <w:highlight w:val="none"/>
                      <w:lang w:val="en-US" w:eastAsia="zh-CN"/>
                    </w:rPr>
                    <w:t>·h。本项目新建1座500kVA箱式变电站，高压电缆由公司总变电所引入。</w:t>
                  </w:r>
                </w:p>
              </w:tc>
              <w:tc>
                <w:tcPr>
                  <w:tcW w:w="876" w:type="pct"/>
                  <w:shd w:val="clear" w:color="auto" w:fill="auto"/>
                  <w:vAlign w:val="center"/>
                </w:tcPr>
                <w:p w14:paraId="389DEC2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pt-BR" w:eastAsia="zh-CN"/>
                    </w:rPr>
                  </w:pPr>
                  <w:r>
                    <w:rPr>
                      <w:rFonts w:hint="default" w:ascii="Times New Roman" w:hAnsi="Times New Roman" w:eastAsia="宋体" w:cs="Times New Roman"/>
                      <w:color w:val="auto"/>
                      <w:spacing w:val="6"/>
                      <w:sz w:val="21"/>
                      <w:szCs w:val="21"/>
                    </w:rPr>
                    <w:t>由辽宁</w:t>
                  </w:r>
                  <w:r>
                    <w:rPr>
                      <w:rFonts w:hint="eastAsia" w:cs="Times New Roman"/>
                      <w:color w:val="auto"/>
                      <w:spacing w:val="6"/>
                      <w:sz w:val="21"/>
                      <w:szCs w:val="21"/>
                      <w:lang w:val="en-US" w:eastAsia="zh-CN"/>
                    </w:rPr>
                    <w:t>红山化工总</w:t>
                  </w:r>
                  <w:r>
                    <w:rPr>
                      <w:rFonts w:hint="default" w:ascii="Times New Roman" w:hAnsi="Times New Roman" w:eastAsia="宋体" w:cs="Times New Roman"/>
                      <w:color w:val="auto"/>
                      <w:spacing w:val="6"/>
                      <w:sz w:val="21"/>
                      <w:szCs w:val="21"/>
                    </w:rPr>
                    <w:t>变电站接入</w:t>
                  </w:r>
                </w:p>
              </w:tc>
            </w:tr>
            <w:tr w14:paraId="7F937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44E51B8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370B786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7DCB017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压缩空气</w:t>
                  </w:r>
                </w:p>
              </w:tc>
              <w:tc>
                <w:tcPr>
                  <w:tcW w:w="809" w:type="pct"/>
                  <w:shd w:val="clear" w:color="auto" w:fill="auto"/>
                  <w:vAlign w:val="center"/>
                </w:tcPr>
                <w:p w14:paraId="612ED8B4">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60F942A0">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依托现有空压站，供气量为15.4m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/min，产气压力为0.8Mpa。本项目压缩空气使用量5.6m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/min</w:t>
                  </w: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485BD41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在乳化炸药震源药柱生产工房内新建一个空压间，新增一台GA75型空气压缩机（N=37</w:t>
                  </w:r>
                  <w:r>
                    <w:rPr>
                      <w:rFonts w:hint="eastAsia" w:cs="Times New Roman"/>
                      <w:color w:val="auto"/>
                      <w:kern w:val="0"/>
                      <w:sz w:val="21"/>
                      <w:szCs w:val="21"/>
                      <w:highlight w:val="none"/>
                      <w:lang w:val="en-US" w:eastAsia="zh-CN" w:bidi="ar"/>
                    </w:rPr>
                    <w:t>kW</w:t>
                  </w:r>
                  <w:r>
                    <w:rPr>
                      <w:rFonts w:hint="default" w:ascii="Times New Roman" w:hAnsi="Times New Roman" w:eastAsia="宋体" w:cs="Times New Roman"/>
                      <w:color w:val="auto"/>
                      <w:kern w:val="0"/>
                      <w:sz w:val="21"/>
                      <w:szCs w:val="21"/>
                      <w:highlight w:val="none"/>
                      <w:lang w:val="en-US" w:eastAsia="zh-CN" w:bidi="ar"/>
                    </w:rPr>
                    <w:t>、Q=6.38m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/min、p=0.85MPa）</w:t>
                  </w:r>
                </w:p>
              </w:tc>
              <w:tc>
                <w:tcPr>
                  <w:tcW w:w="876" w:type="pct"/>
                  <w:shd w:val="clear" w:color="auto" w:fill="auto"/>
                  <w:vAlign w:val="center"/>
                </w:tcPr>
                <w:p w14:paraId="5DA8469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6"/>
                      <w:sz w:val="21"/>
                      <w:szCs w:val="21"/>
                      <w:lang w:val="en-US" w:eastAsia="zh-CN"/>
                    </w:rPr>
                    <w:t>乳化炸药生产线</w:t>
                  </w:r>
                  <w:r>
                    <w:rPr>
                      <w:rFonts w:hint="eastAsia" w:ascii="Times New Roman" w:hAnsi="Times New Roman" w:eastAsia="宋体" w:cs="Times New Roman"/>
                      <w:color w:val="auto"/>
                      <w:spacing w:val="6"/>
                      <w:sz w:val="21"/>
                      <w:szCs w:val="21"/>
                      <w:lang w:val="en-US" w:eastAsia="zh-CN"/>
                    </w:rPr>
                    <w:t>配套空压站，本项目乳化炸药震源药柱生产工房内新建一个空压间</w:t>
                  </w:r>
                </w:p>
              </w:tc>
            </w:tr>
            <w:tr w14:paraId="48818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restart"/>
                  <w:shd w:val="clear" w:color="auto" w:fill="auto"/>
                  <w:vAlign w:val="center"/>
                </w:tcPr>
                <w:p w14:paraId="0A033422">
                  <w:pPr>
                    <w:keepNext/>
                    <w:keepLines w:val="0"/>
                    <w:pageBreakBefore w:val="0"/>
                    <w:kinsoku/>
                    <w:wordWrap/>
                    <w:overflowPunct/>
                    <w:topLinePunct w:val="0"/>
                    <w:bidi w:val="0"/>
                    <w:spacing w:line="240" w:lineRule="auto"/>
                    <w:ind w:firstLine="0"/>
                    <w:jc w:val="both"/>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w:t>
                  </w:r>
                </w:p>
              </w:tc>
              <w:tc>
                <w:tcPr>
                  <w:tcW w:w="259" w:type="pct"/>
                  <w:vMerge w:val="restart"/>
                  <w:shd w:val="clear" w:color="auto" w:fill="auto"/>
                  <w:vAlign w:val="center"/>
                </w:tcPr>
                <w:p w14:paraId="0DBA1C5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w:t>
                  </w:r>
                </w:p>
                <w:p w14:paraId="61923A0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342" w:type="pct"/>
                  <w:gridSpan w:val="2"/>
                  <w:vMerge w:val="restart"/>
                  <w:shd w:val="clear" w:color="auto" w:fill="auto"/>
                  <w:tcMar>
                    <w:left w:w="0" w:type="dxa"/>
                    <w:right w:w="0" w:type="dxa"/>
                  </w:tcMar>
                  <w:vAlign w:val="center"/>
                </w:tcPr>
                <w:p w14:paraId="1839210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废气处理系统</w:t>
                  </w:r>
                </w:p>
              </w:tc>
              <w:tc>
                <w:tcPr>
                  <w:tcW w:w="809" w:type="pct"/>
                  <w:shd w:val="clear" w:color="auto" w:fill="auto"/>
                  <w:vAlign w:val="top"/>
                </w:tcPr>
                <w:p w14:paraId="2D0015BC">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firstLine="56" w:firstLineChars="0"/>
                    <w:jc w:val="both"/>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硝酸铵加料过程产生的</w:t>
                  </w:r>
                  <w:r>
                    <w:rPr>
                      <w:rFonts w:hint="default" w:ascii="Times New Roman" w:hAnsi="Times New Roman" w:eastAsia="宋体" w:cs="Times New Roman"/>
                      <w:color w:val="auto"/>
                      <w:spacing w:val="14"/>
                      <w:sz w:val="21"/>
                      <w:szCs w:val="21"/>
                    </w:rPr>
                    <w:t>硝酸铵粉尘经过布帘遮</w:t>
                  </w:r>
                  <w:r>
                    <w:rPr>
                      <w:rFonts w:hint="default" w:ascii="Times New Roman" w:hAnsi="Times New Roman" w:eastAsia="宋体" w:cs="Times New Roman"/>
                      <w:color w:val="auto"/>
                      <w:spacing w:val="-1"/>
                      <w:sz w:val="21"/>
                      <w:szCs w:val="21"/>
                    </w:rPr>
                    <w:t>挡和空间沉降，通过投料</w:t>
                  </w:r>
                  <w:r>
                    <w:rPr>
                      <w:rFonts w:hint="default" w:ascii="Times New Roman" w:hAnsi="Times New Roman" w:eastAsia="宋体" w:cs="Times New Roman"/>
                      <w:color w:val="auto"/>
                      <w:spacing w:val="6"/>
                      <w:sz w:val="21"/>
                      <w:szCs w:val="21"/>
                    </w:rPr>
                    <w:t>间轴流风机无组织排放。</w:t>
                  </w:r>
                </w:p>
              </w:tc>
              <w:tc>
                <w:tcPr>
                  <w:tcW w:w="1228" w:type="pct"/>
                  <w:shd w:val="clear" w:color="auto" w:fill="auto"/>
                  <w:vAlign w:val="center"/>
                </w:tcPr>
                <w:p w14:paraId="3BEB4EDC">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220159CC">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2FA6AD1D">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firstLine="56" w:firstLineChars="0"/>
                    <w:jc w:val="both"/>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硝酸铵加料过程产生的</w:t>
                  </w:r>
                  <w:r>
                    <w:rPr>
                      <w:rFonts w:hint="default" w:ascii="Times New Roman" w:hAnsi="Times New Roman" w:eastAsia="宋体" w:cs="Times New Roman"/>
                      <w:color w:val="auto"/>
                      <w:spacing w:val="14"/>
                      <w:sz w:val="21"/>
                      <w:szCs w:val="21"/>
                    </w:rPr>
                    <w:t>硝酸铵粉尘经过布帘遮</w:t>
                  </w:r>
                  <w:r>
                    <w:rPr>
                      <w:rFonts w:hint="default" w:ascii="Times New Roman" w:hAnsi="Times New Roman" w:eastAsia="宋体" w:cs="Times New Roman"/>
                      <w:color w:val="auto"/>
                      <w:spacing w:val="-1"/>
                      <w:sz w:val="21"/>
                      <w:szCs w:val="21"/>
                    </w:rPr>
                    <w:t>挡和空间沉降，通过投料</w:t>
                  </w:r>
                  <w:r>
                    <w:rPr>
                      <w:rFonts w:hint="default" w:ascii="Times New Roman" w:hAnsi="Times New Roman" w:eastAsia="宋体" w:cs="Times New Roman"/>
                      <w:color w:val="auto"/>
                      <w:spacing w:val="6"/>
                      <w:sz w:val="21"/>
                      <w:szCs w:val="21"/>
                    </w:rPr>
                    <w:t>间轴流风机无组织排放。</w:t>
                  </w:r>
                </w:p>
              </w:tc>
            </w:tr>
            <w:tr w14:paraId="75F9E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29DF32F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3FB3FA7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5A3FA44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top"/>
                </w:tcPr>
                <w:p w14:paraId="02DFB88F">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firstLine="40" w:firstLineChars="0"/>
                    <w:jc w:val="both"/>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液态油相加注过程产生</w:t>
                  </w:r>
                  <w:r>
                    <w:rPr>
                      <w:rFonts w:hint="default" w:ascii="Times New Roman" w:hAnsi="Times New Roman" w:eastAsia="宋体" w:cs="Times New Roman"/>
                      <w:color w:val="auto"/>
                      <w:spacing w:val="12"/>
                      <w:sz w:val="21"/>
                      <w:szCs w:val="21"/>
                    </w:rPr>
                    <w:t>的非甲烷总烃通过加注</w:t>
                  </w:r>
                  <w:r>
                    <w:rPr>
                      <w:rFonts w:hint="default" w:ascii="Times New Roman" w:hAnsi="Times New Roman" w:eastAsia="宋体" w:cs="Times New Roman"/>
                      <w:color w:val="auto"/>
                      <w:spacing w:val="4"/>
                      <w:sz w:val="21"/>
                      <w:szCs w:val="21"/>
                    </w:rPr>
                    <w:t>间轴流风机无组织排放。</w:t>
                  </w:r>
                </w:p>
              </w:tc>
              <w:tc>
                <w:tcPr>
                  <w:tcW w:w="1228" w:type="pct"/>
                  <w:shd w:val="clear" w:color="auto" w:fill="auto"/>
                  <w:vAlign w:val="center"/>
                </w:tcPr>
                <w:p w14:paraId="0EA6D874">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4EAB366C">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64A5BF96">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firstLine="40" w:firstLineChars="0"/>
                    <w:jc w:val="both"/>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液态油相加注过程产生</w:t>
                  </w:r>
                  <w:r>
                    <w:rPr>
                      <w:rFonts w:hint="default" w:ascii="Times New Roman" w:hAnsi="Times New Roman" w:eastAsia="宋体" w:cs="Times New Roman"/>
                      <w:color w:val="auto"/>
                      <w:spacing w:val="12"/>
                      <w:sz w:val="21"/>
                      <w:szCs w:val="21"/>
                    </w:rPr>
                    <w:t>的非甲烷总烃通过加注</w:t>
                  </w:r>
                  <w:r>
                    <w:rPr>
                      <w:rFonts w:hint="default" w:ascii="Times New Roman" w:hAnsi="Times New Roman" w:eastAsia="宋体" w:cs="Times New Roman"/>
                      <w:color w:val="auto"/>
                      <w:spacing w:val="4"/>
                      <w:sz w:val="21"/>
                      <w:szCs w:val="21"/>
                    </w:rPr>
                    <w:t>间轴流风机无组织排放。</w:t>
                  </w:r>
                </w:p>
              </w:tc>
            </w:tr>
            <w:tr w14:paraId="44C9C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21B56CD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5C7589B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5BB5BD8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top"/>
                </w:tcPr>
                <w:p w14:paraId="69A055D5">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firstLine="8" w:firstLineChars="0"/>
                    <w:jc w:val="both"/>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多孔粒状硝酸铵装车产</w:t>
                  </w:r>
                  <w:r>
                    <w:rPr>
                      <w:rFonts w:hint="default" w:ascii="Times New Roman" w:hAnsi="Times New Roman" w:eastAsia="宋体" w:cs="Times New Roman"/>
                      <w:color w:val="auto"/>
                      <w:spacing w:val="8"/>
                      <w:sz w:val="21"/>
                      <w:szCs w:val="21"/>
                    </w:rPr>
                    <w:t>生的硝酸铵粉尘经过布</w:t>
                  </w:r>
                  <w:r>
                    <w:rPr>
                      <w:rFonts w:hint="default" w:ascii="Times New Roman" w:hAnsi="Times New Roman" w:eastAsia="宋体" w:cs="Times New Roman"/>
                      <w:color w:val="auto"/>
                      <w:spacing w:val="7"/>
                      <w:sz w:val="21"/>
                      <w:szCs w:val="21"/>
                    </w:rPr>
                    <w:t>帘遮挡，无组织排放。</w:t>
                  </w:r>
                </w:p>
              </w:tc>
              <w:tc>
                <w:tcPr>
                  <w:tcW w:w="1228" w:type="pct"/>
                  <w:shd w:val="clear" w:color="auto" w:fill="auto"/>
                  <w:vAlign w:val="center"/>
                </w:tcPr>
                <w:p w14:paraId="7FA37A5E">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7EBEEC7F">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1DA31EA5">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firstLine="8" w:firstLineChars="0"/>
                    <w:jc w:val="both"/>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7"/>
                      <w:sz w:val="21"/>
                      <w:szCs w:val="21"/>
                    </w:rPr>
                    <w:t>多孔粒状硝酸铵装车产</w:t>
                  </w:r>
                  <w:r>
                    <w:rPr>
                      <w:rFonts w:hint="default" w:ascii="Times New Roman" w:hAnsi="Times New Roman" w:eastAsia="宋体" w:cs="Times New Roman"/>
                      <w:color w:val="auto"/>
                      <w:spacing w:val="8"/>
                      <w:sz w:val="21"/>
                      <w:szCs w:val="21"/>
                    </w:rPr>
                    <w:t>生的硝酸铵粉尘经过布</w:t>
                  </w:r>
                  <w:r>
                    <w:rPr>
                      <w:rFonts w:hint="default" w:ascii="Times New Roman" w:hAnsi="Times New Roman" w:eastAsia="宋体" w:cs="Times New Roman"/>
                      <w:color w:val="auto"/>
                      <w:spacing w:val="7"/>
                      <w:sz w:val="21"/>
                      <w:szCs w:val="21"/>
                    </w:rPr>
                    <w:t>帘遮挡，无组织排放。</w:t>
                  </w:r>
                </w:p>
              </w:tc>
            </w:tr>
            <w:tr w14:paraId="5B743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2950E65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014E36D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2CBEA43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top"/>
                </w:tcPr>
                <w:p w14:paraId="19B2F765">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jc w:val="both"/>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柴油储罐大呼吸及小呼吸产生的非甲烷总烃通</w:t>
                  </w:r>
                  <w:r>
                    <w:rPr>
                      <w:rFonts w:hint="default" w:ascii="Times New Roman" w:hAnsi="Times New Roman" w:eastAsia="宋体" w:cs="Times New Roman"/>
                      <w:color w:val="auto"/>
                      <w:spacing w:val="7"/>
                      <w:sz w:val="21"/>
                      <w:szCs w:val="21"/>
                    </w:rPr>
                    <w:t>过呼吸阀无组织排放。</w:t>
                  </w:r>
                </w:p>
              </w:tc>
              <w:tc>
                <w:tcPr>
                  <w:tcW w:w="1228" w:type="pct"/>
                  <w:shd w:val="clear" w:color="auto" w:fill="auto"/>
                  <w:vAlign w:val="center"/>
                </w:tcPr>
                <w:p w14:paraId="39BC558B">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348FCF66">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327E2601">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jc w:val="both"/>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柴油储罐大呼吸及小呼吸产生的非甲烷总烃通</w:t>
                  </w:r>
                  <w:r>
                    <w:rPr>
                      <w:rFonts w:hint="default" w:ascii="Times New Roman" w:hAnsi="Times New Roman" w:eastAsia="宋体" w:cs="Times New Roman"/>
                      <w:color w:val="auto"/>
                      <w:spacing w:val="7"/>
                      <w:sz w:val="21"/>
                      <w:szCs w:val="21"/>
                    </w:rPr>
                    <w:t>过呼吸阀无组织排放。</w:t>
                  </w:r>
                </w:p>
              </w:tc>
            </w:tr>
            <w:tr w14:paraId="4F3D5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1129202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57DB06C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1ABBACE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top"/>
                </w:tcPr>
                <w:p w14:paraId="5C6C3CCF">
                  <w:pPr>
                    <w:pStyle w:val="115"/>
                    <w:keepNext/>
                    <w:keepLines w:val="0"/>
                    <w:pageBreakBefore w:val="0"/>
                    <w:widowControl w:val="0"/>
                    <w:kinsoku/>
                    <w:wordWrap/>
                    <w:overflowPunct/>
                    <w:topLinePunct w:val="0"/>
                    <w:autoSpaceDE/>
                    <w:autoSpaceDN/>
                    <w:bidi w:val="0"/>
                    <w:adjustRightInd/>
                    <w:snapToGrid/>
                    <w:spacing w:line="240" w:lineRule="auto"/>
                    <w:ind w:left="0" w:right="6"/>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硝酸铵库由硝酸铵分解产生的氨气通过硝酸铵库无组织排放</w:t>
                  </w:r>
                </w:p>
              </w:tc>
              <w:tc>
                <w:tcPr>
                  <w:tcW w:w="1228" w:type="pct"/>
                  <w:shd w:val="clear" w:color="auto" w:fill="auto"/>
                  <w:vAlign w:val="center"/>
                </w:tcPr>
                <w:p w14:paraId="127BDA3B">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6F4977B9">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369007CE">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硝酸铵库由硝酸铵分解产生的氨气通过硝酸铵库无组织排放</w:t>
                  </w:r>
                </w:p>
              </w:tc>
            </w:tr>
            <w:tr w14:paraId="6DE49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FE0D57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283C11C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66394A6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top"/>
                </w:tcPr>
                <w:p w14:paraId="5DDD030A">
                  <w:pPr>
                    <w:pStyle w:val="115"/>
                    <w:keepNext/>
                    <w:keepLines w:val="0"/>
                    <w:pageBreakBefore w:val="0"/>
                    <w:widowControl w:val="0"/>
                    <w:kinsoku/>
                    <w:wordWrap/>
                    <w:overflowPunct/>
                    <w:topLinePunct w:val="0"/>
                    <w:autoSpaceDE/>
                    <w:autoSpaceDN/>
                    <w:bidi w:val="0"/>
                    <w:adjustRightInd/>
                    <w:snapToGrid/>
                    <w:spacing w:line="240" w:lineRule="auto"/>
                    <w:ind w:left="0" w:right="6"/>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多孔粒状硝酸铵加料过</w:t>
                  </w:r>
                  <w:r>
                    <w:rPr>
                      <w:rFonts w:hint="default" w:ascii="Times New Roman" w:hAnsi="Times New Roman" w:eastAsia="宋体" w:cs="Times New Roman"/>
                      <w:color w:val="auto"/>
                      <w:spacing w:val="9"/>
                      <w:sz w:val="21"/>
                      <w:szCs w:val="21"/>
                    </w:rPr>
                    <w:t>程产生的硝酸铵粉尘经</w:t>
                  </w:r>
                  <w:r>
                    <w:rPr>
                      <w:rFonts w:hint="default" w:ascii="Times New Roman" w:hAnsi="Times New Roman" w:eastAsia="宋体" w:cs="Times New Roman"/>
                      <w:color w:val="auto"/>
                      <w:spacing w:val="8"/>
                      <w:sz w:val="21"/>
                      <w:szCs w:val="21"/>
                    </w:rPr>
                    <w:t>过布帘遮挡和空间沉降，通过投料间轴流风机无</w:t>
                  </w:r>
                  <w:r>
                    <w:rPr>
                      <w:rFonts w:hint="default" w:ascii="Times New Roman" w:hAnsi="Times New Roman" w:eastAsia="宋体" w:cs="Times New Roman"/>
                      <w:color w:val="auto"/>
                      <w:spacing w:val="5"/>
                      <w:sz w:val="21"/>
                      <w:szCs w:val="21"/>
                    </w:rPr>
                    <w:t>组织排放。</w:t>
                  </w:r>
                </w:p>
              </w:tc>
              <w:tc>
                <w:tcPr>
                  <w:tcW w:w="1228" w:type="pct"/>
                  <w:shd w:val="clear" w:color="auto" w:fill="auto"/>
                  <w:vAlign w:val="center"/>
                </w:tcPr>
                <w:p w14:paraId="25BD7EE5">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447228D6">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5E41E14B">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7"/>
                      <w:sz w:val="21"/>
                      <w:szCs w:val="21"/>
                    </w:rPr>
                    <w:t>多孔粒状硝酸铵加料过</w:t>
                  </w:r>
                  <w:r>
                    <w:rPr>
                      <w:rFonts w:hint="default" w:ascii="Times New Roman" w:hAnsi="Times New Roman" w:eastAsia="宋体" w:cs="Times New Roman"/>
                      <w:color w:val="auto"/>
                      <w:spacing w:val="9"/>
                      <w:sz w:val="21"/>
                      <w:szCs w:val="21"/>
                    </w:rPr>
                    <w:t>程产生的硝酸铵粉尘经</w:t>
                  </w:r>
                  <w:r>
                    <w:rPr>
                      <w:rFonts w:hint="default" w:ascii="Times New Roman" w:hAnsi="Times New Roman" w:eastAsia="宋体" w:cs="Times New Roman"/>
                      <w:color w:val="auto"/>
                      <w:spacing w:val="8"/>
                      <w:sz w:val="21"/>
                      <w:szCs w:val="21"/>
                    </w:rPr>
                    <w:t>过布帘遮挡和空间沉降，通过投料间轴流风机无</w:t>
                  </w:r>
                  <w:r>
                    <w:rPr>
                      <w:rFonts w:hint="default" w:ascii="Times New Roman" w:hAnsi="Times New Roman" w:eastAsia="宋体" w:cs="Times New Roman"/>
                      <w:color w:val="auto"/>
                      <w:spacing w:val="5"/>
                      <w:sz w:val="21"/>
                      <w:szCs w:val="21"/>
                    </w:rPr>
                    <w:t>组织排放。</w:t>
                  </w:r>
                </w:p>
              </w:tc>
            </w:tr>
            <w:tr w14:paraId="3F024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01D4487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4362038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4EC1873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top"/>
                </w:tcPr>
                <w:p w14:paraId="54C370C0">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jc w:val="both"/>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基础油泵送、基础油储存</w:t>
                  </w:r>
                  <w:r>
                    <w:rPr>
                      <w:rFonts w:hint="default" w:ascii="Times New Roman" w:hAnsi="Times New Roman" w:eastAsia="宋体" w:cs="Times New Roman"/>
                      <w:color w:val="auto"/>
                      <w:spacing w:val="14"/>
                      <w:sz w:val="21"/>
                      <w:szCs w:val="21"/>
                    </w:rPr>
                    <w:t>过程产生的非甲烷总烃</w:t>
                  </w:r>
                  <w:r>
                    <w:rPr>
                      <w:rFonts w:hint="default" w:ascii="Times New Roman" w:hAnsi="Times New Roman" w:eastAsia="宋体" w:cs="Times New Roman"/>
                      <w:color w:val="auto"/>
                      <w:spacing w:val="6"/>
                      <w:sz w:val="21"/>
                      <w:szCs w:val="21"/>
                    </w:rPr>
                    <w:t>通过呼吸阀无组织排放。</w:t>
                  </w:r>
                </w:p>
              </w:tc>
              <w:tc>
                <w:tcPr>
                  <w:tcW w:w="1228" w:type="pct"/>
                  <w:shd w:val="clear" w:color="auto" w:fill="auto"/>
                  <w:vAlign w:val="center"/>
                </w:tcPr>
                <w:p w14:paraId="6A08C534">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01AA3F35">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732D4934">
                  <w:pPr>
                    <w:pStyle w:val="115"/>
                    <w:keepNext/>
                    <w:keepLines w:val="0"/>
                    <w:pageBreakBefore w:val="0"/>
                    <w:widowControl w:val="0"/>
                    <w:kinsoku/>
                    <w:wordWrap/>
                    <w:overflowPunct/>
                    <w:topLinePunct w:val="0"/>
                    <w:autoSpaceDE/>
                    <w:autoSpaceDN/>
                    <w:bidi w:val="0"/>
                    <w:adjustRightInd/>
                    <w:snapToGrid/>
                    <w:spacing w:line="240" w:lineRule="auto"/>
                    <w:ind w:left="0" w:leftChars="0" w:right="6" w:rightChars="0"/>
                    <w:jc w:val="both"/>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基础油泵送、基础油储存</w:t>
                  </w:r>
                  <w:r>
                    <w:rPr>
                      <w:rFonts w:hint="default" w:ascii="Times New Roman" w:hAnsi="Times New Roman" w:eastAsia="宋体" w:cs="Times New Roman"/>
                      <w:color w:val="auto"/>
                      <w:spacing w:val="14"/>
                      <w:sz w:val="21"/>
                      <w:szCs w:val="21"/>
                    </w:rPr>
                    <w:t>过程产生的非甲烷总烃</w:t>
                  </w:r>
                  <w:r>
                    <w:rPr>
                      <w:rFonts w:hint="default" w:ascii="Times New Roman" w:hAnsi="Times New Roman" w:eastAsia="宋体" w:cs="Times New Roman"/>
                      <w:color w:val="auto"/>
                      <w:spacing w:val="6"/>
                      <w:sz w:val="21"/>
                      <w:szCs w:val="21"/>
                    </w:rPr>
                    <w:t>通过呼吸阀无组织排放。</w:t>
                  </w:r>
                </w:p>
              </w:tc>
            </w:tr>
            <w:tr w14:paraId="2F6A0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057C95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037ED104">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248816C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top"/>
                </w:tcPr>
                <w:p w14:paraId="38AE9ED1">
                  <w:pPr>
                    <w:pStyle w:val="115"/>
                    <w:keepNext/>
                    <w:keepLines w:val="0"/>
                    <w:pageBreakBefore w:val="0"/>
                    <w:widowControl w:val="0"/>
                    <w:kinsoku/>
                    <w:wordWrap/>
                    <w:overflowPunct/>
                    <w:topLinePunct w:val="0"/>
                    <w:autoSpaceDE/>
                    <w:autoSpaceDN/>
                    <w:bidi w:val="0"/>
                    <w:adjustRightInd/>
                    <w:snapToGrid/>
                    <w:spacing w:line="240" w:lineRule="auto"/>
                    <w:ind w:left="0" w:right="6"/>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木粉投料产生的粉尘经过布帘遮挡和空间沉降，通过投料间轴流风机无</w:t>
                  </w:r>
                  <w:r>
                    <w:rPr>
                      <w:rFonts w:hint="default" w:ascii="Times New Roman" w:hAnsi="Times New Roman" w:eastAsia="宋体" w:cs="Times New Roman"/>
                      <w:color w:val="auto"/>
                      <w:spacing w:val="5"/>
                      <w:sz w:val="21"/>
                      <w:szCs w:val="21"/>
                    </w:rPr>
                    <w:t>组织排放。</w:t>
                  </w:r>
                </w:p>
              </w:tc>
              <w:tc>
                <w:tcPr>
                  <w:tcW w:w="1228" w:type="pct"/>
                  <w:shd w:val="clear" w:color="auto" w:fill="auto"/>
                  <w:vAlign w:val="center"/>
                </w:tcPr>
                <w:p w14:paraId="21F78F8F">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center"/>
                </w:tcPr>
                <w:p w14:paraId="76D65329">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top"/>
                </w:tcPr>
                <w:p w14:paraId="46C534D3">
                  <w:pPr>
                    <w:pStyle w:val="115"/>
                    <w:keepNext/>
                    <w:keepLines w:val="0"/>
                    <w:pageBreakBefore w:val="0"/>
                    <w:widowControl w:val="0"/>
                    <w:kinsoku/>
                    <w:wordWrap/>
                    <w:overflowPunct/>
                    <w:topLinePunct w:val="0"/>
                    <w:autoSpaceDE/>
                    <w:autoSpaceDN/>
                    <w:bidi w:val="0"/>
                    <w:adjustRightInd/>
                    <w:snapToGrid/>
                    <w:spacing w:line="240" w:lineRule="auto"/>
                    <w:ind w:left="0" w:right="6"/>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木粉投料产生的粉尘经过布帘遮挡和空间沉降，通过投料间轴流风机无</w:t>
                  </w:r>
                  <w:r>
                    <w:rPr>
                      <w:rFonts w:hint="default" w:ascii="Times New Roman" w:hAnsi="Times New Roman" w:eastAsia="宋体" w:cs="Times New Roman"/>
                      <w:color w:val="auto"/>
                      <w:spacing w:val="5"/>
                      <w:sz w:val="21"/>
                      <w:szCs w:val="21"/>
                    </w:rPr>
                    <w:t>组织排放。</w:t>
                  </w:r>
                </w:p>
              </w:tc>
            </w:tr>
            <w:tr w14:paraId="5854B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56467BD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eastAsia="zh-CN"/>
                    </w:rPr>
                  </w:pPr>
                </w:p>
              </w:tc>
              <w:tc>
                <w:tcPr>
                  <w:tcW w:w="259" w:type="pct"/>
                  <w:vMerge w:val="continue"/>
                  <w:shd w:val="clear" w:color="auto" w:fill="auto"/>
                  <w:vAlign w:val="center"/>
                </w:tcPr>
                <w:p w14:paraId="54F9BDD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716B75D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center"/>
                </w:tcPr>
                <w:p w14:paraId="467B4503">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3BF60056">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水相制备工房硝酸钠、氯化钾上料产生粉尘，少量硝酸钠因结块需要进行破碎，破碎和输送设备封闭，仅识别上料粉尘，均通过封闭工房阻隔后无组织排放。</w:t>
                  </w:r>
                </w:p>
              </w:tc>
              <w:tc>
                <w:tcPr>
                  <w:tcW w:w="1288" w:type="pct"/>
                  <w:shd w:val="clear" w:color="auto" w:fill="auto"/>
                  <w:vAlign w:val="center"/>
                </w:tcPr>
                <w:p w14:paraId="696F9BF7">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C09B3BE">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pt-BR"/>
                    </w:rPr>
                  </w:pPr>
                  <w:r>
                    <w:rPr>
                      <w:rFonts w:hint="default" w:ascii="Times New Roman" w:hAnsi="Times New Roman" w:eastAsia="宋体" w:cs="Times New Roman"/>
                      <w:color w:val="auto"/>
                      <w:sz w:val="21"/>
                      <w:szCs w:val="21"/>
                      <w:highlight w:val="none"/>
                      <w:lang w:val="en-US" w:eastAsia="zh-CN"/>
                    </w:rPr>
                    <w:t>水相制备工房硝酸钠、氯化钾上料产生粉尘，少量硝酸钠因结块需要进行破碎，破碎和输送设备封闭，仅识别上料粉尘，均通过封闭工房阻隔后无组织排放。</w:t>
                  </w:r>
                </w:p>
              </w:tc>
            </w:tr>
            <w:tr w14:paraId="66D6E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0D371A54">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55E4836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398FA014">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center"/>
                </w:tcPr>
                <w:p w14:paraId="38799F66">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46465B6A">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乳化炸药生产工房生产过程中产生珍珠岩和发泡剂、促进剂上料粉尘，油相上料输送和乳化后的物料进行钢带冷却和散料皮带输送过程中产生的挥发性有机废气，以非甲烷总烃计，均通过封闭工房阻隔后无组织排放。</w:t>
                  </w:r>
                </w:p>
              </w:tc>
              <w:tc>
                <w:tcPr>
                  <w:tcW w:w="1288" w:type="pct"/>
                  <w:shd w:val="clear" w:color="auto" w:fill="auto"/>
                  <w:vAlign w:val="center"/>
                </w:tcPr>
                <w:p w14:paraId="56CD2CB8">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76" w:type="pct"/>
                  <w:shd w:val="clear" w:color="auto" w:fill="auto"/>
                  <w:vAlign w:val="center"/>
                </w:tcPr>
                <w:p w14:paraId="669A5A35">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乳化炸药生产工房生产过程中产生珍珠岩和发泡剂、促进剂上料粉尘，油相上料输送和乳化后的物料进行钢带冷却和散料皮带输送过程中产生的挥发性有机废气，以非甲烷总烃计，均通过封闭工房阻隔后无组织排放。</w:t>
                  </w:r>
                </w:p>
              </w:tc>
            </w:tr>
            <w:tr w14:paraId="1041E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7EE1233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7824A97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2CEA055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center"/>
                </w:tcPr>
                <w:p w14:paraId="242BB7BC">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1E8902EE">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top"/>
                </w:tcPr>
                <w:p w14:paraId="0575E207">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yellow"/>
                      <w:lang w:val="en-US" w:eastAsia="zh-CN" w:bidi="ar-SA"/>
                    </w:rPr>
                  </w:pPr>
                  <w:r>
                    <w:rPr>
                      <w:rFonts w:hint="eastAsia" w:ascii="Times New Roman" w:hAnsi="Times New Roman" w:eastAsia="宋体" w:cs="Times New Roman"/>
                      <w:color w:val="auto"/>
                      <w:sz w:val="21"/>
                      <w:szCs w:val="21"/>
                      <w:highlight w:val="none"/>
                      <w:lang w:val="en-US" w:eastAsia="zh-CN"/>
                    </w:rPr>
                    <w:t>水</w:t>
                  </w:r>
                  <w:r>
                    <w:rPr>
                      <w:rFonts w:hint="eastAsia" w:cs="Times New Roman"/>
                      <w:color w:val="auto"/>
                      <w:sz w:val="21"/>
                      <w:szCs w:val="21"/>
                      <w:highlight w:val="none"/>
                      <w:lang w:val="en-US" w:eastAsia="zh-CN"/>
                    </w:rPr>
                    <w:t>油</w:t>
                  </w:r>
                  <w:r>
                    <w:rPr>
                      <w:rFonts w:hint="eastAsia" w:ascii="Times New Roman" w:hAnsi="Times New Roman" w:eastAsia="宋体" w:cs="Times New Roman"/>
                      <w:color w:val="auto"/>
                      <w:sz w:val="21"/>
                      <w:szCs w:val="21"/>
                      <w:highlight w:val="none"/>
                      <w:lang w:val="en-US" w:eastAsia="zh-CN"/>
                    </w:rPr>
                    <w:t>相制备工房</w:t>
                  </w:r>
                  <w:r>
                    <w:rPr>
                      <w:rFonts w:hint="eastAsia" w:cs="Times New Roman"/>
                      <w:color w:val="auto"/>
                      <w:sz w:val="21"/>
                      <w:szCs w:val="21"/>
                      <w:highlight w:val="none"/>
                      <w:lang w:val="en-US" w:eastAsia="zh-CN"/>
                    </w:rPr>
                    <w:t>中</w:t>
                  </w:r>
                  <w:r>
                    <w:rPr>
                      <w:rFonts w:hint="default" w:ascii="宋体" w:hAnsi="宋体" w:eastAsia="宋体" w:cs="宋体"/>
                      <w:color w:val="auto"/>
                      <w:kern w:val="0"/>
                      <w:sz w:val="21"/>
                      <w:szCs w:val="21"/>
                      <w:highlight w:val="none"/>
                      <w:lang w:val="en-US" w:eastAsia="zh-CN" w:bidi="ar"/>
                    </w:rPr>
                    <w:t>硝酸钠通过密闭螺旋输送机输送，</w:t>
                  </w:r>
                  <w:r>
                    <w:rPr>
                      <w:rFonts w:hint="eastAsia" w:ascii="宋体" w:hAnsi="宋体" w:eastAsia="宋体" w:cs="宋体"/>
                      <w:color w:val="auto"/>
                      <w:kern w:val="0"/>
                      <w:sz w:val="21"/>
                      <w:szCs w:val="21"/>
                      <w:highlight w:val="none"/>
                      <w:lang w:val="en-US" w:eastAsia="zh-CN" w:bidi="ar"/>
                    </w:rPr>
                    <w:t>仅上料过程会产生粉尘</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油相上料过程储罐产生的有机废气，</w:t>
                  </w:r>
                  <w:r>
                    <w:rPr>
                      <w:rFonts w:hint="eastAsia" w:ascii="Times New Roman" w:hAnsi="Times New Roman" w:cs="Times New Roman"/>
                      <w:color w:val="auto"/>
                      <w:sz w:val="21"/>
                      <w:szCs w:val="21"/>
                      <w:highlight w:val="none"/>
                      <w:lang w:val="en-US" w:eastAsia="zh-CN"/>
                    </w:rPr>
                    <w:t>通过封闭工房阻隔后无组织排放。</w:t>
                  </w:r>
                </w:p>
              </w:tc>
              <w:tc>
                <w:tcPr>
                  <w:tcW w:w="876" w:type="pct"/>
                  <w:shd w:val="clear" w:color="auto" w:fill="auto"/>
                  <w:vAlign w:val="top"/>
                </w:tcPr>
                <w:p w14:paraId="3A22F4DF">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w:t>
                  </w:r>
                  <w:r>
                    <w:rPr>
                      <w:rFonts w:hint="eastAsia" w:cs="Times New Roman"/>
                      <w:color w:val="auto"/>
                      <w:sz w:val="21"/>
                      <w:szCs w:val="21"/>
                      <w:highlight w:val="none"/>
                      <w:lang w:val="en-US" w:eastAsia="zh-CN"/>
                    </w:rPr>
                    <w:t>油</w:t>
                  </w:r>
                  <w:r>
                    <w:rPr>
                      <w:rFonts w:hint="eastAsia" w:ascii="Times New Roman" w:hAnsi="Times New Roman" w:eastAsia="宋体" w:cs="Times New Roman"/>
                      <w:color w:val="auto"/>
                      <w:sz w:val="21"/>
                      <w:szCs w:val="21"/>
                      <w:highlight w:val="none"/>
                      <w:lang w:val="en-US" w:eastAsia="zh-CN"/>
                    </w:rPr>
                    <w:t>相制备工房</w:t>
                  </w:r>
                  <w:r>
                    <w:rPr>
                      <w:rFonts w:hint="eastAsia" w:cs="Times New Roman"/>
                      <w:color w:val="auto"/>
                      <w:sz w:val="21"/>
                      <w:szCs w:val="21"/>
                      <w:highlight w:val="none"/>
                      <w:lang w:val="en-US" w:eastAsia="zh-CN"/>
                    </w:rPr>
                    <w:t>中</w:t>
                  </w:r>
                  <w:r>
                    <w:rPr>
                      <w:rFonts w:hint="default" w:ascii="宋体" w:hAnsi="宋体" w:eastAsia="宋体" w:cs="宋体"/>
                      <w:color w:val="auto"/>
                      <w:kern w:val="0"/>
                      <w:sz w:val="21"/>
                      <w:szCs w:val="21"/>
                      <w:highlight w:val="none"/>
                      <w:lang w:val="en-US" w:eastAsia="zh-CN" w:bidi="ar"/>
                    </w:rPr>
                    <w:t>硝酸钠通过密闭螺旋输送机输送，</w:t>
                  </w:r>
                  <w:r>
                    <w:rPr>
                      <w:rFonts w:hint="eastAsia" w:ascii="宋体" w:hAnsi="宋体" w:eastAsia="宋体" w:cs="宋体"/>
                      <w:color w:val="auto"/>
                      <w:kern w:val="0"/>
                      <w:sz w:val="21"/>
                      <w:szCs w:val="21"/>
                      <w:highlight w:val="none"/>
                      <w:lang w:val="en-US" w:eastAsia="zh-CN" w:bidi="ar"/>
                    </w:rPr>
                    <w:t>仅上料过程会产生粉尘</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油相上料过程储罐产生的有机废气，</w:t>
                  </w:r>
                  <w:r>
                    <w:rPr>
                      <w:rFonts w:hint="eastAsia" w:ascii="Times New Roman" w:hAnsi="Times New Roman" w:cs="Times New Roman"/>
                      <w:color w:val="auto"/>
                      <w:sz w:val="21"/>
                      <w:szCs w:val="21"/>
                      <w:highlight w:val="none"/>
                      <w:lang w:val="en-US" w:eastAsia="zh-CN"/>
                    </w:rPr>
                    <w:t>通过封闭工房阻隔后无组织排放。</w:t>
                  </w:r>
                </w:p>
              </w:tc>
            </w:tr>
            <w:tr w14:paraId="1F06A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0D6D700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p>
              </w:tc>
              <w:tc>
                <w:tcPr>
                  <w:tcW w:w="259" w:type="pct"/>
                  <w:vMerge w:val="continue"/>
                  <w:shd w:val="clear" w:color="auto" w:fill="auto"/>
                  <w:vAlign w:val="center"/>
                </w:tcPr>
                <w:p w14:paraId="0D4F699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vMerge w:val="continue"/>
                  <w:shd w:val="clear" w:color="auto" w:fill="auto"/>
                  <w:tcMar>
                    <w:left w:w="0" w:type="dxa"/>
                    <w:right w:w="0" w:type="dxa"/>
                  </w:tcMar>
                  <w:vAlign w:val="center"/>
                </w:tcPr>
                <w:p w14:paraId="6FB81559">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809" w:type="pct"/>
                  <w:shd w:val="clear" w:color="auto" w:fill="auto"/>
                  <w:vAlign w:val="center"/>
                </w:tcPr>
                <w:p w14:paraId="1AFF4849">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6597408A">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88" w:type="pct"/>
                  <w:shd w:val="clear" w:color="auto" w:fill="auto"/>
                  <w:vAlign w:val="top"/>
                </w:tcPr>
                <w:p w14:paraId="62F6F28D">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乳化炸药震源药柱生产工房中</w:t>
                  </w:r>
                  <w:r>
                    <w:rPr>
                      <w:rFonts w:hint="default" w:ascii="Times New Roman" w:hAnsi="Times New Roman" w:eastAsia="宋体" w:cs="Times New Roman"/>
                      <w:color w:val="auto"/>
                      <w:sz w:val="21"/>
                      <w:szCs w:val="21"/>
                      <w:highlight w:val="none"/>
                      <w:lang w:val="en-US" w:eastAsia="zh-CN"/>
                    </w:rPr>
                    <w:t>珍珠岩上料产生的粉尘，物料进行钢带冷却和散料皮带输送过程中产生的挥发性有机废气，</w:t>
                  </w:r>
                  <w:r>
                    <w:rPr>
                      <w:rFonts w:hint="eastAsia" w:cs="Times New Roman"/>
                      <w:color w:val="auto"/>
                      <w:sz w:val="21"/>
                      <w:szCs w:val="21"/>
                      <w:highlight w:val="none"/>
                      <w:lang w:val="en-US" w:eastAsia="zh-CN"/>
                    </w:rPr>
                    <w:t>喷码机喷码过程产生的挥发性有机废气，</w:t>
                  </w:r>
                  <w:r>
                    <w:rPr>
                      <w:rFonts w:hint="default" w:ascii="Times New Roman" w:hAnsi="Times New Roman" w:eastAsia="宋体" w:cs="Times New Roman"/>
                      <w:color w:val="auto"/>
                      <w:sz w:val="21"/>
                      <w:szCs w:val="21"/>
                      <w:highlight w:val="none"/>
                      <w:lang w:val="en-US" w:eastAsia="zh-CN"/>
                    </w:rPr>
                    <w:t>通过封闭工房阻隔后无组织排放。</w:t>
                  </w:r>
                </w:p>
              </w:tc>
              <w:tc>
                <w:tcPr>
                  <w:tcW w:w="876" w:type="pct"/>
                  <w:shd w:val="clear" w:color="auto" w:fill="auto"/>
                  <w:vAlign w:val="top"/>
                </w:tcPr>
                <w:p w14:paraId="4C5644E4">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乳化炸药震源药柱生产工房中</w:t>
                  </w:r>
                  <w:r>
                    <w:rPr>
                      <w:rFonts w:hint="default" w:ascii="Times New Roman" w:hAnsi="Times New Roman" w:eastAsia="宋体" w:cs="Times New Roman"/>
                      <w:color w:val="auto"/>
                      <w:sz w:val="21"/>
                      <w:szCs w:val="21"/>
                      <w:highlight w:val="none"/>
                      <w:lang w:val="en-US" w:eastAsia="zh-CN"/>
                    </w:rPr>
                    <w:t>珍珠岩上料产生的粉尘，物料进行钢带冷却和散料皮带输送过程中产生的挥发性有机废气，</w:t>
                  </w:r>
                  <w:r>
                    <w:rPr>
                      <w:rFonts w:hint="eastAsia" w:cs="Times New Roman"/>
                      <w:color w:val="auto"/>
                      <w:sz w:val="21"/>
                      <w:szCs w:val="21"/>
                      <w:highlight w:val="none"/>
                      <w:lang w:val="en-US" w:eastAsia="zh-CN"/>
                    </w:rPr>
                    <w:t>喷码机喷码过程产生的挥发性有机废气，</w:t>
                  </w:r>
                  <w:r>
                    <w:rPr>
                      <w:rFonts w:hint="default" w:ascii="Times New Roman" w:hAnsi="Times New Roman" w:eastAsia="宋体" w:cs="Times New Roman"/>
                      <w:color w:val="auto"/>
                      <w:sz w:val="21"/>
                      <w:szCs w:val="21"/>
                      <w:highlight w:val="none"/>
                      <w:lang w:val="en-US" w:eastAsia="zh-CN"/>
                    </w:rPr>
                    <w:t>通过封闭工房阻隔后无组织排放。</w:t>
                  </w:r>
                </w:p>
              </w:tc>
            </w:tr>
            <w:tr w14:paraId="31DC6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94" w:type="pct"/>
                  <w:vMerge w:val="continue"/>
                  <w:shd w:val="clear" w:color="auto" w:fill="auto"/>
                  <w:vAlign w:val="center"/>
                </w:tcPr>
                <w:p w14:paraId="654082EC">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7E83243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2238704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废水处理系统</w:t>
                  </w:r>
                </w:p>
              </w:tc>
              <w:tc>
                <w:tcPr>
                  <w:tcW w:w="809" w:type="pct"/>
                  <w:shd w:val="clear" w:color="auto" w:fill="auto"/>
                  <w:vAlign w:val="center"/>
                </w:tcPr>
                <w:p w14:paraId="48B9C09F">
                  <w:pPr>
                    <w:pStyle w:val="115"/>
                    <w:keepNext/>
                    <w:keepLines w:val="0"/>
                    <w:pageBreakBefore w:val="0"/>
                    <w:widowControl w:val="0"/>
                    <w:kinsoku/>
                    <w:wordWrap/>
                    <w:overflowPunct/>
                    <w:topLinePunct w:val="0"/>
                    <w:autoSpaceDE/>
                    <w:autoSpaceDN/>
                    <w:bidi w:val="0"/>
                    <w:adjustRightInd/>
                    <w:snapToGrid/>
                    <w:spacing w:line="240" w:lineRule="auto"/>
                    <w:ind w:left="0"/>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rPr>
                    <w:t>生活污水依托辽宁红化公司地埋式一体化污水</w:t>
                  </w:r>
                  <w:r>
                    <w:rPr>
                      <w:rFonts w:hint="default" w:ascii="Times New Roman" w:hAnsi="Times New Roman" w:eastAsia="宋体" w:cs="Times New Roman"/>
                      <w:color w:val="auto"/>
                      <w:spacing w:val="-1"/>
                      <w:sz w:val="21"/>
                      <w:szCs w:val="21"/>
                    </w:rPr>
                    <w:t>处理站，处理后用于绿化浇灌。生产废水经隔油沉淀池处理后，回用于道路清扫，废水全部回用不外</w:t>
                  </w:r>
                  <w:r>
                    <w:rPr>
                      <w:rFonts w:hint="default" w:ascii="Times New Roman" w:hAnsi="Times New Roman" w:eastAsia="宋体" w:cs="Times New Roman"/>
                      <w:color w:val="auto"/>
                      <w:sz w:val="21"/>
                      <w:szCs w:val="21"/>
                    </w:rPr>
                    <w:t>排</w:t>
                  </w:r>
                </w:p>
              </w:tc>
              <w:tc>
                <w:tcPr>
                  <w:tcW w:w="1228" w:type="pct"/>
                  <w:shd w:val="clear" w:color="auto" w:fill="auto"/>
                  <w:vAlign w:val="center"/>
                </w:tcPr>
                <w:p w14:paraId="23F0E2A7">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eastAsia="宋体" w:cs="Times New Roman"/>
                      <w:color w:val="auto"/>
                      <w:sz w:val="21"/>
                      <w:szCs w:val="21"/>
                      <w:highlight w:val="none"/>
                    </w:rPr>
                    <w:t>项目污水</w:t>
                  </w:r>
                  <w:r>
                    <w:rPr>
                      <w:rFonts w:hint="default" w:ascii="Times New Roman" w:hAnsi="Times New Roman" w:eastAsia="宋体" w:cs="Times New Roman"/>
                      <w:color w:val="auto"/>
                      <w:sz w:val="21"/>
                      <w:szCs w:val="21"/>
                      <w:highlight w:val="none"/>
                      <w:lang w:val="en-US" w:eastAsia="zh-CN"/>
                    </w:rPr>
                    <w:t>依托现有收集系统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车间地面清洗和设备冲洗废水依托现有隔油沉淀池预处理后排入辽宁红山污水处理站处理后用于绿化和道路洒扫。本次不新增生活污水。</w:t>
                  </w:r>
                </w:p>
              </w:tc>
              <w:tc>
                <w:tcPr>
                  <w:tcW w:w="1288" w:type="pct"/>
                  <w:shd w:val="clear" w:color="auto" w:fill="auto"/>
                  <w:vAlign w:val="center"/>
                </w:tcPr>
                <w:p w14:paraId="4FF1342D">
                  <w:pPr>
                    <w:keepNext/>
                    <w:keepLines w:val="0"/>
                    <w:pageBreakBefore w:val="0"/>
                    <w:kinsoku/>
                    <w:wordWrap/>
                    <w:overflowPunct/>
                    <w:topLinePunct w:val="0"/>
                    <w:bidi w:val="0"/>
                    <w:spacing w:line="240" w:lineRule="auto"/>
                    <w:ind w:firstLine="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新建2座隔油沉淀池，车间地面清洗和设备冲洗废水经隔油沉淀池预处理后</w:t>
                  </w:r>
                  <w:r>
                    <w:rPr>
                      <w:rFonts w:hint="eastAsia" w:cs="Times New Roman"/>
                      <w:color w:val="auto"/>
                      <w:sz w:val="21"/>
                      <w:szCs w:val="21"/>
                      <w:highlight w:val="none"/>
                      <w:lang w:val="en-US" w:eastAsia="zh-CN"/>
                    </w:rPr>
                    <w:t>经管道输送</w:t>
                  </w:r>
                  <w:r>
                    <w:rPr>
                      <w:rFonts w:hint="default" w:ascii="Times New Roman" w:hAnsi="Times New Roman" w:eastAsia="宋体" w:cs="Times New Roman"/>
                      <w:color w:val="auto"/>
                      <w:sz w:val="21"/>
                      <w:szCs w:val="21"/>
                      <w:highlight w:val="none"/>
                      <w:lang w:val="en-US" w:eastAsia="zh-CN"/>
                    </w:rPr>
                    <w:t>排入辽宁红山污水处理站处理后用于厂区道路洒扫。本次不新增生活污水。</w:t>
                  </w:r>
                </w:p>
              </w:tc>
              <w:tc>
                <w:tcPr>
                  <w:tcW w:w="876" w:type="pct"/>
                  <w:shd w:val="clear" w:color="auto" w:fill="auto"/>
                  <w:vAlign w:val="center"/>
                </w:tcPr>
                <w:p w14:paraId="474D230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生产废水：</w:t>
                  </w:r>
                  <w:r>
                    <w:rPr>
                      <w:rFonts w:hint="default" w:ascii="Times New Roman" w:hAnsi="Times New Roman" w:eastAsia="宋体" w:cs="Times New Roman"/>
                      <w:color w:val="auto"/>
                      <w:sz w:val="21"/>
                      <w:szCs w:val="21"/>
                      <w:highlight w:val="none"/>
                      <w:lang w:val="en-US" w:eastAsia="zh-CN"/>
                    </w:rPr>
                    <w:t>经隔油沉淀池预处理后排入辽宁红山污水处理站处理后用于绿化和道路洒扫。</w:t>
                  </w:r>
                </w:p>
                <w:p w14:paraId="6DD92F48">
                  <w:pPr>
                    <w:keepNext/>
                    <w:keepLines w:val="0"/>
                    <w:pageBreakBefore w:val="0"/>
                    <w:kinsoku/>
                    <w:wordWrap/>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auto"/>
                      <w:kern w:val="24"/>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bidi="ar-SA"/>
                    </w:rPr>
                    <w:t>生活污水：依托辽宁</w:t>
                  </w:r>
                  <w:r>
                    <w:rPr>
                      <w:rFonts w:hint="eastAsia" w:cs="Times New Roman"/>
                      <w:color w:val="auto"/>
                      <w:kern w:val="2"/>
                      <w:sz w:val="21"/>
                      <w:szCs w:val="21"/>
                      <w:highlight w:val="none"/>
                      <w:lang w:val="en-US" w:eastAsia="zh-CN" w:bidi="ar-SA"/>
                    </w:rPr>
                    <w:t>红山化工污水处理站</w:t>
                  </w:r>
                  <w:r>
                    <w:rPr>
                      <w:rFonts w:hint="default" w:ascii="Times New Roman" w:hAnsi="Times New Roman" w:eastAsia="宋体" w:cs="Times New Roman"/>
                      <w:color w:val="auto"/>
                      <w:kern w:val="2"/>
                      <w:sz w:val="21"/>
                      <w:szCs w:val="21"/>
                      <w:highlight w:val="none"/>
                      <w:lang w:val="en-US" w:eastAsia="zh-CN" w:bidi="ar-SA"/>
                    </w:rPr>
                    <w:t>处理后用于</w:t>
                  </w:r>
                  <w:r>
                    <w:rPr>
                      <w:rFonts w:hint="default" w:ascii="Times New Roman" w:hAnsi="Times New Roman" w:eastAsia="宋体" w:cs="Times New Roman"/>
                      <w:color w:val="auto"/>
                      <w:sz w:val="21"/>
                      <w:szCs w:val="21"/>
                      <w:highlight w:val="none"/>
                      <w:lang w:val="en-US" w:eastAsia="zh-CN"/>
                    </w:rPr>
                    <w:t>绿化和道路洒扫</w:t>
                  </w:r>
                  <w:r>
                    <w:rPr>
                      <w:rFonts w:hint="eastAsia" w:cs="Times New Roman"/>
                      <w:color w:val="auto"/>
                      <w:kern w:val="2"/>
                      <w:sz w:val="21"/>
                      <w:szCs w:val="21"/>
                      <w:highlight w:val="none"/>
                      <w:lang w:val="en-US" w:eastAsia="zh-CN" w:bidi="ar-SA"/>
                    </w:rPr>
                    <w:t>。</w:t>
                  </w:r>
                </w:p>
              </w:tc>
            </w:tr>
            <w:tr w14:paraId="55CA2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606FA9C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12707A7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166" w:type="pct"/>
                  <w:vMerge w:val="restart"/>
                  <w:shd w:val="clear" w:color="auto" w:fill="auto"/>
                  <w:tcMar>
                    <w:left w:w="0" w:type="dxa"/>
                    <w:right w:w="0" w:type="dxa"/>
                  </w:tcMar>
                  <w:vAlign w:val="center"/>
                </w:tcPr>
                <w:p w14:paraId="5B7B22A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固废设施</w:t>
                  </w:r>
                </w:p>
              </w:tc>
              <w:tc>
                <w:tcPr>
                  <w:tcW w:w="176" w:type="pct"/>
                  <w:shd w:val="clear" w:color="auto" w:fill="auto"/>
                  <w:tcMar>
                    <w:left w:w="0" w:type="dxa"/>
                    <w:right w:w="0" w:type="dxa"/>
                  </w:tcMar>
                  <w:vAlign w:val="center"/>
                </w:tcPr>
                <w:p w14:paraId="461AAEC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809" w:type="pct"/>
                  <w:shd w:val="clear" w:color="auto" w:fill="auto"/>
                  <w:vAlign w:val="center"/>
                </w:tcPr>
                <w:p w14:paraId="2BF7173B">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依托原有危险废物贮存</w:t>
                  </w:r>
                  <w:r>
                    <w:rPr>
                      <w:rFonts w:hint="default" w:ascii="Times New Roman" w:hAnsi="Times New Roman" w:eastAsia="宋体" w:cs="Times New Roman"/>
                      <w:color w:val="auto"/>
                      <w:spacing w:val="-1"/>
                      <w:sz w:val="21"/>
                      <w:szCs w:val="21"/>
                    </w:rPr>
                    <w:t>点，</w:t>
                  </w:r>
                  <w:r>
                    <w:rPr>
                      <w:rFonts w:hint="default" w:ascii="Times New Roman" w:hAnsi="Times New Roman" w:eastAsia="宋体" w:cs="Times New Roman"/>
                      <w:color w:val="auto"/>
                      <w:spacing w:val="-47"/>
                      <w:sz w:val="21"/>
                      <w:szCs w:val="21"/>
                    </w:rPr>
                    <w:t xml:space="preserve"> </w:t>
                  </w:r>
                  <w:r>
                    <w:rPr>
                      <w:rFonts w:hint="default" w:ascii="Times New Roman" w:hAnsi="Times New Roman" w:eastAsia="宋体" w:cs="Times New Roman"/>
                      <w:color w:val="auto"/>
                      <w:spacing w:val="-1"/>
                      <w:sz w:val="21"/>
                      <w:szCs w:val="21"/>
                    </w:rPr>
                    <w:t>占地面积6m</w:t>
                  </w:r>
                  <w:r>
                    <w:rPr>
                      <w:rFonts w:hint="default" w:ascii="Times New Roman" w:hAnsi="Times New Roman" w:eastAsia="宋体" w:cs="Times New Roman"/>
                      <w:color w:val="auto"/>
                      <w:spacing w:val="-1"/>
                      <w:position w:val="6"/>
                      <w:sz w:val="21"/>
                      <w:szCs w:val="21"/>
                    </w:rPr>
                    <w:t>2</w:t>
                  </w:r>
                  <w:r>
                    <w:rPr>
                      <w:rFonts w:hint="default" w:ascii="Times New Roman" w:hAnsi="Times New Roman" w:eastAsia="宋体" w:cs="Times New Roman"/>
                      <w:color w:val="auto"/>
                      <w:spacing w:val="-1"/>
                      <w:sz w:val="21"/>
                      <w:szCs w:val="21"/>
                    </w:rPr>
                    <w:t>。</w:t>
                  </w:r>
                </w:p>
              </w:tc>
              <w:tc>
                <w:tcPr>
                  <w:tcW w:w="1228" w:type="pct"/>
                  <w:shd w:val="clear" w:color="auto" w:fill="auto"/>
                  <w:vAlign w:val="center"/>
                </w:tcPr>
                <w:p w14:paraId="118D7B7D">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废硝酸钠、氯化钾、发泡剂、促进剂包装袋、滤渣、废滤网、废机油、含油抹布、隔油沉淀池污泥分类收集后依托现有15m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危废</w:t>
                  </w:r>
                  <w:r>
                    <w:rPr>
                      <w:rFonts w:hint="default" w:ascii="Times New Roman" w:hAnsi="Times New Roman" w:eastAsia="宋体" w:cs="Times New Roman"/>
                      <w:color w:val="auto"/>
                      <w:sz w:val="21"/>
                      <w:szCs w:val="21"/>
                      <w:highlight w:val="none"/>
                      <w:lang w:val="en-US" w:eastAsia="zh-CN"/>
                    </w:rPr>
                    <w:t>贮存点暂存，定期委托有资质单位外运处置。</w:t>
                  </w:r>
                </w:p>
              </w:tc>
              <w:tc>
                <w:tcPr>
                  <w:tcW w:w="1288" w:type="pct"/>
                  <w:shd w:val="clear" w:color="auto" w:fill="auto"/>
                  <w:vAlign w:val="center"/>
                </w:tcPr>
                <w:p w14:paraId="0B707D35">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硝酸钠废包装袋、滤渣、废滤网、</w:t>
                  </w:r>
                  <w:r>
                    <w:rPr>
                      <w:rFonts w:hint="eastAsia" w:cs="Times New Roman"/>
                      <w:color w:val="auto"/>
                      <w:sz w:val="21"/>
                      <w:szCs w:val="21"/>
                      <w:highlight w:val="none"/>
                      <w:lang w:val="en-US" w:eastAsia="zh-CN"/>
                    </w:rPr>
                    <w:t>废包装瓶、</w:t>
                  </w:r>
                  <w:r>
                    <w:rPr>
                      <w:rFonts w:hint="default" w:ascii="Times New Roman" w:hAnsi="Times New Roman" w:eastAsia="宋体" w:cs="Times New Roman"/>
                      <w:color w:val="auto"/>
                      <w:sz w:val="21"/>
                      <w:szCs w:val="21"/>
                      <w:highlight w:val="none"/>
                      <w:lang w:val="en-US" w:eastAsia="zh-CN"/>
                    </w:rPr>
                    <w:t>废机油、废油桶、含油抹布、隔油沉淀池污泥分类收集后依托现有15m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危废</w:t>
                  </w:r>
                  <w:r>
                    <w:rPr>
                      <w:rFonts w:hint="default" w:ascii="Times New Roman" w:hAnsi="Times New Roman" w:eastAsia="宋体" w:cs="Times New Roman"/>
                      <w:color w:val="auto"/>
                      <w:sz w:val="21"/>
                      <w:szCs w:val="21"/>
                      <w:highlight w:val="none"/>
                      <w:lang w:val="en-US" w:eastAsia="zh-CN"/>
                    </w:rPr>
                    <w:t>贮存点暂存，定期委托有资质单位外运处置。</w:t>
                  </w:r>
                  <w:r>
                    <w:rPr>
                      <w:rFonts w:hint="eastAsia" w:ascii="Times New Roman" w:hAnsi="Times New Roman" w:eastAsia="宋体" w:cs="Times New Roman"/>
                      <w:color w:val="auto"/>
                      <w:sz w:val="21"/>
                      <w:szCs w:val="21"/>
                      <w:highlight w:val="none"/>
                      <w:lang w:val="en-US" w:eastAsia="zh-CN"/>
                    </w:rPr>
                    <w:t>废炸药包装</w:t>
                  </w:r>
                  <w:r>
                    <w:rPr>
                      <w:rFonts w:hint="eastAsia" w:cs="Times New Roman"/>
                      <w:color w:val="auto"/>
                      <w:sz w:val="21"/>
                      <w:szCs w:val="21"/>
                      <w:highlight w:val="none"/>
                      <w:lang w:val="en-US" w:eastAsia="zh-CN"/>
                    </w:rPr>
                    <w:t>依托辽宁红山危险品销毁场，</w:t>
                  </w:r>
                  <w:r>
                    <w:rPr>
                      <w:rFonts w:hint="eastAsia" w:ascii="Times New Roman" w:hAnsi="Times New Roman" w:eastAsia="宋体" w:cs="Times New Roman"/>
                      <w:color w:val="auto"/>
                      <w:sz w:val="21"/>
                      <w:szCs w:val="21"/>
                      <w:highlight w:val="none"/>
                      <w:lang w:val="en-US" w:eastAsia="zh-CN"/>
                    </w:rPr>
                    <w:t>进行烧毁法销毁。</w:t>
                  </w:r>
                </w:p>
              </w:tc>
              <w:tc>
                <w:tcPr>
                  <w:tcW w:w="876" w:type="pct"/>
                  <w:shd w:val="clear" w:color="auto" w:fill="auto"/>
                  <w:vAlign w:val="center"/>
                </w:tcPr>
                <w:p w14:paraId="56A1AB7B">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废炸药包装</w:t>
                  </w:r>
                  <w:r>
                    <w:rPr>
                      <w:rFonts w:hint="eastAsia" w:cs="Times New Roman"/>
                      <w:color w:val="auto"/>
                      <w:sz w:val="21"/>
                      <w:szCs w:val="21"/>
                      <w:highlight w:val="none"/>
                      <w:lang w:val="en-US" w:eastAsia="zh-CN"/>
                    </w:rPr>
                    <w:t>依托辽宁红山危险品销毁场，</w:t>
                  </w:r>
                  <w:r>
                    <w:rPr>
                      <w:rFonts w:hint="eastAsia" w:ascii="Times New Roman" w:hAnsi="Times New Roman" w:eastAsia="宋体" w:cs="Times New Roman"/>
                      <w:color w:val="auto"/>
                      <w:sz w:val="21"/>
                      <w:szCs w:val="21"/>
                      <w:highlight w:val="none"/>
                      <w:lang w:val="en-US" w:eastAsia="zh-CN"/>
                    </w:rPr>
                    <w:t>进行烧毁法销毁。</w:t>
                  </w:r>
                  <w:r>
                    <w:rPr>
                      <w:rFonts w:hint="eastAsia" w:cs="Times New Roman"/>
                      <w:color w:val="auto"/>
                      <w:sz w:val="21"/>
                      <w:szCs w:val="21"/>
                      <w:highlight w:val="none"/>
                      <w:lang w:val="en-US" w:eastAsia="zh-CN"/>
                    </w:rPr>
                    <w:t>其他危险废物</w:t>
                  </w:r>
                  <w:r>
                    <w:rPr>
                      <w:rFonts w:hint="default" w:ascii="Times New Roman" w:hAnsi="Times New Roman" w:eastAsia="宋体" w:cs="Times New Roman"/>
                      <w:color w:val="auto"/>
                      <w:sz w:val="21"/>
                      <w:szCs w:val="21"/>
                      <w:highlight w:val="none"/>
                      <w:lang w:val="en-US" w:eastAsia="zh-CN"/>
                    </w:rPr>
                    <w:t>依托现有15m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危废</w:t>
                  </w:r>
                  <w:r>
                    <w:rPr>
                      <w:rFonts w:hint="default" w:ascii="Times New Roman" w:hAnsi="Times New Roman" w:eastAsia="宋体" w:cs="Times New Roman"/>
                      <w:color w:val="auto"/>
                      <w:sz w:val="21"/>
                      <w:szCs w:val="21"/>
                      <w:highlight w:val="none"/>
                      <w:lang w:val="en-US" w:eastAsia="zh-CN"/>
                    </w:rPr>
                    <w:t>贮存点暂存</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定期委托有资质单位外运处置。</w:t>
                  </w:r>
                </w:p>
              </w:tc>
            </w:tr>
            <w:tr w14:paraId="45319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0DF4A00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22A79EF1">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166" w:type="pct"/>
                  <w:vMerge w:val="continue"/>
                  <w:shd w:val="clear" w:color="auto" w:fill="auto"/>
                  <w:tcMar>
                    <w:left w:w="0" w:type="dxa"/>
                    <w:right w:w="0" w:type="dxa"/>
                  </w:tcMar>
                  <w:vAlign w:val="center"/>
                </w:tcPr>
                <w:p w14:paraId="09BC558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176" w:type="pct"/>
                  <w:shd w:val="clear" w:color="auto" w:fill="auto"/>
                  <w:tcMar>
                    <w:left w:w="0" w:type="dxa"/>
                    <w:right w:w="0" w:type="dxa"/>
                  </w:tcMar>
                  <w:vAlign w:val="center"/>
                </w:tcPr>
                <w:p w14:paraId="1B3C7C83">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一般固废</w:t>
                  </w:r>
                </w:p>
              </w:tc>
              <w:tc>
                <w:tcPr>
                  <w:tcW w:w="809" w:type="pct"/>
                  <w:shd w:val="clear" w:color="auto" w:fill="auto"/>
                  <w:vAlign w:val="center"/>
                </w:tcPr>
                <w:p w14:paraId="68A364E8">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29D12462">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珍珠岩包装袋为一般固废，于各生产工房外指定带盖收集桶收集暂存后外售。</w:t>
                  </w:r>
                </w:p>
              </w:tc>
              <w:tc>
                <w:tcPr>
                  <w:tcW w:w="1288" w:type="pct"/>
                  <w:shd w:val="clear" w:color="auto" w:fill="auto"/>
                  <w:vAlign w:val="center"/>
                </w:tcPr>
                <w:p w14:paraId="062B108B">
                  <w:pPr>
                    <w:keepNext/>
                    <w:keepLines w:val="0"/>
                    <w:pageBreakBefore w:val="0"/>
                    <w:kinsoku/>
                    <w:wordWrap/>
                    <w:overflowPunct/>
                    <w:topLinePunct w:val="0"/>
                    <w:bidi w:val="0"/>
                    <w:spacing w:line="240" w:lineRule="auto"/>
                    <w:ind w:firstLine="0" w:firstLineChars="0"/>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珍珠岩废包装袋集中收集于车间外</w:t>
                  </w:r>
                  <w:r>
                    <w:rPr>
                      <w:rFonts w:hint="eastAsia" w:cs="Times New Roman"/>
                      <w:color w:val="auto"/>
                      <w:sz w:val="21"/>
                      <w:szCs w:val="21"/>
                      <w:highlight w:val="none"/>
                      <w:lang w:val="en-US" w:eastAsia="zh-CN"/>
                    </w:rPr>
                    <w:t>指定的带盖收集桶暂存</w:t>
                  </w:r>
                  <w:r>
                    <w:rPr>
                      <w:rFonts w:hint="default" w:ascii="Times New Roman" w:hAnsi="Times New Roman" w:eastAsia="宋体" w:cs="Times New Roman"/>
                      <w:color w:val="auto"/>
                      <w:sz w:val="21"/>
                      <w:szCs w:val="21"/>
                      <w:highlight w:val="none"/>
                      <w:lang w:val="en-US" w:eastAsia="zh-CN"/>
                    </w:rPr>
                    <w:t>，定期外售。</w:t>
                  </w:r>
                </w:p>
              </w:tc>
              <w:tc>
                <w:tcPr>
                  <w:tcW w:w="876" w:type="pct"/>
                  <w:shd w:val="clear" w:color="auto" w:fill="auto"/>
                  <w:vAlign w:val="center"/>
                </w:tcPr>
                <w:p w14:paraId="65FAB8D9">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一般固废集中收集于各工房外指定的带盖收集桶暂存后外售</w:t>
                  </w:r>
                </w:p>
              </w:tc>
            </w:tr>
            <w:tr w14:paraId="4F673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1D5353B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0382C494">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166" w:type="pct"/>
                  <w:vMerge w:val="continue"/>
                  <w:shd w:val="clear" w:color="auto" w:fill="auto"/>
                  <w:tcMar>
                    <w:left w:w="0" w:type="dxa"/>
                    <w:right w:w="0" w:type="dxa"/>
                  </w:tcMar>
                  <w:vAlign w:val="center"/>
                </w:tcPr>
                <w:p w14:paraId="2B2E9D1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176" w:type="pct"/>
                  <w:shd w:val="clear" w:color="auto" w:fill="auto"/>
                  <w:tcMar>
                    <w:left w:w="0" w:type="dxa"/>
                    <w:right w:w="0" w:type="dxa"/>
                  </w:tcMar>
                  <w:vAlign w:val="center"/>
                </w:tcPr>
                <w:p w14:paraId="02B507E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809" w:type="pct"/>
                  <w:shd w:val="clear" w:color="auto" w:fill="auto"/>
                  <w:vAlign w:val="center"/>
                </w:tcPr>
                <w:p w14:paraId="587243BC">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rPr>
                    <w:t>生活垃圾</w:t>
                  </w:r>
                  <w:r>
                    <w:rPr>
                      <w:rFonts w:hint="default" w:ascii="Times New Roman" w:hAnsi="Times New Roman" w:eastAsia="宋体" w:cs="Times New Roman"/>
                      <w:color w:val="auto"/>
                      <w:spacing w:val="-1"/>
                      <w:sz w:val="21"/>
                      <w:szCs w:val="21"/>
                      <w:lang w:val="en-US" w:eastAsia="zh-CN"/>
                    </w:rPr>
                    <w:t>经</w:t>
                  </w:r>
                  <w:r>
                    <w:rPr>
                      <w:rFonts w:hint="default" w:ascii="Times New Roman" w:hAnsi="Times New Roman" w:eastAsia="宋体" w:cs="Times New Roman"/>
                      <w:color w:val="auto"/>
                      <w:spacing w:val="-1"/>
                      <w:sz w:val="21"/>
                      <w:szCs w:val="21"/>
                    </w:rPr>
                    <w:t>垃圾桶暂存，定</w:t>
                  </w:r>
                  <w:r>
                    <w:rPr>
                      <w:rFonts w:hint="default" w:ascii="Times New Roman" w:hAnsi="Times New Roman" w:eastAsia="宋体" w:cs="Times New Roman"/>
                      <w:color w:val="auto"/>
                      <w:spacing w:val="8"/>
                      <w:sz w:val="21"/>
                      <w:szCs w:val="21"/>
                    </w:rPr>
                    <w:t>期由环卫部门统一清运</w:t>
                  </w:r>
                </w:p>
              </w:tc>
              <w:tc>
                <w:tcPr>
                  <w:tcW w:w="1228" w:type="pct"/>
                  <w:shd w:val="clear" w:color="auto" w:fill="auto"/>
                  <w:vAlign w:val="center"/>
                </w:tcPr>
                <w:p w14:paraId="31E22709">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不新增生活垃圾。</w:t>
                  </w:r>
                </w:p>
              </w:tc>
              <w:tc>
                <w:tcPr>
                  <w:tcW w:w="1288" w:type="pct"/>
                  <w:shd w:val="clear" w:color="auto" w:fill="auto"/>
                  <w:vAlign w:val="center"/>
                </w:tcPr>
                <w:p w14:paraId="3D469522">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不新增生活垃圾。</w:t>
                  </w:r>
                </w:p>
              </w:tc>
              <w:tc>
                <w:tcPr>
                  <w:tcW w:w="876" w:type="pct"/>
                  <w:shd w:val="clear" w:color="auto" w:fill="auto"/>
                  <w:vAlign w:val="center"/>
                </w:tcPr>
                <w:p w14:paraId="56DADA15">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rPr>
                    <w:t>生活垃圾</w:t>
                  </w:r>
                  <w:r>
                    <w:rPr>
                      <w:rFonts w:hint="default" w:ascii="Times New Roman" w:hAnsi="Times New Roman" w:eastAsia="宋体" w:cs="Times New Roman"/>
                      <w:color w:val="auto"/>
                      <w:spacing w:val="-1"/>
                      <w:sz w:val="21"/>
                      <w:szCs w:val="21"/>
                      <w:lang w:val="en-US" w:eastAsia="zh-CN"/>
                    </w:rPr>
                    <w:t>经</w:t>
                  </w:r>
                  <w:r>
                    <w:rPr>
                      <w:rFonts w:hint="default" w:ascii="Times New Roman" w:hAnsi="Times New Roman" w:eastAsia="宋体" w:cs="Times New Roman"/>
                      <w:color w:val="auto"/>
                      <w:spacing w:val="-1"/>
                      <w:sz w:val="21"/>
                      <w:szCs w:val="21"/>
                    </w:rPr>
                    <w:t>垃圾桶暂存，定</w:t>
                  </w:r>
                  <w:r>
                    <w:rPr>
                      <w:rFonts w:hint="default" w:ascii="Times New Roman" w:hAnsi="Times New Roman" w:eastAsia="宋体" w:cs="Times New Roman"/>
                      <w:color w:val="auto"/>
                      <w:spacing w:val="8"/>
                      <w:sz w:val="21"/>
                      <w:szCs w:val="21"/>
                    </w:rPr>
                    <w:t>期由环卫部门统一清运</w:t>
                  </w:r>
                </w:p>
              </w:tc>
            </w:tr>
            <w:tr w14:paraId="388FB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0CFE4D7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1344DD97">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166" w:type="pct"/>
                  <w:vMerge w:val="continue"/>
                  <w:shd w:val="clear" w:color="auto" w:fill="auto"/>
                  <w:tcMar>
                    <w:left w:w="0" w:type="dxa"/>
                    <w:right w:w="0" w:type="dxa"/>
                  </w:tcMar>
                  <w:vAlign w:val="center"/>
                </w:tcPr>
                <w:p w14:paraId="6E01D97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176" w:type="pct"/>
                  <w:shd w:val="clear" w:color="auto" w:fill="auto"/>
                  <w:tcMar>
                    <w:left w:w="0" w:type="dxa"/>
                    <w:right w:w="0" w:type="dxa"/>
                  </w:tcMar>
                  <w:vAlign w:val="center"/>
                </w:tcPr>
                <w:p w14:paraId="36A23463">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09" w:type="pct"/>
                  <w:shd w:val="clear" w:color="auto" w:fill="auto"/>
                  <w:vAlign w:val="center"/>
                </w:tcPr>
                <w:p w14:paraId="1B7DD6C4">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228" w:type="pct"/>
                  <w:shd w:val="clear" w:color="auto" w:fill="auto"/>
                  <w:vAlign w:val="center"/>
                </w:tcPr>
                <w:p w14:paraId="49CE81DB">
                  <w:pPr>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不合格品收集至不合格品处理工房加工成产品后外售，不按固废管理。</w:t>
                  </w:r>
                </w:p>
              </w:tc>
              <w:tc>
                <w:tcPr>
                  <w:tcW w:w="1288" w:type="pct"/>
                  <w:shd w:val="clear" w:color="auto" w:fill="auto"/>
                  <w:vAlign w:val="center"/>
                </w:tcPr>
                <w:p w14:paraId="7499767A">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不合格品收集至不合格品处理工房加工成产品后外售，不按固废管理。</w:t>
                  </w:r>
                </w:p>
              </w:tc>
              <w:tc>
                <w:tcPr>
                  <w:tcW w:w="876" w:type="pct"/>
                  <w:shd w:val="clear" w:color="auto" w:fill="auto"/>
                  <w:vAlign w:val="center"/>
                </w:tcPr>
                <w:p w14:paraId="391D6F62">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不合格品收集至不合格品处理工房加工成产品后外售，不按固废管理。</w:t>
                  </w:r>
                </w:p>
              </w:tc>
            </w:tr>
            <w:tr w14:paraId="2742F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7BD00586">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251D4FFF">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79ADCD9A">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噪声防治</w:t>
                  </w:r>
                </w:p>
              </w:tc>
              <w:tc>
                <w:tcPr>
                  <w:tcW w:w="809" w:type="pct"/>
                  <w:shd w:val="clear" w:color="auto" w:fill="auto"/>
                  <w:vAlign w:val="center"/>
                </w:tcPr>
                <w:p w14:paraId="4EEFE7DF">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选用低噪声设备，设置减</w:t>
                  </w:r>
                  <w:r>
                    <w:rPr>
                      <w:rFonts w:hint="default" w:ascii="Times New Roman" w:hAnsi="Times New Roman" w:eastAsia="宋体" w:cs="Times New Roman"/>
                      <w:color w:val="auto"/>
                      <w:spacing w:val="7"/>
                      <w:sz w:val="21"/>
                      <w:szCs w:val="21"/>
                    </w:rPr>
                    <w:t>振基础及建筑隔声。</w:t>
                  </w:r>
                </w:p>
              </w:tc>
              <w:tc>
                <w:tcPr>
                  <w:tcW w:w="1228" w:type="pct"/>
                  <w:shd w:val="clear" w:color="auto" w:fill="auto"/>
                  <w:vAlign w:val="center"/>
                </w:tcPr>
                <w:p w14:paraId="5669B001">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选用低噪设备，基础减震和厂房隔声。</w:t>
                  </w:r>
                </w:p>
              </w:tc>
              <w:tc>
                <w:tcPr>
                  <w:tcW w:w="1288" w:type="pct"/>
                  <w:shd w:val="clear" w:color="auto" w:fill="auto"/>
                  <w:vAlign w:val="center"/>
                </w:tcPr>
                <w:p w14:paraId="4EC62F88">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选用低噪设备，基础减震和厂房隔声。</w:t>
                  </w:r>
                </w:p>
              </w:tc>
              <w:tc>
                <w:tcPr>
                  <w:tcW w:w="876" w:type="pct"/>
                  <w:shd w:val="clear" w:color="auto" w:fill="auto"/>
                  <w:vAlign w:val="center"/>
                </w:tcPr>
                <w:p w14:paraId="1874E7FA">
                  <w:pPr>
                    <w:keepNext/>
                    <w:keepLines w:val="0"/>
                    <w:pageBreakBefore w:val="0"/>
                    <w:kinsoku/>
                    <w:wordWrap/>
                    <w:overflowPunct/>
                    <w:topLinePunct w:val="0"/>
                    <w:bidi w:val="0"/>
                    <w:spacing w:line="240" w:lineRule="auto"/>
                    <w:ind w:firstLine="0" w:firstLine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选用低噪设备，基础减震和厂房隔声。</w:t>
                  </w:r>
                </w:p>
              </w:tc>
            </w:tr>
            <w:tr w14:paraId="38755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 w:type="pct"/>
                  <w:vMerge w:val="continue"/>
                  <w:shd w:val="clear" w:color="auto" w:fill="auto"/>
                  <w:vAlign w:val="center"/>
                </w:tcPr>
                <w:p w14:paraId="3948CB6E">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259" w:type="pct"/>
                  <w:vMerge w:val="continue"/>
                  <w:shd w:val="clear" w:color="auto" w:fill="auto"/>
                  <w:vAlign w:val="center"/>
                </w:tcPr>
                <w:p w14:paraId="3FF79340">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p>
              </w:tc>
              <w:tc>
                <w:tcPr>
                  <w:tcW w:w="342" w:type="pct"/>
                  <w:gridSpan w:val="2"/>
                  <w:shd w:val="clear" w:color="auto" w:fill="auto"/>
                  <w:tcMar>
                    <w:left w:w="0" w:type="dxa"/>
                    <w:right w:w="0" w:type="dxa"/>
                  </w:tcMar>
                  <w:vAlign w:val="center"/>
                </w:tcPr>
                <w:p w14:paraId="17C31DBD">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环境</w:t>
                  </w:r>
                  <w:r>
                    <w:rPr>
                      <w:rFonts w:hint="default" w:ascii="Times New Roman" w:hAnsi="Times New Roman" w:eastAsia="宋体" w:cs="Times New Roman"/>
                      <w:color w:val="auto"/>
                      <w:sz w:val="21"/>
                      <w:szCs w:val="21"/>
                      <w:highlight w:val="none"/>
                    </w:rPr>
                    <w:t>风险</w:t>
                  </w:r>
                </w:p>
              </w:tc>
              <w:tc>
                <w:tcPr>
                  <w:tcW w:w="809" w:type="pct"/>
                  <w:shd w:val="clear" w:color="auto" w:fill="auto"/>
                  <w:vAlign w:val="center"/>
                </w:tcPr>
                <w:p w14:paraId="7A675773">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硝酸铵罐区设置</w:t>
                  </w:r>
                  <w:r>
                    <w:rPr>
                      <w:rFonts w:hint="eastAsia" w:cs="Times New Roman"/>
                      <w:color w:val="auto"/>
                      <w:sz w:val="21"/>
                      <w:szCs w:val="21"/>
                      <w:highlight w:val="none"/>
                      <w:lang w:val="en-US" w:eastAsia="zh-CN"/>
                    </w:rPr>
                    <w:t>80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围堰</w:t>
                  </w:r>
                  <w:r>
                    <w:rPr>
                      <w:rFonts w:hint="eastAsia" w:cs="Times New Roman"/>
                      <w:color w:val="auto"/>
                      <w:sz w:val="21"/>
                      <w:szCs w:val="21"/>
                      <w:highlight w:val="none"/>
                      <w:lang w:val="en-US" w:eastAsia="zh-CN"/>
                    </w:rPr>
                    <w:t>。厂区设置</w:t>
                  </w:r>
                  <w:r>
                    <w:rPr>
                      <w:rFonts w:hint="default" w:ascii="Times New Roman" w:hAnsi="Times New Roman" w:eastAsia="宋体" w:cs="Times New Roman"/>
                      <w:color w:val="auto"/>
                      <w:sz w:val="21"/>
                      <w:szCs w:val="21"/>
                      <w:highlight w:val="none"/>
                      <w:lang w:val="en-US" w:eastAsia="zh-CN"/>
                    </w:rPr>
                    <w:t>600m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事故池，厂区分区防渗。初期雨水池</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，用于收集厂区初期雨水。</w:t>
                  </w:r>
                </w:p>
              </w:tc>
              <w:tc>
                <w:tcPr>
                  <w:tcW w:w="1228" w:type="pct"/>
                  <w:shd w:val="clear" w:color="auto" w:fill="auto"/>
                  <w:vAlign w:val="center"/>
                </w:tcPr>
                <w:p w14:paraId="3AE4A15E">
                  <w:pPr>
                    <w:keepNext/>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硝酸铵罐区设置围堰，围堰尺寸17.3m*9.2m*1.2m，有效容积190m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。事故废水依托现有600m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事故池，厂区分区防渗。初期雨水池扩建后为1</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，用于收集厂区初期雨水。</w:t>
                  </w:r>
                </w:p>
              </w:tc>
              <w:tc>
                <w:tcPr>
                  <w:tcW w:w="1288" w:type="pct"/>
                  <w:shd w:val="clear" w:color="auto" w:fill="auto"/>
                  <w:vAlign w:val="center"/>
                </w:tcPr>
                <w:p w14:paraId="6DB2D9C5">
                  <w:pPr>
                    <w:keepNext/>
                    <w:keepLines w:val="0"/>
                    <w:pageBreakBefore w:val="0"/>
                    <w:kinsoku/>
                    <w:wordWrap/>
                    <w:overflowPunct/>
                    <w:topLinePunct w:val="0"/>
                    <w:bidi w:val="0"/>
                    <w:spacing w:line="240" w:lineRule="auto"/>
                    <w:ind w:firstLine="0"/>
                    <w:jc w:val="center"/>
                    <w:outlineLvl w:val="9"/>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硝酸铵罐区设置围堰，围堰尺寸17.3m*9.2m*1.2m，有效容积190m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p w14:paraId="728CE0FD">
                  <w:pPr>
                    <w:keepNext/>
                    <w:keepLines w:val="0"/>
                    <w:pageBreakBefore w:val="0"/>
                    <w:kinsoku/>
                    <w:wordWrap/>
                    <w:overflowPunct/>
                    <w:topLinePunct w:val="0"/>
                    <w:bidi w:val="0"/>
                    <w:spacing w:line="240" w:lineRule="auto"/>
                    <w:ind w:firstLine="0"/>
                    <w:jc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依托厂区</w:t>
                  </w:r>
                  <w:r>
                    <w:rPr>
                      <w:rFonts w:hint="default" w:ascii="Times New Roman" w:hAnsi="Times New Roman" w:eastAsia="宋体" w:cs="Times New Roman"/>
                      <w:color w:val="auto"/>
                      <w:sz w:val="21"/>
                      <w:szCs w:val="21"/>
                      <w:highlight w:val="none"/>
                      <w:lang w:val="en-US" w:eastAsia="zh-CN"/>
                    </w:rPr>
                    <w:t>现有600m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事故池</w:t>
                  </w:r>
                  <w:r>
                    <w:rPr>
                      <w:rFonts w:hint="eastAsia" w:cs="Times New Roman"/>
                      <w:color w:val="auto"/>
                      <w:sz w:val="21"/>
                      <w:szCs w:val="21"/>
                      <w:highlight w:val="none"/>
                      <w:lang w:val="en-US" w:eastAsia="zh-CN"/>
                    </w:rPr>
                    <w:t>。新建有效容积为300m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的初期雨水收集池，用于收集本项目产生的初期雨水。</w:t>
                  </w:r>
                </w:p>
              </w:tc>
              <w:tc>
                <w:tcPr>
                  <w:tcW w:w="876" w:type="pct"/>
                  <w:shd w:val="clear" w:color="auto" w:fill="auto"/>
                  <w:vAlign w:val="center"/>
                </w:tcPr>
                <w:p w14:paraId="12D418BB">
                  <w:pPr>
                    <w:keepNext/>
                    <w:keepLines w:val="0"/>
                    <w:pageBreakBefore w:val="0"/>
                    <w:kinsoku/>
                    <w:wordWrap/>
                    <w:overflowPunct/>
                    <w:topLinePunct w:val="0"/>
                    <w:bidi w:val="0"/>
                    <w:spacing w:line="240" w:lineRule="auto"/>
                    <w:ind w:firstLine="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三个硝酸铵溶液罐区均设置围堰，容积分别为1个80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和两个</w:t>
                  </w:r>
                  <w:r>
                    <w:rPr>
                      <w:rFonts w:hint="eastAsia" w:cs="Times New Roman"/>
                      <w:color w:val="auto"/>
                      <w:sz w:val="21"/>
                      <w:szCs w:val="21"/>
                      <w:highlight w:val="none"/>
                      <w:lang w:val="en-US" w:eastAsia="zh-CN"/>
                    </w:rPr>
                    <w:t>190 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。建设1个</w:t>
                  </w:r>
                  <w:r>
                    <w:rPr>
                      <w:rFonts w:hint="default" w:ascii="Times New Roman" w:hAnsi="Times New Roman" w:eastAsia="宋体" w:cs="Times New Roman"/>
                      <w:color w:val="auto"/>
                      <w:sz w:val="21"/>
                      <w:szCs w:val="21"/>
                      <w:highlight w:val="none"/>
                      <w:lang w:val="en-US" w:eastAsia="zh-CN"/>
                    </w:rPr>
                    <w:t>600m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事故池</w:t>
                  </w:r>
                  <w:r>
                    <w:rPr>
                      <w:rFonts w:hint="eastAsia" w:cs="Times New Roman"/>
                      <w:color w:val="auto"/>
                      <w:sz w:val="21"/>
                      <w:szCs w:val="21"/>
                      <w:highlight w:val="none"/>
                      <w:lang w:val="en-US" w:eastAsia="zh-CN"/>
                    </w:rPr>
                    <w:t>，1个140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初期雨水池</w:t>
                  </w:r>
                  <w:r>
                    <w:rPr>
                      <w:rFonts w:hint="eastAsia" w:cs="Times New Roman"/>
                      <w:color w:val="auto"/>
                      <w:sz w:val="21"/>
                      <w:szCs w:val="21"/>
                      <w:highlight w:val="none"/>
                      <w:lang w:val="en-US" w:eastAsia="zh-CN"/>
                    </w:rPr>
                    <w:t>，1个300m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初期雨水池</w:t>
                  </w:r>
                </w:p>
              </w:tc>
            </w:tr>
          </w:tbl>
          <w:p w14:paraId="4923F885">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lang w:val="en-US" w:eastAsia="zh-CN"/>
              </w:rPr>
              <w:t>3</w:t>
            </w:r>
            <w:r>
              <w:rPr>
                <w:rFonts w:hint="eastAsia"/>
                <w:b/>
                <w:bCs/>
                <w:color w:val="auto"/>
                <w:sz w:val="24"/>
              </w:rPr>
              <w:t>、主要产品及产能</w:t>
            </w:r>
          </w:p>
          <w:p w14:paraId="6C9E5C64">
            <w:pPr>
              <w:keepNext/>
              <w:keepLines w:val="0"/>
              <w:pageBreakBefore w:val="0"/>
              <w:kinsoku/>
              <w:wordWrap/>
              <w:overflowPunct/>
              <w:topLinePunct w:val="0"/>
              <w:bidi w:val="0"/>
              <w:spacing w:line="360" w:lineRule="auto"/>
              <w:ind w:firstLine="480" w:firstLineChars="200"/>
              <w:outlineLvl w:val="9"/>
              <w:rPr>
                <w:color w:val="auto"/>
                <w:sz w:val="24"/>
              </w:rPr>
            </w:pPr>
            <w:r>
              <w:rPr>
                <w:rFonts w:hint="eastAsia" w:ascii="Times New Roman" w:hAnsi="Times New Roman" w:cs="Times New Roman"/>
                <w:color w:val="auto"/>
                <w:sz w:val="24"/>
                <w:szCs w:val="24"/>
                <w:highlight w:val="none"/>
                <w:lang w:val="en-US" w:eastAsia="zh-CN"/>
              </w:rPr>
              <w:t>2024年8月，工业和信息化部安全生产司下发了《工业和信息化部安全生产司关于调整北方爆破科技有限公司等三家企业民爆物品生产许可能力的复函》</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工安全函</w:t>
            </w:r>
            <w:r>
              <w:rPr>
                <w:rFonts w:hint="eastAsia" w:cs="Times New Roman"/>
                <w:color w:val="auto"/>
                <w:sz w:val="24"/>
                <w:szCs w:val="24"/>
                <w:highlight w:val="none"/>
                <w:lang w:val="en-US" w:eastAsia="zh-CN"/>
              </w:rPr>
              <w:t>〔2024〕177号）</w:t>
            </w:r>
            <w:r>
              <w:rPr>
                <w:rFonts w:hint="eastAsia" w:ascii="Times New Roman" w:hAnsi="Times New Roman" w:cs="Times New Roman"/>
                <w:color w:val="auto"/>
                <w:sz w:val="24"/>
                <w:szCs w:val="24"/>
                <w:highlight w:val="none"/>
                <w:lang w:val="en-US" w:eastAsia="zh-CN"/>
              </w:rPr>
              <w:t>，其中“三、同意北方爆破科技有限公司将北京市生产地址待定的年产7000吨震源药柱生产许可能力，调整至朝阳红山化工有限责任公司”</w:t>
            </w:r>
            <w:r>
              <w:rPr>
                <w:rFonts w:hint="eastAsia" w:cs="Times New Roman"/>
                <w:color w:val="auto"/>
                <w:sz w:val="24"/>
                <w:szCs w:val="24"/>
                <w:highlight w:val="none"/>
                <w:lang w:val="en-US" w:eastAsia="zh-CN"/>
              </w:rPr>
              <w:t>。</w:t>
            </w:r>
            <w:r>
              <w:rPr>
                <w:rFonts w:hint="eastAsia"/>
                <w:color w:val="auto"/>
                <w:sz w:val="24"/>
              </w:rPr>
              <w:t>本项目产品方案见表</w:t>
            </w:r>
            <w:r>
              <w:rPr>
                <w:color w:val="auto"/>
                <w:sz w:val="24"/>
              </w:rPr>
              <w:t>2-</w:t>
            </w:r>
            <w:r>
              <w:rPr>
                <w:rFonts w:hint="eastAsia"/>
                <w:color w:val="auto"/>
                <w:sz w:val="24"/>
                <w:lang w:val="en-US" w:eastAsia="zh-CN"/>
              </w:rPr>
              <w:t>3</w:t>
            </w:r>
            <w:r>
              <w:rPr>
                <w:rFonts w:hint="eastAsia"/>
                <w:color w:val="auto"/>
                <w:sz w:val="24"/>
              </w:rPr>
              <w:t>。</w:t>
            </w:r>
          </w:p>
          <w:p w14:paraId="2EB6BD9F">
            <w:pPr>
              <w:keepNext/>
              <w:keepLines w:val="0"/>
              <w:pageBreakBefore w:val="0"/>
              <w:kinsoku/>
              <w:wordWrap/>
              <w:overflowPunct/>
              <w:topLinePunct w:val="0"/>
              <w:bidi w:val="0"/>
              <w:jc w:val="center"/>
              <w:outlineLvl w:val="9"/>
              <w:rPr>
                <w:color w:val="auto"/>
                <w:sz w:val="24"/>
                <w:szCs w:val="32"/>
              </w:rPr>
            </w:pPr>
            <w:r>
              <w:rPr>
                <w:b/>
                <w:bCs/>
                <w:color w:val="auto"/>
              </w:rPr>
              <w:t>表2-</w:t>
            </w:r>
            <w:r>
              <w:rPr>
                <w:rFonts w:hint="eastAsia"/>
                <w:b/>
                <w:bCs/>
                <w:color w:val="auto"/>
                <w:lang w:val="en-US" w:eastAsia="zh-CN"/>
              </w:rPr>
              <w:t>3</w:t>
            </w:r>
            <w:r>
              <w:rPr>
                <w:rFonts w:hint="eastAsia"/>
                <w:b/>
                <w:bCs/>
                <w:color w:val="auto"/>
              </w:rPr>
              <w:t xml:space="preserve">  本项目主要产品一览表</w:t>
            </w:r>
          </w:p>
          <w:tbl>
            <w:tblPr>
              <w:tblStyle w:val="32"/>
              <w:tblW w:w="49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1356"/>
              <w:gridCol w:w="2726"/>
              <w:gridCol w:w="1668"/>
              <w:gridCol w:w="1826"/>
            </w:tblGrid>
            <w:tr w14:paraId="6998A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14:paraId="4FC5A62D">
                  <w:pPr>
                    <w:keepNext/>
                    <w:keepLines w:val="0"/>
                    <w:pageBreakBefore w:val="0"/>
                    <w:kinsoku/>
                    <w:wordWrap/>
                    <w:overflowPunct/>
                    <w:topLinePunct w:val="0"/>
                    <w:bidi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820" w:type="pct"/>
                  <w:vAlign w:val="center"/>
                </w:tcPr>
                <w:p w14:paraId="4824FA50">
                  <w:pPr>
                    <w:keepNext/>
                    <w:keepLines w:val="0"/>
                    <w:pageBreakBefore w:val="0"/>
                    <w:kinsoku/>
                    <w:wordWrap/>
                    <w:overflowPunct/>
                    <w:topLinePunct w:val="0"/>
                    <w:bidi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产品名称</w:t>
                  </w:r>
                </w:p>
              </w:tc>
              <w:tc>
                <w:tcPr>
                  <w:tcW w:w="1649" w:type="pct"/>
                  <w:vAlign w:val="center"/>
                </w:tcPr>
                <w:p w14:paraId="1521EC29">
                  <w:pPr>
                    <w:keepNext/>
                    <w:keepLines w:val="0"/>
                    <w:pageBreakBefore w:val="0"/>
                    <w:kinsoku/>
                    <w:wordWrap/>
                    <w:overflowPunct/>
                    <w:topLinePunct w:val="0"/>
                    <w:bidi w:val="0"/>
                    <w:jc w:val="center"/>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规格</w:t>
                  </w:r>
                </w:p>
              </w:tc>
              <w:tc>
                <w:tcPr>
                  <w:tcW w:w="1009" w:type="pct"/>
                  <w:vAlign w:val="center"/>
                </w:tcPr>
                <w:p w14:paraId="39C7A674">
                  <w:pPr>
                    <w:keepNext/>
                    <w:keepLines w:val="0"/>
                    <w:pageBreakBefore w:val="0"/>
                    <w:kinsoku/>
                    <w:wordWrap/>
                    <w:overflowPunct/>
                    <w:topLinePunct w:val="0"/>
                    <w:bidi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生产能力</w:t>
                  </w:r>
                  <w:r>
                    <w:rPr>
                      <w:rFonts w:hint="default" w:ascii="Times New Roman" w:hAnsi="Times New Roman" w:eastAsia="宋体" w:cs="Times New Roman"/>
                      <w:color w:val="auto"/>
                      <w:sz w:val="21"/>
                      <w:szCs w:val="21"/>
                    </w:rPr>
                    <w:t>t/a</w:t>
                  </w:r>
                </w:p>
              </w:tc>
              <w:tc>
                <w:tcPr>
                  <w:tcW w:w="1104" w:type="pct"/>
                  <w:vAlign w:val="center"/>
                </w:tcPr>
                <w:p w14:paraId="01B6E166">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snapToGrid/>
                      <w:color w:val="auto"/>
                      <w:sz w:val="21"/>
                      <w:szCs w:val="21"/>
                      <w:lang w:val="en-US" w:eastAsia="zh-CN"/>
                    </w:rPr>
                    <w:t>执行标准</w:t>
                  </w:r>
                </w:p>
              </w:tc>
            </w:tr>
            <w:tr w14:paraId="79D7F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5" w:type="pct"/>
                  <w:vAlign w:val="center"/>
                </w:tcPr>
                <w:p w14:paraId="6769D223">
                  <w:pPr>
                    <w:keepNext/>
                    <w:keepLines w:val="0"/>
                    <w:pageBreakBefore w:val="0"/>
                    <w:kinsoku/>
                    <w:wordWrap/>
                    <w:overflowPunct/>
                    <w:topLinePunct w:val="0"/>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20" w:type="pct"/>
                  <w:vAlign w:val="center"/>
                </w:tcPr>
                <w:p w14:paraId="52C041E9">
                  <w:pPr>
                    <w:keepNext/>
                    <w:keepLines w:val="0"/>
                    <w:pageBreakBefore w:val="0"/>
                    <w:kinsoku/>
                    <w:wordWrap/>
                    <w:overflowPunct/>
                    <w:topLinePunct w:val="0"/>
                    <w:bidi w:val="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7"/>
                      <w:sz w:val="21"/>
                      <w:szCs w:val="21"/>
                    </w:rPr>
                    <w:t>乳</w:t>
                  </w:r>
                  <w:r>
                    <w:rPr>
                      <w:rFonts w:hint="default" w:ascii="Times New Roman" w:hAnsi="Times New Roman" w:eastAsia="宋体" w:cs="Times New Roman"/>
                      <w:color w:val="auto"/>
                      <w:spacing w:val="6"/>
                      <w:sz w:val="21"/>
                      <w:szCs w:val="21"/>
                    </w:rPr>
                    <w:t>化炸</w:t>
                  </w:r>
                  <w:r>
                    <w:rPr>
                      <w:rFonts w:hint="default" w:ascii="Times New Roman" w:hAnsi="Times New Roman" w:eastAsia="宋体" w:cs="Times New Roman"/>
                      <w:color w:val="auto"/>
                      <w:sz w:val="21"/>
                      <w:szCs w:val="21"/>
                    </w:rPr>
                    <w:t>药</w:t>
                  </w:r>
                  <w:r>
                    <w:rPr>
                      <w:rFonts w:hint="default" w:ascii="Times New Roman" w:hAnsi="Times New Roman" w:eastAsia="宋体" w:cs="Times New Roman"/>
                      <w:color w:val="auto"/>
                      <w:sz w:val="21"/>
                      <w:szCs w:val="21"/>
                      <w:lang w:val="en-US" w:eastAsia="zh-CN"/>
                    </w:rPr>
                    <w:t>震源药柱</w:t>
                  </w:r>
                </w:p>
              </w:tc>
              <w:tc>
                <w:tcPr>
                  <w:tcW w:w="1649" w:type="pct"/>
                  <w:vAlign w:val="center"/>
                </w:tcPr>
                <w:p w14:paraId="0CDF7A04">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7"/>
                      <w:sz w:val="21"/>
                      <w:szCs w:val="21"/>
                      <w:lang w:val="en-US" w:eastAsia="zh-CN"/>
                    </w:rPr>
                  </w:pPr>
                  <w:bookmarkStart w:id="32" w:name="OLE_LINK48"/>
                  <w:r>
                    <w:rPr>
                      <w:rFonts w:hint="default" w:ascii="Times New Roman" w:hAnsi="Times New Roman" w:eastAsia="宋体" w:cs="Times New Roman"/>
                      <w:color w:val="auto"/>
                      <w:spacing w:val="7"/>
                      <w:sz w:val="21"/>
                      <w:szCs w:val="21"/>
                      <w:lang w:val="en-US" w:eastAsia="zh-CN"/>
                    </w:rPr>
                    <w:t>药柱外径∅60mm±1mm，单节质量1000g±35g；</w:t>
                  </w:r>
                </w:p>
                <w:p w14:paraId="7EB9A4EB">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7"/>
                      <w:sz w:val="21"/>
                      <w:szCs w:val="21"/>
                      <w:lang w:val="en-US" w:eastAsia="zh-CN"/>
                    </w:rPr>
                  </w:pPr>
                  <w:r>
                    <w:rPr>
                      <w:rFonts w:hint="default" w:ascii="Times New Roman" w:hAnsi="Times New Roman" w:eastAsia="宋体" w:cs="Times New Roman"/>
                      <w:color w:val="auto"/>
                      <w:spacing w:val="7"/>
                      <w:sz w:val="21"/>
                      <w:szCs w:val="21"/>
                      <w:lang w:val="en-US" w:eastAsia="zh-CN"/>
                    </w:rPr>
                    <w:t>药柱外径∅60mm±1mm，单节质量2000g±50g；</w:t>
                  </w:r>
                </w:p>
              </w:tc>
              <w:tc>
                <w:tcPr>
                  <w:tcW w:w="1009" w:type="pct"/>
                  <w:vAlign w:val="center"/>
                </w:tcPr>
                <w:p w14:paraId="0CEC283E">
                  <w:pPr>
                    <w:keepNext/>
                    <w:keepLines w:val="0"/>
                    <w:pageBreakBefore w:val="0"/>
                    <w:kinsoku/>
                    <w:wordWrap/>
                    <w:overflowPunct/>
                    <w:topLinePunct w:val="0"/>
                    <w:bidi w:val="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7000</w:t>
                  </w:r>
                </w:p>
              </w:tc>
              <w:tc>
                <w:tcPr>
                  <w:tcW w:w="1104" w:type="pct"/>
                  <w:vAlign w:val="center"/>
                </w:tcPr>
                <w:p w14:paraId="3750DB62">
                  <w:pPr>
                    <w:keepNext/>
                    <w:keepLines w:val="0"/>
                    <w:pageBreakBefore w:val="0"/>
                    <w:kinsoku/>
                    <w:wordWrap/>
                    <w:overflowPunct/>
                    <w:topLinePunct w:val="0"/>
                    <w:bidi w:val="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《工业炸药制品通用技术条件》</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GB 15563-20</w:t>
                  </w:r>
                  <w:r>
                    <w:rPr>
                      <w:rFonts w:hint="eastAsia" w:cs="Times New Roman"/>
                      <w:color w:val="auto"/>
                      <w:sz w:val="21"/>
                      <w:szCs w:val="21"/>
                      <w:lang w:val="en-US" w:eastAsia="zh-CN"/>
                    </w:rPr>
                    <w:t>24</w:t>
                  </w:r>
                  <w:r>
                    <w:rPr>
                      <w:rFonts w:hint="default" w:ascii="Times New Roman" w:hAnsi="Times New Roman" w:eastAsia="宋体" w:cs="Times New Roman"/>
                      <w:color w:val="auto"/>
                      <w:sz w:val="21"/>
                      <w:szCs w:val="21"/>
                      <w:lang w:val="en-US" w:eastAsia="zh-CN"/>
                    </w:rPr>
                    <w:t>)</w:t>
                  </w:r>
                  <w:bookmarkEnd w:id="32"/>
                </w:p>
              </w:tc>
            </w:tr>
          </w:tbl>
          <w:p w14:paraId="273127EF">
            <w:pPr>
              <w:keepNext/>
              <w:keepLines w:val="0"/>
              <w:pageBreakBefore w:val="0"/>
              <w:widowControl w:val="0"/>
              <w:kinsoku/>
              <w:wordWrap/>
              <w:overflowPunct/>
              <w:topLinePunct w:val="0"/>
              <w:autoSpaceDE/>
              <w:autoSpaceDN/>
              <w:bidi w:val="0"/>
              <w:adjustRightInd/>
              <w:snapToGrid/>
              <w:spacing w:before="94" w:line="228" w:lineRule="auto"/>
              <w:ind w:firstLine="480" w:firstLineChars="200"/>
              <w:textAlignment w:val="auto"/>
              <w:outlineLvl w:val="9"/>
              <w:rPr>
                <w:rFonts w:hint="default" w:ascii="Times New Roman" w:hAnsi="Times New Roman" w:cs="Times New Roman"/>
                <w:b/>
                <w:bCs/>
                <w:color w:val="auto"/>
                <w:sz w:val="24"/>
                <w:szCs w:val="24"/>
                <w:lang w:val="en-US" w:eastAsia="zh-CN"/>
              </w:rPr>
            </w:pPr>
            <w:r>
              <w:rPr>
                <w:rFonts w:hint="eastAsia" w:ascii="Times New Roman" w:hAnsi="Times New Roman" w:cs="Times New Roman"/>
                <w:b w:val="0"/>
                <w:bCs w:val="0"/>
                <w:color w:val="auto"/>
                <w:sz w:val="24"/>
                <w:szCs w:val="24"/>
                <w:lang w:val="en-US" w:eastAsia="zh-CN"/>
              </w:rPr>
              <w:t>本项目扩建后全厂产品情况见表</w:t>
            </w:r>
            <w:r>
              <w:rPr>
                <w:rFonts w:hint="eastAsia" w:cs="Times New Roman"/>
                <w:b w:val="0"/>
                <w:bCs w:val="0"/>
                <w:color w:val="auto"/>
                <w:sz w:val="24"/>
                <w:szCs w:val="24"/>
                <w:lang w:val="en-US" w:eastAsia="zh-CN"/>
              </w:rPr>
              <w:t>2-4</w:t>
            </w:r>
            <w:r>
              <w:rPr>
                <w:rFonts w:hint="eastAsia" w:ascii="Times New Roman" w:hAnsi="Times New Roman" w:cs="Times New Roman"/>
                <w:b w:val="0"/>
                <w:bCs w:val="0"/>
                <w:color w:val="auto"/>
                <w:sz w:val="24"/>
                <w:szCs w:val="24"/>
                <w:lang w:val="en-US" w:eastAsia="zh-CN"/>
              </w:rPr>
              <w:t>。</w:t>
            </w:r>
          </w:p>
          <w:p w14:paraId="665B64F6">
            <w:pPr>
              <w:keepNext/>
              <w:keepLines w:val="0"/>
              <w:pageBreakBefore w:val="0"/>
              <w:kinsoku/>
              <w:wordWrap/>
              <w:overflowPunct/>
              <w:topLinePunct w:val="0"/>
              <w:bidi w:val="0"/>
              <w:spacing w:before="91" w:line="219" w:lineRule="auto"/>
              <w:ind w:left="9"/>
              <w:jc w:val="center"/>
              <w:outlineLvl w:val="9"/>
              <w:rPr>
                <w:rFonts w:hint="default" w:ascii="宋体" w:hAnsi="宋体" w:eastAsia="宋体" w:cs="宋体"/>
                <w:b/>
                <w:bCs/>
                <w:color w:val="auto"/>
                <w:sz w:val="21"/>
                <w:szCs w:val="21"/>
                <w:lang w:val="en-US" w:eastAsia="zh-CN"/>
              </w:rPr>
            </w:pPr>
            <w:r>
              <w:rPr>
                <w:rFonts w:hint="eastAsia" w:ascii="宋体" w:hAnsi="宋体" w:eastAsia="宋体" w:cs="宋体"/>
                <w:b/>
                <w:bCs/>
                <w:color w:val="auto"/>
                <w:spacing w:val="-3"/>
                <w:sz w:val="24"/>
                <w:szCs w:val="24"/>
                <w:lang w:val="en-US" w:eastAsia="zh-CN"/>
              </w:rPr>
              <w:t xml:space="preserve">                </w:t>
            </w:r>
            <w:r>
              <w:rPr>
                <w:rFonts w:hint="eastAsia" w:ascii="宋体" w:hAnsi="宋体" w:eastAsia="宋体" w:cs="宋体"/>
                <w:b/>
                <w:bCs/>
                <w:color w:val="auto"/>
                <w:spacing w:val="-3"/>
                <w:sz w:val="21"/>
                <w:szCs w:val="21"/>
                <w:lang w:val="en-US" w:eastAsia="zh-CN"/>
              </w:rPr>
              <w:t xml:space="preserve">     </w:t>
            </w:r>
            <w:r>
              <w:rPr>
                <w:rFonts w:hint="default" w:ascii="Times New Roman" w:hAnsi="Times New Roman" w:eastAsia="宋体" w:cs="Times New Roman"/>
                <w:b/>
                <w:bCs/>
                <w:color w:val="auto"/>
                <w:spacing w:val="-3"/>
                <w:sz w:val="21"/>
                <w:szCs w:val="21"/>
                <w:lang w:val="en-US" w:eastAsia="zh-CN"/>
              </w:rPr>
              <w:t>表</w:t>
            </w:r>
            <w:r>
              <w:rPr>
                <w:rFonts w:hint="eastAsia" w:cs="Times New Roman"/>
                <w:b/>
                <w:bCs/>
                <w:color w:val="auto"/>
                <w:spacing w:val="-3"/>
                <w:sz w:val="21"/>
                <w:szCs w:val="21"/>
                <w:lang w:val="en-US" w:eastAsia="zh-CN"/>
              </w:rPr>
              <w:t>2-4</w:t>
            </w:r>
            <w:r>
              <w:rPr>
                <w:rFonts w:hint="eastAsia" w:ascii="宋体" w:hAnsi="宋体" w:eastAsia="宋体" w:cs="宋体"/>
                <w:b/>
                <w:bCs/>
                <w:color w:val="auto"/>
                <w:spacing w:val="-3"/>
                <w:sz w:val="21"/>
                <w:szCs w:val="21"/>
                <w:lang w:val="en-US" w:eastAsia="zh-CN"/>
              </w:rPr>
              <w:t xml:space="preserve">  扩建后全厂产品</w:t>
            </w:r>
            <w:r>
              <w:rPr>
                <w:rFonts w:hint="eastAsia"/>
                <w:b/>
                <w:bCs/>
                <w:color w:val="auto"/>
                <w:sz w:val="21"/>
                <w:szCs w:val="21"/>
              </w:rPr>
              <w:t>一览表</w:t>
            </w:r>
            <w:r>
              <w:rPr>
                <w:rFonts w:hint="eastAsia" w:ascii="宋体" w:hAnsi="宋体" w:eastAsia="宋体" w:cs="宋体"/>
                <w:b/>
                <w:bCs/>
                <w:color w:val="auto"/>
                <w:spacing w:val="-3"/>
                <w:sz w:val="21"/>
                <w:szCs w:val="21"/>
                <w:lang w:val="en-US" w:eastAsia="zh-CN"/>
              </w:rPr>
              <w:t xml:space="preserve">        单位：</w:t>
            </w:r>
            <w:r>
              <w:rPr>
                <w:rFonts w:ascii="Times New Roman" w:hAnsi="Times New Roman" w:eastAsia="Times New Roman" w:cs="Times New Roman"/>
                <w:b/>
                <w:bCs/>
                <w:color w:val="auto"/>
                <w:sz w:val="21"/>
                <w:szCs w:val="21"/>
              </w:rPr>
              <w:t>t</w:t>
            </w:r>
            <w:r>
              <w:rPr>
                <w:rFonts w:hint="eastAsia" w:ascii="Times New Roman" w:hAnsi="Times New Roman" w:eastAsia="宋体" w:cs="Times New Roman"/>
                <w:b/>
                <w:bCs/>
                <w:color w:val="auto"/>
                <w:sz w:val="21"/>
                <w:szCs w:val="21"/>
                <w:lang w:val="en-US" w:eastAsia="zh-CN"/>
              </w:rPr>
              <w:t>/a</w:t>
            </w:r>
          </w:p>
          <w:p w14:paraId="6B46ED10">
            <w:pPr>
              <w:keepNext/>
              <w:keepLines w:val="0"/>
              <w:pageBreakBefore w:val="0"/>
              <w:kinsoku/>
              <w:wordWrap/>
              <w:overflowPunct/>
              <w:topLinePunct w:val="0"/>
              <w:bidi w:val="0"/>
              <w:spacing w:line="18" w:lineRule="exact"/>
              <w:outlineLvl w:val="9"/>
              <w:rPr>
                <w:color w:val="auto"/>
              </w:rPr>
            </w:pPr>
          </w:p>
          <w:tbl>
            <w:tblPr>
              <w:tblStyle w:val="85"/>
              <w:tblW w:w="496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67"/>
              <w:gridCol w:w="2234"/>
              <w:gridCol w:w="1242"/>
              <w:gridCol w:w="1707"/>
              <w:gridCol w:w="1234"/>
              <w:gridCol w:w="1179"/>
            </w:tblGrid>
            <w:tr w14:paraId="56A2A8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1" w:hRule="atLeast"/>
              </w:trPr>
              <w:tc>
                <w:tcPr>
                  <w:tcW w:w="404" w:type="pct"/>
                  <w:vAlign w:val="center"/>
                </w:tcPr>
                <w:p w14:paraId="519DCAFC">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ascii="宋体" w:hAnsi="宋体" w:eastAsia="宋体" w:cs="宋体"/>
                      <w:color w:val="auto"/>
                      <w:spacing w:val="-3"/>
                      <w:sz w:val="21"/>
                      <w:szCs w:val="21"/>
                    </w:rPr>
                    <w:t>序</w:t>
                  </w:r>
                  <w:r>
                    <w:rPr>
                      <w:rFonts w:ascii="宋体" w:hAnsi="宋体" w:eastAsia="宋体" w:cs="宋体"/>
                      <w:color w:val="auto"/>
                      <w:spacing w:val="-2"/>
                      <w:sz w:val="21"/>
                      <w:szCs w:val="21"/>
                    </w:rPr>
                    <w:t>号</w:t>
                  </w:r>
                </w:p>
              </w:tc>
              <w:tc>
                <w:tcPr>
                  <w:tcW w:w="1351" w:type="pct"/>
                  <w:vAlign w:val="center"/>
                </w:tcPr>
                <w:p w14:paraId="6E7AD47F">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hint="eastAsia" w:ascii="宋体" w:hAnsi="宋体" w:eastAsia="宋体" w:cs="宋体"/>
                      <w:color w:val="auto"/>
                      <w:spacing w:val="-2"/>
                      <w:sz w:val="21"/>
                      <w:szCs w:val="21"/>
                      <w:lang w:val="en-US" w:eastAsia="zh-CN"/>
                    </w:rPr>
                    <w:t>产品</w:t>
                  </w:r>
                  <w:r>
                    <w:rPr>
                      <w:rFonts w:ascii="宋体" w:hAnsi="宋体" w:eastAsia="宋体" w:cs="宋体"/>
                      <w:color w:val="auto"/>
                      <w:spacing w:val="-2"/>
                      <w:sz w:val="21"/>
                      <w:szCs w:val="21"/>
                    </w:rPr>
                    <w:t>名</w:t>
                  </w:r>
                  <w:r>
                    <w:rPr>
                      <w:rFonts w:ascii="宋体" w:hAnsi="宋体" w:eastAsia="宋体" w:cs="宋体"/>
                      <w:color w:val="auto"/>
                      <w:spacing w:val="-1"/>
                      <w:sz w:val="21"/>
                      <w:szCs w:val="21"/>
                    </w:rPr>
                    <w:t>称</w:t>
                  </w:r>
                </w:p>
              </w:tc>
              <w:tc>
                <w:tcPr>
                  <w:tcW w:w="751" w:type="pct"/>
                  <w:vAlign w:val="center"/>
                </w:tcPr>
                <w:p w14:paraId="0907D55A">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扩建前</w:t>
                  </w:r>
                </w:p>
              </w:tc>
              <w:tc>
                <w:tcPr>
                  <w:tcW w:w="1032" w:type="pct"/>
                  <w:vAlign w:val="center"/>
                </w:tcPr>
                <w:p w14:paraId="374ECA53">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pacing w:val="22"/>
                      <w:sz w:val="21"/>
                      <w:szCs w:val="21"/>
                      <w:lang w:val="en-US" w:eastAsia="zh-CN"/>
                    </w:rPr>
                    <w:t>本项目</w:t>
                  </w:r>
                </w:p>
              </w:tc>
              <w:tc>
                <w:tcPr>
                  <w:tcW w:w="746" w:type="pct"/>
                  <w:vAlign w:val="center"/>
                </w:tcPr>
                <w:p w14:paraId="0F603691">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扩建后全厂</w:t>
                  </w:r>
                </w:p>
              </w:tc>
              <w:tc>
                <w:tcPr>
                  <w:tcW w:w="713" w:type="pct"/>
                  <w:vAlign w:val="center"/>
                </w:tcPr>
                <w:p w14:paraId="3C20F207">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变化量</w:t>
                  </w:r>
                </w:p>
              </w:tc>
            </w:tr>
            <w:tr w14:paraId="62E844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404" w:type="pct"/>
                  <w:vAlign w:val="center"/>
                </w:tcPr>
                <w:p w14:paraId="2D1CFB3D">
                  <w:pPr>
                    <w:keepNext/>
                    <w:keepLines w:val="0"/>
                    <w:pageBreakBefore w:val="0"/>
                    <w:kinsoku/>
                    <w:wordWrap/>
                    <w:overflowPunct/>
                    <w:topLinePunct w:val="0"/>
                    <w:autoSpaceDE w:val="0"/>
                    <w:autoSpaceDN w:val="0"/>
                    <w:bidi w:val="0"/>
                    <w:spacing w:line="240" w:lineRule="auto"/>
                    <w:ind w:left="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351" w:type="pct"/>
                  <w:vAlign w:val="center"/>
                </w:tcPr>
                <w:p w14:paraId="0FC326FF">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spacing w:val="7"/>
                      <w:sz w:val="21"/>
                      <w:szCs w:val="21"/>
                    </w:rPr>
                  </w:pPr>
                  <w:r>
                    <w:rPr>
                      <w:rFonts w:ascii="宋体" w:hAnsi="宋体" w:eastAsia="宋体" w:cs="宋体"/>
                      <w:color w:val="auto"/>
                      <w:sz w:val="21"/>
                      <w:szCs w:val="21"/>
                    </w:rPr>
                    <w:t>乳化粒状铵油炸药</w:t>
                  </w:r>
                  <w:r>
                    <w:rPr>
                      <w:rFonts w:hint="default" w:ascii="Times New Roman" w:hAnsi="Times New Roman" w:eastAsia="宋体" w:cs="Times New Roman"/>
                      <w:color w:val="auto"/>
                      <w:spacing w:val="7"/>
                      <w:sz w:val="21"/>
                      <w:szCs w:val="21"/>
                      <w:highlight w:val="none"/>
                    </w:rPr>
                    <w:t>（含9000t乳</w:t>
                  </w:r>
                  <w:r>
                    <w:rPr>
                      <w:rFonts w:hint="eastAsia" w:ascii="宋体" w:hAnsi="宋体" w:eastAsia="宋体" w:cs="宋体"/>
                      <w:color w:val="auto"/>
                      <w:spacing w:val="7"/>
                      <w:sz w:val="21"/>
                      <w:szCs w:val="21"/>
                      <w:highlight w:val="none"/>
                    </w:rPr>
                    <w:t>胶基质）</w:t>
                  </w:r>
                </w:p>
              </w:tc>
              <w:tc>
                <w:tcPr>
                  <w:tcW w:w="751" w:type="pct"/>
                  <w:vAlign w:val="center"/>
                </w:tcPr>
                <w:p w14:paraId="175A745E">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21000</w:t>
                  </w:r>
                </w:p>
              </w:tc>
              <w:tc>
                <w:tcPr>
                  <w:tcW w:w="1032" w:type="pct"/>
                  <w:vAlign w:val="center"/>
                </w:tcPr>
                <w:p w14:paraId="223325E0">
                  <w:pPr>
                    <w:keepNext/>
                    <w:keepLines w:val="0"/>
                    <w:pageBreakBefore w:val="0"/>
                    <w:kinsoku/>
                    <w:wordWrap/>
                    <w:overflowPunct/>
                    <w:topLinePunct w:val="0"/>
                    <w:autoSpaceDE w:val="0"/>
                    <w:autoSpaceDN w:val="0"/>
                    <w:bidi w:val="0"/>
                    <w:spacing w:line="240" w:lineRule="auto"/>
                    <w:ind w:left="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746" w:type="pct"/>
                  <w:vAlign w:val="center"/>
                </w:tcPr>
                <w:p w14:paraId="0A533D2D">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21000</w:t>
                  </w:r>
                </w:p>
              </w:tc>
              <w:tc>
                <w:tcPr>
                  <w:tcW w:w="713" w:type="pct"/>
                  <w:vAlign w:val="center"/>
                </w:tcPr>
                <w:p w14:paraId="5C3C418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r>
            <w:tr w14:paraId="233128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trPr>
              <w:tc>
                <w:tcPr>
                  <w:tcW w:w="404" w:type="pct"/>
                  <w:vAlign w:val="center"/>
                </w:tcPr>
                <w:p w14:paraId="3AEE07D5">
                  <w:pPr>
                    <w:keepNext/>
                    <w:keepLines w:val="0"/>
                    <w:pageBreakBefore w:val="0"/>
                    <w:kinsoku/>
                    <w:wordWrap/>
                    <w:overflowPunct/>
                    <w:topLinePunct w:val="0"/>
                    <w:autoSpaceDE w:val="0"/>
                    <w:autoSpaceDN w:val="0"/>
                    <w:bidi w:val="0"/>
                    <w:spacing w:line="240" w:lineRule="auto"/>
                    <w:ind w:left="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351" w:type="pct"/>
                  <w:vAlign w:val="center"/>
                </w:tcPr>
                <w:p w14:paraId="2DBEC684">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spacing w:val="7"/>
                      <w:sz w:val="21"/>
                      <w:szCs w:val="21"/>
                    </w:rPr>
                  </w:pPr>
                  <w:r>
                    <w:rPr>
                      <w:rFonts w:ascii="宋体" w:hAnsi="宋体" w:eastAsia="宋体" w:cs="宋体"/>
                      <w:color w:val="auto"/>
                      <w:spacing w:val="7"/>
                      <w:sz w:val="21"/>
                      <w:szCs w:val="21"/>
                    </w:rPr>
                    <w:t>乳</w:t>
                  </w:r>
                  <w:r>
                    <w:rPr>
                      <w:rFonts w:ascii="宋体" w:hAnsi="宋体" w:eastAsia="宋体" w:cs="宋体"/>
                      <w:color w:val="auto"/>
                      <w:spacing w:val="6"/>
                      <w:sz w:val="21"/>
                      <w:szCs w:val="21"/>
                    </w:rPr>
                    <w:t>化炸</w:t>
                  </w:r>
                  <w:r>
                    <w:rPr>
                      <w:rFonts w:ascii="宋体" w:hAnsi="宋体" w:eastAsia="宋体" w:cs="宋体"/>
                      <w:color w:val="auto"/>
                      <w:sz w:val="21"/>
                      <w:szCs w:val="21"/>
                    </w:rPr>
                    <w:t>药</w:t>
                  </w:r>
                </w:p>
              </w:tc>
              <w:tc>
                <w:tcPr>
                  <w:tcW w:w="751" w:type="pct"/>
                  <w:vAlign w:val="center"/>
                </w:tcPr>
                <w:p w14:paraId="021FD696">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8"/>
                      <w:sz w:val="21"/>
                      <w:szCs w:val="21"/>
                      <w:lang w:val="en-US" w:eastAsia="zh-CN"/>
                    </w:rPr>
                    <w:t>20000</w:t>
                  </w:r>
                </w:p>
              </w:tc>
              <w:tc>
                <w:tcPr>
                  <w:tcW w:w="1032" w:type="pct"/>
                  <w:vAlign w:val="center"/>
                </w:tcPr>
                <w:p w14:paraId="6DC3DA72">
                  <w:pPr>
                    <w:keepNext/>
                    <w:keepLines w:val="0"/>
                    <w:pageBreakBefore w:val="0"/>
                    <w:kinsoku/>
                    <w:wordWrap/>
                    <w:overflowPunct/>
                    <w:topLinePunct w:val="0"/>
                    <w:autoSpaceDE w:val="0"/>
                    <w:autoSpaceDN w:val="0"/>
                    <w:bidi w:val="0"/>
                    <w:spacing w:line="240" w:lineRule="auto"/>
                    <w:ind w:left="0"/>
                    <w:jc w:val="center"/>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746" w:type="pct"/>
                  <w:vAlign w:val="center"/>
                </w:tcPr>
                <w:p w14:paraId="5F7B6F1A">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8"/>
                      <w:sz w:val="21"/>
                      <w:szCs w:val="21"/>
                      <w:lang w:val="en-US" w:eastAsia="zh-CN"/>
                    </w:rPr>
                    <w:t>20000</w:t>
                  </w:r>
                </w:p>
              </w:tc>
              <w:tc>
                <w:tcPr>
                  <w:tcW w:w="713" w:type="pct"/>
                  <w:vAlign w:val="center"/>
                </w:tcPr>
                <w:p w14:paraId="79A9FB5A">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0</w:t>
                  </w:r>
                </w:p>
              </w:tc>
            </w:tr>
            <w:tr w14:paraId="6FB0F8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404" w:type="pct"/>
                  <w:vAlign w:val="center"/>
                </w:tcPr>
                <w:p w14:paraId="206E714E">
                  <w:pPr>
                    <w:keepNext/>
                    <w:keepLines w:val="0"/>
                    <w:pageBreakBefore w:val="0"/>
                    <w:kinsoku/>
                    <w:wordWrap/>
                    <w:overflowPunct/>
                    <w:topLinePunct w:val="0"/>
                    <w:autoSpaceDE w:val="0"/>
                    <w:autoSpaceDN w:val="0"/>
                    <w:bidi w:val="0"/>
                    <w:spacing w:line="240" w:lineRule="auto"/>
                    <w:ind w:left="0"/>
                    <w:jc w:val="center"/>
                    <w:outlineLvl w:val="9"/>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3</w:t>
                  </w:r>
                </w:p>
              </w:tc>
              <w:tc>
                <w:tcPr>
                  <w:tcW w:w="1351" w:type="pct"/>
                  <w:vAlign w:val="center"/>
                </w:tcPr>
                <w:p w14:paraId="3E096AC3">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sz w:val="21"/>
                      <w:szCs w:val="21"/>
                    </w:rPr>
                  </w:pPr>
                  <w:r>
                    <w:rPr>
                      <w:rFonts w:hint="default" w:ascii="Times New Roman" w:hAnsi="Times New Roman" w:eastAsia="宋体" w:cs="Times New Roman"/>
                      <w:color w:val="auto"/>
                      <w:spacing w:val="7"/>
                      <w:sz w:val="21"/>
                      <w:szCs w:val="21"/>
                    </w:rPr>
                    <w:t>乳</w:t>
                  </w:r>
                  <w:r>
                    <w:rPr>
                      <w:rFonts w:hint="default" w:ascii="Times New Roman" w:hAnsi="Times New Roman" w:eastAsia="宋体" w:cs="Times New Roman"/>
                      <w:color w:val="auto"/>
                      <w:spacing w:val="6"/>
                      <w:sz w:val="21"/>
                      <w:szCs w:val="21"/>
                    </w:rPr>
                    <w:t>化炸</w:t>
                  </w:r>
                  <w:r>
                    <w:rPr>
                      <w:rFonts w:hint="default" w:ascii="Times New Roman" w:hAnsi="Times New Roman" w:eastAsia="宋体" w:cs="Times New Roman"/>
                      <w:color w:val="auto"/>
                      <w:sz w:val="21"/>
                      <w:szCs w:val="21"/>
                    </w:rPr>
                    <w:t>药</w:t>
                  </w:r>
                  <w:r>
                    <w:rPr>
                      <w:rFonts w:hint="default" w:ascii="Times New Roman" w:hAnsi="Times New Roman" w:eastAsia="宋体" w:cs="Times New Roman"/>
                      <w:color w:val="auto"/>
                      <w:sz w:val="21"/>
                      <w:szCs w:val="21"/>
                      <w:lang w:val="en-US" w:eastAsia="zh-CN"/>
                    </w:rPr>
                    <w:t>震源药柱</w:t>
                  </w:r>
                </w:p>
              </w:tc>
              <w:tc>
                <w:tcPr>
                  <w:tcW w:w="751" w:type="pct"/>
                  <w:vAlign w:val="center"/>
                </w:tcPr>
                <w:p w14:paraId="56077453">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1032" w:type="pct"/>
                  <w:vAlign w:val="center"/>
                </w:tcPr>
                <w:p w14:paraId="339ADD58">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r>
                    <w:rPr>
                      <w:rFonts w:hint="default" w:ascii="Times New Roman" w:hAnsi="Times New Roman" w:eastAsia="宋体" w:cs="Times New Roman"/>
                      <w:color w:val="auto"/>
                      <w:sz w:val="21"/>
                      <w:szCs w:val="21"/>
                      <w:lang w:val="en-US" w:eastAsia="zh-CN"/>
                    </w:rPr>
                    <w:t>7000</w:t>
                  </w:r>
                </w:p>
              </w:tc>
              <w:tc>
                <w:tcPr>
                  <w:tcW w:w="746" w:type="pct"/>
                  <w:vAlign w:val="center"/>
                </w:tcPr>
                <w:p w14:paraId="54E327F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7000</w:t>
                  </w:r>
                </w:p>
              </w:tc>
              <w:tc>
                <w:tcPr>
                  <w:tcW w:w="713" w:type="pct"/>
                  <w:vAlign w:val="center"/>
                </w:tcPr>
                <w:p w14:paraId="325B7D70">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7000</w:t>
                  </w:r>
                </w:p>
              </w:tc>
            </w:tr>
          </w:tbl>
          <w:p w14:paraId="0D5F3DC9">
            <w:pPr>
              <w:pStyle w:val="119"/>
              <w:keepNext/>
              <w:keepLines w:val="0"/>
              <w:pageBreakBefore w:val="0"/>
              <w:kinsoku/>
              <w:wordWrap/>
              <w:overflowPunct/>
              <w:topLinePunct w:val="0"/>
              <w:bidi w:val="0"/>
              <w:ind w:firstLine="480"/>
              <w:outlineLvl w:val="9"/>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本项目</w:t>
            </w:r>
            <w:r>
              <w:rPr>
                <w:rFonts w:hint="default" w:ascii="Times New Roman" w:hAnsi="Times New Roman" w:eastAsia="宋体" w:cs="Times New Roman"/>
                <w:color w:val="auto"/>
                <w:spacing w:val="7"/>
                <w:sz w:val="24"/>
                <w:szCs w:val="24"/>
              </w:rPr>
              <w:t>乳</w:t>
            </w:r>
            <w:r>
              <w:rPr>
                <w:rFonts w:hint="default" w:ascii="Times New Roman" w:hAnsi="Times New Roman" w:eastAsia="宋体" w:cs="Times New Roman"/>
                <w:color w:val="auto"/>
                <w:spacing w:val="6"/>
                <w:sz w:val="24"/>
                <w:szCs w:val="24"/>
              </w:rPr>
              <w:t>化炸</w:t>
            </w:r>
            <w:r>
              <w:rPr>
                <w:rFonts w:hint="default" w:ascii="Times New Roman" w:hAnsi="Times New Roman" w:eastAsia="宋体" w:cs="Times New Roman"/>
                <w:color w:val="auto"/>
                <w:sz w:val="24"/>
                <w:szCs w:val="24"/>
              </w:rPr>
              <w:t>药</w:t>
            </w:r>
            <w:r>
              <w:rPr>
                <w:rFonts w:hint="default" w:ascii="Times New Roman" w:hAnsi="Times New Roman" w:eastAsia="宋体" w:cs="Times New Roman"/>
                <w:color w:val="auto"/>
                <w:sz w:val="24"/>
                <w:szCs w:val="24"/>
                <w:lang w:val="en-US" w:eastAsia="zh-CN"/>
              </w:rPr>
              <w:t>震源药柱</w:t>
            </w:r>
            <w:r>
              <w:rPr>
                <w:rFonts w:hint="eastAsia" w:ascii="Times New Roman" w:hAnsi="Times New Roman" w:cs="Times New Roman"/>
                <w:b w:val="0"/>
                <w:bCs w:val="0"/>
                <w:color w:val="auto"/>
                <w:sz w:val="24"/>
                <w:szCs w:val="24"/>
                <w:lang w:val="en-US" w:eastAsia="zh-CN"/>
              </w:rPr>
              <w:t>执行</w:t>
            </w:r>
            <w:r>
              <w:rPr>
                <w:rFonts w:hint="default" w:ascii="Times New Roman" w:hAnsi="Times New Roman" w:eastAsia="宋体" w:cs="Times New Roman"/>
                <w:color w:val="auto"/>
                <w:sz w:val="24"/>
                <w:szCs w:val="24"/>
                <w:lang w:val="en-US" w:eastAsia="zh-CN"/>
              </w:rPr>
              <w:t>《工业炸药制品通用技术条件》</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GB 15563-20</w:t>
            </w:r>
            <w:r>
              <w:rPr>
                <w:rFonts w:hint="eastAsia" w:cs="Times New Roman"/>
                <w:color w:val="auto"/>
                <w:sz w:val="24"/>
                <w:szCs w:val="24"/>
                <w:lang w:val="en-US" w:eastAsia="zh-CN"/>
              </w:rPr>
              <w:t>24）</w:t>
            </w:r>
            <w:r>
              <w:rPr>
                <w:rFonts w:hint="eastAsia" w:ascii="Times New Roman" w:hAnsi="Times New Roman" w:cs="Times New Roman"/>
                <w:b w:val="0"/>
                <w:bCs w:val="0"/>
                <w:color w:val="auto"/>
                <w:sz w:val="24"/>
                <w:szCs w:val="24"/>
                <w:lang w:val="en-US" w:eastAsia="zh-CN"/>
              </w:rPr>
              <w:t>，产品性能详细指标见表</w:t>
            </w:r>
            <w:r>
              <w:rPr>
                <w:rFonts w:hint="eastAsia" w:cs="Times New Roman"/>
                <w:b w:val="0"/>
                <w:bCs w:val="0"/>
                <w:color w:val="auto"/>
                <w:sz w:val="24"/>
                <w:szCs w:val="24"/>
                <w:lang w:val="en-US" w:eastAsia="zh-CN"/>
              </w:rPr>
              <w:t>2-5</w:t>
            </w:r>
            <w:r>
              <w:rPr>
                <w:rFonts w:hint="eastAsia" w:ascii="Times New Roman" w:hAnsi="Times New Roman" w:cs="Times New Roman"/>
                <w:b w:val="0"/>
                <w:bCs w:val="0"/>
                <w:color w:val="auto"/>
                <w:sz w:val="24"/>
                <w:szCs w:val="24"/>
                <w:lang w:val="en-US" w:eastAsia="zh-CN"/>
              </w:rPr>
              <w:t>。</w:t>
            </w:r>
          </w:p>
          <w:p w14:paraId="35B8BF3C">
            <w:pPr>
              <w:keepNext/>
              <w:keepLines w:val="0"/>
              <w:pageBreakBefore w:val="0"/>
              <w:kinsoku/>
              <w:wordWrap/>
              <w:overflowPunct/>
              <w:topLinePunct w:val="0"/>
              <w:bidi w:val="0"/>
              <w:jc w:val="center"/>
              <w:outlineLvl w:val="9"/>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表2-</w:t>
            </w:r>
            <w:r>
              <w:rPr>
                <w:rFonts w:hint="eastAsia" w:cs="Times New Roman"/>
                <w:b/>
                <w:bCs/>
                <w:color w:val="auto"/>
                <w:lang w:val="en-US" w:eastAsia="zh-CN"/>
              </w:rPr>
              <w:t>5</w:t>
            </w:r>
            <w:r>
              <w:rPr>
                <w:rFonts w:hint="eastAsia" w:ascii="Times New Roman" w:hAnsi="Times New Roman" w:eastAsia="宋体" w:cs="Times New Roman"/>
                <w:b/>
                <w:bCs/>
                <w:color w:val="auto"/>
                <w:lang w:val="en-US" w:eastAsia="zh-CN"/>
              </w:rPr>
              <w:t xml:space="preserve">  乳化炸药震源药柱产品性能指标一览表</w:t>
            </w:r>
          </w:p>
          <w:tbl>
            <w:tblPr>
              <w:tblStyle w:val="33"/>
              <w:tblpPr w:leftFromText="180" w:rightFromText="180" w:vertAnchor="text" w:tblpXSpec="righ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4"/>
              <w:gridCol w:w="1853"/>
              <w:gridCol w:w="984"/>
              <w:gridCol w:w="4919"/>
            </w:tblGrid>
            <w:tr w14:paraId="6141E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8F43B50">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序号</w:t>
                  </w:r>
                </w:p>
              </w:tc>
              <w:tc>
                <w:tcPr>
                  <w:tcW w:w="1871" w:type="dxa"/>
                  <w:vAlign w:val="center"/>
                </w:tcPr>
                <w:p w14:paraId="4268D087">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检验项目</w:t>
                  </w:r>
                </w:p>
              </w:tc>
              <w:tc>
                <w:tcPr>
                  <w:tcW w:w="5997" w:type="dxa"/>
                  <w:gridSpan w:val="2"/>
                  <w:vAlign w:val="center"/>
                </w:tcPr>
                <w:p w14:paraId="39CEF4F4">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性能要求</w:t>
                  </w:r>
                </w:p>
              </w:tc>
            </w:tr>
            <w:tr w14:paraId="2B3C4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2F401EBB">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rPr>
                    <w:t>1</w:t>
                  </w:r>
                </w:p>
              </w:tc>
              <w:tc>
                <w:tcPr>
                  <w:tcW w:w="1871" w:type="dxa"/>
                  <w:vAlign w:val="center"/>
                </w:tcPr>
                <w:p w14:paraId="54103EA1">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主装药密度/（g/cm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w:t>
                  </w:r>
                </w:p>
              </w:tc>
              <w:tc>
                <w:tcPr>
                  <w:tcW w:w="5997" w:type="dxa"/>
                  <w:gridSpan w:val="2"/>
                  <w:vAlign w:val="center"/>
                </w:tcPr>
                <w:p w14:paraId="546795D5">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≥0.95</w:t>
                  </w:r>
                </w:p>
              </w:tc>
            </w:tr>
            <w:tr w14:paraId="62B9A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567" w:type="dxa"/>
                  <w:vMerge w:val="restart"/>
                  <w:vAlign w:val="center"/>
                </w:tcPr>
                <w:p w14:paraId="423274C9">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rPr>
                    <w:t>2</w:t>
                  </w:r>
                </w:p>
              </w:tc>
              <w:tc>
                <w:tcPr>
                  <w:tcW w:w="1871" w:type="dxa"/>
                  <w:vMerge w:val="restart"/>
                  <w:vAlign w:val="center"/>
                </w:tcPr>
                <w:p w14:paraId="64ACA457">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爆速/(m/s)</w:t>
                  </w:r>
                </w:p>
              </w:tc>
              <w:tc>
                <w:tcPr>
                  <w:tcW w:w="990" w:type="dxa"/>
                  <w:vAlign w:val="center"/>
                </w:tcPr>
                <w:p w14:paraId="757E5B3A">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高爆速</w:t>
                  </w:r>
                </w:p>
              </w:tc>
              <w:tc>
                <w:tcPr>
                  <w:tcW w:w="3741" w:type="dxa"/>
                  <w:vAlign w:val="center"/>
                </w:tcPr>
                <w:p w14:paraId="31E88A38">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中爆速</w:t>
                  </w:r>
                </w:p>
              </w:tc>
            </w:tr>
            <w:tr w14:paraId="0611F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567" w:type="dxa"/>
                  <w:vMerge w:val="continue"/>
                  <w:vAlign w:val="center"/>
                </w:tcPr>
                <w:p w14:paraId="6703FA6D">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rPr>
                  </w:pPr>
                </w:p>
              </w:tc>
              <w:tc>
                <w:tcPr>
                  <w:tcW w:w="1871" w:type="dxa"/>
                  <w:vMerge w:val="continue"/>
                  <w:vAlign w:val="center"/>
                </w:tcPr>
                <w:p w14:paraId="23044568">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c>
                <w:tcPr>
                  <w:tcW w:w="990" w:type="dxa"/>
                  <w:vAlign w:val="center"/>
                </w:tcPr>
                <w:p w14:paraId="2F738BB7">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≥5000</w:t>
                  </w:r>
                </w:p>
              </w:tc>
              <w:tc>
                <w:tcPr>
                  <w:tcW w:w="3741" w:type="dxa"/>
                  <w:vAlign w:val="center"/>
                </w:tcPr>
                <w:p w14:paraId="47058548">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≥3500~&lt;5000</w:t>
                  </w:r>
                </w:p>
              </w:tc>
            </w:tr>
            <w:tr w14:paraId="21B9E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567" w:type="dxa"/>
                  <w:shd w:val="clear" w:color="auto" w:fill="auto"/>
                  <w:vAlign w:val="center"/>
                </w:tcPr>
                <w:p w14:paraId="32E77265">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3</w:t>
                  </w:r>
                </w:p>
              </w:tc>
              <w:tc>
                <w:tcPr>
                  <w:tcW w:w="1871" w:type="dxa"/>
                  <w:vAlign w:val="center"/>
                </w:tcPr>
                <w:p w14:paraId="2E8DB772">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极差值 R</w:t>
                  </w:r>
                  <w:r>
                    <w:rPr>
                      <w:rFonts w:hint="default" w:ascii="Times New Roman" w:hAnsi="Times New Roman" w:eastAsia="宋体" w:cs="Times New Roman"/>
                      <w:b w:val="0"/>
                      <w:bCs w:val="0"/>
                      <w:color w:val="auto"/>
                      <w:sz w:val="21"/>
                      <w:szCs w:val="21"/>
                      <w:vertAlign w:val="subscript"/>
                      <w:lang w:val="en-US" w:eastAsia="zh-CN"/>
                    </w:rPr>
                    <w:t>D</w:t>
                  </w:r>
                  <w:r>
                    <w:rPr>
                      <w:rFonts w:hint="default" w:ascii="Times New Roman" w:hAnsi="Times New Roman" w:eastAsia="宋体" w:cs="Times New Roman"/>
                      <w:b w:val="0"/>
                      <w:bCs w:val="0"/>
                      <w:color w:val="auto"/>
                      <w:sz w:val="21"/>
                      <w:szCs w:val="21"/>
                      <w:vertAlign w:val="baseline"/>
                      <w:lang w:val="en-US" w:eastAsia="zh-CN"/>
                    </w:rPr>
                    <w:t>/(m/s)</w:t>
                  </w:r>
                </w:p>
              </w:tc>
              <w:tc>
                <w:tcPr>
                  <w:tcW w:w="990" w:type="dxa"/>
                  <w:vAlign w:val="center"/>
                </w:tcPr>
                <w:p w14:paraId="54190088">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≤500</w:t>
                  </w:r>
                </w:p>
              </w:tc>
              <w:tc>
                <w:tcPr>
                  <w:tcW w:w="3741" w:type="dxa"/>
                  <w:vAlign w:val="center"/>
                </w:tcPr>
                <w:p w14:paraId="42598EE4">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≤300</w:t>
                  </w:r>
                </w:p>
              </w:tc>
            </w:tr>
            <w:tr w14:paraId="6364C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shd w:val="clear" w:color="auto" w:fill="auto"/>
                  <w:vAlign w:val="center"/>
                </w:tcPr>
                <w:p w14:paraId="144C1199">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4</w:t>
                  </w:r>
                </w:p>
              </w:tc>
              <w:tc>
                <w:tcPr>
                  <w:tcW w:w="1871" w:type="dxa"/>
                  <w:vAlign w:val="center"/>
                </w:tcPr>
                <w:p w14:paraId="4D7023A5">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传爆可靠性</w:t>
                  </w:r>
                </w:p>
              </w:tc>
              <w:tc>
                <w:tcPr>
                  <w:tcW w:w="5997" w:type="dxa"/>
                  <w:gridSpan w:val="2"/>
                  <w:vAlign w:val="center"/>
                </w:tcPr>
                <w:p w14:paraId="663C1295">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对总质量不小于6kg的一组工业炸药制品起爆后</w:t>
                  </w:r>
                  <w:r>
                    <w:rPr>
                      <w:rFonts w:hint="eastAsia"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应爆炸完全</w:t>
                  </w:r>
                </w:p>
              </w:tc>
            </w:tr>
            <w:tr w14:paraId="7F3A2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shd w:val="clear" w:color="auto" w:fill="auto"/>
                  <w:vAlign w:val="center"/>
                </w:tcPr>
                <w:p w14:paraId="79441099">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5</w:t>
                  </w:r>
                </w:p>
              </w:tc>
              <w:tc>
                <w:tcPr>
                  <w:tcW w:w="1871" w:type="dxa"/>
                  <w:vAlign w:val="center"/>
                </w:tcPr>
                <w:p w14:paraId="4BF3109B">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抗水压性</w:t>
                  </w:r>
                </w:p>
              </w:tc>
              <w:tc>
                <w:tcPr>
                  <w:tcW w:w="5997" w:type="dxa"/>
                  <w:gridSpan w:val="2"/>
                  <w:vAlign w:val="center"/>
                </w:tcPr>
                <w:p w14:paraId="2EE37CE8">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在压力为0.3MPa的室温水中保持48h后</w:t>
                  </w:r>
                  <w:r>
                    <w:rPr>
                      <w:rFonts w:hint="eastAsia"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取出后起爆感度不变</w:t>
                  </w:r>
                </w:p>
              </w:tc>
            </w:tr>
            <w:tr w14:paraId="6B9D7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shd w:val="clear" w:color="auto" w:fill="auto"/>
                  <w:vAlign w:val="center"/>
                </w:tcPr>
                <w:p w14:paraId="56D0BD88">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6</w:t>
                  </w:r>
                </w:p>
              </w:tc>
              <w:tc>
                <w:tcPr>
                  <w:tcW w:w="1871" w:type="dxa"/>
                  <w:vAlign w:val="center"/>
                </w:tcPr>
                <w:p w14:paraId="2ADBC0FC">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抗拉性</w:t>
                  </w:r>
                </w:p>
              </w:tc>
              <w:tc>
                <w:tcPr>
                  <w:tcW w:w="5997" w:type="dxa"/>
                  <w:gridSpan w:val="2"/>
                  <w:vAlign w:val="center"/>
                </w:tcPr>
                <w:p w14:paraId="5ED7003F">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将两发工业炸药制品连接</w:t>
                  </w:r>
                  <w:r>
                    <w:rPr>
                      <w:rFonts w:hint="eastAsia"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在98N的静拉力下，持续30min，连接处不应断裂或被拉脱</w:t>
                  </w:r>
                </w:p>
              </w:tc>
            </w:tr>
            <w:tr w14:paraId="3CA37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 w:type="dxa"/>
                  <w:vAlign w:val="center"/>
                </w:tcPr>
                <w:p w14:paraId="3824DDA3">
                  <w:pPr>
                    <w:keepNext/>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7</w:t>
                  </w:r>
                </w:p>
              </w:tc>
              <w:tc>
                <w:tcPr>
                  <w:tcW w:w="1871" w:type="dxa"/>
                  <w:vAlign w:val="center"/>
                </w:tcPr>
                <w:p w14:paraId="6AB5D1DF">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环境适应性</w:t>
                  </w:r>
                </w:p>
              </w:tc>
              <w:tc>
                <w:tcPr>
                  <w:tcW w:w="5997" w:type="dxa"/>
                  <w:gridSpan w:val="2"/>
                  <w:vAlign w:val="center"/>
                </w:tcPr>
                <w:p w14:paraId="749A1D18">
                  <w:pPr>
                    <w:pStyle w:val="119"/>
                    <w:keepNext/>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耐温性</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分别在50℃士2℃、-40℃士2℃的温度条件下保温8h</w:t>
                  </w:r>
                  <w:r>
                    <w:rPr>
                      <w:rFonts w:hint="eastAsia"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取出后进行起爆感度试验，应爆炸完全</w:t>
                  </w:r>
                </w:p>
              </w:tc>
            </w:tr>
          </w:tbl>
          <w:p w14:paraId="2A6A8FA9">
            <w:pPr>
              <w:keepNext/>
              <w:keepLines w:val="0"/>
              <w:pageBreakBefore w:val="0"/>
              <w:numPr>
                <w:ilvl w:val="0"/>
                <w:numId w:val="4"/>
              </w:numPr>
              <w:kinsoku/>
              <w:wordWrap/>
              <w:overflowPunct/>
              <w:topLinePunct w:val="0"/>
              <w:bidi w:val="0"/>
              <w:spacing w:line="360" w:lineRule="auto"/>
              <w:ind w:firstLine="482" w:firstLineChars="200"/>
              <w:outlineLvl w:val="9"/>
              <w:rPr>
                <w:rFonts w:hint="eastAsia"/>
                <w:b/>
                <w:bCs/>
                <w:color w:val="auto"/>
                <w:sz w:val="24"/>
              </w:rPr>
            </w:pPr>
            <w:r>
              <w:rPr>
                <w:rFonts w:hint="eastAsia"/>
                <w:b/>
                <w:bCs/>
                <w:color w:val="auto"/>
                <w:sz w:val="24"/>
              </w:rPr>
              <w:t>生产设备</w:t>
            </w:r>
          </w:p>
          <w:p w14:paraId="3B727556">
            <w:pPr>
              <w:keepNext/>
              <w:keepLines w:val="0"/>
              <w:pageBreakBefore w:val="0"/>
              <w:kinsoku/>
              <w:wordWrap/>
              <w:overflowPunct/>
              <w:topLinePunct w:val="0"/>
              <w:bidi w:val="0"/>
              <w:spacing w:line="360" w:lineRule="auto"/>
              <w:ind w:firstLine="480" w:firstLineChars="200"/>
              <w:outlineLvl w:val="9"/>
              <w:rPr>
                <w:rFonts w:hint="eastAsia"/>
                <w:color w:val="auto"/>
                <w:sz w:val="24"/>
              </w:rPr>
            </w:pPr>
            <w:r>
              <w:rPr>
                <w:rFonts w:hint="eastAsia"/>
                <w:color w:val="auto"/>
                <w:sz w:val="24"/>
              </w:rPr>
              <w:t>本项目主要生产设备见下表。</w:t>
            </w:r>
          </w:p>
          <w:p w14:paraId="2512DC2C">
            <w:pPr>
              <w:keepNext/>
              <w:keepLines w:val="0"/>
              <w:pageBreakBefore w:val="0"/>
              <w:kinsoku/>
              <w:wordWrap/>
              <w:overflowPunct/>
              <w:topLinePunct w:val="0"/>
              <w:bidi w:val="0"/>
              <w:spacing w:line="240" w:lineRule="auto"/>
              <w:jc w:val="center"/>
              <w:outlineLvl w:val="9"/>
              <w:rPr>
                <w:rFonts w:hint="default" w:asciiTheme="minorEastAsia" w:hAnsiTheme="minorEastAsia" w:eastAsiaTheme="minorEastAsia" w:cstheme="minorEastAsia"/>
                <w:b/>
                <w:bCs/>
                <w:color w:val="auto"/>
                <w:sz w:val="21"/>
                <w:szCs w:val="21"/>
                <w:lang w:val="en-US" w:eastAsia="zh-CN"/>
              </w:rPr>
            </w:pPr>
            <w:r>
              <w:rPr>
                <w:rFonts w:hint="default" w:ascii="Times New Roman" w:hAnsi="Times New Roman" w:cs="Times New Roman"/>
                <w:b/>
                <w:bCs/>
                <w:color w:val="auto"/>
                <w:sz w:val="21"/>
                <w:szCs w:val="21"/>
                <w:lang w:val="en-US" w:eastAsia="zh-CN"/>
              </w:rPr>
              <w:t>表</w:t>
            </w:r>
            <w:r>
              <w:rPr>
                <w:rFonts w:hint="eastAsia" w:cs="Times New Roman"/>
                <w:b/>
                <w:bCs/>
                <w:color w:val="auto"/>
                <w:sz w:val="21"/>
                <w:szCs w:val="21"/>
                <w:lang w:val="en-US" w:eastAsia="zh-CN"/>
              </w:rPr>
              <w:t>2-6</w:t>
            </w:r>
            <w:r>
              <w:rPr>
                <w:rFonts w:hint="default" w:ascii="Times New Roman" w:hAnsi="Times New Roman" w:cs="Times New Roman"/>
                <w:b/>
                <w:bCs/>
                <w:color w:val="auto"/>
                <w:sz w:val="21"/>
                <w:szCs w:val="21"/>
                <w:lang w:val="en-US" w:eastAsia="zh-CN"/>
              </w:rPr>
              <w:t xml:space="preserve"> </w:t>
            </w:r>
            <w:r>
              <w:rPr>
                <w:rFonts w:hint="eastAsia" w:asciiTheme="minorEastAsia" w:hAnsiTheme="minorEastAsia" w:cstheme="minorEastAsia"/>
                <w:b/>
                <w:bCs/>
                <w:color w:val="auto"/>
                <w:sz w:val="21"/>
                <w:szCs w:val="21"/>
                <w:lang w:val="en-US" w:eastAsia="zh-CN"/>
              </w:rPr>
              <w:t xml:space="preserve"> 主要设备一览表</w:t>
            </w:r>
          </w:p>
          <w:tbl>
            <w:tblPr>
              <w:tblStyle w:val="85"/>
              <w:tblW w:w="49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3"/>
              <w:gridCol w:w="2540"/>
              <w:gridCol w:w="2230"/>
              <w:gridCol w:w="563"/>
              <w:gridCol w:w="504"/>
              <w:gridCol w:w="1874"/>
            </w:tblGrid>
            <w:tr w14:paraId="2C539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vAlign w:val="center"/>
                </w:tcPr>
                <w:p w14:paraId="00CD97B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序号</w:t>
                  </w:r>
                </w:p>
              </w:tc>
              <w:tc>
                <w:tcPr>
                  <w:tcW w:w="1548" w:type="pct"/>
                  <w:vAlign w:val="center"/>
                </w:tcPr>
                <w:p w14:paraId="5050FD8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设备名称</w:t>
                  </w:r>
                </w:p>
              </w:tc>
              <w:tc>
                <w:tcPr>
                  <w:tcW w:w="1359" w:type="pct"/>
                  <w:vAlign w:val="center"/>
                </w:tcPr>
                <w:p w14:paraId="4C819F6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设备型号规格</w:t>
                  </w:r>
                </w:p>
              </w:tc>
              <w:tc>
                <w:tcPr>
                  <w:tcW w:w="343" w:type="pct"/>
                  <w:vAlign w:val="center"/>
                </w:tcPr>
                <w:p w14:paraId="449E94A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单位</w:t>
                  </w:r>
                </w:p>
              </w:tc>
              <w:tc>
                <w:tcPr>
                  <w:tcW w:w="307" w:type="pct"/>
                  <w:vAlign w:val="center"/>
                </w:tcPr>
                <w:p w14:paraId="71D28816">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数量</w:t>
                  </w:r>
                </w:p>
              </w:tc>
              <w:tc>
                <w:tcPr>
                  <w:tcW w:w="1140" w:type="pct"/>
                  <w:vAlign w:val="center"/>
                </w:tcPr>
                <w:p w14:paraId="4E87C619">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备注</w:t>
                  </w:r>
                </w:p>
              </w:tc>
            </w:tr>
            <w:tr w14:paraId="29510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6"/>
                  <w:vAlign w:val="center"/>
                </w:tcPr>
                <w:p w14:paraId="543C8B1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一、水油相制备工房</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403</w:t>
                  </w:r>
                  <w:r>
                    <w:rPr>
                      <w:rFonts w:hint="eastAsia" w:ascii="Times New Roman" w:hAnsi="Times New Roman" w:cs="Times New Roman"/>
                      <w:color w:val="auto"/>
                      <w:sz w:val="21"/>
                      <w:szCs w:val="21"/>
                      <w:lang w:eastAsia="zh-CN"/>
                    </w:rPr>
                    <w:t>）</w:t>
                  </w:r>
                </w:p>
              </w:tc>
            </w:tr>
            <w:tr w14:paraId="70767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vAlign w:val="center"/>
                </w:tcPr>
                <w:p w14:paraId="1DA8F00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548" w:type="pct"/>
                  <w:vAlign w:val="center"/>
                </w:tcPr>
                <w:p w14:paraId="2A9F656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螺旋输送机</w:t>
                  </w:r>
                </w:p>
              </w:tc>
              <w:tc>
                <w:tcPr>
                  <w:tcW w:w="1359" w:type="pct"/>
                  <w:vAlign w:val="center"/>
                </w:tcPr>
                <w:p w14:paraId="2690CDA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10t/h</w:t>
                  </w:r>
                </w:p>
              </w:tc>
              <w:tc>
                <w:tcPr>
                  <w:tcW w:w="343" w:type="pct"/>
                  <w:vAlign w:val="center"/>
                </w:tcPr>
                <w:p w14:paraId="24ECC30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1C9C606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3173F6C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4BAE8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5FE5B63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548" w:type="pct"/>
                  <w:vAlign w:val="center"/>
                </w:tcPr>
                <w:p w14:paraId="632203E0">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分料螺旋</w:t>
                  </w:r>
                </w:p>
              </w:tc>
              <w:tc>
                <w:tcPr>
                  <w:tcW w:w="1359" w:type="pct"/>
                  <w:vAlign w:val="center"/>
                </w:tcPr>
                <w:p w14:paraId="0E510A6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10t/h</w:t>
                  </w:r>
                </w:p>
              </w:tc>
              <w:tc>
                <w:tcPr>
                  <w:tcW w:w="343" w:type="pct"/>
                  <w:vAlign w:val="center"/>
                </w:tcPr>
                <w:p w14:paraId="2B74CFF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3E76169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34A2475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208DB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7A821ED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548" w:type="pct"/>
                  <w:vAlign w:val="center"/>
                </w:tcPr>
                <w:p w14:paraId="69D25559">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水相制备罐</w:t>
                  </w:r>
                </w:p>
              </w:tc>
              <w:tc>
                <w:tcPr>
                  <w:tcW w:w="1359" w:type="pct"/>
                  <w:vAlign w:val="center"/>
                </w:tcPr>
                <w:p w14:paraId="69322A9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12m³</w:t>
                  </w:r>
                </w:p>
              </w:tc>
              <w:tc>
                <w:tcPr>
                  <w:tcW w:w="343" w:type="pct"/>
                  <w:vAlign w:val="center"/>
                </w:tcPr>
                <w:p w14:paraId="08CED4E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75F6A785">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140" w:type="pct"/>
                  <w:vAlign w:val="center"/>
                </w:tcPr>
                <w:p w14:paraId="74B1856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79119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28A5EB4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4</w:t>
                  </w:r>
                </w:p>
              </w:tc>
              <w:tc>
                <w:tcPr>
                  <w:tcW w:w="1548" w:type="pct"/>
                  <w:vAlign w:val="center"/>
                </w:tcPr>
                <w:p w14:paraId="1C0FD180">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highlight w:val="none"/>
                    </w:rPr>
                    <w:t>油相制备罐</w:t>
                  </w:r>
                </w:p>
              </w:tc>
              <w:tc>
                <w:tcPr>
                  <w:tcW w:w="1359" w:type="pct"/>
                  <w:vAlign w:val="center"/>
                </w:tcPr>
                <w:p w14:paraId="6BB06FF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4.0m³</w:t>
                  </w:r>
                </w:p>
              </w:tc>
              <w:tc>
                <w:tcPr>
                  <w:tcW w:w="343" w:type="pct"/>
                  <w:vAlign w:val="center"/>
                </w:tcPr>
                <w:p w14:paraId="63428D79">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012CBB8E">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2B16487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03A37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785637D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5</w:t>
                  </w:r>
                </w:p>
              </w:tc>
              <w:tc>
                <w:tcPr>
                  <w:tcW w:w="1548" w:type="pct"/>
                  <w:vAlign w:val="center"/>
                </w:tcPr>
                <w:p w14:paraId="16447A7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水相过滤器</w:t>
                  </w:r>
                </w:p>
              </w:tc>
              <w:tc>
                <w:tcPr>
                  <w:tcW w:w="1359" w:type="pct"/>
                  <w:vAlign w:val="center"/>
                </w:tcPr>
                <w:p w14:paraId="437F373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CSL-II-4</w:t>
                  </w:r>
                </w:p>
              </w:tc>
              <w:tc>
                <w:tcPr>
                  <w:tcW w:w="343" w:type="pct"/>
                  <w:vAlign w:val="center"/>
                </w:tcPr>
                <w:p w14:paraId="5E221AEB">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307" w:type="pct"/>
                  <w:vAlign w:val="center"/>
                </w:tcPr>
                <w:p w14:paraId="46AAEFC7">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140" w:type="pct"/>
                  <w:vAlign w:val="center"/>
                </w:tcPr>
                <w:p w14:paraId="2D96FD8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6FC39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6DFCB8B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548" w:type="pct"/>
                  <w:vAlign w:val="center"/>
                </w:tcPr>
                <w:p w14:paraId="644BD28A">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水相输送泵</w:t>
                  </w:r>
                </w:p>
              </w:tc>
              <w:tc>
                <w:tcPr>
                  <w:tcW w:w="1359" w:type="pct"/>
                  <w:vAlign w:val="center"/>
                </w:tcPr>
                <w:p w14:paraId="3727DAC9">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20t/h</w:t>
                  </w:r>
                </w:p>
              </w:tc>
              <w:tc>
                <w:tcPr>
                  <w:tcW w:w="343" w:type="pct"/>
                  <w:vAlign w:val="center"/>
                </w:tcPr>
                <w:p w14:paraId="64DC879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0EA9948B">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16E7E92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64D6E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7593A28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548" w:type="pct"/>
                  <w:vAlign w:val="center"/>
                </w:tcPr>
                <w:p w14:paraId="4E6A575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油相过滤器</w:t>
                  </w:r>
                </w:p>
              </w:tc>
              <w:tc>
                <w:tcPr>
                  <w:tcW w:w="1359" w:type="pct"/>
                  <w:vAlign w:val="center"/>
                </w:tcPr>
                <w:p w14:paraId="3E8BC64E">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CSL-II-4</w:t>
                  </w:r>
                </w:p>
              </w:tc>
              <w:tc>
                <w:tcPr>
                  <w:tcW w:w="343" w:type="pct"/>
                  <w:vAlign w:val="center"/>
                </w:tcPr>
                <w:p w14:paraId="19E1F2D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307" w:type="pct"/>
                  <w:vAlign w:val="center"/>
                </w:tcPr>
                <w:p w14:paraId="39D0824B">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0AF79F3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3AA70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46E38A4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548" w:type="pct"/>
                  <w:vAlign w:val="center"/>
                </w:tcPr>
                <w:p w14:paraId="69513D35">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油相输送泵</w:t>
                  </w:r>
                </w:p>
              </w:tc>
              <w:tc>
                <w:tcPr>
                  <w:tcW w:w="1359" w:type="pct"/>
                  <w:vAlign w:val="center"/>
                </w:tcPr>
                <w:p w14:paraId="46ED90E2">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10t/h</w:t>
                  </w:r>
                </w:p>
              </w:tc>
              <w:tc>
                <w:tcPr>
                  <w:tcW w:w="343" w:type="pct"/>
                  <w:vAlign w:val="center"/>
                </w:tcPr>
                <w:p w14:paraId="5310B12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42620A4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6703E57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23F36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706407C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548" w:type="pct"/>
                  <w:vAlign w:val="center"/>
                </w:tcPr>
                <w:p w14:paraId="3CF409DB">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热水罐</w:t>
                  </w:r>
                </w:p>
              </w:tc>
              <w:tc>
                <w:tcPr>
                  <w:tcW w:w="1359" w:type="pct"/>
                  <w:vAlign w:val="center"/>
                </w:tcPr>
                <w:p w14:paraId="5F8246E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1.5m³</w:t>
                  </w:r>
                </w:p>
              </w:tc>
              <w:tc>
                <w:tcPr>
                  <w:tcW w:w="343" w:type="pct"/>
                  <w:vAlign w:val="center"/>
                </w:tcPr>
                <w:p w14:paraId="2DC71E66">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0404F49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0BE57DF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46530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93" w:type="dxa"/>
                  <w:vAlign w:val="center"/>
                </w:tcPr>
                <w:p w14:paraId="4030848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10</w:t>
                  </w:r>
                </w:p>
              </w:tc>
              <w:tc>
                <w:tcPr>
                  <w:tcW w:w="1548" w:type="pct"/>
                  <w:vAlign w:val="center"/>
                </w:tcPr>
                <w:p w14:paraId="04EB522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热水泵</w:t>
                  </w:r>
                </w:p>
              </w:tc>
              <w:tc>
                <w:tcPr>
                  <w:tcW w:w="1359" w:type="pct"/>
                  <w:vAlign w:val="center"/>
                </w:tcPr>
                <w:p w14:paraId="142AD31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10t/h</w:t>
                  </w:r>
                </w:p>
              </w:tc>
              <w:tc>
                <w:tcPr>
                  <w:tcW w:w="343" w:type="pct"/>
                  <w:vAlign w:val="center"/>
                </w:tcPr>
                <w:p w14:paraId="333E8D59">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3F84E0B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26CF146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湖北凯龙</w:t>
                  </w:r>
                </w:p>
              </w:tc>
            </w:tr>
            <w:tr w14:paraId="02B3B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6"/>
                  <w:vAlign w:val="center"/>
                </w:tcPr>
                <w:p w14:paraId="63ED4C50">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二、硝酸铵溶液储罐区</w:t>
                  </w:r>
                  <w:r>
                    <w:rPr>
                      <w:rFonts w:hint="eastAsia" w:ascii="Times New Roman" w:hAnsi="Times New Roman" w:cs="Times New Roman"/>
                      <w:color w:val="auto"/>
                      <w:spacing w:val="10"/>
                      <w:sz w:val="21"/>
                      <w:szCs w:val="21"/>
                      <w:lang w:eastAsia="zh-CN"/>
                    </w:rPr>
                    <w:t>（</w:t>
                  </w:r>
                  <w:r>
                    <w:rPr>
                      <w:rFonts w:hint="default" w:ascii="Times New Roman" w:hAnsi="Times New Roman" w:eastAsia="宋体" w:cs="Times New Roman"/>
                      <w:color w:val="auto"/>
                      <w:spacing w:val="10"/>
                      <w:sz w:val="21"/>
                      <w:szCs w:val="21"/>
                    </w:rPr>
                    <w:t>403-¹</w:t>
                  </w:r>
                  <w:r>
                    <w:rPr>
                      <w:rFonts w:hint="eastAsia" w:ascii="Times New Roman" w:hAnsi="Times New Roman" w:cs="Times New Roman"/>
                      <w:color w:val="auto"/>
                      <w:spacing w:val="10"/>
                      <w:sz w:val="21"/>
                      <w:szCs w:val="21"/>
                      <w:lang w:eastAsia="zh-CN"/>
                    </w:rPr>
                    <w:t>）</w:t>
                  </w:r>
                </w:p>
              </w:tc>
            </w:tr>
            <w:tr w14:paraId="752C8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vAlign w:val="center"/>
                </w:tcPr>
                <w:p w14:paraId="412A386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548" w:type="pct"/>
                  <w:vAlign w:val="center"/>
                </w:tcPr>
                <w:p w14:paraId="35422BC6">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硝酸铵溶液储罐</w:t>
                  </w:r>
                </w:p>
              </w:tc>
              <w:tc>
                <w:tcPr>
                  <w:tcW w:w="1359" w:type="pct"/>
                  <w:vAlign w:val="center"/>
                </w:tcPr>
                <w:p w14:paraId="08D7D09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40m³</w:t>
                  </w:r>
                </w:p>
              </w:tc>
              <w:tc>
                <w:tcPr>
                  <w:tcW w:w="343" w:type="pct"/>
                  <w:vAlign w:val="center"/>
                </w:tcPr>
                <w:p w14:paraId="4CA9E6C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0805579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4E19043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7A081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vAlign w:val="center"/>
                </w:tcPr>
                <w:p w14:paraId="3380E80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548" w:type="pct"/>
                  <w:vAlign w:val="center"/>
                </w:tcPr>
                <w:p w14:paraId="1F69DA9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硝酸铵溶液卸料泵</w:t>
                  </w:r>
                </w:p>
              </w:tc>
              <w:tc>
                <w:tcPr>
                  <w:tcW w:w="1359" w:type="pct"/>
                  <w:vAlign w:val="center"/>
                </w:tcPr>
                <w:p w14:paraId="7E6BD8D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20t/h</w:t>
                  </w:r>
                </w:p>
              </w:tc>
              <w:tc>
                <w:tcPr>
                  <w:tcW w:w="343" w:type="pct"/>
                  <w:vAlign w:val="center"/>
                </w:tcPr>
                <w:p w14:paraId="38AC665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2331F8E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7429291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7E47E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vAlign w:val="center"/>
                </w:tcPr>
                <w:p w14:paraId="623ACD0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548" w:type="pct"/>
                  <w:vAlign w:val="center"/>
                </w:tcPr>
                <w:p w14:paraId="4502F30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硝酸铵溶液输送泵</w:t>
                  </w:r>
                </w:p>
              </w:tc>
              <w:tc>
                <w:tcPr>
                  <w:tcW w:w="1359" w:type="pct"/>
                  <w:vAlign w:val="center"/>
                </w:tcPr>
                <w:p w14:paraId="3AC1E6D2">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20t/h</w:t>
                  </w:r>
                </w:p>
              </w:tc>
              <w:tc>
                <w:tcPr>
                  <w:tcW w:w="343" w:type="pct"/>
                  <w:vAlign w:val="center"/>
                </w:tcPr>
                <w:p w14:paraId="1CE2EC96">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307" w:type="pct"/>
                  <w:vAlign w:val="center"/>
                </w:tcPr>
                <w:p w14:paraId="6A735C4E">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380BDA0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65E07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6"/>
                  <w:vAlign w:val="center"/>
                </w:tcPr>
                <w:p w14:paraId="012C58A5">
                  <w:pPr>
                    <w:pStyle w:val="115"/>
                    <w:keepNext/>
                    <w:keepLines w:val="0"/>
                    <w:pageBreakBefore w:val="0"/>
                    <w:kinsoku/>
                    <w:wordWrap/>
                    <w:overflowPunct/>
                    <w:topLinePunct w:val="0"/>
                    <w:autoSpaceDE w:val="0"/>
                    <w:autoSpaceDN w:val="0"/>
                    <w:bidi w:val="0"/>
                    <w:jc w:val="center"/>
                    <w:outlineLvl w:val="9"/>
                    <w:rPr>
                      <w:rFonts w:hint="default"/>
                      <w:color w:val="auto"/>
                      <w:sz w:val="21"/>
                      <w:szCs w:val="21"/>
                    </w:rPr>
                  </w:pPr>
                  <w:r>
                    <w:rPr>
                      <w:rFonts w:hint="default"/>
                      <w:color w:val="auto"/>
                      <w:sz w:val="21"/>
                      <w:szCs w:val="21"/>
                    </w:rPr>
                    <w:t>三、乳化炸药震源药柱生产工房</w:t>
                  </w:r>
                  <w:r>
                    <w:rPr>
                      <w:rFonts w:hint="eastAsia"/>
                      <w:color w:val="auto"/>
                      <w:sz w:val="21"/>
                      <w:szCs w:val="21"/>
                      <w:lang w:eastAsia="zh-CN"/>
                    </w:rPr>
                    <w:t>（</w:t>
                  </w:r>
                  <w:r>
                    <w:rPr>
                      <w:rFonts w:hint="default"/>
                      <w:color w:val="auto"/>
                      <w:sz w:val="21"/>
                      <w:szCs w:val="21"/>
                    </w:rPr>
                    <w:t>404</w:t>
                  </w:r>
                  <w:r>
                    <w:rPr>
                      <w:rFonts w:hint="eastAsia"/>
                      <w:color w:val="auto"/>
                      <w:sz w:val="21"/>
                      <w:szCs w:val="21"/>
                      <w:lang w:eastAsia="zh-CN"/>
                    </w:rPr>
                    <w:t>）</w:t>
                  </w:r>
                </w:p>
              </w:tc>
            </w:tr>
            <w:tr w14:paraId="272C0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D99E62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548" w:type="pct"/>
                  <w:shd w:val="clear" w:color="auto" w:fill="auto"/>
                  <w:vAlign w:val="center"/>
                </w:tcPr>
                <w:p w14:paraId="23136F9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水相储罐</w:t>
                  </w:r>
                </w:p>
              </w:tc>
              <w:tc>
                <w:tcPr>
                  <w:tcW w:w="1359" w:type="pct"/>
                  <w:shd w:val="clear" w:color="auto" w:fill="auto"/>
                  <w:vAlign w:val="center"/>
                </w:tcPr>
                <w:p w14:paraId="5CA1F51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12m³</w:t>
                  </w:r>
                </w:p>
              </w:tc>
              <w:tc>
                <w:tcPr>
                  <w:tcW w:w="343" w:type="pct"/>
                  <w:shd w:val="clear" w:color="auto" w:fill="auto"/>
                  <w:vAlign w:val="center"/>
                </w:tcPr>
                <w:p w14:paraId="68EB522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7272C59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24F64C0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6A313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37FDCB7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548" w:type="pct"/>
                  <w:shd w:val="clear" w:color="auto" w:fill="auto"/>
                  <w:vAlign w:val="center"/>
                </w:tcPr>
                <w:p w14:paraId="25FD367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水相输送泵</w:t>
                  </w:r>
                </w:p>
              </w:tc>
              <w:tc>
                <w:tcPr>
                  <w:tcW w:w="1359" w:type="pct"/>
                  <w:shd w:val="clear" w:color="auto" w:fill="auto"/>
                  <w:vAlign w:val="center"/>
                </w:tcPr>
                <w:p w14:paraId="41BFF6F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非标，6t/h</w:t>
                  </w:r>
                </w:p>
              </w:tc>
              <w:tc>
                <w:tcPr>
                  <w:tcW w:w="343" w:type="pct"/>
                  <w:shd w:val="clear" w:color="auto" w:fill="auto"/>
                  <w:vAlign w:val="center"/>
                </w:tcPr>
                <w:p w14:paraId="06EC87C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6E7C937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58FF0E3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4CAAE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4E6F31A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3</w:t>
                  </w:r>
                </w:p>
              </w:tc>
              <w:tc>
                <w:tcPr>
                  <w:tcW w:w="1548" w:type="pct"/>
                  <w:shd w:val="clear" w:color="auto" w:fill="auto"/>
                  <w:vAlign w:val="center"/>
                </w:tcPr>
                <w:p w14:paraId="18A5723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油相储罐</w:t>
                  </w:r>
                </w:p>
              </w:tc>
              <w:tc>
                <w:tcPr>
                  <w:tcW w:w="1359" w:type="pct"/>
                  <w:shd w:val="clear" w:color="auto" w:fill="auto"/>
                  <w:vAlign w:val="center"/>
                </w:tcPr>
                <w:p w14:paraId="5F5ED13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2"/>
                      <w:sz w:val="21"/>
                      <w:szCs w:val="21"/>
                    </w:rPr>
                    <w:t>非标，4.0m³</w:t>
                  </w:r>
                </w:p>
              </w:tc>
              <w:tc>
                <w:tcPr>
                  <w:tcW w:w="343" w:type="pct"/>
                  <w:shd w:val="clear" w:color="auto" w:fill="auto"/>
                  <w:vAlign w:val="center"/>
                </w:tcPr>
                <w:p w14:paraId="007EA8F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0494AF5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08317B5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044D7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3CC1405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4</w:t>
                  </w:r>
                </w:p>
              </w:tc>
              <w:tc>
                <w:tcPr>
                  <w:tcW w:w="1548" w:type="pct"/>
                  <w:shd w:val="clear" w:color="auto" w:fill="auto"/>
                  <w:vAlign w:val="center"/>
                </w:tcPr>
                <w:p w14:paraId="44FB738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油相输送泵</w:t>
                  </w:r>
                </w:p>
              </w:tc>
              <w:tc>
                <w:tcPr>
                  <w:tcW w:w="1359" w:type="pct"/>
                  <w:shd w:val="clear" w:color="auto" w:fill="auto"/>
                  <w:vAlign w:val="center"/>
                </w:tcPr>
                <w:p w14:paraId="60CB8E0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非标，1t/h</w:t>
                  </w:r>
                </w:p>
              </w:tc>
              <w:tc>
                <w:tcPr>
                  <w:tcW w:w="343" w:type="pct"/>
                  <w:shd w:val="clear" w:color="auto" w:fill="auto"/>
                  <w:vAlign w:val="center"/>
                </w:tcPr>
                <w:p w14:paraId="6757322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6E24C89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5CC924E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24F49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C95949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5</w:t>
                  </w:r>
                </w:p>
              </w:tc>
              <w:tc>
                <w:tcPr>
                  <w:tcW w:w="1548" w:type="pct"/>
                  <w:shd w:val="clear" w:color="auto" w:fill="auto"/>
                  <w:vAlign w:val="center"/>
                </w:tcPr>
                <w:p w14:paraId="1F0B481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热水罐</w:t>
                  </w:r>
                </w:p>
              </w:tc>
              <w:tc>
                <w:tcPr>
                  <w:tcW w:w="1359" w:type="pct"/>
                  <w:shd w:val="clear" w:color="auto" w:fill="auto"/>
                  <w:vAlign w:val="center"/>
                </w:tcPr>
                <w:p w14:paraId="3678992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1.0m³</w:t>
                  </w:r>
                </w:p>
              </w:tc>
              <w:tc>
                <w:tcPr>
                  <w:tcW w:w="343" w:type="pct"/>
                  <w:shd w:val="clear" w:color="auto" w:fill="auto"/>
                  <w:vAlign w:val="center"/>
                </w:tcPr>
                <w:p w14:paraId="53D8D01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1F48DD3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1F90A2E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7170F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763732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6</w:t>
                  </w:r>
                </w:p>
              </w:tc>
              <w:tc>
                <w:tcPr>
                  <w:tcW w:w="1548" w:type="pct"/>
                  <w:shd w:val="clear" w:color="auto" w:fill="auto"/>
                  <w:vAlign w:val="center"/>
                </w:tcPr>
                <w:p w14:paraId="181A651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热水泵</w:t>
                  </w:r>
                </w:p>
              </w:tc>
              <w:tc>
                <w:tcPr>
                  <w:tcW w:w="1359" w:type="pct"/>
                  <w:shd w:val="clear" w:color="auto" w:fill="auto"/>
                  <w:vAlign w:val="center"/>
                </w:tcPr>
                <w:p w14:paraId="563EAFD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5"/>
                      <w:sz w:val="21"/>
                      <w:szCs w:val="21"/>
                    </w:rPr>
                    <w:t>非标，10m³h</w:t>
                  </w:r>
                </w:p>
              </w:tc>
              <w:tc>
                <w:tcPr>
                  <w:tcW w:w="343" w:type="pct"/>
                  <w:shd w:val="clear" w:color="auto" w:fill="auto"/>
                  <w:vAlign w:val="center"/>
                </w:tcPr>
                <w:p w14:paraId="71719A6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51BD0CA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48C944B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37B85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4FEE1D0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7</w:t>
                  </w:r>
                </w:p>
              </w:tc>
              <w:tc>
                <w:tcPr>
                  <w:tcW w:w="1548" w:type="pct"/>
                  <w:shd w:val="clear" w:color="auto" w:fill="auto"/>
                  <w:vAlign w:val="center"/>
                </w:tcPr>
                <w:p w14:paraId="48C1B4D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静态乳化系统</w:t>
                  </w:r>
                </w:p>
              </w:tc>
              <w:tc>
                <w:tcPr>
                  <w:tcW w:w="1359" w:type="pct"/>
                  <w:shd w:val="clear" w:color="auto" w:fill="auto"/>
                  <w:vAlign w:val="center"/>
                </w:tcPr>
                <w:p w14:paraId="2BFD066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KNJR</w:t>
                  </w:r>
                  <w:r>
                    <w:rPr>
                      <w:rFonts w:hint="default" w:ascii="Times New Roman" w:hAnsi="Times New Roman" w:eastAsia="宋体" w:cs="Times New Roman"/>
                      <w:color w:val="auto"/>
                      <w:spacing w:val="12"/>
                      <w:sz w:val="21"/>
                      <w:szCs w:val="21"/>
                    </w:rPr>
                    <w:t xml:space="preserve"> </w:t>
                  </w:r>
                  <w:r>
                    <w:rPr>
                      <w:rFonts w:hint="default" w:ascii="Times New Roman" w:hAnsi="Times New Roman" w:eastAsia="宋体" w:cs="Times New Roman"/>
                      <w:color w:val="auto"/>
                      <w:spacing w:val="-4"/>
                      <w:sz w:val="21"/>
                      <w:szCs w:val="21"/>
                    </w:rPr>
                    <w:t>型</w:t>
                  </w:r>
                </w:p>
              </w:tc>
              <w:tc>
                <w:tcPr>
                  <w:tcW w:w="343" w:type="pct"/>
                  <w:shd w:val="clear" w:color="auto" w:fill="auto"/>
                  <w:vAlign w:val="center"/>
                </w:tcPr>
                <w:p w14:paraId="1D54A60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52AC27A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28B6173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湖南金聚能</w:t>
                  </w:r>
                </w:p>
              </w:tc>
            </w:tr>
            <w:tr w14:paraId="62358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35D3E54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8</w:t>
                  </w:r>
                </w:p>
              </w:tc>
              <w:tc>
                <w:tcPr>
                  <w:tcW w:w="1548" w:type="pct"/>
                  <w:shd w:val="clear" w:color="auto" w:fill="auto"/>
                  <w:vAlign w:val="center"/>
                </w:tcPr>
                <w:p w14:paraId="554949B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钢带冷却器</w:t>
                  </w:r>
                </w:p>
              </w:tc>
              <w:tc>
                <w:tcPr>
                  <w:tcW w:w="1359" w:type="pct"/>
                  <w:shd w:val="clear" w:color="auto" w:fill="auto"/>
                  <w:vAlign w:val="center"/>
                </w:tcPr>
                <w:p w14:paraId="33577F5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4P-1.5</w:t>
                  </w:r>
                </w:p>
              </w:tc>
              <w:tc>
                <w:tcPr>
                  <w:tcW w:w="343" w:type="pct"/>
                  <w:shd w:val="clear" w:color="auto" w:fill="auto"/>
                  <w:vAlign w:val="center"/>
                </w:tcPr>
                <w:p w14:paraId="429936C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7E837CA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0B68659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0A55D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08BF0EC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9</w:t>
                  </w:r>
                </w:p>
              </w:tc>
              <w:tc>
                <w:tcPr>
                  <w:tcW w:w="1548" w:type="pct"/>
                  <w:shd w:val="clear" w:color="auto" w:fill="auto"/>
                  <w:vAlign w:val="center"/>
                </w:tcPr>
                <w:p w14:paraId="2B8DF95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敏化器</w:t>
                  </w:r>
                </w:p>
              </w:tc>
              <w:tc>
                <w:tcPr>
                  <w:tcW w:w="1359" w:type="pct"/>
                  <w:shd w:val="clear" w:color="auto" w:fill="auto"/>
                  <w:vAlign w:val="center"/>
                </w:tcPr>
                <w:p w14:paraId="6CFFE9A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AE-HLC-6.0型</w:t>
                  </w:r>
                </w:p>
              </w:tc>
              <w:tc>
                <w:tcPr>
                  <w:tcW w:w="343" w:type="pct"/>
                  <w:shd w:val="clear" w:color="auto" w:fill="auto"/>
                  <w:vAlign w:val="center"/>
                </w:tcPr>
                <w:p w14:paraId="4332E05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06EF3FED">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p>
              </w:tc>
              <w:tc>
                <w:tcPr>
                  <w:tcW w:w="1140" w:type="pct"/>
                  <w:shd w:val="clear" w:color="auto" w:fill="auto"/>
                  <w:vAlign w:val="center"/>
                </w:tcPr>
                <w:p w14:paraId="71BAB76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湖南金聚能</w:t>
                  </w:r>
                </w:p>
              </w:tc>
            </w:tr>
            <w:tr w14:paraId="26C44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3D2306E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w:t>
                  </w:r>
                </w:p>
              </w:tc>
              <w:tc>
                <w:tcPr>
                  <w:tcW w:w="1548" w:type="pct"/>
                  <w:shd w:val="clear" w:color="auto" w:fill="auto"/>
                  <w:vAlign w:val="center"/>
                </w:tcPr>
                <w:p w14:paraId="0E3DD8D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珍珠岩输送系统</w:t>
                  </w:r>
                </w:p>
              </w:tc>
              <w:tc>
                <w:tcPr>
                  <w:tcW w:w="1359" w:type="pct"/>
                  <w:shd w:val="clear" w:color="auto" w:fill="auto"/>
                  <w:vAlign w:val="center"/>
                </w:tcPr>
                <w:p w14:paraId="4CFFE9B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KL-3000</w:t>
                  </w:r>
                </w:p>
              </w:tc>
              <w:tc>
                <w:tcPr>
                  <w:tcW w:w="343" w:type="pct"/>
                  <w:shd w:val="clear" w:color="auto" w:fill="auto"/>
                  <w:vAlign w:val="center"/>
                </w:tcPr>
                <w:p w14:paraId="2F9528F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47AD187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371D91F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10E6A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2D14FE2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10-1</w:t>
                  </w:r>
                </w:p>
              </w:tc>
              <w:tc>
                <w:tcPr>
                  <w:tcW w:w="1548" w:type="pct"/>
                  <w:shd w:val="clear" w:color="auto" w:fill="auto"/>
                  <w:vAlign w:val="center"/>
                </w:tcPr>
                <w:p w14:paraId="1F7E6D4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珍珠岩料仓</w:t>
                  </w:r>
                </w:p>
              </w:tc>
              <w:tc>
                <w:tcPr>
                  <w:tcW w:w="1359" w:type="pct"/>
                  <w:shd w:val="clear" w:color="auto" w:fill="auto"/>
                  <w:vAlign w:val="center"/>
                </w:tcPr>
                <w:p w14:paraId="5619C18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KL-MH</w:t>
                  </w:r>
                </w:p>
              </w:tc>
              <w:tc>
                <w:tcPr>
                  <w:tcW w:w="343" w:type="pct"/>
                  <w:shd w:val="clear" w:color="auto" w:fill="auto"/>
                  <w:vAlign w:val="center"/>
                </w:tcPr>
                <w:p w14:paraId="72657D0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67B48D5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04ABE33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420BD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3B6FE4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10-2</w:t>
                  </w:r>
                </w:p>
              </w:tc>
              <w:tc>
                <w:tcPr>
                  <w:tcW w:w="1548" w:type="pct"/>
                  <w:shd w:val="clear" w:color="auto" w:fill="auto"/>
                  <w:vAlign w:val="center"/>
                </w:tcPr>
                <w:p w14:paraId="56E89E8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珍珠岩提升机</w:t>
                  </w:r>
                </w:p>
              </w:tc>
              <w:tc>
                <w:tcPr>
                  <w:tcW w:w="1359" w:type="pct"/>
                  <w:shd w:val="clear" w:color="auto" w:fill="auto"/>
                  <w:vAlign w:val="center"/>
                </w:tcPr>
                <w:p w14:paraId="644BA80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TSJ-2000</w:t>
                  </w:r>
                </w:p>
              </w:tc>
              <w:tc>
                <w:tcPr>
                  <w:tcW w:w="343" w:type="pct"/>
                  <w:shd w:val="clear" w:color="auto" w:fill="auto"/>
                  <w:vAlign w:val="center"/>
                </w:tcPr>
                <w:p w14:paraId="7816CAD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1DBF076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3ACA19C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0A335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017109E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10-3</w:t>
                  </w:r>
                </w:p>
              </w:tc>
              <w:tc>
                <w:tcPr>
                  <w:tcW w:w="1548" w:type="pct"/>
                  <w:shd w:val="clear" w:color="auto" w:fill="auto"/>
                  <w:vAlign w:val="center"/>
                </w:tcPr>
                <w:p w14:paraId="08EF498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珍珠岩定量料仓</w:t>
                  </w:r>
                </w:p>
              </w:tc>
              <w:tc>
                <w:tcPr>
                  <w:tcW w:w="1359" w:type="pct"/>
                  <w:shd w:val="clear" w:color="auto" w:fill="auto"/>
                  <w:vAlign w:val="center"/>
                </w:tcPr>
                <w:p w14:paraId="2493946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KLLC-1.0M</w:t>
                  </w:r>
                </w:p>
              </w:tc>
              <w:tc>
                <w:tcPr>
                  <w:tcW w:w="343" w:type="pct"/>
                  <w:shd w:val="clear" w:color="auto" w:fill="auto"/>
                  <w:vAlign w:val="center"/>
                </w:tcPr>
                <w:p w14:paraId="5917DA8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590ADA3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473BB63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603C4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69DCD17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10-4</w:t>
                  </w:r>
                </w:p>
              </w:tc>
              <w:tc>
                <w:tcPr>
                  <w:tcW w:w="1548" w:type="pct"/>
                  <w:shd w:val="clear" w:color="auto" w:fill="auto"/>
                  <w:vAlign w:val="center"/>
                </w:tcPr>
                <w:p w14:paraId="19EE34A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珍珠岩定量螺旋</w:t>
                  </w:r>
                </w:p>
              </w:tc>
              <w:tc>
                <w:tcPr>
                  <w:tcW w:w="1359" w:type="pct"/>
                  <w:shd w:val="clear" w:color="auto" w:fill="auto"/>
                  <w:vAlign w:val="center"/>
                </w:tcPr>
                <w:p w14:paraId="77EFCAB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KLLX-159</w:t>
                  </w:r>
                </w:p>
              </w:tc>
              <w:tc>
                <w:tcPr>
                  <w:tcW w:w="343" w:type="pct"/>
                  <w:shd w:val="clear" w:color="auto" w:fill="auto"/>
                  <w:vAlign w:val="center"/>
                </w:tcPr>
                <w:p w14:paraId="4EC7434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3C6BA71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5D7C34E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7F3C7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3F729F3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10-5</w:t>
                  </w:r>
                </w:p>
              </w:tc>
              <w:tc>
                <w:tcPr>
                  <w:tcW w:w="1548" w:type="pct"/>
                  <w:shd w:val="clear" w:color="auto" w:fill="auto"/>
                  <w:vAlign w:val="center"/>
                </w:tcPr>
                <w:p w14:paraId="0B32ACE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真空上料机</w:t>
                  </w:r>
                </w:p>
              </w:tc>
              <w:tc>
                <w:tcPr>
                  <w:tcW w:w="1359" w:type="pct"/>
                  <w:shd w:val="clear" w:color="auto" w:fill="auto"/>
                  <w:vAlign w:val="center"/>
                </w:tcPr>
                <w:p w14:paraId="399A50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position w:val="-3"/>
                      <w:sz w:val="21"/>
                      <w:szCs w:val="21"/>
                    </w:rPr>
                    <w:t>KL-FG</w:t>
                  </w:r>
                </w:p>
              </w:tc>
              <w:tc>
                <w:tcPr>
                  <w:tcW w:w="343" w:type="pct"/>
                  <w:shd w:val="clear" w:color="auto" w:fill="auto"/>
                  <w:vAlign w:val="center"/>
                </w:tcPr>
                <w:p w14:paraId="336E8EF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62224C8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4B9AFA3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1924D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97EE89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11</w:t>
                  </w:r>
                </w:p>
              </w:tc>
              <w:tc>
                <w:tcPr>
                  <w:tcW w:w="1548" w:type="pct"/>
                  <w:shd w:val="clear" w:color="auto" w:fill="auto"/>
                  <w:vAlign w:val="center"/>
                </w:tcPr>
                <w:p w14:paraId="4DE2249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散药皮带输送机</w:t>
                  </w:r>
                </w:p>
              </w:tc>
              <w:tc>
                <w:tcPr>
                  <w:tcW w:w="1359" w:type="pct"/>
                  <w:shd w:val="clear" w:color="auto" w:fill="auto"/>
                  <w:vAlign w:val="center"/>
                </w:tcPr>
                <w:p w14:paraId="317DBD5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CF1.5-31.6-6(P)8t/h</w:t>
                  </w:r>
                </w:p>
              </w:tc>
              <w:tc>
                <w:tcPr>
                  <w:tcW w:w="343" w:type="pct"/>
                  <w:shd w:val="clear" w:color="auto" w:fill="auto"/>
                  <w:vAlign w:val="center"/>
                </w:tcPr>
                <w:p w14:paraId="685569D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1CEE5C5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5A58E2B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2F128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643D2F7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12</w:t>
                  </w:r>
                </w:p>
              </w:tc>
              <w:tc>
                <w:tcPr>
                  <w:tcW w:w="1548" w:type="pct"/>
                  <w:shd w:val="clear" w:color="auto" w:fill="auto"/>
                  <w:vAlign w:val="center"/>
                </w:tcPr>
                <w:p w14:paraId="4CC7A37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倍速链</w:t>
                  </w:r>
                </w:p>
              </w:tc>
              <w:tc>
                <w:tcPr>
                  <w:tcW w:w="1359" w:type="pct"/>
                  <w:shd w:val="clear" w:color="auto" w:fill="auto"/>
                  <w:vAlign w:val="center"/>
                </w:tcPr>
                <w:p w14:paraId="6B89351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3BS-18000/6200</w:t>
                  </w:r>
                </w:p>
              </w:tc>
              <w:tc>
                <w:tcPr>
                  <w:tcW w:w="343" w:type="pct"/>
                  <w:shd w:val="clear" w:color="auto" w:fill="auto"/>
                  <w:vAlign w:val="center"/>
                </w:tcPr>
                <w:p w14:paraId="2279D89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43ED222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67F4BB5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3BD9C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FD95FD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13</w:t>
                  </w:r>
                </w:p>
              </w:tc>
              <w:tc>
                <w:tcPr>
                  <w:tcW w:w="1548" w:type="pct"/>
                  <w:shd w:val="clear" w:color="auto" w:fill="auto"/>
                  <w:vAlign w:val="center"/>
                </w:tcPr>
                <w:p w14:paraId="7C66C4E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乳化炸药装药机</w:t>
                  </w:r>
                </w:p>
              </w:tc>
              <w:tc>
                <w:tcPr>
                  <w:tcW w:w="1359" w:type="pct"/>
                  <w:shd w:val="clear" w:color="auto" w:fill="auto"/>
                  <w:vAlign w:val="center"/>
                </w:tcPr>
                <w:p w14:paraId="04FFA23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position w:val="-2"/>
                      <w:sz w:val="21"/>
                      <w:szCs w:val="21"/>
                    </w:rPr>
                    <w:t>LRD</w:t>
                  </w:r>
                </w:p>
              </w:tc>
              <w:tc>
                <w:tcPr>
                  <w:tcW w:w="343" w:type="pct"/>
                  <w:shd w:val="clear" w:color="auto" w:fill="auto"/>
                  <w:vAlign w:val="center"/>
                </w:tcPr>
                <w:p w14:paraId="1C17A24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28C09F7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27626A8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湖北凯龙</w:t>
                  </w:r>
                </w:p>
              </w:tc>
            </w:tr>
            <w:tr w14:paraId="3058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7FCC862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14</w:t>
                  </w:r>
                </w:p>
              </w:tc>
              <w:tc>
                <w:tcPr>
                  <w:tcW w:w="1548" w:type="pct"/>
                  <w:shd w:val="clear" w:color="auto" w:fill="auto"/>
                  <w:vAlign w:val="center"/>
                </w:tcPr>
                <w:p w14:paraId="2232ED7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上壳机</w:t>
                  </w:r>
                </w:p>
              </w:tc>
              <w:tc>
                <w:tcPr>
                  <w:tcW w:w="1359" w:type="pct"/>
                  <w:shd w:val="clear" w:color="auto" w:fill="auto"/>
                  <w:vAlign w:val="center"/>
                </w:tcPr>
                <w:p w14:paraId="4ACC5FD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3"/>
                      <w:sz w:val="21"/>
                      <w:szCs w:val="21"/>
                    </w:rPr>
                    <w:t>RZY60-15G</w:t>
                  </w:r>
                </w:p>
              </w:tc>
              <w:tc>
                <w:tcPr>
                  <w:tcW w:w="343" w:type="pct"/>
                  <w:shd w:val="clear" w:color="auto" w:fill="auto"/>
                  <w:vAlign w:val="center"/>
                </w:tcPr>
                <w:p w14:paraId="095DD5F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0669542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33C5C73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0A40E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05A3490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15</w:t>
                  </w:r>
                </w:p>
              </w:tc>
              <w:tc>
                <w:tcPr>
                  <w:tcW w:w="1548" w:type="pct"/>
                  <w:shd w:val="clear" w:color="auto" w:fill="auto"/>
                  <w:vAlign w:val="center"/>
                </w:tcPr>
                <w:p w14:paraId="2A830E4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称重检测机</w:t>
                  </w:r>
                </w:p>
              </w:tc>
              <w:tc>
                <w:tcPr>
                  <w:tcW w:w="1359" w:type="pct"/>
                  <w:shd w:val="clear" w:color="auto" w:fill="auto"/>
                  <w:vAlign w:val="center"/>
                </w:tcPr>
                <w:p w14:paraId="1AFB710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RZY60-1-2KG</w:t>
                  </w:r>
                </w:p>
              </w:tc>
              <w:tc>
                <w:tcPr>
                  <w:tcW w:w="343" w:type="pct"/>
                  <w:shd w:val="clear" w:color="auto" w:fill="auto"/>
                  <w:vAlign w:val="center"/>
                </w:tcPr>
                <w:p w14:paraId="0A7B417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33A6B6C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7F6E6A6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615AA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4CE257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16</w:t>
                  </w:r>
                </w:p>
              </w:tc>
              <w:tc>
                <w:tcPr>
                  <w:tcW w:w="1548" w:type="pct"/>
                  <w:shd w:val="clear" w:color="auto" w:fill="auto"/>
                  <w:vAlign w:val="center"/>
                </w:tcPr>
                <w:p w14:paraId="6FC33EB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压盖机</w:t>
                  </w:r>
                </w:p>
              </w:tc>
              <w:tc>
                <w:tcPr>
                  <w:tcW w:w="1359" w:type="pct"/>
                  <w:shd w:val="clear" w:color="auto" w:fill="auto"/>
                  <w:vAlign w:val="center"/>
                </w:tcPr>
                <w:p w14:paraId="5B8678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RZY60-1-2-15</w:t>
                  </w:r>
                </w:p>
              </w:tc>
              <w:tc>
                <w:tcPr>
                  <w:tcW w:w="343" w:type="pct"/>
                  <w:shd w:val="clear" w:color="auto" w:fill="auto"/>
                  <w:vAlign w:val="center"/>
                </w:tcPr>
                <w:p w14:paraId="6D37384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4436431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64EE348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1DAF3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03E44E1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17</w:t>
                  </w:r>
                </w:p>
              </w:tc>
              <w:tc>
                <w:tcPr>
                  <w:tcW w:w="1548" w:type="pct"/>
                  <w:shd w:val="clear" w:color="auto" w:fill="auto"/>
                  <w:vAlign w:val="center"/>
                </w:tcPr>
                <w:p w14:paraId="63AC5D4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擦药机</w:t>
                  </w:r>
                </w:p>
              </w:tc>
              <w:tc>
                <w:tcPr>
                  <w:tcW w:w="1359" w:type="pct"/>
                  <w:shd w:val="clear" w:color="auto" w:fill="auto"/>
                  <w:vAlign w:val="center"/>
                </w:tcPr>
                <w:p w14:paraId="0A4EE09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R400-250</w:t>
                  </w:r>
                </w:p>
              </w:tc>
              <w:tc>
                <w:tcPr>
                  <w:tcW w:w="343" w:type="pct"/>
                  <w:shd w:val="clear" w:color="auto" w:fill="auto"/>
                  <w:vAlign w:val="center"/>
                </w:tcPr>
                <w:p w14:paraId="6B2CE07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72CB149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5DC1E7B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44500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078C79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18</w:t>
                  </w:r>
                </w:p>
              </w:tc>
              <w:tc>
                <w:tcPr>
                  <w:tcW w:w="1548" w:type="pct"/>
                  <w:shd w:val="clear" w:color="auto" w:fill="auto"/>
                  <w:vAlign w:val="center"/>
                </w:tcPr>
                <w:p w14:paraId="09429CA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抓式抓取机</w:t>
                  </w:r>
                </w:p>
              </w:tc>
              <w:tc>
                <w:tcPr>
                  <w:tcW w:w="1359" w:type="pct"/>
                  <w:shd w:val="clear" w:color="auto" w:fill="auto"/>
                  <w:vAlign w:val="center"/>
                </w:tcPr>
                <w:p w14:paraId="314F40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RY60-15</w:t>
                  </w:r>
                </w:p>
              </w:tc>
              <w:tc>
                <w:tcPr>
                  <w:tcW w:w="343" w:type="pct"/>
                  <w:shd w:val="clear" w:color="auto" w:fill="auto"/>
                  <w:vAlign w:val="center"/>
                </w:tcPr>
                <w:p w14:paraId="28964CC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1DE3EA9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27B9AC0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003FC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601A215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19</w:t>
                  </w:r>
                </w:p>
              </w:tc>
              <w:tc>
                <w:tcPr>
                  <w:tcW w:w="1548" w:type="pct"/>
                  <w:shd w:val="clear" w:color="auto" w:fill="auto"/>
                  <w:vAlign w:val="center"/>
                </w:tcPr>
                <w:p w14:paraId="146878C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雷管座抓取放料机</w:t>
                  </w:r>
                </w:p>
              </w:tc>
              <w:tc>
                <w:tcPr>
                  <w:tcW w:w="1359" w:type="pct"/>
                  <w:shd w:val="clear" w:color="auto" w:fill="auto"/>
                  <w:vAlign w:val="center"/>
                </w:tcPr>
                <w:p w14:paraId="24AD175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R60-125-15</w:t>
                  </w:r>
                </w:p>
              </w:tc>
              <w:tc>
                <w:tcPr>
                  <w:tcW w:w="343" w:type="pct"/>
                  <w:shd w:val="clear" w:color="auto" w:fill="auto"/>
                  <w:vAlign w:val="center"/>
                </w:tcPr>
                <w:p w14:paraId="7BD8C06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0CD4EB6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426BBBC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53757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7DF13C5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20</w:t>
                  </w:r>
                </w:p>
              </w:tc>
              <w:tc>
                <w:tcPr>
                  <w:tcW w:w="1548" w:type="pct"/>
                  <w:shd w:val="clear" w:color="auto" w:fill="auto"/>
                  <w:vAlign w:val="center"/>
                </w:tcPr>
                <w:p w14:paraId="0CE0398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雷管座输送机</w:t>
                  </w:r>
                </w:p>
              </w:tc>
              <w:tc>
                <w:tcPr>
                  <w:tcW w:w="1359" w:type="pct"/>
                  <w:shd w:val="clear" w:color="auto" w:fill="auto"/>
                  <w:vAlign w:val="center"/>
                </w:tcPr>
                <w:p w14:paraId="58F60D1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R60-125</w:t>
                  </w:r>
                </w:p>
              </w:tc>
              <w:tc>
                <w:tcPr>
                  <w:tcW w:w="343" w:type="pct"/>
                  <w:shd w:val="clear" w:color="auto" w:fill="auto"/>
                  <w:vAlign w:val="center"/>
                </w:tcPr>
                <w:p w14:paraId="78D27AD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7366E3A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2CEBF07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1E686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202AD8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21</w:t>
                  </w:r>
                </w:p>
              </w:tc>
              <w:tc>
                <w:tcPr>
                  <w:tcW w:w="1548" w:type="pct"/>
                  <w:shd w:val="clear" w:color="auto" w:fill="auto"/>
                  <w:vAlign w:val="center"/>
                </w:tcPr>
                <w:p w14:paraId="1595E9A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雷管座自动整理送料机</w:t>
                  </w:r>
                </w:p>
              </w:tc>
              <w:tc>
                <w:tcPr>
                  <w:tcW w:w="1359" w:type="pct"/>
                  <w:shd w:val="clear" w:color="auto" w:fill="auto"/>
                  <w:vAlign w:val="center"/>
                </w:tcPr>
                <w:p w14:paraId="58994C9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RK-300</w:t>
                  </w:r>
                </w:p>
              </w:tc>
              <w:tc>
                <w:tcPr>
                  <w:tcW w:w="343" w:type="pct"/>
                  <w:shd w:val="clear" w:color="auto" w:fill="auto"/>
                  <w:vAlign w:val="center"/>
                </w:tcPr>
                <w:p w14:paraId="491FD5C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1E59C22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22BE2F2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63AD5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3C77BE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22</w:t>
                  </w:r>
                </w:p>
              </w:tc>
              <w:tc>
                <w:tcPr>
                  <w:tcW w:w="1548" w:type="pct"/>
                  <w:shd w:val="clear" w:color="auto" w:fill="auto"/>
                  <w:vAlign w:val="center"/>
                </w:tcPr>
                <w:p w14:paraId="6C2485C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雷管座提升机</w:t>
                  </w:r>
                </w:p>
              </w:tc>
              <w:tc>
                <w:tcPr>
                  <w:tcW w:w="1359" w:type="pct"/>
                  <w:shd w:val="clear" w:color="auto" w:fill="auto"/>
                  <w:vAlign w:val="center"/>
                </w:tcPr>
                <w:p w14:paraId="25FF57D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RKL-800</w:t>
                  </w:r>
                </w:p>
              </w:tc>
              <w:tc>
                <w:tcPr>
                  <w:tcW w:w="343" w:type="pct"/>
                  <w:shd w:val="clear" w:color="auto" w:fill="auto"/>
                  <w:vAlign w:val="center"/>
                </w:tcPr>
                <w:p w14:paraId="1B46876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5447092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04723F8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4D7FB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373AA54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23</w:t>
                  </w:r>
                </w:p>
              </w:tc>
              <w:tc>
                <w:tcPr>
                  <w:tcW w:w="1548" w:type="pct"/>
                  <w:shd w:val="clear" w:color="auto" w:fill="auto"/>
                  <w:vAlign w:val="center"/>
                </w:tcPr>
                <w:p w14:paraId="5F9F033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药柱分流输送皮带机</w:t>
                  </w:r>
                </w:p>
              </w:tc>
              <w:tc>
                <w:tcPr>
                  <w:tcW w:w="1359" w:type="pct"/>
                  <w:shd w:val="clear" w:color="auto" w:fill="auto"/>
                  <w:vAlign w:val="center"/>
                </w:tcPr>
                <w:p w14:paraId="6B35CFA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YZPD1500-4</w:t>
                  </w:r>
                </w:p>
              </w:tc>
              <w:tc>
                <w:tcPr>
                  <w:tcW w:w="343" w:type="pct"/>
                  <w:shd w:val="clear" w:color="auto" w:fill="auto"/>
                  <w:vAlign w:val="center"/>
                </w:tcPr>
                <w:p w14:paraId="4EA4C66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3AE35F8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2184537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26D84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EB7016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24</w:t>
                  </w:r>
                </w:p>
              </w:tc>
              <w:tc>
                <w:tcPr>
                  <w:tcW w:w="1548" w:type="pct"/>
                  <w:shd w:val="clear" w:color="auto" w:fill="auto"/>
                  <w:vAlign w:val="center"/>
                </w:tcPr>
                <w:p w14:paraId="12D3EC2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板式抓取机</w:t>
                  </w:r>
                </w:p>
              </w:tc>
              <w:tc>
                <w:tcPr>
                  <w:tcW w:w="1359" w:type="pct"/>
                  <w:shd w:val="clear" w:color="auto" w:fill="auto"/>
                  <w:vAlign w:val="center"/>
                </w:tcPr>
                <w:p w14:paraId="5E70702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1"/>
                      <w:sz w:val="21"/>
                      <w:szCs w:val="21"/>
                    </w:rPr>
                    <w:t>BZQ-15Z</w:t>
                  </w:r>
                </w:p>
              </w:tc>
              <w:tc>
                <w:tcPr>
                  <w:tcW w:w="343" w:type="pct"/>
                  <w:shd w:val="clear" w:color="auto" w:fill="auto"/>
                  <w:vAlign w:val="center"/>
                </w:tcPr>
                <w:p w14:paraId="62F3E2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2BC236A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71ED968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73B8B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627D5D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25</w:t>
                  </w:r>
                </w:p>
              </w:tc>
              <w:tc>
                <w:tcPr>
                  <w:tcW w:w="1548" w:type="pct"/>
                  <w:shd w:val="clear" w:color="auto" w:fill="auto"/>
                  <w:vAlign w:val="center"/>
                </w:tcPr>
                <w:p w14:paraId="547CE08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自动封口连接套装配一体机</w:t>
                  </w:r>
                </w:p>
              </w:tc>
              <w:tc>
                <w:tcPr>
                  <w:tcW w:w="1359" w:type="pct"/>
                  <w:shd w:val="clear" w:color="auto" w:fill="auto"/>
                  <w:vAlign w:val="center"/>
                </w:tcPr>
                <w:p w14:paraId="028D5B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RY60-680</w:t>
                  </w:r>
                </w:p>
              </w:tc>
              <w:tc>
                <w:tcPr>
                  <w:tcW w:w="343" w:type="pct"/>
                  <w:shd w:val="clear" w:color="auto" w:fill="auto"/>
                  <w:vAlign w:val="center"/>
                </w:tcPr>
                <w:p w14:paraId="0E2B30A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788C946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506AE50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1C2FB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617F952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26</w:t>
                  </w:r>
                </w:p>
              </w:tc>
              <w:tc>
                <w:tcPr>
                  <w:tcW w:w="1548" w:type="pct"/>
                  <w:shd w:val="clear" w:color="auto" w:fill="auto"/>
                  <w:vAlign w:val="center"/>
                </w:tcPr>
                <w:p w14:paraId="0B5799D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提升皮带输送机</w:t>
                  </w:r>
                </w:p>
              </w:tc>
              <w:tc>
                <w:tcPr>
                  <w:tcW w:w="1359" w:type="pct"/>
                  <w:shd w:val="clear" w:color="auto" w:fill="auto"/>
                  <w:vAlign w:val="center"/>
                </w:tcPr>
                <w:p w14:paraId="7F43C75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TS-800</w:t>
                  </w:r>
                </w:p>
              </w:tc>
              <w:tc>
                <w:tcPr>
                  <w:tcW w:w="343" w:type="pct"/>
                  <w:shd w:val="clear" w:color="auto" w:fill="auto"/>
                  <w:vAlign w:val="center"/>
                </w:tcPr>
                <w:p w14:paraId="0EE0B5B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5DAD0B5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45638FE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455C0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30AB6D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27</w:t>
                  </w:r>
                </w:p>
              </w:tc>
              <w:tc>
                <w:tcPr>
                  <w:tcW w:w="1548" w:type="pct"/>
                  <w:shd w:val="clear" w:color="auto" w:fill="auto"/>
                  <w:vAlign w:val="center"/>
                </w:tcPr>
                <w:p w14:paraId="0F8CC55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喷码皮带输送机</w:t>
                  </w:r>
                </w:p>
              </w:tc>
              <w:tc>
                <w:tcPr>
                  <w:tcW w:w="1359" w:type="pct"/>
                  <w:shd w:val="clear" w:color="auto" w:fill="auto"/>
                  <w:vAlign w:val="center"/>
                </w:tcPr>
                <w:p w14:paraId="583AEC5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PM-200</w:t>
                  </w:r>
                </w:p>
              </w:tc>
              <w:tc>
                <w:tcPr>
                  <w:tcW w:w="343" w:type="pct"/>
                  <w:shd w:val="clear" w:color="auto" w:fill="auto"/>
                  <w:vAlign w:val="center"/>
                </w:tcPr>
                <w:p w14:paraId="6A7FDF7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5C27793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shd w:val="clear" w:color="auto" w:fill="auto"/>
                  <w:vAlign w:val="center"/>
                </w:tcPr>
                <w:p w14:paraId="6294CE2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64E3C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B800FC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28</w:t>
                  </w:r>
                </w:p>
              </w:tc>
              <w:tc>
                <w:tcPr>
                  <w:tcW w:w="1548" w:type="pct"/>
                  <w:shd w:val="clear" w:color="auto" w:fill="auto"/>
                  <w:vAlign w:val="center"/>
                </w:tcPr>
                <w:p w14:paraId="7CEEA13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喷码机</w:t>
                  </w:r>
                </w:p>
              </w:tc>
              <w:tc>
                <w:tcPr>
                  <w:tcW w:w="1359" w:type="pct"/>
                  <w:shd w:val="clear" w:color="auto" w:fill="auto"/>
                  <w:vAlign w:val="center"/>
                </w:tcPr>
                <w:p w14:paraId="4A99448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非标</w:t>
                  </w:r>
                </w:p>
              </w:tc>
              <w:tc>
                <w:tcPr>
                  <w:tcW w:w="343" w:type="pct"/>
                  <w:shd w:val="clear" w:color="auto" w:fill="auto"/>
                  <w:vAlign w:val="center"/>
                </w:tcPr>
                <w:p w14:paraId="77219AD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7A9333D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4FF29D2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71AF2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E78058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29</w:t>
                  </w:r>
                </w:p>
              </w:tc>
              <w:tc>
                <w:tcPr>
                  <w:tcW w:w="1548" w:type="pct"/>
                  <w:shd w:val="clear" w:color="auto" w:fill="auto"/>
                  <w:vAlign w:val="center"/>
                </w:tcPr>
                <w:p w14:paraId="32D5D61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成品药柱输送机</w:t>
                  </w:r>
                </w:p>
              </w:tc>
              <w:tc>
                <w:tcPr>
                  <w:tcW w:w="1359" w:type="pct"/>
                  <w:shd w:val="clear" w:color="auto" w:fill="auto"/>
                  <w:vAlign w:val="center"/>
                </w:tcPr>
                <w:p w14:paraId="685A6FF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YZLB-800</w:t>
                  </w:r>
                </w:p>
              </w:tc>
              <w:tc>
                <w:tcPr>
                  <w:tcW w:w="343" w:type="pct"/>
                  <w:shd w:val="clear" w:color="auto" w:fill="auto"/>
                  <w:vAlign w:val="center"/>
                </w:tcPr>
                <w:p w14:paraId="0E2EFD8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503B105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63C8F76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701F0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301" w:type="pct"/>
                  <w:shd w:val="clear" w:color="auto" w:fill="auto"/>
                  <w:vAlign w:val="center"/>
                </w:tcPr>
                <w:p w14:paraId="62B8F1A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30</w:t>
                  </w:r>
                </w:p>
              </w:tc>
              <w:tc>
                <w:tcPr>
                  <w:tcW w:w="1548" w:type="pct"/>
                  <w:shd w:val="clear" w:color="auto" w:fill="auto"/>
                  <w:vAlign w:val="center"/>
                </w:tcPr>
                <w:p w14:paraId="7768CD2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机器人装箱系统</w:t>
                  </w:r>
                </w:p>
              </w:tc>
              <w:tc>
                <w:tcPr>
                  <w:tcW w:w="1359" w:type="pct"/>
                  <w:shd w:val="clear" w:color="auto" w:fill="auto"/>
                  <w:vAlign w:val="center"/>
                </w:tcPr>
                <w:p w14:paraId="2E015F8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position w:val="-3"/>
                      <w:sz w:val="21"/>
                      <w:szCs w:val="21"/>
                    </w:rPr>
                    <w:t>RGZX</w:t>
                  </w:r>
                </w:p>
              </w:tc>
              <w:tc>
                <w:tcPr>
                  <w:tcW w:w="343" w:type="pct"/>
                  <w:shd w:val="clear" w:color="auto" w:fill="auto"/>
                  <w:vAlign w:val="center"/>
                </w:tcPr>
                <w:p w14:paraId="3188CC0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2E703F9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72017C6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17202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FC8C14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31</w:t>
                  </w:r>
                </w:p>
              </w:tc>
              <w:tc>
                <w:tcPr>
                  <w:tcW w:w="1548" w:type="pct"/>
                  <w:shd w:val="clear" w:color="auto" w:fill="auto"/>
                  <w:vAlign w:val="center"/>
                </w:tcPr>
                <w:p w14:paraId="5F34F29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封箱机</w:t>
                  </w:r>
                </w:p>
              </w:tc>
              <w:tc>
                <w:tcPr>
                  <w:tcW w:w="1359" w:type="pct"/>
                  <w:shd w:val="clear" w:color="auto" w:fill="auto"/>
                  <w:vAlign w:val="center"/>
                </w:tcPr>
                <w:p w14:paraId="7D352EB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FX5045</w:t>
                  </w:r>
                </w:p>
              </w:tc>
              <w:tc>
                <w:tcPr>
                  <w:tcW w:w="343" w:type="pct"/>
                  <w:shd w:val="clear" w:color="auto" w:fill="auto"/>
                  <w:vAlign w:val="center"/>
                </w:tcPr>
                <w:p w14:paraId="26732B3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0C5BC5C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shd w:val="clear" w:color="auto" w:fill="auto"/>
                  <w:vAlign w:val="center"/>
                </w:tcPr>
                <w:p w14:paraId="31BF9D1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24D15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E46A61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32</w:t>
                  </w:r>
                </w:p>
              </w:tc>
              <w:tc>
                <w:tcPr>
                  <w:tcW w:w="1548" w:type="pct"/>
                  <w:shd w:val="clear" w:color="auto" w:fill="auto"/>
                  <w:vAlign w:val="center"/>
                </w:tcPr>
                <w:p w14:paraId="60A4A8D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纸箱捆扎机</w:t>
                  </w:r>
                </w:p>
              </w:tc>
              <w:tc>
                <w:tcPr>
                  <w:tcW w:w="1359" w:type="pct"/>
                  <w:shd w:val="clear" w:color="auto" w:fill="auto"/>
                  <w:vAlign w:val="center"/>
                </w:tcPr>
                <w:p w14:paraId="3505D69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3"/>
                      <w:sz w:val="21"/>
                      <w:szCs w:val="21"/>
                    </w:rPr>
                    <w:t>MH-101B</w:t>
                  </w:r>
                </w:p>
              </w:tc>
              <w:tc>
                <w:tcPr>
                  <w:tcW w:w="343" w:type="pct"/>
                  <w:shd w:val="clear" w:color="auto" w:fill="auto"/>
                  <w:vAlign w:val="center"/>
                </w:tcPr>
                <w:p w14:paraId="4EB935B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2D71ECC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140" w:type="pct"/>
                  <w:vAlign w:val="center"/>
                </w:tcPr>
                <w:p w14:paraId="165B26E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67D80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4AA720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33</w:t>
                  </w:r>
                </w:p>
              </w:tc>
              <w:tc>
                <w:tcPr>
                  <w:tcW w:w="1548" w:type="pct"/>
                  <w:shd w:val="clear" w:color="auto" w:fill="auto"/>
                  <w:vAlign w:val="center"/>
                </w:tcPr>
                <w:p w14:paraId="1F5B5D7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成品纸箱输送机</w:t>
                  </w:r>
                </w:p>
              </w:tc>
              <w:tc>
                <w:tcPr>
                  <w:tcW w:w="1359" w:type="pct"/>
                  <w:shd w:val="clear" w:color="auto" w:fill="auto"/>
                  <w:vAlign w:val="center"/>
                </w:tcPr>
                <w:p w14:paraId="17FD41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ZG50-900</w:t>
                  </w:r>
                </w:p>
              </w:tc>
              <w:tc>
                <w:tcPr>
                  <w:tcW w:w="343" w:type="pct"/>
                  <w:shd w:val="clear" w:color="auto" w:fill="auto"/>
                  <w:vAlign w:val="center"/>
                </w:tcPr>
                <w:p w14:paraId="1281491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237EFAA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vAlign w:val="center"/>
                </w:tcPr>
                <w:p w14:paraId="210FA86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7650B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539E9A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34</w:t>
                  </w:r>
                </w:p>
              </w:tc>
              <w:tc>
                <w:tcPr>
                  <w:tcW w:w="1548" w:type="pct"/>
                  <w:shd w:val="clear" w:color="auto" w:fill="auto"/>
                  <w:vAlign w:val="center"/>
                </w:tcPr>
                <w:p w14:paraId="0F4ABF6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成品纸箱喷码贴标</w:t>
                  </w:r>
                </w:p>
              </w:tc>
              <w:tc>
                <w:tcPr>
                  <w:tcW w:w="1359" w:type="pct"/>
                  <w:shd w:val="clear" w:color="auto" w:fill="auto"/>
                  <w:vAlign w:val="center"/>
                </w:tcPr>
                <w:p w14:paraId="263C68A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非标</w:t>
                  </w:r>
                </w:p>
              </w:tc>
              <w:tc>
                <w:tcPr>
                  <w:tcW w:w="343" w:type="pct"/>
                  <w:shd w:val="clear" w:color="auto" w:fill="auto"/>
                  <w:vAlign w:val="center"/>
                </w:tcPr>
                <w:p w14:paraId="58282F7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19D38FE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1E4E343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6A974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0386E1E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35</w:t>
                  </w:r>
                </w:p>
              </w:tc>
              <w:tc>
                <w:tcPr>
                  <w:tcW w:w="1548" w:type="pct"/>
                  <w:shd w:val="clear" w:color="auto" w:fill="auto"/>
                  <w:vAlign w:val="center"/>
                </w:tcPr>
                <w:p w14:paraId="5D2D7AE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机器人开箱系统</w:t>
                  </w:r>
                </w:p>
              </w:tc>
              <w:tc>
                <w:tcPr>
                  <w:tcW w:w="1359" w:type="pct"/>
                  <w:shd w:val="clear" w:color="auto" w:fill="auto"/>
                  <w:vAlign w:val="center"/>
                </w:tcPr>
                <w:p w14:paraId="06EDC66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ZX601-602</w:t>
                  </w:r>
                </w:p>
              </w:tc>
              <w:tc>
                <w:tcPr>
                  <w:tcW w:w="343" w:type="pct"/>
                  <w:shd w:val="clear" w:color="auto" w:fill="auto"/>
                  <w:vAlign w:val="center"/>
                </w:tcPr>
                <w:p w14:paraId="6AAEF7E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7D0523A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0EA4F07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78596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F15D67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4"/>
                      <w:sz w:val="21"/>
                      <w:szCs w:val="21"/>
                      <w:highlight w:val="none"/>
                    </w:rPr>
                    <w:t>36</w:t>
                  </w:r>
                </w:p>
              </w:tc>
              <w:tc>
                <w:tcPr>
                  <w:tcW w:w="1548" w:type="pct"/>
                  <w:shd w:val="clear" w:color="auto" w:fill="auto"/>
                  <w:vAlign w:val="center"/>
                </w:tcPr>
                <w:p w14:paraId="01B7EC6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1"/>
                      <w:sz w:val="21"/>
                      <w:szCs w:val="21"/>
                      <w:highlight w:val="none"/>
                    </w:rPr>
                    <w:t>纸箱输送机</w:t>
                  </w:r>
                </w:p>
              </w:tc>
              <w:tc>
                <w:tcPr>
                  <w:tcW w:w="1359" w:type="pct"/>
                  <w:shd w:val="clear" w:color="auto" w:fill="auto"/>
                  <w:vAlign w:val="center"/>
                </w:tcPr>
                <w:p w14:paraId="70BD5E5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1"/>
                      <w:position w:val="-3"/>
                      <w:sz w:val="21"/>
                      <w:szCs w:val="21"/>
                      <w:highlight w:val="none"/>
                    </w:rPr>
                    <w:t>GD550W</w:t>
                  </w:r>
                </w:p>
              </w:tc>
              <w:tc>
                <w:tcPr>
                  <w:tcW w:w="343" w:type="pct"/>
                  <w:shd w:val="clear" w:color="auto" w:fill="auto"/>
                  <w:vAlign w:val="center"/>
                </w:tcPr>
                <w:p w14:paraId="28556B9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z w:val="21"/>
                      <w:szCs w:val="21"/>
                      <w:highlight w:val="none"/>
                    </w:rPr>
                    <w:t>台</w:t>
                  </w:r>
                </w:p>
              </w:tc>
              <w:tc>
                <w:tcPr>
                  <w:tcW w:w="307" w:type="pct"/>
                  <w:shd w:val="clear" w:color="auto" w:fill="auto"/>
                  <w:vAlign w:val="center"/>
                </w:tcPr>
                <w:p w14:paraId="4200B3E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w:t>
                  </w:r>
                </w:p>
              </w:tc>
              <w:tc>
                <w:tcPr>
                  <w:tcW w:w="1140" w:type="pct"/>
                  <w:vAlign w:val="center"/>
                </w:tcPr>
                <w:p w14:paraId="12068DC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湖北凯龙</w:t>
                  </w:r>
                </w:p>
              </w:tc>
            </w:tr>
            <w:tr w14:paraId="3541B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124994D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37</w:t>
                  </w:r>
                </w:p>
              </w:tc>
              <w:tc>
                <w:tcPr>
                  <w:tcW w:w="1548" w:type="pct"/>
                  <w:shd w:val="clear" w:color="auto" w:fill="auto"/>
                  <w:vAlign w:val="center"/>
                </w:tcPr>
                <w:p w14:paraId="446A94A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纸箱存放辊道机</w:t>
                  </w:r>
                </w:p>
              </w:tc>
              <w:tc>
                <w:tcPr>
                  <w:tcW w:w="1359" w:type="pct"/>
                  <w:shd w:val="clear" w:color="auto" w:fill="auto"/>
                  <w:vAlign w:val="center"/>
                </w:tcPr>
                <w:p w14:paraId="4F62306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3"/>
                      <w:sz w:val="21"/>
                      <w:szCs w:val="21"/>
                    </w:rPr>
                    <w:t>ZXGD1100W</w:t>
                  </w:r>
                </w:p>
              </w:tc>
              <w:tc>
                <w:tcPr>
                  <w:tcW w:w="343" w:type="pct"/>
                  <w:shd w:val="clear" w:color="auto" w:fill="auto"/>
                  <w:vAlign w:val="center"/>
                </w:tcPr>
                <w:p w14:paraId="2DCE96F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27AFA5C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26B7ED6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35851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2B84000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38</w:t>
                  </w:r>
                </w:p>
              </w:tc>
              <w:tc>
                <w:tcPr>
                  <w:tcW w:w="1548" w:type="pct"/>
                  <w:shd w:val="clear" w:color="auto" w:fill="auto"/>
                  <w:vAlign w:val="center"/>
                </w:tcPr>
                <w:p w14:paraId="3AAFCF0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连接套提升输送机</w:t>
                  </w:r>
                </w:p>
              </w:tc>
              <w:tc>
                <w:tcPr>
                  <w:tcW w:w="1359" w:type="pct"/>
                  <w:shd w:val="clear" w:color="auto" w:fill="auto"/>
                  <w:vAlign w:val="center"/>
                </w:tcPr>
                <w:p w14:paraId="0C7D781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RKL-1500</w:t>
                  </w:r>
                </w:p>
              </w:tc>
              <w:tc>
                <w:tcPr>
                  <w:tcW w:w="343" w:type="pct"/>
                  <w:shd w:val="clear" w:color="auto" w:fill="auto"/>
                  <w:vAlign w:val="center"/>
                </w:tcPr>
                <w:p w14:paraId="2919F61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08F9239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0108953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74584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6FD8D19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39</w:t>
                  </w:r>
                </w:p>
              </w:tc>
              <w:tc>
                <w:tcPr>
                  <w:tcW w:w="1548" w:type="pct"/>
                  <w:shd w:val="clear" w:color="auto" w:fill="auto"/>
                  <w:vAlign w:val="center"/>
                </w:tcPr>
                <w:p w14:paraId="3B0C3D2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连接套自动整理送料机</w:t>
                  </w:r>
                </w:p>
              </w:tc>
              <w:tc>
                <w:tcPr>
                  <w:tcW w:w="1359" w:type="pct"/>
                  <w:shd w:val="clear" w:color="auto" w:fill="auto"/>
                  <w:vAlign w:val="center"/>
                </w:tcPr>
                <w:p w14:paraId="2C364F6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RK-900</w:t>
                  </w:r>
                </w:p>
              </w:tc>
              <w:tc>
                <w:tcPr>
                  <w:tcW w:w="343" w:type="pct"/>
                  <w:shd w:val="clear" w:color="auto" w:fill="auto"/>
                  <w:vAlign w:val="center"/>
                </w:tcPr>
                <w:p w14:paraId="2AE2609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01C8880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7D7A3BC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19FC5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0EB18E5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40</w:t>
                  </w:r>
                </w:p>
              </w:tc>
              <w:tc>
                <w:tcPr>
                  <w:tcW w:w="1548" w:type="pct"/>
                  <w:shd w:val="clear" w:color="auto" w:fill="auto"/>
                  <w:vAlign w:val="center"/>
                </w:tcPr>
                <w:p w14:paraId="467A48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壳体抓取机器人</w:t>
                  </w:r>
                </w:p>
              </w:tc>
              <w:tc>
                <w:tcPr>
                  <w:tcW w:w="1359" w:type="pct"/>
                  <w:shd w:val="clear" w:color="auto" w:fill="auto"/>
                  <w:vAlign w:val="center"/>
                </w:tcPr>
                <w:p w14:paraId="1459B0D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ER20B-1760</w:t>
                  </w:r>
                </w:p>
              </w:tc>
              <w:tc>
                <w:tcPr>
                  <w:tcW w:w="343" w:type="pct"/>
                  <w:shd w:val="clear" w:color="auto" w:fill="auto"/>
                  <w:vAlign w:val="center"/>
                </w:tcPr>
                <w:p w14:paraId="64ABB85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307" w:type="pct"/>
                  <w:shd w:val="clear" w:color="auto" w:fill="auto"/>
                  <w:vAlign w:val="center"/>
                </w:tcPr>
                <w:p w14:paraId="3E1758D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1F22EDF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4047F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6"/>
                  <w:shd w:val="clear" w:color="auto" w:fill="auto"/>
                  <w:vAlign w:val="center"/>
                </w:tcPr>
                <w:p w14:paraId="52FD9B2F">
                  <w:pPr>
                    <w:pStyle w:val="115"/>
                    <w:keepNext/>
                    <w:keepLines w:val="0"/>
                    <w:pageBreakBefore w:val="0"/>
                    <w:kinsoku/>
                    <w:wordWrap/>
                    <w:overflowPunct/>
                    <w:topLinePunct w:val="0"/>
                    <w:autoSpaceDE w:val="0"/>
                    <w:autoSpaceDN w:val="0"/>
                    <w:bidi w:val="0"/>
                    <w:spacing w:before="130" w:line="210" w:lineRule="auto"/>
                    <w:ind w:left="393"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四、管壳输送工房及综合材料库</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pacing w:val="2"/>
                      <w:sz w:val="21"/>
                      <w:szCs w:val="21"/>
                    </w:rPr>
                    <w:t>402</w:t>
                  </w:r>
                  <w:r>
                    <w:rPr>
                      <w:rFonts w:hint="eastAsia" w:ascii="Times New Roman" w:hAnsi="Times New Roman" w:cs="Times New Roman"/>
                      <w:color w:val="auto"/>
                      <w:spacing w:val="2"/>
                      <w:sz w:val="21"/>
                      <w:szCs w:val="21"/>
                      <w:lang w:eastAsia="zh-CN"/>
                    </w:rPr>
                    <w:t>）</w:t>
                  </w:r>
                </w:p>
              </w:tc>
            </w:tr>
            <w:tr w14:paraId="365E3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6E688D8">
                  <w:pPr>
                    <w:pStyle w:val="115"/>
                    <w:keepNext/>
                    <w:keepLines w:val="0"/>
                    <w:pageBreakBefore w:val="0"/>
                    <w:kinsoku/>
                    <w:wordWrap/>
                    <w:overflowPunct/>
                    <w:topLinePunct w:val="0"/>
                    <w:autoSpaceDE w:val="0"/>
                    <w:autoSpaceDN w:val="0"/>
                    <w:bidi w:val="0"/>
                    <w:spacing w:before="109" w:line="216" w:lineRule="auto"/>
                    <w:ind w:left="220"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548" w:type="pct"/>
                  <w:shd w:val="clear" w:color="auto" w:fill="auto"/>
                  <w:vAlign w:val="center"/>
                </w:tcPr>
                <w:p w14:paraId="77994C9D">
                  <w:pPr>
                    <w:pStyle w:val="115"/>
                    <w:keepNext/>
                    <w:keepLines w:val="0"/>
                    <w:pageBreakBefore w:val="0"/>
                    <w:kinsoku/>
                    <w:wordWrap/>
                    <w:overflowPunct/>
                    <w:topLinePunct w:val="0"/>
                    <w:autoSpaceDE w:val="0"/>
                    <w:autoSpaceDN w:val="0"/>
                    <w:bidi w:val="0"/>
                    <w:spacing w:before="84" w:line="219" w:lineRule="auto"/>
                    <w:ind w:left="1"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壳体输送机</w:t>
                  </w:r>
                </w:p>
              </w:tc>
              <w:tc>
                <w:tcPr>
                  <w:tcW w:w="1359" w:type="pct"/>
                  <w:shd w:val="clear" w:color="auto" w:fill="auto"/>
                  <w:vAlign w:val="center"/>
                </w:tcPr>
                <w:p w14:paraId="2ECEBFC1">
                  <w:pPr>
                    <w:keepNext/>
                    <w:keepLines w:val="0"/>
                    <w:pageBreakBefore w:val="0"/>
                    <w:kinsoku/>
                    <w:wordWrap/>
                    <w:overflowPunct/>
                    <w:topLinePunct w:val="0"/>
                    <w:autoSpaceDE w:val="0"/>
                    <w:autoSpaceDN w:val="0"/>
                    <w:bidi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343" w:type="pct"/>
                  <w:shd w:val="clear" w:color="auto" w:fill="auto"/>
                  <w:vAlign w:val="center"/>
                </w:tcPr>
                <w:p w14:paraId="7F75E4DD">
                  <w:pPr>
                    <w:pStyle w:val="115"/>
                    <w:keepNext/>
                    <w:keepLines w:val="0"/>
                    <w:pageBreakBefore w:val="0"/>
                    <w:kinsoku/>
                    <w:wordWrap/>
                    <w:overflowPunct/>
                    <w:topLinePunct w:val="0"/>
                    <w:autoSpaceDE w:val="0"/>
                    <w:autoSpaceDN w:val="0"/>
                    <w:bidi w:val="0"/>
                    <w:spacing w:before="86" w:line="220" w:lineRule="auto"/>
                    <w:ind w:left="226"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160F6121">
                  <w:pPr>
                    <w:pStyle w:val="115"/>
                    <w:keepNext/>
                    <w:keepLines w:val="0"/>
                    <w:pageBreakBefore w:val="0"/>
                    <w:kinsoku/>
                    <w:wordWrap/>
                    <w:overflowPunct/>
                    <w:topLinePunct w:val="0"/>
                    <w:autoSpaceDE w:val="0"/>
                    <w:autoSpaceDN w:val="0"/>
                    <w:bidi w:val="0"/>
                    <w:spacing w:before="109" w:line="216" w:lineRule="auto"/>
                    <w:ind w:left="247"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vAlign w:val="center"/>
                </w:tcPr>
                <w:p w14:paraId="418BD8E1">
                  <w:pPr>
                    <w:pStyle w:val="115"/>
                    <w:keepNext/>
                    <w:keepLines w:val="0"/>
                    <w:pageBreakBefore w:val="0"/>
                    <w:kinsoku/>
                    <w:wordWrap/>
                    <w:overflowPunct/>
                    <w:topLinePunct w:val="0"/>
                    <w:autoSpaceDE w:val="0"/>
                    <w:autoSpaceDN w:val="0"/>
                    <w:bidi w:val="0"/>
                    <w:spacing w:before="86" w:line="219" w:lineRule="auto"/>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7727F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7B0056F6">
                  <w:pPr>
                    <w:pStyle w:val="115"/>
                    <w:keepNext/>
                    <w:keepLines w:val="0"/>
                    <w:pageBreakBefore w:val="0"/>
                    <w:kinsoku/>
                    <w:wordWrap/>
                    <w:overflowPunct/>
                    <w:topLinePunct w:val="0"/>
                    <w:autoSpaceDE w:val="0"/>
                    <w:autoSpaceDN w:val="0"/>
                    <w:bidi w:val="0"/>
                    <w:spacing w:before="109" w:line="207" w:lineRule="auto"/>
                    <w:ind w:left="220"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548" w:type="pct"/>
                  <w:shd w:val="clear" w:color="auto" w:fill="auto"/>
                  <w:vAlign w:val="center"/>
                </w:tcPr>
                <w:p w14:paraId="14BA8283">
                  <w:pPr>
                    <w:pStyle w:val="115"/>
                    <w:keepNext/>
                    <w:keepLines w:val="0"/>
                    <w:pageBreakBefore w:val="0"/>
                    <w:kinsoku/>
                    <w:wordWrap/>
                    <w:overflowPunct/>
                    <w:topLinePunct w:val="0"/>
                    <w:autoSpaceDE w:val="0"/>
                    <w:autoSpaceDN w:val="0"/>
                    <w:bidi w:val="0"/>
                    <w:spacing w:before="84" w:line="219" w:lineRule="auto"/>
                    <w:ind w:left="1"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连接套输送机</w:t>
                  </w:r>
                </w:p>
              </w:tc>
              <w:tc>
                <w:tcPr>
                  <w:tcW w:w="1359" w:type="pct"/>
                  <w:shd w:val="clear" w:color="auto" w:fill="auto"/>
                  <w:vAlign w:val="center"/>
                </w:tcPr>
                <w:p w14:paraId="2E88216B">
                  <w:pPr>
                    <w:keepNext/>
                    <w:keepLines w:val="0"/>
                    <w:pageBreakBefore w:val="0"/>
                    <w:kinsoku/>
                    <w:wordWrap/>
                    <w:overflowPunct/>
                    <w:topLinePunct w:val="0"/>
                    <w:autoSpaceDE w:val="0"/>
                    <w:autoSpaceDN w:val="0"/>
                    <w:bidi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343" w:type="pct"/>
                  <w:shd w:val="clear" w:color="auto" w:fill="auto"/>
                  <w:vAlign w:val="center"/>
                </w:tcPr>
                <w:p w14:paraId="3AE80EF0">
                  <w:pPr>
                    <w:pStyle w:val="115"/>
                    <w:keepNext/>
                    <w:keepLines w:val="0"/>
                    <w:pageBreakBefore w:val="0"/>
                    <w:kinsoku/>
                    <w:wordWrap/>
                    <w:overflowPunct/>
                    <w:topLinePunct w:val="0"/>
                    <w:autoSpaceDE w:val="0"/>
                    <w:autoSpaceDN w:val="0"/>
                    <w:bidi w:val="0"/>
                    <w:spacing w:before="86" w:line="220" w:lineRule="auto"/>
                    <w:ind w:left="226"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72123D2F">
                  <w:pPr>
                    <w:pStyle w:val="115"/>
                    <w:keepNext/>
                    <w:keepLines w:val="0"/>
                    <w:pageBreakBefore w:val="0"/>
                    <w:kinsoku/>
                    <w:wordWrap/>
                    <w:overflowPunct/>
                    <w:topLinePunct w:val="0"/>
                    <w:autoSpaceDE w:val="0"/>
                    <w:autoSpaceDN w:val="0"/>
                    <w:bidi w:val="0"/>
                    <w:spacing w:before="109" w:line="207" w:lineRule="auto"/>
                    <w:ind w:left="247"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140" w:type="pct"/>
                  <w:vAlign w:val="center"/>
                </w:tcPr>
                <w:p w14:paraId="29EE2941">
                  <w:pPr>
                    <w:pStyle w:val="115"/>
                    <w:keepNext/>
                    <w:keepLines w:val="0"/>
                    <w:pageBreakBefore w:val="0"/>
                    <w:kinsoku/>
                    <w:wordWrap/>
                    <w:overflowPunct/>
                    <w:topLinePunct w:val="0"/>
                    <w:autoSpaceDE w:val="0"/>
                    <w:autoSpaceDN w:val="0"/>
                    <w:bidi w:val="0"/>
                    <w:spacing w:before="85" w:line="219" w:lineRule="auto"/>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476D2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6"/>
                  <w:shd w:val="clear" w:color="auto" w:fill="auto"/>
                  <w:vAlign w:val="center"/>
                </w:tcPr>
                <w:p w14:paraId="52DE49D4">
                  <w:pPr>
                    <w:pStyle w:val="115"/>
                    <w:keepNext/>
                    <w:keepLines w:val="0"/>
                    <w:pageBreakBefore w:val="0"/>
                    <w:kinsoku/>
                    <w:wordWrap/>
                    <w:overflowPunct/>
                    <w:topLinePunct w:val="0"/>
                    <w:autoSpaceDE w:val="0"/>
                    <w:autoSpaceDN w:val="0"/>
                    <w:bidi w:val="0"/>
                    <w:spacing w:before="85" w:line="219" w:lineRule="auto"/>
                    <w:ind w:left="385" w:leftChars="0"/>
                    <w:jc w:val="both"/>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五、乳化炸药震源药柱成品中转站台</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pacing w:val="2"/>
                      <w:sz w:val="21"/>
                      <w:szCs w:val="21"/>
                    </w:rPr>
                    <w:t>405</w:t>
                  </w:r>
                  <w:r>
                    <w:rPr>
                      <w:rFonts w:hint="eastAsia" w:ascii="Times New Roman" w:hAnsi="Times New Roman" w:cs="Times New Roman"/>
                      <w:color w:val="auto"/>
                      <w:spacing w:val="2"/>
                      <w:sz w:val="21"/>
                      <w:szCs w:val="21"/>
                      <w:lang w:eastAsia="zh-CN"/>
                    </w:rPr>
                    <w:t>）</w:t>
                  </w:r>
                </w:p>
              </w:tc>
            </w:tr>
            <w:tr w14:paraId="46902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3759A6F8">
                  <w:pPr>
                    <w:pStyle w:val="115"/>
                    <w:keepNext/>
                    <w:keepLines w:val="0"/>
                    <w:pageBreakBefore w:val="0"/>
                    <w:kinsoku/>
                    <w:wordWrap/>
                    <w:overflowPunct/>
                    <w:topLinePunct w:val="0"/>
                    <w:autoSpaceDE w:val="0"/>
                    <w:autoSpaceDN w:val="0"/>
                    <w:bidi w:val="0"/>
                    <w:spacing w:before="311" w:line="241" w:lineRule="auto"/>
                    <w:ind w:left="220"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548" w:type="pct"/>
                  <w:shd w:val="clear" w:color="auto" w:fill="auto"/>
                  <w:vAlign w:val="center"/>
                </w:tcPr>
                <w:p w14:paraId="1251501D">
                  <w:pPr>
                    <w:pStyle w:val="115"/>
                    <w:keepNext/>
                    <w:keepLines w:val="0"/>
                    <w:pageBreakBefore w:val="0"/>
                    <w:kinsoku/>
                    <w:wordWrap/>
                    <w:overflowPunct/>
                    <w:topLinePunct w:val="0"/>
                    <w:autoSpaceDE w:val="0"/>
                    <w:autoSpaceDN w:val="0"/>
                    <w:bidi w:val="0"/>
                    <w:spacing w:before="118" w:line="254" w:lineRule="auto"/>
                    <w:ind w:left="1" w:leftChars="0" w:right="26" w:righ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工业炸药成品箱</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袋</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自动上</w:t>
                  </w:r>
                  <w:r>
                    <w:rPr>
                      <w:rFonts w:hint="default" w:ascii="Times New Roman" w:hAnsi="Times New Roman" w:eastAsia="宋体" w:cs="Times New Roman"/>
                      <w:color w:val="auto"/>
                      <w:spacing w:val="9"/>
                      <w:sz w:val="21"/>
                      <w:szCs w:val="21"/>
                    </w:rPr>
                    <w:t xml:space="preserve"> </w:t>
                  </w:r>
                  <w:r>
                    <w:rPr>
                      <w:rFonts w:hint="default" w:ascii="Times New Roman" w:hAnsi="Times New Roman" w:eastAsia="宋体" w:cs="Times New Roman"/>
                      <w:color w:val="auto"/>
                      <w:spacing w:val="3"/>
                      <w:sz w:val="21"/>
                      <w:szCs w:val="21"/>
                    </w:rPr>
                    <w:t>车系统</w:t>
                  </w:r>
                </w:p>
              </w:tc>
              <w:tc>
                <w:tcPr>
                  <w:tcW w:w="1359" w:type="pct"/>
                  <w:shd w:val="clear" w:color="auto" w:fill="auto"/>
                  <w:vAlign w:val="center"/>
                </w:tcPr>
                <w:p w14:paraId="72EE9670">
                  <w:pPr>
                    <w:pStyle w:val="115"/>
                    <w:keepNext/>
                    <w:keepLines w:val="0"/>
                    <w:pageBreakBefore w:val="0"/>
                    <w:kinsoku/>
                    <w:wordWrap/>
                    <w:overflowPunct/>
                    <w:topLinePunct w:val="0"/>
                    <w:autoSpaceDE w:val="0"/>
                    <w:autoSpaceDN w:val="0"/>
                    <w:bidi w:val="0"/>
                    <w:spacing w:before="78" w:line="185" w:lineRule="auto"/>
                    <w:ind w:left="763"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KNACPM</w:t>
                  </w:r>
                </w:p>
              </w:tc>
              <w:tc>
                <w:tcPr>
                  <w:tcW w:w="343" w:type="pct"/>
                  <w:shd w:val="clear" w:color="auto" w:fill="auto"/>
                  <w:vAlign w:val="center"/>
                </w:tcPr>
                <w:p w14:paraId="37823EBE">
                  <w:pPr>
                    <w:pStyle w:val="115"/>
                    <w:keepNext/>
                    <w:keepLines w:val="0"/>
                    <w:pageBreakBefore w:val="0"/>
                    <w:kinsoku/>
                    <w:wordWrap/>
                    <w:overflowPunct/>
                    <w:topLinePunct w:val="0"/>
                    <w:autoSpaceDE w:val="0"/>
                    <w:autoSpaceDN w:val="0"/>
                    <w:bidi w:val="0"/>
                    <w:spacing w:before="86" w:line="220" w:lineRule="auto"/>
                    <w:ind w:left="226" w:leftChars="0"/>
                    <w:jc w:val="both"/>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0E160423">
                  <w:pPr>
                    <w:pStyle w:val="115"/>
                    <w:keepNext/>
                    <w:keepLines w:val="0"/>
                    <w:pageBreakBefore w:val="0"/>
                    <w:kinsoku/>
                    <w:wordWrap/>
                    <w:overflowPunct/>
                    <w:topLinePunct w:val="0"/>
                    <w:autoSpaceDE w:val="0"/>
                    <w:autoSpaceDN w:val="0"/>
                    <w:bidi w:val="0"/>
                    <w:spacing w:before="109" w:line="207" w:lineRule="auto"/>
                    <w:ind w:left="247" w:leftChars="0"/>
                    <w:jc w:val="both"/>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140" w:type="pct"/>
                  <w:vAlign w:val="center"/>
                </w:tcPr>
                <w:p w14:paraId="2CC74AC3">
                  <w:pPr>
                    <w:pStyle w:val="115"/>
                    <w:keepNext/>
                    <w:keepLines w:val="0"/>
                    <w:pageBreakBefore w:val="0"/>
                    <w:kinsoku/>
                    <w:wordWrap/>
                    <w:overflowPunct/>
                    <w:topLinePunct w:val="0"/>
                    <w:autoSpaceDE w:val="0"/>
                    <w:autoSpaceDN w:val="0"/>
                    <w:bidi w:val="0"/>
                    <w:spacing w:before="85" w:line="219" w:lineRule="auto"/>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金能自动化</w:t>
                  </w:r>
                </w:p>
              </w:tc>
            </w:tr>
            <w:tr w14:paraId="5655D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6"/>
                  <w:shd w:val="clear" w:color="auto" w:fill="auto"/>
                  <w:vAlign w:val="center"/>
                </w:tcPr>
                <w:p w14:paraId="356384D2">
                  <w:pPr>
                    <w:pStyle w:val="115"/>
                    <w:keepNext/>
                    <w:keepLines w:val="0"/>
                    <w:pageBreakBefore w:val="0"/>
                    <w:kinsoku/>
                    <w:wordWrap/>
                    <w:overflowPunct/>
                    <w:topLinePunct w:val="0"/>
                    <w:autoSpaceDE w:val="0"/>
                    <w:autoSpaceDN w:val="0"/>
                    <w:bidi w:val="0"/>
                    <w:spacing w:before="85" w:line="219" w:lineRule="auto"/>
                    <w:ind w:left="385" w:leftChars="0"/>
                    <w:jc w:val="both"/>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1"/>
                      <w:sz w:val="21"/>
                      <w:szCs w:val="21"/>
                    </w:rPr>
                    <w:t>六、控制系统部分</w:t>
                  </w:r>
                </w:p>
              </w:tc>
            </w:tr>
            <w:tr w14:paraId="201B0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B27833C">
                  <w:pPr>
                    <w:pStyle w:val="115"/>
                    <w:keepNext/>
                    <w:keepLines w:val="0"/>
                    <w:pageBreakBefore w:val="0"/>
                    <w:kinsoku/>
                    <w:wordWrap/>
                    <w:overflowPunct/>
                    <w:topLinePunct w:val="0"/>
                    <w:autoSpaceDE w:val="0"/>
                    <w:autoSpaceDN w:val="0"/>
                    <w:bidi w:val="0"/>
                    <w:spacing w:before="103" w:line="205" w:lineRule="auto"/>
                    <w:ind w:left="214"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1548" w:type="pct"/>
                  <w:shd w:val="clear" w:color="auto" w:fill="auto"/>
                  <w:vAlign w:val="center"/>
                </w:tcPr>
                <w:p w14:paraId="2A496D19">
                  <w:pPr>
                    <w:pStyle w:val="115"/>
                    <w:keepNext/>
                    <w:keepLines w:val="0"/>
                    <w:pageBreakBefore w:val="0"/>
                    <w:kinsoku/>
                    <w:wordWrap/>
                    <w:overflowPunct/>
                    <w:topLinePunct w:val="0"/>
                    <w:autoSpaceDE w:val="0"/>
                    <w:autoSpaceDN w:val="0"/>
                    <w:bidi w:val="0"/>
                    <w:spacing w:before="8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自动控制系统</w:t>
                  </w:r>
                </w:p>
              </w:tc>
              <w:tc>
                <w:tcPr>
                  <w:tcW w:w="1359" w:type="pct"/>
                  <w:shd w:val="clear" w:color="auto" w:fill="auto"/>
                  <w:vAlign w:val="center"/>
                </w:tcPr>
                <w:p w14:paraId="6CF67B46">
                  <w:pPr>
                    <w:pStyle w:val="115"/>
                    <w:keepNext/>
                    <w:keepLines w:val="0"/>
                    <w:pageBreakBefore w:val="0"/>
                    <w:kinsoku/>
                    <w:wordWrap/>
                    <w:overflowPunct/>
                    <w:topLinePunct w:val="0"/>
                    <w:autoSpaceDE w:val="0"/>
                    <w:autoSpaceDN w:val="0"/>
                    <w:bidi w:val="0"/>
                    <w:spacing w:before="8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343" w:type="pct"/>
                  <w:shd w:val="clear" w:color="auto" w:fill="auto"/>
                  <w:vAlign w:val="center"/>
                </w:tcPr>
                <w:p w14:paraId="32B386D4">
                  <w:pPr>
                    <w:pStyle w:val="115"/>
                    <w:keepNext/>
                    <w:keepLines w:val="0"/>
                    <w:pageBreakBefore w:val="0"/>
                    <w:kinsoku/>
                    <w:wordWrap/>
                    <w:overflowPunct/>
                    <w:topLinePunct w:val="0"/>
                    <w:autoSpaceDE w:val="0"/>
                    <w:autoSpaceDN w:val="0"/>
                    <w:bidi w:val="0"/>
                    <w:spacing w:before="80" w:line="220" w:lineRule="auto"/>
                    <w:ind w:left="226"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26A7D58B">
                  <w:pPr>
                    <w:pStyle w:val="115"/>
                    <w:keepNext/>
                    <w:keepLines w:val="0"/>
                    <w:pageBreakBefore w:val="0"/>
                    <w:kinsoku/>
                    <w:wordWrap/>
                    <w:overflowPunct/>
                    <w:topLinePunct w:val="0"/>
                    <w:autoSpaceDE w:val="0"/>
                    <w:autoSpaceDN w:val="0"/>
                    <w:bidi w:val="0"/>
                    <w:spacing w:before="103" w:line="205" w:lineRule="auto"/>
                    <w:ind w:left="247" w:leftChars="0"/>
                    <w:jc w:val="both"/>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3C37AC83">
                  <w:pPr>
                    <w:pStyle w:val="115"/>
                    <w:keepNext/>
                    <w:keepLines w:val="0"/>
                    <w:pageBreakBefore w:val="0"/>
                    <w:kinsoku/>
                    <w:wordWrap/>
                    <w:overflowPunct/>
                    <w:topLinePunct w:val="0"/>
                    <w:autoSpaceDE w:val="0"/>
                    <w:autoSpaceDN w:val="0"/>
                    <w:bidi w:val="0"/>
                    <w:spacing w:before="80" w:line="219" w:lineRule="auto"/>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22C6E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28CB162">
                  <w:pPr>
                    <w:pStyle w:val="115"/>
                    <w:keepNext/>
                    <w:keepLines w:val="0"/>
                    <w:pageBreakBefore w:val="0"/>
                    <w:kinsoku/>
                    <w:wordWrap/>
                    <w:overflowPunct/>
                    <w:topLinePunct w:val="0"/>
                    <w:autoSpaceDE w:val="0"/>
                    <w:autoSpaceDN w:val="0"/>
                    <w:bidi w:val="0"/>
                    <w:spacing w:before="113" w:line="208" w:lineRule="auto"/>
                    <w:ind w:left="214"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1548" w:type="pct"/>
                  <w:shd w:val="clear" w:color="auto" w:fill="auto"/>
                  <w:vAlign w:val="center"/>
                </w:tcPr>
                <w:p w14:paraId="00A9E9B1">
                  <w:pPr>
                    <w:pStyle w:val="115"/>
                    <w:keepNext/>
                    <w:keepLines w:val="0"/>
                    <w:pageBreakBefore w:val="0"/>
                    <w:kinsoku/>
                    <w:wordWrap/>
                    <w:overflowPunct/>
                    <w:topLinePunct w:val="0"/>
                    <w:autoSpaceDE w:val="0"/>
                    <w:autoSpaceDN w:val="0"/>
                    <w:bidi w:val="0"/>
                    <w:spacing w:before="9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视频监控系统</w:t>
                  </w:r>
                </w:p>
              </w:tc>
              <w:tc>
                <w:tcPr>
                  <w:tcW w:w="1359" w:type="pct"/>
                  <w:shd w:val="clear" w:color="auto" w:fill="auto"/>
                  <w:vAlign w:val="center"/>
                </w:tcPr>
                <w:p w14:paraId="0058DE22">
                  <w:pPr>
                    <w:pStyle w:val="115"/>
                    <w:keepNext/>
                    <w:keepLines w:val="0"/>
                    <w:pageBreakBefore w:val="0"/>
                    <w:kinsoku/>
                    <w:wordWrap/>
                    <w:overflowPunct/>
                    <w:topLinePunct w:val="0"/>
                    <w:autoSpaceDE w:val="0"/>
                    <w:autoSpaceDN w:val="0"/>
                    <w:bidi w:val="0"/>
                    <w:spacing w:before="9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343" w:type="pct"/>
                  <w:shd w:val="clear" w:color="auto" w:fill="auto"/>
                  <w:vAlign w:val="center"/>
                </w:tcPr>
                <w:p w14:paraId="177C7849">
                  <w:pPr>
                    <w:pStyle w:val="115"/>
                    <w:keepNext/>
                    <w:keepLines w:val="0"/>
                    <w:pageBreakBefore w:val="0"/>
                    <w:kinsoku/>
                    <w:wordWrap/>
                    <w:overflowPunct/>
                    <w:topLinePunct w:val="0"/>
                    <w:autoSpaceDE w:val="0"/>
                    <w:autoSpaceDN w:val="0"/>
                    <w:bidi w:val="0"/>
                    <w:spacing w:before="90" w:line="220" w:lineRule="auto"/>
                    <w:ind w:left="226"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5F547EC0">
                  <w:pPr>
                    <w:pStyle w:val="115"/>
                    <w:keepNext/>
                    <w:keepLines w:val="0"/>
                    <w:pageBreakBefore w:val="0"/>
                    <w:kinsoku/>
                    <w:wordWrap/>
                    <w:overflowPunct/>
                    <w:topLinePunct w:val="0"/>
                    <w:autoSpaceDE w:val="0"/>
                    <w:autoSpaceDN w:val="0"/>
                    <w:bidi w:val="0"/>
                    <w:spacing w:before="113" w:line="208" w:lineRule="auto"/>
                    <w:ind w:left="247" w:leftChars="0"/>
                    <w:jc w:val="both"/>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1D82D5B5">
                  <w:pPr>
                    <w:pStyle w:val="115"/>
                    <w:keepNext/>
                    <w:keepLines w:val="0"/>
                    <w:pageBreakBefore w:val="0"/>
                    <w:kinsoku/>
                    <w:wordWrap/>
                    <w:overflowPunct/>
                    <w:topLinePunct w:val="0"/>
                    <w:autoSpaceDE w:val="0"/>
                    <w:autoSpaceDN w:val="0"/>
                    <w:bidi w:val="0"/>
                    <w:spacing w:before="89" w:line="219" w:lineRule="auto"/>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622CB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56947B91">
                  <w:pPr>
                    <w:pStyle w:val="115"/>
                    <w:keepNext/>
                    <w:keepLines w:val="0"/>
                    <w:pageBreakBefore w:val="0"/>
                    <w:kinsoku/>
                    <w:wordWrap/>
                    <w:overflowPunct/>
                    <w:topLinePunct w:val="0"/>
                    <w:autoSpaceDE w:val="0"/>
                    <w:autoSpaceDN w:val="0"/>
                    <w:bidi w:val="0"/>
                    <w:spacing w:before="177" w:line="162" w:lineRule="auto"/>
                    <w:ind w:left="224"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3</w:t>
                  </w:r>
                </w:p>
              </w:tc>
              <w:tc>
                <w:tcPr>
                  <w:tcW w:w="1548" w:type="pct"/>
                  <w:shd w:val="clear" w:color="auto" w:fill="auto"/>
                  <w:vAlign w:val="center"/>
                </w:tcPr>
                <w:p w14:paraId="3BF493A4">
                  <w:pPr>
                    <w:pStyle w:val="115"/>
                    <w:keepNext/>
                    <w:keepLines w:val="0"/>
                    <w:pageBreakBefore w:val="0"/>
                    <w:kinsoku/>
                    <w:wordWrap/>
                    <w:overflowPunct/>
                    <w:topLinePunct w:val="0"/>
                    <w:autoSpaceDE w:val="0"/>
                    <w:autoSpaceDN w:val="0"/>
                    <w:bidi w:val="0"/>
                    <w:spacing w:before="84" w:line="219"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对讲系统</w:t>
                  </w:r>
                </w:p>
              </w:tc>
              <w:tc>
                <w:tcPr>
                  <w:tcW w:w="1359" w:type="pct"/>
                  <w:shd w:val="clear" w:color="auto" w:fill="auto"/>
                  <w:vAlign w:val="center"/>
                </w:tcPr>
                <w:p w14:paraId="68F10437">
                  <w:pPr>
                    <w:pStyle w:val="115"/>
                    <w:keepNext/>
                    <w:keepLines w:val="0"/>
                    <w:pageBreakBefore w:val="0"/>
                    <w:kinsoku/>
                    <w:wordWrap/>
                    <w:overflowPunct/>
                    <w:topLinePunct w:val="0"/>
                    <w:autoSpaceDE w:val="0"/>
                    <w:autoSpaceDN w:val="0"/>
                    <w:bidi w:val="0"/>
                    <w:spacing w:before="84" w:line="219"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343" w:type="pct"/>
                  <w:shd w:val="clear" w:color="auto" w:fill="auto"/>
                  <w:vAlign w:val="center"/>
                </w:tcPr>
                <w:p w14:paraId="0F487A2A">
                  <w:pPr>
                    <w:pStyle w:val="115"/>
                    <w:keepNext/>
                    <w:keepLines w:val="0"/>
                    <w:pageBreakBefore w:val="0"/>
                    <w:kinsoku/>
                    <w:wordWrap/>
                    <w:overflowPunct/>
                    <w:topLinePunct w:val="0"/>
                    <w:autoSpaceDE w:val="0"/>
                    <w:autoSpaceDN w:val="0"/>
                    <w:bidi w:val="0"/>
                    <w:spacing w:before="80" w:line="220" w:lineRule="auto"/>
                    <w:ind w:left="226"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3DF4F891">
                  <w:pPr>
                    <w:pStyle w:val="115"/>
                    <w:keepNext/>
                    <w:keepLines w:val="0"/>
                    <w:pageBreakBefore w:val="0"/>
                    <w:kinsoku/>
                    <w:wordWrap/>
                    <w:overflowPunct/>
                    <w:topLinePunct w:val="0"/>
                    <w:autoSpaceDE w:val="0"/>
                    <w:autoSpaceDN w:val="0"/>
                    <w:bidi w:val="0"/>
                    <w:spacing w:before="103" w:line="205" w:lineRule="auto"/>
                    <w:ind w:left="247" w:leftChars="0"/>
                    <w:jc w:val="both"/>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1EA111DF">
                  <w:pPr>
                    <w:pStyle w:val="115"/>
                    <w:keepNext/>
                    <w:keepLines w:val="0"/>
                    <w:pageBreakBefore w:val="0"/>
                    <w:kinsoku/>
                    <w:wordWrap/>
                    <w:overflowPunct/>
                    <w:topLinePunct w:val="0"/>
                    <w:autoSpaceDE w:val="0"/>
                    <w:autoSpaceDN w:val="0"/>
                    <w:bidi w:val="0"/>
                    <w:spacing w:before="84" w:line="219" w:lineRule="auto"/>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r w14:paraId="1C3EA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01" w:type="pct"/>
                  <w:shd w:val="clear" w:color="auto" w:fill="auto"/>
                  <w:vAlign w:val="center"/>
                </w:tcPr>
                <w:p w14:paraId="00EE7D4F">
                  <w:pPr>
                    <w:pStyle w:val="115"/>
                    <w:keepNext/>
                    <w:keepLines w:val="0"/>
                    <w:pageBreakBefore w:val="0"/>
                    <w:kinsoku/>
                    <w:wordWrap/>
                    <w:overflowPunct/>
                    <w:topLinePunct w:val="0"/>
                    <w:autoSpaceDE w:val="0"/>
                    <w:autoSpaceDN w:val="0"/>
                    <w:bidi w:val="0"/>
                    <w:spacing w:before="179" w:line="161" w:lineRule="auto"/>
                    <w:ind w:left="224"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4</w:t>
                  </w:r>
                </w:p>
              </w:tc>
              <w:tc>
                <w:tcPr>
                  <w:tcW w:w="1548" w:type="pct"/>
                  <w:shd w:val="clear" w:color="auto" w:fill="auto"/>
                  <w:vAlign w:val="center"/>
                </w:tcPr>
                <w:p w14:paraId="5B2F9BD9">
                  <w:pPr>
                    <w:pStyle w:val="115"/>
                    <w:keepNext/>
                    <w:keepLines w:val="0"/>
                    <w:pageBreakBefore w:val="0"/>
                    <w:kinsoku/>
                    <w:wordWrap/>
                    <w:overflowPunct/>
                    <w:topLinePunct w:val="0"/>
                    <w:autoSpaceDE w:val="0"/>
                    <w:autoSpaceDN w:val="0"/>
                    <w:bidi w:val="0"/>
                    <w:spacing w:before="125" w:line="203"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信息化总控系统</w:t>
                  </w:r>
                </w:p>
              </w:tc>
              <w:tc>
                <w:tcPr>
                  <w:tcW w:w="1359" w:type="pct"/>
                  <w:shd w:val="clear" w:color="auto" w:fill="auto"/>
                  <w:vAlign w:val="center"/>
                </w:tcPr>
                <w:p w14:paraId="41538E26">
                  <w:pPr>
                    <w:pStyle w:val="115"/>
                    <w:keepNext/>
                    <w:keepLines w:val="0"/>
                    <w:pageBreakBefore w:val="0"/>
                    <w:kinsoku/>
                    <w:wordWrap/>
                    <w:overflowPunct/>
                    <w:topLinePunct w:val="0"/>
                    <w:autoSpaceDE w:val="0"/>
                    <w:autoSpaceDN w:val="0"/>
                    <w:bidi w:val="0"/>
                    <w:spacing w:before="125" w:line="203"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343" w:type="pct"/>
                  <w:shd w:val="clear" w:color="auto" w:fill="auto"/>
                  <w:vAlign w:val="center"/>
                </w:tcPr>
                <w:p w14:paraId="5CA44E70">
                  <w:pPr>
                    <w:pStyle w:val="115"/>
                    <w:keepNext/>
                    <w:keepLines w:val="0"/>
                    <w:pageBreakBefore w:val="0"/>
                    <w:kinsoku/>
                    <w:wordWrap/>
                    <w:overflowPunct/>
                    <w:topLinePunct w:val="0"/>
                    <w:autoSpaceDE w:val="0"/>
                    <w:autoSpaceDN w:val="0"/>
                    <w:bidi w:val="0"/>
                    <w:spacing w:before="90" w:line="220" w:lineRule="auto"/>
                    <w:ind w:left="226"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307" w:type="pct"/>
                  <w:shd w:val="clear" w:color="auto" w:fill="auto"/>
                  <w:vAlign w:val="center"/>
                </w:tcPr>
                <w:p w14:paraId="7CADB787">
                  <w:pPr>
                    <w:pStyle w:val="115"/>
                    <w:keepNext/>
                    <w:keepLines w:val="0"/>
                    <w:pageBreakBefore w:val="0"/>
                    <w:kinsoku/>
                    <w:wordWrap/>
                    <w:overflowPunct/>
                    <w:topLinePunct w:val="0"/>
                    <w:autoSpaceDE w:val="0"/>
                    <w:autoSpaceDN w:val="0"/>
                    <w:bidi w:val="0"/>
                    <w:spacing w:before="113" w:line="208" w:lineRule="auto"/>
                    <w:ind w:left="247" w:leftChars="0"/>
                    <w:jc w:val="both"/>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40" w:type="pct"/>
                  <w:vAlign w:val="center"/>
                </w:tcPr>
                <w:p w14:paraId="05E68D95">
                  <w:pPr>
                    <w:pStyle w:val="115"/>
                    <w:keepNext/>
                    <w:keepLines w:val="0"/>
                    <w:pageBreakBefore w:val="0"/>
                    <w:kinsoku/>
                    <w:wordWrap/>
                    <w:overflowPunct/>
                    <w:topLinePunct w:val="0"/>
                    <w:autoSpaceDE w:val="0"/>
                    <w:autoSpaceDN w:val="0"/>
                    <w:bidi w:val="0"/>
                    <w:spacing w:before="125" w:line="203" w:lineRule="auto"/>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湖北凯龙</w:t>
                  </w:r>
                </w:p>
              </w:tc>
            </w:tr>
          </w:tbl>
          <w:p w14:paraId="1E79A4E5">
            <w:pPr>
              <w:pStyle w:val="119"/>
              <w:keepNext/>
              <w:keepLines w:val="0"/>
              <w:pageBreakBefore w:val="0"/>
              <w:widowControl w:val="0"/>
              <w:kinsoku/>
              <w:wordWrap/>
              <w:overflowPunct/>
              <w:topLinePunct w:val="0"/>
              <w:autoSpaceDE/>
              <w:autoSpaceDN/>
              <w:bidi w:val="0"/>
              <w:adjustRightInd/>
              <w:snapToGrid/>
              <w:spacing w:before="157" w:beforeLines="50"/>
              <w:ind w:firstLine="480"/>
              <w:textAlignment w:val="auto"/>
              <w:outlineLvl w:val="9"/>
              <w:rPr>
                <w:color w:val="auto"/>
                <w:sz w:val="24"/>
              </w:rPr>
            </w:pPr>
            <w:r>
              <w:rPr>
                <w:color w:val="auto"/>
                <w:sz w:val="24"/>
              </w:rPr>
              <w:t>本项目扩建后，全厂主要设备见表2-</w:t>
            </w:r>
            <w:r>
              <w:rPr>
                <w:rFonts w:hint="eastAsia"/>
                <w:color w:val="auto"/>
                <w:sz w:val="24"/>
                <w:lang w:val="en-US" w:eastAsia="zh-CN"/>
              </w:rPr>
              <w:t>7</w:t>
            </w:r>
            <w:r>
              <w:rPr>
                <w:color w:val="auto"/>
                <w:sz w:val="24"/>
              </w:rPr>
              <w:t>。</w:t>
            </w:r>
          </w:p>
          <w:p w14:paraId="193D14B0">
            <w:pPr>
              <w:keepNext/>
              <w:keepLines w:val="0"/>
              <w:pageBreakBefore w:val="0"/>
              <w:kinsoku/>
              <w:wordWrap/>
              <w:overflowPunct/>
              <w:topLinePunct w:val="0"/>
              <w:bidi w:val="0"/>
              <w:spacing w:line="440" w:lineRule="exact"/>
              <w:ind w:firstLine="422" w:firstLineChars="200"/>
              <w:jc w:val="center"/>
              <w:outlineLvl w:val="9"/>
              <w:rPr>
                <w:rFonts w:hint="eastAsia"/>
                <w:b/>
                <w:bCs/>
                <w:color w:val="auto"/>
                <w:sz w:val="24"/>
              </w:rPr>
            </w:pPr>
            <w:r>
              <w:rPr>
                <w:b/>
                <w:bCs/>
                <w:color w:val="auto"/>
                <w:szCs w:val="21"/>
              </w:rPr>
              <w:t>表2-</w:t>
            </w:r>
            <w:r>
              <w:rPr>
                <w:rFonts w:hint="eastAsia"/>
                <w:b/>
                <w:bCs/>
                <w:color w:val="auto"/>
                <w:szCs w:val="21"/>
                <w:lang w:val="en-US" w:eastAsia="zh-CN"/>
              </w:rPr>
              <w:t>7</w:t>
            </w:r>
            <w:r>
              <w:rPr>
                <w:b/>
                <w:bCs/>
                <w:color w:val="auto"/>
                <w:szCs w:val="21"/>
              </w:rPr>
              <w:t xml:space="preserve">  全厂主要生产设备一览表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29"/>
              <w:gridCol w:w="1407"/>
              <w:gridCol w:w="8"/>
              <w:gridCol w:w="2418"/>
              <w:gridCol w:w="39"/>
              <w:gridCol w:w="631"/>
              <w:gridCol w:w="31"/>
              <w:gridCol w:w="795"/>
              <w:gridCol w:w="776"/>
              <w:gridCol w:w="798"/>
              <w:gridCol w:w="836"/>
              <w:gridCol w:w="2"/>
            </w:tblGrid>
            <w:tr w14:paraId="29675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vMerge w:val="restart"/>
                  <w:vAlign w:val="center"/>
                </w:tcPr>
                <w:p w14:paraId="7A6AD151">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pacing w:val="6"/>
                      <w:sz w:val="21"/>
                      <w:szCs w:val="21"/>
                    </w:rPr>
                    <w:t>序</w:t>
                  </w:r>
                  <w:r>
                    <w:rPr>
                      <w:rFonts w:hint="default" w:ascii="Times New Roman" w:hAnsi="Times New Roman" w:eastAsia="宋体" w:cs="Times New Roman"/>
                      <w:color w:val="auto"/>
                      <w:spacing w:val="-38"/>
                      <w:sz w:val="21"/>
                      <w:szCs w:val="21"/>
                    </w:rPr>
                    <w:t xml:space="preserve"> </w:t>
                  </w:r>
                  <w:r>
                    <w:rPr>
                      <w:rFonts w:hint="default" w:ascii="Times New Roman" w:hAnsi="Times New Roman" w:eastAsia="宋体" w:cs="Times New Roman"/>
                      <w:b/>
                      <w:bCs/>
                      <w:color w:val="auto"/>
                      <w:spacing w:val="6"/>
                      <w:sz w:val="21"/>
                      <w:szCs w:val="21"/>
                    </w:rPr>
                    <w:t>号</w:t>
                  </w:r>
                </w:p>
              </w:tc>
              <w:tc>
                <w:tcPr>
                  <w:tcW w:w="907" w:type="pct"/>
                  <w:gridSpan w:val="2"/>
                  <w:vMerge w:val="restart"/>
                  <w:vAlign w:val="center"/>
                </w:tcPr>
                <w:p w14:paraId="79880E86">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pacing w:val="5"/>
                      <w:sz w:val="21"/>
                      <w:szCs w:val="21"/>
                    </w:rPr>
                    <w:t>设备名称</w:t>
                  </w:r>
                </w:p>
              </w:tc>
              <w:tc>
                <w:tcPr>
                  <w:tcW w:w="1208" w:type="pct"/>
                  <w:gridSpan w:val="2"/>
                  <w:vMerge w:val="restart"/>
                  <w:vAlign w:val="center"/>
                </w:tcPr>
                <w:p w14:paraId="4EB5976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z w:val="21"/>
                      <w:szCs w:val="21"/>
                    </w:rPr>
                    <w:t>型号</w:t>
                  </w:r>
                </w:p>
              </w:tc>
              <w:tc>
                <w:tcPr>
                  <w:tcW w:w="452" w:type="pct"/>
                  <w:gridSpan w:val="2"/>
                  <w:vMerge w:val="restart"/>
                  <w:vAlign w:val="center"/>
                </w:tcPr>
                <w:p w14:paraId="407D7C4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pacing w:val="6"/>
                      <w:sz w:val="21"/>
                      <w:szCs w:val="21"/>
                    </w:rPr>
                    <w:t>单</w:t>
                  </w:r>
                  <w:r>
                    <w:rPr>
                      <w:rFonts w:hint="default" w:ascii="Times New Roman" w:hAnsi="Times New Roman" w:eastAsia="宋体" w:cs="Times New Roman"/>
                      <w:color w:val="auto"/>
                      <w:spacing w:val="-38"/>
                      <w:sz w:val="21"/>
                      <w:szCs w:val="21"/>
                    </w:rPr>
                    <w:t xml:space="preserve"> </w:t>
                  </w:r>
                  <w:r>
                    <w:rPr>
                      <w:rFonts w:hint="default" w:ascii="Times New Roman" w:hAnsi="Times New Roman" w:eastAsia="宋体" w:cs="Times New Roman"/>
                      <w:b/>
                      <w:bCs/>
                      <w:color w:val="auto"/>
                      <w:spacing w:val="6"/>
                      <w:sz w:val="21"/>
                      <w:szCs w:val="21"/>
                    </w:rPr>
                    <w:t>位</w:t>
                  </w:r>
                </w:p>
              </w:tc>
              <w:tc>
                <w:tcPr>
                  <w:tcW w:w="1514" w:type="pct"/>
                  <w:gridSpan w:val="3"/>
                  <w:vAlign w:val="center"/>
                </w:tcPr>
                <w:p w14:paraId="42EBADF4">
                  <w:pPr>
                    <w:keepNext/>
                    <w:keepLines w:val="0"/>
                    <w:pageBreakBefore w:val="0"/>
                    <w:widowControl w:val="0"/>
                    <w:kinsoku/>
                    <w:wordWrap/>
                    <w:overflowPunct/>
                    <w:topLinePunct w:val="0"/>
                    <w:autoSpaceDE w:val="0"/>
                    <w:autoSpaceDN w:val="0"/>
                    <w:bidi w:val="0"/>
                    <w:adjustRightInd/>
                    <w:snapToGrid/>
                    <w:spacing w:line="240" w:lineRule="auto"/>
                    <w:ind w:left="0" w:right="0" w:firstLine="0"/>
                    <w:jc w:val="center"/>
                    <w:textAlignment w:val="auto"/>
                    <w:outlineLvl w:val="9"/>
                    <w:rPr>
                      <w:rFonts w:hint="eastAsia"/>
                      <w:b/>
                      <w:bCs/>
                      <w:color w:val="auto"/>
                      <w:kern w:val="0"/>
                      <w:sz w:val="21"/>
                      <w:szCs w:val="21"/>
                      <w:lang w:val="en-US" w:eastAsia="zh-CN"/>
                    </w:rPr>
                  </w:pPr>
                  <w:r>
                    <w:rPr>
                      <w:b/>
                      <w:bCs/>
                      <w:color w:val="auto"/>
                      <w:kern w:val="0"/>
                      <w:sz w:val="21"/>
                      <w:szCs w:val="21"/>
                      <w:lang w:eastAsia="en-US"/>
                    </w:rPr>
                    <w:t>数量</w:t>
                  </w:r>
                </w:p>
              </w:tc>
              <w:tc>
                <w:tcPr>
                  <w:tcW w:w="532" w:type="pct"/>
                  <w:gridSpan w:val="2"/>
                  <w:vMerge w:val="restart"/>
                  <w:vAlign w:val="center"/>
                </w:tcPr>
                <w:p w14:paraId="502732AB">
                  <w:pPr>
                    <w:keepNext/>
                    <w:keepLines w:val="0"/>
                    <w:pageBreakBefore w:val="0"/>
                    <w:widowControl w:val="0"/>
                    <w:kinsoku/>
                    <w:wordWrap/>
                    <w:overflowPunct/>
                    <w:topLinePunct w:val="0"/>
                    <w:autoSpaceDE w:val="0"/>
                    <w:autoSpaceDN w:val="0"/>
                    <w:bidi w:val="0"/>
                    <w:adjustRightInd/>
                    <w:snapToGrid/>
                    <w:spacing w:line="240" w:lineRule="auto"/>
                    <w:ind w:left="0" w:right="0" w:firstLine="0"/>
                    <w:jc w:val="center"/>
                    <w:textAlignment w:val="auto"/>
                    <w:outlineLvl w:val="9"/>
                    <w:rPr>
                      <w:b/>
                      <w:bCs/>
                      <w:color w:val="auto"/>
                      <w:kern w:val="0"/>
                      <w:sz w:val="21"/>
                      <w:szCs w:val="21"/>
                      <w:lang w:eastAsia="en-US"/>
                    </w:rPr>
                  </w:pPr>
                  <w:r>
                    <w:rPr>
                      <w:b/>
                      <w:bCs/>
                      <w:color w:val="auto"/>
                      <w:kern w:val="0"/>
                      <w:sz w:val="21"/>
                      <w:szCs w:val="21"/>
                      <w:lang w:eastAsia="en-US"/>
                    </w:rPr>
                    <w:t>备注</w:t>
                  </w:r>
                </w:p>
              </w:tc>
            </w:tr>
            <w:tr w14:paraId="61362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vMerge w:val="continue"/>
                  <w:vAlign w:val="center"/>
                </w:tcPr>
                <w:p w14:paraId="62F1CF3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p>
              </w:tc>
              <w:tc>
                <w:tcPr>
                  <w:tcW w:w="907" w:type="pct"/>
                  <w:gridSpan w:val="2"/>
                  <w:vMerge w:val="continue"/>
                  <w:vAlign w:val="center"/>
                </w:tcPr>
                <w:p w14:paraId="342ADB3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p>
              </w:tc>
              <w:tc>
                <w:tcPr>
                  <w:tcW w:w="1208" w:type="pct"/>
                  <w:gridSpan w:val="2"/>
                  <w:vMerge w:val="continue"/>
                  <w:vAlign w:val="center"/>
                </w:tcPr>
                <w:p w14:paraId="5D568BF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p>
              </w:tc>
              <w:tc>
                <w:tcPr>
                  <w:tcW w:w="452" w:type="pct"/>
                  <w:gridSpan w:val="2"/>
                  <w:vMerge w:val="continue"/>
                  <w:vAlign w:val="center"/>
                </w:tcPr>
                <w:p w14:paraId="47AEA56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p>
              </w:tc>
              <w:tc>
                <w:tcPr>
                  <w:tcW w:w="516" w:type="pct"/>
                  <w:vAlign w:val="center"/>
                </w:tcPr>
                <w:p w14:paraId="1455D62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z w:val="21"/>
                      <w:szCs w:val="21"/>
                      <w:vertAlign w:val="baseline"/>
                      <w:lang w:val="en-US" w:eastAsia="zh-CN"/>
                    </w:rPr>
                  </w:pPr>
                  <w:r>
                    <w:rPr>
                      <w:b/>
                      <w:bCs/>
                      <w:color w:val="auto"/>
                      <w:kern w:val="0"/>
                      <w:sz w:val="21"/>
                      <w:szCs w:val="21"/>
                      <w:lang w:eastAsia="en-US"/>
                    </w:rPr>
                    <w:t>现有项目</w:t>
                  </w:r>
                </w:p>
              </w:tc>
              <w:tc>
                <w:tcPr>
                  <w:tcW w:w="494" w:type="pct"/>
                  <w:vAlign w:val="center"/>
                </w:tcPr>
                <w:p w14:paraId="6723EDEC">
                  <w:pPr>
                    <w:keepNext/>
                    <w:keepLines w:val="0"/>
                    <w:pageBreakBefore w:val="0"/>
                    <w:widowControl w:val="0"/>
                    <w:kinsoku/>
                    <w:wordWrap/>
                    <w:overflowPunct/>
                    <w:topLinePunct w:val="0"/>
                    <w:autoSpaceDE w:val="0"/>
                    <w:autoSpaceDN w:val="0"/>
                    <w:bidi w:val="0"/>
                    <w:adjustRightInd/>
                    <w:snapToGrid/>
                    <w:spacing w:line="240" w:lineRule="auto"/>
                    <w:ind w:left="0" w:right="0" w:firstLine="0"/>
                    <w:jc w:val="center"/>
                    <w:textAlignment w:val="auto"/>
                    <w:outlineLvl w:val="9"/>
                    <w:rPr>
                      <w:b/>
                      <w:bCs/>
                      <w:color w:val="auto"/>
                      <w:kern w:val="0"/>
                      <w:sz w:val="21"/>
                      <w:szCs w:val="21"/>
                      <w:lang w:eastAsia="en-US"/>
                    </w:rPr>
                  </w:pPr>
                  <w:r>
                    <w:rPr>
                      <w:rFonts w:hint="eastAsia"/>
                      <w:b/>
                      <w:bCs/>
                      <w:color w:val="auto"/>
                      <w:kern w:val="0"/>
                      <w:sz w:val="21"/>
                      <w:szCs w:val="21"/>
                      <w:lang w:val="en-US" w:eastAsia="zh-CN"/>
                    </w:rPr>
                    <w:t>扩建</w:t>
                  </w:r>
                  <w:r>
                    <w:rPr>
                      <w:b/>
                      <w:bCs/>
                      <w:color w:val="auto"/>
                      <w:kern w:val="0"/>
                      <w:sz w:val="21"/>
                      <w:szCs w:val="21"/>
                      <w:lang w:eastAsia="en-US"/>
                    </w:rPr>
                    <w:t>项目</w:t>
                  </w:r>
                </w:p>
              </w:tc>
              <w:tc>
                <w:tcPr>
                  <w:tcW w:w="504" w:type="pct"/>
                  <w:vAlign w:val="center"/>
                </w:tcPr>
                <w:p w14:paraId="75310AD4">
                  <w:pPr>
                    <w:keepNext/>
                    <w:keepLines w:val="0"/>
                    <w:pageBreakBefore w:val="0"/>
                    <w:widowControl w:val="0"/>
                    <w:kinsoku/>
                    <w:wordWrap/>
                    <w:overflowPunct/>
                    <w:topLinePunct w:val="0"/>
                    <w:autoSpaceDE w:val="0"/>
                    <w:autoSpaceDN w:val="0"/>
                    <w:bidi w:val="0"/>
                    <w:adjustRightInd/>
                    <w:snapToGrid/>
                    <w:spacing w:line="240" w:lineRule="auto"/>
                    <w:ind w:left="0" w:right="0" w:firstLine="0"/>
                    <w:jc w:val="center"/>
                    <w:textAlignment w:val="auto"/>
                    <w:outlineLvl w:val="9"/>
                    <w:rPr>
                      <w:b/>
                      <w:bCs/>
                      <w:color w:val="auto"/>
                      <w:kern w:val="0"/>
                      <w:sz w:val="21"/>
                      <w:szCs w:val="21"/>
                      <w:lang w:eastAsia="en-US"/>
                    </w:rPr>
                  </w:pPr>
                  <w:r>
                    <w:rPr>
                      <w:rFonts w:hint="eastAsia"/>
                      <w:b/>
                      <w:bCs/>
                      <w:color w:val="auto"/>
                      <w:kern w:val="0"/>
                      <w:sz w:val="21"/>
                      <w:szCs w:val="21"/>
                      <w:lang w:val="en-US" w:eastAsia="zh-CN"/>
                    </w:rPr>
                    <w:t>扩建</w:t>
                  </w:r>
                  <w:r>
                    <w:rPr>
                      <w:b/>
                      <w:bCs/>
                      <w:color w:val="auto"/>
                      <w:kern w:val="0"/>
                      <w:sz w:val="21"/>
                      <w:szCs w:val="21"/>
                      <w:lang w:eastAsia="en-US"/>
                    </w:rPr>
                    <w:t>后</w:t>
                  </w:r>
                </w:p>
              </w:tc>
              <w:tc>
                <w:tcPr>
                  <w:tcW w:w="532" w:type="pct"/>
                  <w:gridSpan w:val="2"/>
                  <w:vMerge w:val="continue"/>
                  <w:vAlign w:val="center"/>
                </w:tcPr>
                <w:p w14:paraId="66F33626">
                  <w:pPr>
                    <w:keepNext/>
                    <w:keepLines w:val="0"/>
                    <w:pageBreakBefore w:val="0"/>
                    <w:widowControl w:val="0"/>
                    <w:kinsoku/>
                    <w:wordWrap/>
                    <w:overflowPunct/>
                    <w:topLinePunct w:val="0"/>
                    <w:autoSpaceDE w:val="0"/>
                    <w:autoSpaceDN w:val="0"/>
                    <w:bidi w:val="0"/>
                    <w:adjustRightInd/>
                    <w:snapToGrid/>
                    <w:spacing w:line="240" w:lineRule="auto"/>
                    <w:ind w:left="0" w:right="0" w:firstLine="0"/>
                    <w:jc w:val="center"/>
                    <w:textAlignment w:val="auto"/>
                    <w:outlineLvl w:val="9"/>
                    <w:rPr>
                      <w:b/>
                      <w:bCs/>
                      <w:color w:val="auto"/>
                      <w:kern w:val="0"/>
                      <w:sz w:val="21"/>
                      <w:szCs w:val="21"/>
                      <w:lang w:eastAsia="en-US"/>
                    </w:rPr>
                  </w:pPr>
                </w:p>
              </w:tc>
            </w:tr>
            <w:tr w14:paraId="1E432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7" w:type="pct"/>
                  <w:gridSpan w:val="11"/>
                  <w:vAlign w:val="center"/>
                </w:tcPr>
                <w:p w14:paraId="1A8E1A3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一、乳胶基质制备工房</w:t>
                  </w:r>
                </w:p>
              </w:tc>
              <w:tc>
                <w:tcPr>
                  <w:tcW w:w="532" w:type="pct"/>
                  <w:gridSpan w:val="2"/>
                  <w:vMerge w:val="restart"/>
                  <w:vAlign w:val="center"/>
                </w:tcPr>
                <w:p w14:paraId="6C757B1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rPr>
                  </w:pPr>
                  <w:r>
                    <w:rPr>
                      <w:color w:val="auto"/>
                      <w:spacing w:val="-2"/>
                      <w:sz w:val="21"/>
                      <w:szCs w:val="21"/>
                    </w:rPr>
                    <w:t>年产</w:t>
                  </w:r>
                  <w:r>
                    <w:rPr>
                      <w:color w:val="auto"/>
                      <w:spacing w:val="-37"/>
                      <w:sz w:val="21"/>
                      <w:szCs w:val="21"/>
                    </w:rPr>
                    <w:t xml:space="preserve"> </w:t>
                  </w:r>
                  <w:r>
                    <w:rPr>
                      <w:rFonts w:ascii="Times New Roman" w:hAnsi="Times New Roman" w:eastAsia="Times New Roman" w:cs="Times New Roman"/>
                      <w:color w:val="auto"/>
                      <w:spacing w:val="-2"/>
                      <w:sz w:val="21"/>
                      <w:szCs w:val="21"/>
                    </w:rPr>
                    <w:t>21000</w:t>
                  </w:r>
                  <w:r>
                    <w:rPr>
                      <w:rFonts w:ascii="Times New Roman" w:hAnsi="Times New Roman" w:eastAsia="Times New Roman" w:cs="Times New Roman"/>
                      <w:color w:val="auto"/>
                      <w:spacing w:val="19"/>
                      <w:w w:val="101"/>
                      <w:sz w:val="21"/>
                      <w:szCs w:val="21"/>
                    </w:rPr>
                    <w:t xml:space="preserve"> </w:t>
                  </w:r>
                  <w:r>
                    <w:rPr>
                      <w:color w:val="auto"/>
                      <w:spacing w:val="-2"/>
                      <w:sz w:val="21"/>
                      <w:szCs w:val="21"/>
                    </w:rPr>
                    <w:t>吨乳化粒状铵油炸药生产线</w:t>
                  </w:r>
                </w:p>
              </w:tc>
            </w:tr>
            <w:tr w14:paraId="2055D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3BCD43B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907" w:type="pct"/>
                  <w:gridSpan w:val="2"/>
                  <w:shd w:val="clear" w:color="auto" w:fill="auto"/>
                  <w:vAlign w:val="center"/>
                </w:tcPr>
                <w:p w14:paraId="7419840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硝酸铵投料斗</w:t>
                  </w:r>
                </w:p>
              </w:tc>
              <w:tc>
                <w:tcPr>
                  <w:tcW w:w="1208" w:type="pct"/>
                  <w:gridSpan w:val="2"/>
                  <w:shd w:val="clear" w:color="auto" w:fill="auto"/>
                  <w:vAlign w:val="center"/>
                </w:tcPr>
                <w:p w14:paraId="1A0FD06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2"/>
                      <w:sz w:val="21"/>
                      <w:szCs w:val="21"/>
                    </w:rPr>
                    <w:t>-</w:t>
                  </w: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pacing w:val="12"/>
                      <w:sz w:val="21"/>
                      <w:szCs w:val="21"/>
                    </w:rPr>
                    <w:t>-1</w:t>
                  </w:r>
                </w:p>
              </w:tc>
              <w:tc>
                <w:tcPr>
                  <w:tcW w:w="452" w:type="pct"/>
                  <w:gridSpan w:val="2"/>
                  <w:shd w:val="clear" w:color="auto" w:fill="auto"/>
                  <w:vAlign w:val="center"/>
                </w:tcPr>
                <w:p w14:paraId="10041A7F">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7033264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2</w:t>
                  </w:r>
                </w:p>
              </w:tc>
              <w:tc>
                <w:tcPr>
                  <w:tcW w:w="494" w:type="pct"/>
                  <w:vAlign w:val="center"/>
                </w:tcPr>
                <w:p w14:paraId="3D0131E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D09640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vAlign w:val="center"/>
                </w:tcPr>
                <w:p w14:paraId="2C21007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4BEB8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7D5C4A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907" w:type="pct"/>
                  <w:gridSpan w:val="2"/>
                  <w:shd w:val="clear" w:color="auto" w:fill="auto"/>
                  <w:vAlign w:val="center"/>
                </w:tcPr>
                <w:p w14:paraId="7400C212">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硝酸铵溜槽</w:t>
                  </w:r>
                </w:p>
              </w:tc>
              <w:tc>
                <w:tcPr>
                  <w:tcW w:w="1208" w:type="pct"/>
                  <w:gridSpan w:val="2"/>
                  <w:shd w:val="clear" w:color="auto" w:fill="auto"/>
                  <w:vAlign w:val="center"/>
                </w:tcPr>
                <w:p w14:paraId="6443F17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250×250×5400</w:t>
                  </w:r>
                </w:p>
              </w:tc>
              <w:tc>
                <w:tcPr>
                  <w:tcW w:w="452" w:type="pct"/>
                  <w:gridSpan w:val="2"/>
                  <w:shd w:val="clear" w:color="auto" w:fill="auto"/>
                  <w:vAlign w:val="center"/>
                </w:tcPr>
                <w:p w14:paraId="09F7C60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7D7A8F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2</w:t>
                  </w:r>
                </w:p>
              </w:tc>
              <w:tc>
                <w:tcPr>
                  <w:tcW w:w="494" w:type="pct"/>
                  <w:vAlign w:val="center"/>
                </w:tcPr>
                <w:p w14:paraId="1E90009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018F83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vAlign w:val="center"/>
                </w:tcPr>
                <w:p w14:paraId="596B401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1D3E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E9B4C4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907" w:type="pct"/>
                  <w:gridSpan w:val="2"/>
                  <w:shd w:val="clear" w:color="auto" w:fill="auto"/>
                  <w:vAlign w:val="center"/>
                </w:tcPr>
                <w:p w14:paraId="69262C9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水相制备罐</w:t>
                  </w:r>
                </w:p>
              </w:tc>
              <w:tc>
                <w:tcPr>
                  <w:tcW w:w="1208" w:type="pct"/>
                  <w:gridSpan w:val="2"/>
                  <w:shd w:val="clear" w:color="auto" w:fill="auto"/>
                  <w:vAlign w:val="center"/>
                </w:tcPr>
                <w:p w14:paraId="7E5C6CA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0"/>
                      <w:sz w:val="21"/>
                      <w:szCs w:val="21"/>
                    </w:rPr>
                    <w:t>-</w:t>
                  </w:r>
                  <w:r>
                    <w:rPr>
                      <w:rFonts w:hint="default" w:ascii="Times New Roman" w:hAnsi="Times New Roman" w:eastAsia="宋体" w:cs="Times New Roman"/>
                      <w:color w:val="auto"/>
                      <w:sz w:val="21"/>
                      <w:szCs w:val="21"/>
                    </w:rPr>
                    <w:t>SR</w:t>
                  </w:r>
                  <w:r>
                    <w:rPr>
                      <w:rFonts w:hint="default" w:ascii="Times New Roman" w:hAnsi="Times New Roman" w:eastAsia="宋体" w:cs="Times New Roman"/>
                      <w:color w:val="auto"/>
                      <w:spacing w:val="10"/>
                      <w:sz w:val="21"/>
                      <w:szCs w:val="21"/>
                    </w:rPr>
                    <w:t>-25</w:t>
                  </w:r>
                </w:p>
              </w:tc>
              <w:tc>
                <w:tcPr>
                  <w:tcW w:w="452" w:type="pct"/>
                  <w:gridSpan w:val="2"/>
                  <w:shd w:val="clear" w:color="auto" w:fill="auto"/>
                  <w:vAlign w:val="center"/>
                </w:tcPr>
                <w:p w14:paraId="075E19F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71768E8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2</w:t>
                  </w:r>
                </w:p>
              </w:tc>
              <w:tc>
                <w:tcPr>
                  <w:tcW w:w="494" w:type="pct"/>
                  <w:vAlign w:val="center"/>
                </w:tcPr>
                <w:p w14:paraId="1308F1B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12739BF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vAlign w:val="center"/>
                </w:tcPr>
                <w:p w14:paraId="453DB3B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0E5E1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DE64BF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4</w:t>
                  </w:r>
                </w:p>
              </w:tc>
              <w:tc>
                <w:tcPr>
                  <w:tcW w:w="907" w:type="pct"/>
                  <w:gridSpan w:val="2"/>
                  <w:shd w:val="clear" w:color="auto" w:fill="auto"/>
                  <w:vAlign w:val="center"/>
                </w:tcPr>
                <w:p w14:paraId="07DA6F1B">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水相输送泵</w:t>
                  </w:r>
                </w:p>
              </w:tc>
              <w:tc>
                <w:tcPr>
                  <w:tcW w:w="1208" w:type="pct"/>
                  <w:gridSpan w:val="2"/>
                  <w:shd w:val="clear" w:color="auto" w:fill="auto"/>
                  <w:vAlign w:val="center"/>
                </w:tcPr>
                <w:p w14:paraId="4BBE14C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1"/>
                      <w:sz w:val="21"/>
                      <w:szCs w:val="21"/>
                    </w:rPr>
                    <w:t>-</w:t>
                  </w:r>
                  <w:r>
                    <w:rPr>
                      <w:rFonts w:hint="default" w:ascii="Times New Roman" w:hAnsi="Times New Roman" w:eastAsia="宋体" w:cs="Times New Roman"/>
                      <w:color w:val="auto"/>
                      <w:sz w:val="21"/>
                      <w:szCs w:val="21"/>
                    </w:rPr>
                    <w:t>SX</w:t>
                  </w:r>
                  <w:r>
                    <w:rPr>
                      <w:rFonts w:hint="default" w:ascii="Times New Roman" w:hAnsi="Times New Roman" w:eastAsia="宋体" w:cs="Times New Roman"/>
                      <w:color w:val="auto"/>
                      <w:spacing w:val="11"/>
                      <w:sz w:val="21"/>
                      <w:szCs w:val="21"/>
                    </w:rPr>
                    <w:t>-</w:t>
                  </w:r>
                  <w:r>
                    <w:rPr>
                      <w:rFonts w:hint="default" w:ascii="Times New Roman" w:hAnsi="Times New Roman" w:eastAsia="宋体" w:cs="Times New Roman"/>
                      <w:color w:val="auto"/>
                      <w:sz w:val="21"/>
                      <w:szCs w:val="21"/>
                    </w:rPr>
                    <w:t>ZZ</w:t>
                  </w:r>
                  <w:r>
                    <w:rPr>
                      <w:rFonts w:hint="default" w:ascii="Times New Roman" w:hAnsi="Times New Roman" w:eastAsia="宋体" w:cs="Times New Roman"/>
                      <w:color w:val="auto"/>
                      <w:spacing w:val="11"/>
                      <w:sz w:val="21"/>
                      <w:szCs w:val="21"/>
                    </w:rPr>
                    <w:t>-15</w:t>
                  </w:r>
                </w:p>
              </w:tc>
              <w:tc>
                <w:tcPr>
                  <w:tcW w:w="452" w:type="pct"/>
                  <w:gridSpan w:val="2"/>
                  <w:shd w:val="clear" w:color="auto" w:fill="auto"/>
                  <w:vAlign w:val="center"/>
                </w:tcPr>
                <w:p w14:paraId="1470AB4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75F685F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19FDD6F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50D0C38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399CCF4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4D05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F1979A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907" w:type="pct"/>
                  <w:gridSpan w:val="2"/>
                  <w:shd w:val="clear" w:color="auto" w:fill="auto"/>
                  <w:vAlign w:val="center"/>
                </w:tcPr>
                <w:p w14:paraId="4DD085E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油相制备罐</w:t>
                  </w:r>
                </w:p>
              </w:tc>
              <w:tc>
                <w:tcPr>
                  <w:tcW w:w="1208" w:type="pct"/>
                  <w:gridSpan w:val="2"/>
                  <w:shd w:val="clear" w:color="auto" w:fill="auto"/>
                  <w:vAlign w:val="center"/>
                </w:tcPr>
                <w:p w14:paraId="60C3D54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2"/>
                      <w:sz w:val="21"/>
                      <w:szCs w:val="21"/>
                    </w:rPr>
                    <w:t>-</w:t>
                  </w:r>
                  <w:r>
                    <w:rPr>
                      <w:rFonts w:hint="default" w:ascii="Times New Roman" w:hAnsi="Times New Roman" w:eastAsia="宋体" w:cs="Times New Roman"/>
                      <w:color w:val="auto"/>
                      <w:sz w:val="21"/>
                      <w:szCs w:val="21"/>
                    </w:rPr>
                    <w:t>YR</w:t>
                  </w:r>
                  <w:r>
                    <w:rPr>
                      <w:rFonts w:hint="default" w:ascii="Times New Roman" w:hAnsi="Times New Roman" w:eastAsia="宋体" w:cs="Times New Roman"/>
                      <w:color w:val="auto"/>
                      <w:spacing w:val="12"/>
                      <w:sz w:val="21"/>
                      <w:szCs w:val="21"/>
                    </w:rPr>
                    <w:t>-3</w:t>
                  </w:r>
                </w:p>
              </w:tc>
              <w:tc>
                <w:tcPr>
                  <w:tcW w:w="452" w:type="pct"/>
                  <w:gridSpan w:val="2"/>
                  <w:shd w:val="clear" w:color="auto" w:fill="auto"/>
                  <w:vAlign w:val="center"/>
                </w:tcPr>
                <w:p w14:paraId="70923EE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27AA245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2</w:t>
                  </w:r>
                </w:p>
              </w:tc>
              <w:tc>
                <w:tcPr>
                  <w:tcW w:w="494" w:type="pct"/>
                  <w:vAlign w:val="center"/>
                </w:tcPr>
                <w:p w14:paraId="7E26F55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C3B522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vAlign w:val="center"/>
                </w:tcPr>
                <w:p w14:paraId="42E8258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09371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248BFA7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907" w:type="pct"/>
                  <w:gridSpan w:val="2"/>
                  <w:shd w:val="clear" w:color="auto" w:fill="auto"/>
                  <w:vAlign w:val="center"/>
                </w:tcPr>
                <w:p w14:paraId="4A5D2DD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油相输送泵</w:t>
                  </w:r>
                </w:p>
              </w:tc>
              <w:tc>
                <w:tcPr>
                  <w:tcW w:w="1208" w:type="pct"/>
                  <w:gridSpan w:val="2"/>
                  <w:shd w:val="clear" w:color="auto" w:fill="auto"/>
                  <w:vAlign w:val="center"/>
                </w:tcPr>
                <w:p w14:paraId="417B7E5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9"/>
                      <w:sz w:val="21"/>
                      <w:szCs w:val="21"/>
                    </w:rPr>
                    <w:t>-</w:t>
                  </w:r>
                  <w:r>
                    <w:rPr>
                      <w:rFonts w:hint="default" w:ascii="Times New Roman" w:hAnsi="Times New Roman" w:eastAsia="宋体" w:cs="Times New Roman"/>
                      <w:color w:val="auto"/>
                      <w:sz w:val="21"/>
                      <w:szCs w:val="21"/>
                    </w:rPr>
                    <w:t>YX</w:t>
                  </w:r>
                  <w:r>
                    <w:rPr>
                      <w:rFonts w:hint="default" w:ascii="Times New Roman" w:hAnsi="Times New Roman" w:eastAsia="宋体" w:cs="Times New Roman"/>
                      <w:color w:val="auto"/>
                      <w:spacing w:val="9"/>
                      <w:sz w:val="21"/>
                      <w:szCs w:val="21"/>
                    </w:rPr>
                    <w:t>-</w:t>
                  </w:r>
                  <w:r>
                    <w:rPr>
                      <w:rFonts w:hint="default" w:ascii="Times New Roman" w:hAnsi="Times New Roman" w:eastAsia="宋体" w:cs="Times New Roman"/>
                      <w:color w:val="auto"/>
                      <w:sz w:val="21"/>
                      <w:szCs w:val="21"/>
                    </w:rPr>
                    <w:t>CL</w:t>
                  </w:r>
                  <w:r>
                    <w:rPr>
                      <w:rFonts w:hint="default" w:ascii="Times New Roman" w:hAnsi="Times New Roman" w:eastAsia="宋体" w:cs="Times New Roman"/>
                      <w:color w:val="auto"/>
                      <w:spacing w:val="9"/>
                      <w:sz w:val="21"/>
                      <w:szCs w:val="21"/>
                    </w:rPr>
                    <w:t>-1.</w:t>
                  </w:r>
                  <w:r>
                    <w:rPr>
                      <w:rFonts w:hint="default" w:ascii="Times New Roman" w:hAnsi="Times New Roman" w:eastAsia="宋体" w:cs="Times New Roman"/>
                      <w:color w:val="auto"/>
                      <w:spacing w:val="-22"/>
                      <w:sz w:val="21"/>
                      <w:szCs w:val="21"/>
                    </w:rPr>
                    <w:t xml:space="preserve"> </w:t>
                  </w:r>
                  <w:r>
                    <w:rPr>
                      <w:rFonts w:hint="default" w:ascii="Times New Roman" w:hAnsi="Times New Roman" w:eastAsia="宋体" w:cs="Times New Roman"/>
                      <w:color w:val="auto"/>
                      <w:spacing w:val="9"/>
                      <w:sz w:val="21"/>
                      <w:szCs w:val="21"/>
                    </w:rPr>
                    <w:t>1</w:t>
                  </w:r>
                </w:p>
              </w:tc>
              <w:tc>
                <w:tcPr>
                  <w:tcW w:w="452" w:type="pct"/>
                  <w:gridSpan w:val="2"/>
                  <w:shd w:val="clear" w:color="auto" w:fill="auto"/>
                  <w:vAlign w:val="center"/>
                </w:tcPr>
                <w:p w14:paraId="7C951FC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7E09602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48F2367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67FEE8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23EA605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7D7C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3B03451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w:t>
                  </w:r>
                </w:p>
              </w:tc>
              <w:tc>
                <w:tcPr>
                  <w:tcW w:w="907" w:type="pct"/>
                  <w:gridSpan w:val="2"/>
                  <w:shd w:val="clear" w:color="auto" w:fill="auto"/>
                  <w:vAlign w:val="center"/>
                </w:tcPr>
                <w:p w14:paraId="348BF8AF">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粗乳器</w:t>
                  </w:r>
                </w:p>
              </w:tc>
              <w:tc>
                <w:tcPr>
                  <w:tcW w:w="1208" w:type="pct"/>
                  <w:gridSpan w:val="2"/>
                  <w:shd w:val="clear" w:color="auto" w:fill="auto"/>
                  <w:vAlign w:val="center"/>
                </w:tcPr>
                <w:p w14:paraId="6A8493D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JWL-YR</w:t>
                  </w:r>
                </w:p>
              </w:tc>
              <w:tc>
                <w:tcPr>
                  <w:tcW w:w="452" w:type="pct"/>
                  <w:gridSpan w:val="2"/>
                  <w:shd w:val="clear" w:color="auto" w:fill="auto"/>
                  <w:vAlign w:val="center"/>
                </w:tcPr>
                <w:p w14:paraId="2B823F5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568091F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2B4E9CD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1675B6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4BED540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7135E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7C44398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w:t>
                  </w:r>
                </w:p>
              </w:tc>
              <w:tc>
                <w:tcPr>
                  <w:tcW w:w="907" w:type="pct"/>
                  <w:gridSpan w:val="2"/>
                  <w:shd w:val="clear" w:color="auto" w:fill="auto"/>
                  <w:vAlign w:val="center"/>
                </w:tcPr>
                <w:p w14:paraId="5B879C7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电缸活塞式容积泵</w:t>
                  </w:r>
                </w:p>
              </w:tc>
              <w:tc>
                <w:tcPr>
                  <w:tcW w:w="1208" w:type="pct"/>
                  <w:gridSpan w:val="2"/>
                  <w:shd w:val="clear" w:color="auto" w:fill="auto"/>
                  <w:vAlign w:val="center"/>
                </w:tcPr>
                <w:p w14:paraId="7DF4AD8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JWL-DHS-JZ</w:t>
                  </w:r>
                </w:p>
              </w:tc>
              <w:tc>
                <w:tcPr>
                  <w:tcW w:w="452" w:type="pct"/>
                  <w:gridSpan w:val="2"/>
                  <w:shd w:val="clear" w:color="auto" w:fill="auto"/>
                  <w:vAlign w:val="center"/>
                </w:tcPr>
                <w:p w14:paraId="5761C31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45BD9A2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7B8B4BD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0E1B3CB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295D9CE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4ACBD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0DE9876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9</w:t>
                  </w:r>
                </w:p>
              </w:tc>
              <w:tc>
                <w:tcPr>
                  <w:tcW w:w="907" w:type="pct"/>
                  <w:gridSpan w:val="2"/>
                  <w:shd w:val="clear" w:color="auto" w:fill="auto"/>
                  <w:vAlign w:val="center"/>
                </w:tcPr>
                <w:p w14:paraId="01BF52E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精乳器</w:t>
                  </w:r>
                </w:p>
              </w:tc>
              <w:tc>
                <w:tcPr>
                  <w:tcW w:w="1208" w:type="pct"/>
                  <w:gridSpan w:val="2"/>
                  <w:shd w:val="clear" w:color="auto" w:fill="auto"/>
                  <w:vAlign w:val="center"/>
                </w:tcPr>
                <w:p w14:paraId="353BC9E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w:t>
                  </w:r>
                </w:p>
              </w:tc>
              <w:tc>
                <w:tcPr>
                  <w:tcW w:w="452" w:type="pct"/>
                  <w:gridSpan w:val="2"/>
                  <w:shd w:val="clear" w:color="auto" w:fill="auto"/>
                  <w:vAlign w:val="center"/>
                </w:tcPr>
                <w:p w14:paraId="0B8DCEE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12015BE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3198053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EED219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4C5FFE9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356E3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52BDCE1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10</w:t>
                  </w:r>
                </w:p>
              </w:tc>
              <w:tc>
                <w:tcPr>
                  <w:tcW w:w="907" w:type="pct"/>
                  <w:gridSpan w:val="2"/>
                  <w:shd w:val="clear" w:color="auto" w:fill="auto"/>
                  <w:vAlign w:val="center"/>
                </w:tcPr>
                <w:p w14:paraId="19B1349D">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乳胶基质暂存罐</w:t>
                  </w:r>
                </w:p>
              </w:tc>
              <w:tc>
                <w:tcPr>
                  <w:tcW w:w="1208" w:type="pct"/>
                  <w:gridSpan w:val="2"/>
                  <w:shd w:val="clear" w:color="auto" w:fill="auto"/>
                  <w:vAlign w:val="center"/>
                </w:tcPr>
                <w:p w14:paraId="7ED016A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RC</w:t>
                  </w:r>
                  <w:r>
                    <w:rPr>
                      <w:rFonts w:hint="default" w:ascii="Times New Roman" w:hAnsi="Times New Roman" w:eastAsia="宋体" w:cs="Times New Roman"/>
                      <w:color w:val="auto"/>
                      <w:spacing w:val="5"/>
                      <w:sz w:val="21"/>
                      <w:szCs w:val="21"/>
                    </w:rPr>
                    <w:t>-25</w:t>
                  </w:r>
                  <w:r>
                    <w:rPr>
                      <w:rFonts w:hint="default" w:ascii="Times New Roman" w:hAnsi="Times New Roman" w:eastAsia="宋体" w:cs="Times New Roman"/>
                      <w:color w:val="auto"/>
                      <w:spacing w:val="-19"/>
                      <w:sz w:val="21"/>
                      <w:szCs w:val="21"/>
                    </w:rPr>
                    <w:t xml:space="preserve"> </w:t>
                  </w:r>
                  <w:r>
                    <w:rPr>
                      <w:rFonts w:hint="eastAsia" w:ascii="Times New Roman" w:hAnsi="Times New Roman" w:cs="Times New Roman"/>
                      <w:color w:val="auto"/>
                      <w:spacing w:val="-19"/>
                      <w:sz w:val="21"/>
                      <w:szCs w:val="21"/>
                      <w:lang w:eastAsia="zh-CN"/>
                    </w:rPr>
                    <w:t>,</w:t>
                  </w:r>
                  <w:r>
                    <w:rPr>
                      <w:rFonts w:hint="default" w:ascii="Times New Roman" w:hAnsi="Times New Roman" w:eastAsia="宋体" w:cs="Times New Roman"/>
                      <w:color w:val="auto"/>
                      <w:spacing w:val="5"/>
                      <w:sz w:val="21"/>
                      <w:szCs w:val="21"/>
                    </w:rPr>
                    <w:t>25m</w:t>
                  </w:r>
                  <w:r>
                    <w:rPr>
                      <w:rFonts w:hint="eastAsia" w:ascii="Times New Roman" w:hAnsi="Times New Roman" w:cs="Times New Roman"/>
                      <w:color w:val="auto"/>
                      <w:spacing w:val="5"/>
                      <w:sz w:val="21"/>
                      <w:szCs w:val="21"/>
                      <w:vertAlign w:val="superscript"/>
                      <w:lang w:val="en-US" w:eastAsia="zh-CN"/>
                    </w:rPr>
                    <w:t>3</w:t>
                  </w:r>
                </w:p>
              </w:tc>
              <w:tc>
                <w:tcPr>
                  <w:tcW w:w="452" w:type="pct"/>
                  <w:gridSpan w:val="2"/>
                  <w:shd w:val="clear" w:color="auto" w:fill="auto"/>
                  <w:vAlign w:val="center"/>
                </w:tcPr>
                <w:p w14:paraId="2E2D3856">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6EDFCAD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2</w:t>
                  </w:r>
                </w:p>
              </w:tc>
              <w:tc>
                <w:tcPr>
                  <w:tcW w:w="494" w:type="pct"/>
                  <w:vAlign w:val="center"/>
                </w:tcPr>
                <w:p w14:paraId="2FC0CFE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175D23A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vAlign w:val="center"/>
                </w:tcPr>
                <w:p w14:paraId="6997CE7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A3C2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719F752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11</w:t>
                  </w:r>
                </w:p>
              </w:tc>
              <w:tc>
                <w:tcPr>
                  <w:tcW w:w="907" w:type="pct"/>
                  <w:gridSpan w:val="2"/>
                  <w:shd w:val="clear" w:color="auto" w:fill="auto"/>
                  <w:vAlign w:val="center"/>
                </w:tcPr>
                <w:p w14:paraId="1F129A4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热水罐</w:t>
                  </w:r>
                </w:p>
              </w:tc>
              <w:tc>
                <w:tcPr>
                  <w:tcW w:w="1208" w:type="pct"/>
                  <w:gridSpan w:val="2"/>
                  <w:shd w:val="clear" w:color="auto" w:fill="auto"/>
                  <w:vAlign w:val="center"/>
                </w:tcPr>
                <w:p w14:paraId="367A1CD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RS</w:t>
                  </w:r>
                  <w:r>
                    <w:rPr>
                      <w:rFonts w:hint="default" w:ascii="Times New Roman" w:hAnsi="Times New Roman" w:eastAsia="宋体" w:cs="Times New Roman"/>
                      <w:color w:val="auto"/>
                      <w:spacing w:val="5"/>
                      <w:sz w:val="21"/>
                      <w:szCs w:val="21"/>
                    </w:rPr>
                    <w:t>-3</w:t>
                  </w:r>
                  <w:r>
                    <w:rPr>
                      <w:rFonts w:hint="default" w:ascii="Times New Roman" w:hAnsi="Times New Roman" w:eastAsia="宋体" w:cs="Times New Roman"/>
                      <w:color w:val="auto"/>
                      <w:spacing w:val="-22"/>
                      <w:sz w:val="21"/>
                      <w:szCs w:val="21"/>
                    </w:rPr>
                    <w:t xml:space="preserve"> </w:t>
                  </w:r>
                  <w:r>
                    <w:rPr>
                      <w:rFonts w:hint="eastAsia" w:ascii="Times New Roman" w:hAnsi="Times New Roman" w:cs="Times New Roman"/>
                      <w:color w:val="auto"/>
                      <w:spacing w:val="-22"/>
                      <w:sz w:val="21"/>
                      <w:szCs w:val="21"/>
                      <w:lang w:eastAsia="zh-CN"/>
                    </w:rPr>
                    <w:t>,</w:t>
                  </w:r>
                  <w:r>
                    <w:rPr>
                      <w:rFonts w:hint="default" w:ascii="Times New Roman" w:hAnsi="Times New Roman" w:eastAsia="宋体" w:cs="Times New Roman"/>
                      <w:color w:val="auto"/>
                      <w:spacing w:val="5"/>
                      <w:sz w:val="21"/>
                      <w:szCs w:val="21"/>
                    </w:rPr>
                    <w:t>3m</w:t>
                  </w:r>
                  <w:r>
                    <w:rPr>
                      <w:rFonts w:hint="eastAsia" w:ascii="Times New Roman" w:hAnsi="Times New Roman" w:cs="Times New Roman"/>
                      <w:color w:val="auto"/>
                      <w:spacing w:val="5"/>
                      <w:sz w:val="21"/>
                      <w:szCs w:val="21"/>
                      <w:vertAlign w:val="superscript"/>
                      <w:lang w:val="en-US" w:eastAsia="zh-CN"/>
                    </w:rPr>
                    <w:t>3</w:t>
                  </w:r>
                </w:p>
              </w:tc>
              <w:tc>
                <w:tcPr>
                  <w:tcW w:w="452" w:type="pct"/>
                  <w:gridSpan w:val="2"/>
                  <w:shd w:val="clear" w:color="auto" w:fill="auto"/>
                  <w:vAlign w:val="center"/>
                </w:tcPr>
                <w:p w14:paraId="6A70435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488FE6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678E3BA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5F492B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0DC15F7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6056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0A5D8BD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12</w:t>
                  </w:r>
                </w:p>
              </w:tc>
              <w:tc>
                <w:tcPr>
                  <w:tcW w:w="907" w:type="pct"/>
                  <w:gridSpan w:val="2"/>
                  <w:shd w:val="clear" w:color="auto" w:fill="auto"/>
                  <w:vAlign w:val="center"/>
                </w:tcPr>
                <w:p w14:paraId="7B624E07">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热水泵</w:t>
                  </w:r>
                  <w:r>
                    <w:rPr>
                      <w:rFonts w:hint="default" w:ascii="Times New Roman" w:hAnsi="Times New Roman" w:eastAsia="宋体" w:cs="Times New Roman"/>
                      <w:color w:val="auto"/>
                      <w:spacing w:val="-23"/>
                      <w:sz w:val="21"/>
                      <w:szCs w:val="21"/>
                    </w:rPr>
                    <w:t xml:space="preserve"> </w:t>
                  </w:r>
                  <w:r>
                    <w:rPr>
                      <w:rFonts w:hint="default" w:ascii="Times New Roman" w:hAnsi="Times New Roman" w:eastAsia="宋体" w:cs="Times New Roman"/>
                      <w:color w:val="auto"/>
                      <w:spacing w:val="4"/>
                      <w:sz w:val="21"/>
                      <w:szCs w:val="21"/>
                    </w:rPr>
                    <w:t>1</w:t>
                  </w:r>
                </w:p>
              </w:tc>
              <w:tc>
                <w:tcPr>
                  <w:tcW w:w="1208" w:type="pct"/>
                  <w:gridSpan w:val="2"/>
                  <w:shd w:val="clear" w:color="auto" w:fill="auto"/>
                  <w:vAlign w:val="center"/>
                </w:tcPr>
                <w:p w14:paraId="459B652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0"/>
                      <w:sz w:val="21"/>
                      <w:szCs w:val="21"/>
                    </w:rPr>
                    <w:t>-</w:t>
                  </w:r>
                  <w:r>
                    <w:rPr>
                      <w:rFonts w:hint="default" w:ascii="Times New Roman" w:hAnsi="Times New Roman" w:eastAsia="宋体" w:cs="Times New Roman"/>
                      <w:color w:val="auto"/>
                      <w:sz w:val="21"/>
                      <w:szCs w:val="21"/>
                    </w:rPr>
                    <w:t>RS</w:t>
                  </w:r>
                  <w:r>
                    <w:rPr>
                      <w:rFonts w:hint="default" w:ascii="Times New Roman" w:hAnsi="Times New Roman" w:eastAsia="宋体" w:cs="Times New Roman"/>
                      <w:color w:val="auto"/>
                      <w:spacing w:val="10"/>
                      <w:sz w:val="21"/>
                      <w:szCs w:val="21"/>
                    </w:rPr>
                    <w:t>-</w:t>
                  </w:r>
                  <w:r>
                    <w:rPr>
                      <w:rFonts w:hint="default" w:ascii="Times New Roman" w:hAnsi="Times New Roman" w:eastAsia="宋体" w:cs="Times New Roman"/>
                      <w:color w:val="auto"/>
                      <w:sz w:val="21"/>
                      <w:szCs w:val="21"/>
                    </w:rPr>
                    <w:t>LX</w:t>
                  </w:r>
                  <w:r>
                    <w:rPr>
                      <w:rFonts w:hint="default" w:ascii="Times New Roman" w:hAnsi="Times New Roman" w:eastAsia="宋体" w:cs="Times New Roman"/>
                      <w:color w:val="auto"/>
                      <w:spacing w:val="10"/>
                      <w:sz w:val="21"/>
                      <w:szCs w:val="21"/>
                    </w:rPr>
                    <w:t>-3.7</w:t>
                  </w:r>
                </w:p>
              </w:tc>
              <w:tc>
                <w:tcPr>
                  <w:tcW w:w="452" w:type="pct"/>
                  <w:gridSpan w:val="2"/>
                  <w:shd w:val="clear" w:color="auto" w:fill="auto"/>
                  <w:vAlign w:val="center"/>
                </w:tcPr>
                <w:p w14:paraId="7FD9514F">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520836E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77F6969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29E2D3B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14EF942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9BF4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5CFE147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13</w:t>
                  </w:r>
                </w:p>
              </w:tc>
              <w:tc>
                <w:tcPr>
                  <w:tcW w:w="907" w:type="pct"/>
                  <w:gridSpan w:val="2"/>
                  <w:shd w:val="clear" w:color="auto" w:fill="auto"/>
                  <w:vAlign w:val="center"/>
                </w:tcPr>
                <w:p w14:paraId="7AF99AE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热水泵</w:t>
                  </w:r>
                  <w:r>
                    <w:rPr>
                      <w:rFonts w:hint="default" w:ascii="Times New Roman" w:hAnsi="Times New Roman" w:eastAsia="宋体" w:cs="Times New Roman"/>
                      <w:color w:val="auto"/>
                      <w:spacing w:val="-44"/>
                      <w:sz w:val="21"/>
                      <w:szCs w:val="21"/>
                    </w:rPr>
                    <w:t xml:space="preserve"> </w:t>
                  </w:r>
                  <w:r>
                    <w:rPr>
                      <w:rFonts w:hint="default" w:ascii="Times New Roman" w:hAnsi="Times New Roman" w:eastAsia="宋体" w:cs="Times New Roman"/>
                      <w:color w:val="auto"/>
                      <w:spacing w:val="4"/>
                      <w:sz w:val="21"/>
                      <w:szCs w:val="21"/>
                    </w:rPr>
                    <w:t>2</w:t>
                  </w:r>
                </w:p>
              </w:tc>
              <w:tc>
                <w:tcPr>
                  <w:tcW w:w="1208" w:type="pct"/>
                  <w:gridSpan w:val="2"/>
                  <w:shd w:val="clear" w:color="auto" w:fill="auto"/>
                  <w:vAlign w:val="center"/>
                </w:tcPr>
                <w:p w14:paraId="2A2B87C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0"/>
                      <w:sz w:val="21"/>
                      <w:szCs w:val="21"/>
                    </w:rPr>
                    <w:t>-</w:t>
                  </w:r>
                  <w:r>
                    <w:rPr>
                      <w:rFonts w:hint="default" w:ascii="Times New Roman" w:hAnsi="Times New Roman" w:eastAsia="宋体" w:cs="Times New Roman"/>
                      <w:color w:val="auto"/>
                      <w:sz w:val="21"/>
                      <w:szCs w:val="21"/>
                    </w:rPr>
                    <w:t>RS</w:t>
                  </w:r>
                  <w:r>
                    <w:rPr>
                      <w:rFonts w:hint="default" w:ascii="Times New Roman" w:hAnsi="Times New Roman" w:eastAsia="宋体" w:cs="Times New Roman"/>
                      <w:color w:val="auto"/>
                      <w:spacing w:val="10"/>
                      <w:sz w:val="21"/>
                      <w:szCs w:val="21"/>
                    </w:rPr>
                    <w:t>-</w:t>
                  </w:r>
                  <w:r>
                    <w:rPr>
                      <w:rFonts w:hint="default" w:ascii="Times New Roman" w:hAnsi="Times New Roman" w:eastAsia="宋体" w:cs="Times New Roman"/>
                      <w:color w:val="auto"/>
                      <w:sz w:val="21"/>
                      <w:szCs w:val="21"/>
                    </w:rPr>
                    <w:t>LX</w:t>
                  </w:r>
                  <w:r>
                    <w:rPr>
                      <w:rFonts w:hint="default" w:ascii="Times New Roman" w:hAnsi="Times New Roman" w:eastAsia="宋体" w:cs="Times New Roman"/>
                      <w:color w:val="auto"/>
                      <w:spacing w:val="10"/>
                      <w:sz w:val="21"/>
                      <w:szCs w:val="21"/>
                    </w:rPr>
                    <w:t>-8.3</w:t>
                  </w:r>
                </w:p>
              </w:tc>
              <w:tc>
                <w:tcPr>
                  <w:tcW w:w="452" w:type="pct"/>
                  <w:gridSpan w:val="2"/>
                  <w:shd w:val="clear" w:color="auto" w:fill="auto"/>
                  <w:vAlign w:val="center"/>
                </w:tcPr>
                <w:p w14:paraId="38B4E526">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142A3EE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3A49CCC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099DE5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52B09C1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CE48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44A9A3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14</w:t>
                  </w:r>
                </w:p>
              </w:tc>
              <w:tc>
                <w:tcPr>
                  <w:tcW w:w="907" w:type="pct"/>
                  <w:gridSpan w:val="2"/>
                  <w:shd w:val="clear" w:color="auto" w:fill="auto"/>
                  <w:vAlign w:val="center"/>
                </w:tcPr>
                <w:p w14:paraId="2392BF9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发泡剂罐</w:t>
                  </w:r>
                </w:p>
              </w:tc>
              <w:tc>
                <w:tcPr>
                  <w:tcW w:w="1208" w:type="pct"/>
                  <w:gridSpan w:val="2"/>
                  <w:shd w:val="clear" w:color="auto" w:fill="auto"/>
                  <w:vAlign w:val="center"/>
                </w:tcPr>
                <w:p w14:paraId="272B35AF">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4"/>
                      <w:sz w:val="21"/>
                      <w:szCs w:val="21"/>
                    </w:rPr>
                    <w:t>-</w:t>
                  </w:r>
                  <w:r>
                    <w:rPr>
                      <w:rFonts w:hint="default" w:ascii="Times New Roman" w:hAnsi="Times New Roman" w:eastAsia="宋体" w:cs="Times New Roman"/>
                      <w:color w:val="auto"/>
                      <w:sz w:val="21"/>
                      <w:szCs w:val="21"/>
                    </w:rPr>
                    <w:t>FP</w:t>
                  </w:r>
                  <w:r>
                    <w:rPr>
                      <w:rFonts w:hint="default" w:ascii="Times New Roman" w:hAnsi="Times New Roman" w:eastAsia="宋体" w:cs="Times New Roman"/>
                      <w:color w:val="auto"/>
                      <w:spacing w:val="4"/>
                      <w:sz w:val="21"/>
                      <w:szCs w:val="21"/>
                    </w:rPr>
                    <w:t>-1</w:t>
                  </w:r>
                  <w:r>
                    <w:rPr>
                      <w:rFonts w:hint="default" w:ascii="Times New Roman" w:hAnsi="Times New Roman" w:eastAsia="宋体" w:cs="Times New Roman"/>
                      <w:color w:val="auto"/>
                      <w:spacing w:val="-17"/>
                      <w:sz w:val="21"/>
                      <w:szCs w:val="21"/>
                    </w:rPr>
                    <w:t xml:space="preserve"> </w:t>
                  </w:r>
                  <w:r>
                    <w:rPr>
                      <w:rFonts w:hint="eastAsia" w:ascii="Times New Roman" w:hAnsi="Times New Roman" w:cs="Times New Roman"/>
                      <w:color w:val="auto"/>
                      <w:spacing w:val="-17"/>
                      <w:sz w:val="21"/>
                      <w:szCs w:val="21"/>
                      <w:lang w:eastAsia="zh-CN"/>
                    </w:rPr>
                    <w:t>,</w:t>
                  </w:r>
                  <w:r>
                    <w:rPr>
                      <w:rFonts w:hint="default" w:ascii="Times New Roman" w:hAnsi="Times New Roman" w:eastAsia="宋体" w:cs="Times New Roman"/>
                      <w:color w:val="auto"/>
                      <w:spacing w:val="4"/>
                      <w:sz w:val="21"/>
                      <w:szCs w:val="21"/>
                    </w:rPr>
                    <w:t>1.0m</w:t>
                  </w:r>
                  <w:r>
                    <w:rPr>
                      <w:rFonts w:hint="eastAsia" w:ascii="Times New Roman" w:hAnsi="Times New Roman" w:cs="Times New Roman"/>
                      <w:color w:val="auto"/>
                      <w:spacing w:val="5"/>
                      <w:sz w:val="21"/>
                      <w:szCs w:val="21"/>
                      <w:vertAlign w:val="superscript"/>
                      <w:lang w:val="en-US" w:eastAsia="zh-CN"/>
                    </w:rPr>
                    <w:t>3</w:t>
                  </w:r>
                </w:p>
              </w:tc>
              <w:tc>
                <w:tcPr>
                  <w:tcW w:w="452" w:type="pct"/>
                  <w:gridSpan w:val="2"/>
                  <w:shd w:val="clear" w:color="auto" w:fill="auto"/>
                  <w:vAlign w:val="center"/>
                </w:tcPr>
                <w:p w14:paraId="291093ED">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55C396D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542936C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8098BC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5B589AA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00201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3C2217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15</w:t>
                  </w:r>
                </w:p>
              </w:tc>
              <w:tc>
                <w:tcPr>
                  <w:tcW w:w="907" w:type="pct"/>
                  <w:gridSpan w:val="2"/>
                  <w:shd w:val="clear" w:color="auto" w:fill="auto"/>
                  <w:vAlign w:val="center"/>
                </w:tcPr>
                <w:p w14:paraId="592F7F6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发泡剂输送泵</w:t>
                  </w:r>
                </w:p>
              </w:tc>
              <w:tc>
                <w:tcPr>
                  <w:tcW w:w="1208" w:type="pct"/>
                  <w:gridSpan w:val="2"/>
                  <w:shd w:val="clear" w:color="auto" w:fill="auto"/>
                  <w:vAlign w:val="center"/>
                </w:tcPr>
                <w:p w14:paraId="4F7DA7A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3"/>
                      <w:sz w:val="21"/>
                      <w:szCs w:val="21"/>
                    </w:rPr>
                    <w:t>-</w:t>
                  </w:r>
                  <w:r>
                    <w:rPr>
                      <w:rFonts w:hint="default" w:ascii="Times New Roman" w:hAnsi="Times New Roman" w:eastAsia="宋体" w:cs="Times New Roman"/>
                      <w:color w:val="auto"/>
                      <w:sz w:val="21"/>
                      <w:szCs w:val="21"/>
                    </w:rPr>
                    <w:t>FP</w:t>
                  </w:r>
                  <w:r>
                    <w:rPr>
                      <w:rFonts w:hint="default" w:ascii="Times New Roman" w:hAnsi="Times New Roman" w:eastAsia="宋体" w:cs="Times New Roman"/>
                      <w:color w:val="auto"/>
                      <w:spacing w:val="13"/>
                      <w:sz w:val="21"/>
                      <w:szCs w:val="21"/>
                    </w:rPr>
                    <w:t>-</w:t>
                  </w:r>
                  <w:r>
                    <w:rPr>
                      <w:rFonts w:hint="default" w:ascii="Times New Roman" w:hAnsi="Times New Roman" w:eastAsia="宋体" w:cs="Times New Roman"/>
                      <w:color w:val="auto"/>
                      <w:sz w:val="21"/>
                      <w:szCs w:val="21"/>
                    </w:rPr>
                    <w:t>LX</w:t>
                  </w:r>
                  <w:r>
                    <w:rPr>
                      <w:rFonts w:hint="default" w:ascii="Times New Roman" w:hAnsi="Times New Roman" w:eastAsia="宋体" w:cs="Times New Roman"/>
                      <w:color w:val="auto"/>
                      <w:spacing w:val="13"/>
                      <w:sz w:val="21"/>
                      <w:szCs w:val="21"/>
                    </w:rPr>
                    <w:t>-4</w:t>
                  </w:r>
                </w:p>
              </w:tc>
              <w:tc>
                <w:tcPr>
                  <w:tcW w:w="452" w:type="pct"/>
                  <w:gridSpan w:val="2"/>
                  <w:shd w:val="clear" w:color="auto" w:fill="auto"/>
                  <w:vAlign w:val="center"/>
                </w:tcPr>
                <w:p w14:paraId="5F57545F">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40D2BE5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color w:val="auto"/>
                      <w:sz w:val="21"/>
                      <w:szCs w:val="21"/>
                    </w:rPr>
                    <w:t>1</w:t>
                  </w:r>
                </w:p>
              </w:tc>
              <w:tc>
                <w:tcPr>
                  <w:tcW w:w="494" w:type="pct"/>
                  <w:vAlign w:val="center"/>
                </w:tcPr>
                <w:p w14:paraId="02471D8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E02DED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44E23E5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0FA5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514E191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16</w:t>
                  </w:r>
                </w:p>
              </w:tc>
              <w:tc>
                <w:tcPr>
                  <w:tcW w:w="907" w:type="pct"/>
                  <w:gridSpan w:val="2"/>
                  <w:shd w:val="clear" w:color="auto" w:fill="auto"/>
                  <w:vAlign w:val="center"/>
                </w:tcPr>
                <w:p w14:paraId="754AD551">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乳化炸药现场混装炸</w:t>
                  </w:r>
                  <w:r>
                    <w:rPr>
                      <w:rFonts w:hint="default" w:ascii="Times New Roman" w:hAnsi="Times New Roman" w:eastAsia="宋体" w:cs="Times New Roman"/>
                      <w:color w:val="auto"/>
                      <w:spacing w:val="6"/>
                      <w:sz w:val="21"/>
                      <w:szCs w:val="21"/>
                    </w:rPr>
                    <w:t xml:space="preserve"> </w:t>
                  </w:r>
                  <w:r>
                    <w:rPr>
                      <w:rFonts w:hint="default" w:ascii="Times New Roman" w:hAnsi="Times New Roman" w:eastAsia="宋体" w:cs="Times New Roman"/>
                      <w:color w:val="auto"/>
                      <w:spacing w:val="3"/>
                      <w:sz w:val="21"/>
                      <w:szCs w:val="21"/>
                    </w:rPr>
                    <w:t>药车</w:t>
                  </w:r>
                </w:p>
              </w:tc>
              <w:tc>
                <w:tcPr>
                  <w:tcW w:w="1208" w:type="pct"/>
                  <w:gridSpan w:val="2"/>
                  <w:shd w:val="clear" w:color="auto" w:fill="auto"/>
                  <w:vAlign w:val="center"/>
                </w:tcPr>
                <w:p w14:paraId="7ADAADA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BCRH</w:t>
                  </w:r>
                  <w:r>
                    <w:rPr>
                      <w:rFonts w:hint="default" w:ascii="Times New Roman" w:hAnsi="Times New Roman" w:eastAsia="宋体" w:cs="Times New Roman"/>
                      <w:color w:val="auto"/>
                      <w:spacing w:val="12"/>
                      <w:sz w:val="21"/>
                      <w:szCs w:val="21"/>
                    </w:rPr>
                    <w:t>-15</w:t>
                  </w:r>
                </w:p>
              </w:tc>
              <w:tc>
                <w:tcPr>
                  <w:tcW w:w="452" w:type="pct"/>
                  <w:gridSpan w:val="2"/>
                  <w:shd w:val="clear" w:color="auto" w:fill="auto"/>
                  <w:vAlign w:val="center"/>
                </w:tcPr>
                <w:p w14:paraId="0C7222C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F6028D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1DE7EBE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9FD835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21C5168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103D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937E57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17</w:t>
                  </w:r>
                </w:p>
              </w:tc>
              <w:tc>
                <w:tcPr>
                  <w:tcW w:w="907" w:type="pct"/>
                  <w:gridSpan w:val="2"/>
                  <w:shd w:val="clear" w:color="auto" w:fill="auto"/>
                  <w:vAlign w:val="center"/>
                </w:tcPr>
                <w:p w14:paraId="6F4EA835">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螺杆空压机</w:t>
                  </w:r>
                </w:p>
              </w:tc>
              <w:tc>
                <w:tcPr>
                  <w:tcW w:w="1208" w:type="pct"/>
                  <w:gridSpan w:val="2"/>
                  <w:shd w:val="clear" w:color="auto" w:fill="auto"/>
                  <w:vAlign w:val="center"/>
                </w:tcPr>
                <w:p w14:paraId="0931278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15A</w:t>
                  </w:r>
                  <w:r>
                    <w:rPr>
                      <w:rFonts w:hint="default" w:ascii="Times New Roman" w:hAnsi="Times New Roman" w:eastAsia="宋体" w:cs="Times New Roman"/>
                      <w:color w:val="auto"/>
                      <w:spacing w:val="-17"/>
                      <w:sz w:val="21"/>
                      <w:szCs w:val="21"/>
                    </w:rPr>
                    <w:t xml:space="preserve"> </w:t>
                  </w:r>
                  <w:r>
                    <w:rPr>
                      <w:rFonts w:hint="eastAsia" w:ascii="Times New Roman" w:hAnsi="Times New Roman" w:cs="Times New Roman"/>
                      <w:color w:val="auto"/>
                      <w:spacing w:val="-17"/>
                      <w:sz w:val="21"/>
                      <w:szCs w:val="21"/>
                      <w:lang w:eastAsia="zh-CN"/>
                    </w:rPr>
                    <w:t>,</w:t>
                  </w:r>
                  <w:r>
                    <w:rPr>
                      <w:rFonts w:hint="default" w:ascii="Times New Roman" w:hAnsi="Times New Roman" w:eastAsia="宋体" w:cs="Times New Roman"/>
                      <w:color w:val="auto"/>
                      <w:spacing w:val="3"/>
                      <w:sz w:val="21"/>
                      <w:szCs w:val="21"/>
                    </w:rPr>
                    <w:t>1.5m</w:t>
                  </w:r>
                  <w:r>
                    <w:rPr>
                      <w:rFonts w:hint="default" w:ascii="Times New Roman" w:hAnsi="Times New Roman" w:eastAsia="宋体" w:cs="Times New Roman"/>
                      <w:color w:val="auto"/>
                      <w:spacing w:val="3"/>
                      <w:position w:val="6"/>
                      <w:sz w:val="21"/>
                      <w:szCs w:val="21"/>
                    </w:rPr>
                    <w:t>3</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z w:val="21"/>
                      <w:szCs w:val="21"/>
                    </w:rPr>
                    <w:t>min</w:t>
                  </w:r>
                  <w:r>
                    <w:rPr>
                      <w:rFonts w:hint="default" w:ascii="Times New Roman" w:hAnsi="Times New Roman" w:eastAsia="宋体" w:cs="Times New Roman"/>
                      <w:color w:val="auto"/>
                      <w:spacing w:val="3"/>
                      <w:sz w:val="21"/>
                      <w:szCs w:val="21"/>
                    </w:rPr>
                    <w:t>-0.8</w:t>
                  </w:r>
                  <w:r>
                    <w:rPr>
                      <w:rFonts w:hint="default" w:ascii="Times New Roman" w:hAnsi="Times New Roman" w:eastAsia="宋体" w:cs="Times New Roman"/>
                      <w:color w:val="auto"/>
                      <w:sz w:val="21"/>
                      <w:szCs w:val="21"/>
                    </w:rPr>
                    <w:t>Mpa</w:t>
                  </w:r>
                </w:p>
              </w:tc>
              <w:tc>
                <w:tcPr>
                  <w:tcW w:w="452" w:type="pct"/>
                  <w:gridSpan w:val="2"/>
                  <w:shd w:val="clear" w:color="auto" w:fill="auto"/>
                  <w:vAlign w:val="center"/>
                </w:tcPr>
                <w:p w14:paraId="10919155">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73E7C77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66D0F52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714F25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0A9504C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B25F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7" w:type="pct"/>
                  <w:gridSpan w:val="11"/>
                  <w:shd w:val="clear" w:color="auto" w:fill="auto"/>
                  <w:vAlign w:val="center"/>
                </w:tcPr>
                <w:p w14:paraId="31421A3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二、多孔粒状硝酸铵装车工房</w:t>
                  </w:r>
                </w:p>
              </w:tc>
              <w:tc>
                <w:tcPr>
                  <w:tcW w:w="532" w:type="pct"/>
                  <w:gridSpan w:val="2"/>
                  <w:vMerge w:val="continue"/>
                  <w:shd w:val="clear" w:color="auto" w:fill="auto"/>
                  <w:vAlign w:val="center"/>
                </w:tcPr>
                <w:p w14:paraId="6B45108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9"/>
                      <w:sz w:val="21"/>
                      <w:szCs w:val="21"/>
                    </w:rPr>
                  </w:pPr>
                </w:p>
              </w:tc>
            </w:tr>
            <w:tr w14:paraId="69A5F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3DCCB96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907" w:type="pct"/>
                  <w:gridSpan w:val="2"/>
                  <w:shd w:val="clear" w:color="auto" w:fill="auto"/>
                  <w:vAlign w:val="center"/>
                </w:tcPr>
                <w:p w14:paraId="08EF031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防爆电动葫芦</w:t>
                  </w:r>
                </w:p>
              </w:tc>
              <w:tc>
                <w:tcPr>
                  <w:tcW w:w="1208" w:type="pct"/>
                  <w:gridSpan w:val="2"/>
                  <w:shd w:val="clear" w:color="auto" w:fill="auto"/>
                  <w:vAlign w:val="center"/>
                </w:tcPr>
                <w:p w14:paraId="3108B40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HB</w:t>
                  </w:r>
                  <w:r>
                    <w:rPr>
                      <w:rFonts w:hint="default" w:ascii="Times New Roman" w:hAnsi="Times New Roman" w:eastAsia="宋体" w:cs="Times New Roman"/>
                      <w:color w:val="auto"/>
                      <w:spacing w:val="8"/>
                      <w:sz w:val="21"/>
                      <w:szCs w:val="21"/>
                    </w:rPr>
                    <w:t>2t</w:t>
                  </w:r>
                </w:p>
              </w:tc>
              <w:tc>
                <w:tcPr>
                  <w:tcW w:w="452" w:type="pct"/>
                  <w:gridSpan w:val="2"/>
                  <w:shd w:val="clear" w:color="auto" w:fill="auto"/>
                  <w:vAlign w:val="center"/>
                </w:tcPr>
                <w:p w14:paraId="2BFF45F1">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shd w:val="clear" w:color="auto" w:fill="auto"/>
                  <w:vAlign w:val="center"/>
                </w:tcPr>
                <w:p w14:paraId="7004F4E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494" w:type="pct"/>
                  <w:shd w:val="clear" w:color="auto" w:fill="auto"/>
                  <w:vAlign w:val="center"/>
                </w:tcPr>
                <w:p w14:paraId="684CA0B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AF0B55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shd w:val="clear" w:color="auto" w:fill="auto"/>
                  <w:vAlign w:val="center"/>
                </w:tcPr>
                <w:p w14:paraId="4E29294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5CF49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3B58B62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907" w:type="pct"/>
                  <w:gridSpan w:val="2"/>
                  <w:shd w:val="clear" w:color="auto" w:fill="auto"/>
                  <w:vAlign w:val="center"/>
                </w:tcPr>
                <w:p w14:paraId="0B21B5CF">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多孔粒状硝酸铵料仓</w:t>
                  </w:r>
                </w:p>
              </w:tc>
              <w:tc>
                <w:tcPr>
                  <w:tcW w:w="1208" w:type="pct"/>
                  <w:gridSpan w:val="2"/>
                  <w:shd w:val="clear" w:color="auto" w:fill="auto"/>
                  <w:vAlign w:val="center"/>
                </w:tcPr>
                <w:p w14:paraId="05C9BA56">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DL</w:t>
                  </w:r>
                  <w:r>
                    <w:rPr>
                      <w:rFonts w:hint="default" w:ascii="Times New Roman" w:hAnsi="Times New Roman" w:eastAsia="宋体" w:cs="Times New Roman"/>
                      <w:color w:val="auto"/>
                      <w:spacing w:val="5"/>
                      <w:sz w:val="21"/>
                      <w:szCs w:val="21"/>
                    </w:rPr>
                    <w:t>-20</w:t>
                  </w:r>
                  <w:r>
                    <w:rPr>
                      <w:rFonts w:hint="default" w:ascii="Times New Roman" w:hAnsi="Times New Roman" w:eastAsia="宋体" w:cs="Times New Roman"/>
                      <w:color w:val="auto"/>
                      <w:spacing w:val="-22"/>
                      <w:sz w:val="21"/>
                      <w:szCs w:val="21"/>
                    </w:rPr>
                    <w:t xml:space="preserve"> </w:t>
                  </w:r>
                  <w:r>
                    <w:rPr>
                      <w:rFonts w:hint="eastAsia" w:ascii="Times New Roman" w:hAnsi="Times New Roman" w:cs="Times New Roman"/>
                      <w:color w:val="auto"/>
                      <w:spacing w:val="-22"/>
                      <w:sz w:val="21"/>
                      <w:szCs w:val="21"/>
                      <w:lang w:eastAsia="zh-CN"/>
                    </w:rPr>
                    <w:t>,</w:t>
                  </w:r>
                  <w:r>
                    <w:rPr>
                      <w:rFonts w:hint="default" w:ascii="Times New Roman" w:hAnsi="Times New Roman" w:eastAsia="宋体" w:cs="Times New Roman"/>
                      <w:color w:val="auto"/>
                      <w:spacing w:val="5"/>
                      <w:sz w:val="21"/>
                      <w:szCs w:val="21"/>
                    </w:rPr>
                    <w:t>20m</w:t>
                  </w:r>
                  <w:r>
                    <w:rPr>
                      <w:rFonts w:hint="eastAsia" w:ascii="Times New Roman" w:hAnsi="Times New Roman" w:cs="Times New Roman"/>
                      <w:color w:val="auto"/>
                      <w:spacing w:val="5"/>
                      <w:sz w:val="21"/>
                      <w:szCs w:val="21"/>
                      <w:vertAlign w:val="superscript"/>
                      <w:lang w:val="en-US" w:eastAsia="zh-CN"/>
                    </w:rPr>
                    <w:t>3</w:t>
                  </w:r>
                </w:p>
              </w:tc>
              <w:tc>
                <w:tcPr>
                  <w:tcW w:w="452" w:type="pct"/>
                  <w:gridSpan w:val="2"/>
                  <w:shd w:val="clear" w:color="auto" w:fill="auto"/>
                  <w:vAlign w:val="center"/>
                </w:tcPr>
                <w:p w14:paraId="0252BA17">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shd w:val="clear" w:color="auto" w:fill="auto"/>
                  <w:vAlign w:val="center"/>
                </w:tcPr>
                <w:p w14:paraId="3F9AA88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494" w:type="pct"/>
                  <w:shd w:val="clear" w:color="auto" w:fill="auto"/>
                  <w:vAlign w:val="center"/>
                </w:tcPr>
                <w:p w14:paraId="5CEB883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482A4EC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shd w:val="clear" w:color="auto" w:fill="auto"/>
                  <w:vAlign w:val="center"/>
                </w:tcPr>
                <w:p w14:paraId="1E0334A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45521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3AD8AD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907" w:type="pct"/>
                  <w:gridSpan w:val="2"/>
                  <w:shd w:val="clear" w:color="auto" w:fill="auto"/>
                  <w:vAlign w:val="center"/>
                </w:tcPr>
                <w:p w14:paraId="282A77AB">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现场混装重铵油车</w:t>
                  </w:r>
                </w:p>
              </w:tc>
              <w:tc>
                <w:tcPr>
                  <w:tcW w:w="1208" w:type="pct"/>
                  <w:gridSpan w:val="2"/>
                  <w:shd w:val="clear" w:color="auto" w:fill="auto"/>
                  <w:vAlign w:val="center"/>
                </w:tcPr>
                <w:p w14:paraId="34895D17">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BCZH</w:t>
                  </w:r>
                  <w:r>
                    <w:rPr>
                      <w:rFonts w:hint="default" w:ascii="Times New Roman" w:hAnsi="Times New Roman" w:eastAsia="宋体" w:cs="Times New Roman"/>
                      <w:color w:val="auto"/>
                      <w:spacing w:val="7"/>
                      <w:sz w:val="21"/>
                      <w:szCs w:val="21"/>
                    </w:rPr>
                    <w:t>-15</w:t>
                  </w:r>
                  <w:r>
                    <w:rPr>
                      <w:rFonts w:hint="default" w:ascii="Times New Roman" w:hAnsi="Times New Roman" w:eastAsia="宋体" w:cs="Times New Roman"/>
                      <w:color w:val="auto"/>
                      <w:spacing w:val="-16"/>
                      <w:sz w:val="21"/>
                      <w:szCs w:val="21"/>
                    </w:rPr>
                    <w:t xml:space="preserve"> </w:t>
                  </w:r>
                  <w:r>
                    <w:rPr>
                      <w:rFonts w:hint="eastAsia" w:ascii="Times New Roman" w:hAnsi="Times New Roman" w:cs="Times New Roman"/>
                      <w:color w:val="auto"/>
                      <w:spacing w:val="-16"/>
                      <w:sz w:val="21"/>
                      <w:szCs w:val="21"/>
                      <w:lang w:eastAsia="zh-CN"/>
                    </w:rPr>
                    <w:t xml:space="preserve">, </w:t>
                  </w:r>
                  <w:r>
                    <w:rPr>
                      <w:rFonts w:hint="default" w:ascii="Times New Roman" w:hAnsi="Times New Roman" w:eastAsia="宋体" w:cs="Times New Roman"/>
                      <w:color w:val="auto"/>
                      <w:sz w:val="21"/>
                      <w:szCs w:val="21"/>
                    </w:rPr>
                    <w:t>BCRH</w:t>
                  </w:r>
                  <w:r>
                    <w:rPr>
                      <w:rFonts w:hint="default" w:ascii="Times New Roman" w:hAnsi="Times New Roman" w:eastAsia="宋体" w:cs="Times New Roman"/>
                      <w:color w:val="auto"/>
                      <w:spacing w:val="7"/>
                      <w:sz w:val="21"/>
                      <w:szCs w:val="21"/>
                    </w:rPr>
                    <w:t>-15E</w:t>
                  </w:r>
                </w:p>
              </w:tc>
              <w:tc>
                <w:tcPr>
                  <w:tcW w:w="452" w:type="pct"/>
                  <w:gridSpan w:val="2"/>
                  <w:shd w:val="clear" w:color="auto" w:fill="auto"/>
                  <w:vAlign w:val="center"/>
                </w:tcPr>
                <w:p w14:paraId="0CEC4E0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shd w:val="clear" w:color="auto" w:fill="auto"/>
                  <w:vAlign w:val="center"/>
                </w:tcPr>
                <w:p w14:paraId="58EDB16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494" w:type="pct"/>
                  <w:shd w:val="clear" w:color="auto" w:fill="auto"/>
                  <w:vAlign w:val="center"/>
                </w:tcPr>
                <w:p w14:paraId="5346B1A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47AF4AA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shd w:val="clear" w:color="auto" w:fill="auto"/>
                  <w:vAlign w:val="center"/>
                </w:tcPr>
                <w:p w14:paraId="1A8F654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E6CA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7" w:type="pct"/>
                  <w:gridSpan w:val="11"/>
                  <w:shd w:val="clear" w:color="auto" w:fill="auto"/>
                  <w:vAlign w:val="center"/>
                </w:tcPr>
                <w:p w14:paraId="4B72994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三、柴油储罐及加油机</w:t>
                  </w:r>
                </w:p>
              </w:tc>
              <w:tc>
                <w:tcPr>
                  <w:tcW w:w="532" w:type="pct"/>
                  <w:gridSpan w:val="2"/>
                  <w:vMerge w:val="continue"/>
                  <w:shd w:val="clear" w:color="auto" w:fill="auto"/>
                  <w:vAlign w:val="center"/>
                </w:tcPr>
                <w:p w14:paraId="43A8AF4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8"/>
                      <w:sz w:val="21"/>
                      <w:szCs w:val="21"/>
                    </w:rPr>
                  </w:pPr>
                </w:p>
              </w:tc>
            </w:tr>
            <w:tr w14:paraId="6DEB8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ED28FE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907" w:type="pct"/>
                  <w:gridSpan w:val="2"/>
                  <w:shd w:val="clear" w:color="auto" w:fill="auto"/>
                  <w:vAlign w:val="center"/>
                </w:tcPr>
                <w:p w14:paraId="5F354AB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加油机</w:t>
                  </w:r>
                </w:p>
              </w:tc>
              <w:tc>
                <w:tcPr>
                  <w:tcW w:w="1208" w:type="pct"/>
                  <w:gridSpan w:val="2"/>
                  <w:shd w:val="clear" w:color="auto" w:fill="auto"/>
                  <w:vAlign w:val="center"/>
                </w:tcPr>
                <w:p w14:paraId="675DFB8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CS</w:t>
                  </w:r>
                  <w:r>
                    <w:rPr>
                      <w:rFonts w:hint="default" w:ascii="Times New Roman" w:hAnsi="Times New Roman" w:eastAsia="宋体" w:cs="Times New Roman"/>
                      <w:color w:val="auto"/>
                      <w:spacing w:val="5"/>
                      <w:sz w:val="21"/>
                      <w:szCs w:val="21"/>
                    </w:rPr>
                    <w:t>32J2220F</w:t>
                  </w:r>
                </w:p>
              </w:tc>
              <w:tc>
                <w:tcPr>
                  <w:tcW w:w="452" w:type="pct"/>
                  <w:gridSpan w:val="2"/>
                  <w:shd w:val="clear" w:color="auto" w:fill="auto"/>
                  <w:vAlign w:val="center"/>
                </w:tcPr>
                <w:p w14:paraId="2CD0DD1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12F485C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711EE50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4F8F465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3D64DA0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BEA8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E21F86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907" w:type="pct"/>
                  <w:gridSpan w:val="2"/>
                  <w:shd w:val="clear" w:color="auto" w:fill="auto"/>
                  <w:vAlign w:val="center"/>
                </w:tcPr>
                <w:p w14:paraId="2B06868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柴油储罐</w:t>
                  </w:r>
                </w:p>
              </w:tc>
              <w:tc>
                <w:tcPr>
                  <w:tcW w:w="1208" w:type="pct"/>
                  <w:gridSpan w:val="2"/>
                  <w:shd w:val="clear" w:color="auto" w:fill="auto"/>
                  <w:vAlign w:val="center"/>
                </w:tcPr>
                <w:p w14:paraId="3332523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0"/>
                      <w:sz w:val="21"/>
                      <w:szCs w:val="21"/>
                    </w:rPr>
                    <w:t>-</w:t>
                  </w:r>
                  <w:r>
                    <w:rPr>
                      <w:rFonts w:hint="default" w:ascii="Times New Roman" w:hAnsi="Times New Roman" w:eastAsia="宋体" w:cs="Times New Roman"/>
                      <w:color w:val="auto"/>
                      <w:sz w:val="21"/>
                      <w:szCs w:val="21"/>
                    </w:rPr>
                    <w:t>CC</w:t>
                  </w:r>
                  <w:r>
                    <w:rPr>
                      <w:rFonts w:hint="default" w:ascii="Times New Roman" w:hAnsi="Times New Roman" w:eastAsia="宋体" w:cs="Times New Roman"/>
                      <w:color w:val="auto"/>
                      <w:spacing w:val="10"/>
                      <w:sz w:val="21"/>
                      <w:szCs w:val="21"/>
                    </w:rPr>
                    <w:t>-53</w:t>
                  </w:r>
                </w:p>
              </w:tc>
              <w:tc>
                <w:tcPr>
                  <w:tcW w:w="452" w:type="pct"/>
                  <w:gridSpan w:val="2"/>
                  <w:shd w:val="clear" w:color="auto" w:fill="auto"/>
                  <w:vAlign w:val="center"/>
                </w:tcPr>
                <w:p w14:paraId="5391F645">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6C85B65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0F9BA09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6FD0A13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7FB06AA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0DB4B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7" w:type="pct"/>
                  <w:gridSpan w:val="11"/>
                  <w:shd w:val="clear" w:color="auto" w:fill="auto"/>
                  <w:vAlign w:val="center"/>
                </w:tcPr>
                <w:p w14:paraId="141BA6E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四、乳化粒状铵油炸药生产工房</w:t>
                  </w:r>
                </w:p>
              </w:tc>
              <w:tc>
                <w:tcPr>
                  <w:tcW w:w="532" w:type="pct"/>
                  <w:gridSpan w:val="2"/>
                  <w:vMerge w:val="continue"/>
                  <w:shd w:val="clear" w:color="auto" w:fill="auto"/>
                  <w:vAlign w:val="center"/>
                </w:tcPr>
                <w:p w14:paraId="142AF7C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7"/>
                      <w:sz w:val="21"/>
                      <w:szCs w:val="21"/>
                    </w:rPr>
                  </w:pPr>
                </w:p>
              </w:tc>
            </w:tr>
            <w:tr w14:paraId="7B850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B5F6F8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907" w:type="pct"/>
                  <w:gridSpan w:val="2"/>
                  <w:shd w:val="clear" w:color="auto" w:fill="auto"/>
                  <w:vAlign w:val="center"/>
                </w:tcPr>
                <w:p w14:paraId="5BAE7A72">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多孔粒状硝酸铵料斗</w:t>
                  </w:r>
                </w:p>
              </w:tc>
              <w:tc>
                <w:tcPr>
                  <w:tcW w:w="1208" w:type="pct"/>
                  <w:gridSpan w:val="2"/>
                  <w:shd w:val="clear" w:color="auto" w:fill="auto"/>
                  <w:vAlign w:val="center"/>
                </w:tcPr>
                <w:p w14:paraId="2E50004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DA</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pacing w:val="6"/>
                      <w:sz w:val="21"/>
                      <w:szCs w:val="21"/>
                    </w:rPr>
                    <w:t>-3</w:t>
                  </w:r>
                  <w:r>
                    <w:rPr>
                      <w:rFonts w:hint="default" w:ascii="Times New Roman" w:hAnsi="Times New Roman" w:eastAsia="宋体" w:cs="Times New Roman"/>
                      <w:color w:val="auto"/>
                      <w:spacing w:val="-18"/>
                      <w:sz w:val="21"/>
                      <w:szCs w:val="21"/>
                    </w:rPr>
                    <w:t xml:space="preserve"> </w:t>
                  </w:r>
                  <w:r>
                    <w:rPr>
                      <w:rFonts w:hint="eastAsia" w:ascii="Times New Roman" w:hAnsi="Times New Roman" w:cs="Times New Roman"/>
                      <w:color w:val="auto"/>
                      <w:spacing w:val="-18"/>
                      <w:sz w:val="21"/>
                      <w:szCs w:val="21"/>
                      <w:lang w:eastAsia="zh-CN"/>
                    </w:rPr>
                    <w:t>,</w:t>
                  </w:r>
                  <w:r>
                    <w:rPr>
                      <w:rFonts w:hint="default" w:ascii="Times New Roman" w:hAnsi="Times New Roman" w:eastAsia="宋体" w:cs="Times New Roman"/>
                      <w:color w:val="auto"/>
                      <w:spacing w:val="6"/>
                      <w:sz w:val="21"/>
                      <w:szCs w:val="21"/>
                    </w:rPr>
                    <w:t>3000L</w:t>
                  </w:r>
                </w:p>
              </w:tc>
              <w:tc>
                <w:tcPr>
                  <w:tcW w:w="452" w:type="pct"/>
                  <w:gridSpan w:val="2"/>
                  <w:shd w:val="clear" w:color="auto" w:fill="auto"/>
                  <w:vAlign w:val="center"/>
                </w:tcPr>
                <w:p w14:paraId="62EC204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56E5126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11956B0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7810BC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6015362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3C8EE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718FF02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907" w:type="pct"/>
                  <w:gridSpan w:val="2"/>
                  <w:shd w:val="clear" w:color="auto" w:fill="auto"/>
                  <w:vAlign w:val="center"/>
                </w:tcPr>
                <w:p w14:paraId="3A198C5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定量输送螺旋</w:t>
                  </w:r>
                </w:p>
              </w:tc>
              <w:tc>
                <w:tcPr>
                  <w:tcW w:w="1208" w:type="pct"/>
                  <w:gridSpan w:val="2"/>
                  <w:shd w:val="clear" w:color="auto" w:fill="auto"/>
                  <w:vAlign w:val="center"/>
                </w:tcPr>
                <w:p w14:paraId="5449D186">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z w:val="21"/>
                      <w:szCs w:val="21"/>
                    </w:rPr>
                    <w:t>LS</w:t>
                  </w:r>
                  <w:r>
                    <w:rPr>
                      <w:rFonts w:hint="default" w:ascii="Times New Roman" w:hAnsi="Times New Roman" w:eastAsia="宋体" w:cs="Times New Roman"/>
                      <w:color w:val="auto"/>
                      <w:spacing w:val="3"/>
                      <w:sz w:val="21"/>
                      <w:szCs w:val="21"/>
                    </w:rPr>
                    <w:t>-300</w:t>
                  </w:r>
                  <w:r>
                    <w:rPr>
                      <w:rFonts w:hint="default" w:ascii="Times New Roman" w:hAnsi="Times New Roman" w:eastAsia="宋体" w:cs="Times New Roman"/>
                      <w:color w:val="auto"/>
                      <w:spacing w:val="-24"/>
                      <w:sz w:val="21"/>
                      <w:szCs w:val="21"/>
                    </w:rPr>
                    <w:t xml:space="preserve"> </w:t>
                  </w:r>
                  <w:r>
                    <w:rPr>
                      <w:rFonts w:hint="eastAsia" w:ascii="Times New Roman" w:hAnsi="Times New Roman" w:cs="Times New Roman"/>
                      <w:color w:val="auto"/>
                      <w:spacing w:val="-24"/>
                      <w:sz w:val="21"/>
                      <w:szCs w:val="21"/>
                      <w:lang w:eastAsia="zh-CN"/>
                    </w:rPr>
                    <w:t>,</w:t>
                  </w:r>
                  <w:r>
                    <w:rPr>
                      <w:rFonts w:hint="default" w:ascii="Times New Roman" w:hAnsi="Times New Roman" w:eastAsia="宋体" w:cs="Times New Roman"/>
                      <w:color w:val="auto"/>
                      <w:spacing w:val="3"/>
                      <w:sz w:val="21"/>
                      <w:szCs w:val="21"/>
                    </w:rPr>
                    <w:t>6~</w:t>
                  </w:r>
                  <w:r>
                    <w:rPr>
                      <w:rFonts w:hint="default" w:ascii="Times New Roman" w:hAnsi="Times New Roman" w:eastAsia="宋体" w:cs="Times New Roman"/>
                      <w:color w:val="auto"/>
                      <w:spacing w:val="-26"/>
                      <w:sz w:val="21"/>
                      <w:szCs w:val="21"/>
                    </w:rPr>
                    <w:t xml:space="preserve"> </w:t>
                  </w:r>
                  <w:r>
                    <w:rPr>
                      <w:rFonts w:hint="default" w:ascii="Times New Roman" w:hAnsi="Times New Roman" w:eastAsia="宋体" w:cs="Times New Roman"/>
                      <w:color w:val="auto"/>
                      <w:spacing w:val="3"/>
                      <w:sz w:val="21"/>
                      <w:szCs w:val="21"/>
                    </w:rPr>
                    <w:t>10t/h</w:t>
                  </w:r>
                </w:p>
              </w:tc>
              <w:tc>
                <w:tcPr>
                  <w:tcW w:w="452" w:type="pct"/>
                  <w:gridSpan w:val="2"/>
                  <w:shd w:val="clear" w:color="auto" w:fill="auto"/>
                  <w:vAlign w:val="center"/>
                </w:tcPr>
                <w:p w14:paraId="722D926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25585B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11AFFA8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55BD5FC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1E44D5B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B8ED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2112D46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907" w:type="pct"/>
                  <w:gridSpan w:val="2"/>
                  <w:shd w:val="clear" w:color="auto" w:fill="auto"/>
                  <w:vAlign w:val="center"/>
                </w:tcPr>
                <w:p w14:paraId="4376410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混油螺旋</w:t>
                  </w:r>
                </w:p>
              </w:tc>
              <w:tc>
                <w:tcPr>
                  <w:tcW w:w="1208" w:type="pct"/>
                  <w:gridSpan w:val="2"/>
                  <w:shd w:val="clear" w:color="auto" w:fill="auto"/>
                  <w:vAlign w:val="center"/>
                </w:tcPr>
                <w:p w14:paraId="4F3516F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2"/>
                      <w:sz w:val="21"/>
                      <w:szCs w:val="21"/>
                    </w:rPr>
                    <w:t>-</w:t>
                  </w:r>
                  <w:r>
                    <w:rPr>
                      <w:rFonts w:hint="default" w:ascii="Times New Roman" w:hAnsi="Times New Roman" w:eastAsia="宋体" w:cs="Times New Roman"/>
                      <w:color w:val="auto"/>
                      <w:sz w:val="21"/>
                      <w:szCs w:val="21"/>
                    </w:rPr>
                    <w:t>HY</w:t>
                  </w:r>
                  <w:r>
                    <w:rPr>
                      <w:rFonts w:hint="default" w:ascii="Times New Roman" w:hAnsi="Times New Roman" w:eastAsia="宋体" w:cs="Times New Roman"/>
                      <w:color w:val="auto"/>
                      <w:spacing w:val="2"/>
                      <w:sz w:val="21"/>
                      <w:szCs w:val="21"/>
                    </w:rPr>
                    <w:t>-</w:t>
                  </w:r>
                  <w:r>
                    <w:rPr>
                      <w:rFonts w:hint="default" w:ascii="Times New Roman" w:hAnsi="Times New Roman" w:eastAsia="宋体" w:cs="Times New Roman"/>
                      <w:color w:val="auto"/>
                      <w:sz w:val="21"/>
                      <w:szCs w:val="21"/>
                    </w:rPr>
                    <w:t>LS</w:t>
                  </w:r>
                  <w:r>
                    <w:rPr>
                      <w:rFonts w:hint="default" w:ascii="Times New Roman" w:hAnsi="Times New Roman" w:eastAsia="宋体" w:cs="Times New Roman"/>
                      <w:color w:val="auto"/>
                      <w:spacing w:val="2"/>
                      <w:sz w:val="21"/>
                      <w:szCs w:val="21"/>
                    </w:rPr>
                    <w:t>-350</w:t>
                  </w:r>
                  <w:r>
                    <w:rPr>
                      <w:rFonts w:hint="default" w:ascii="Times New Roman" w:hAnsi="Times New Roman" w:eastAsia="宋体" w:cs="Times New Roman"/>
                      <w:color w:val="auto"/>
                      <w:spacing w:val="-21"/>
                      <w:sz w:val="21"/>
                      <w:szCs w:val="21"/>
                    </w:rPr>
                    <w:t xml:space="preserve"> </w:t>
                  </w:r>
                  <w:r>
                    <w:rPr>
                      <w:rFonts w:hint="eastAsia" w:ascii="Times New Roman" w:hAnsi="Times New Roman" w:cs="Times New Roman"/>
                      <w:color w:val="auto"/>
                      <w:spacing w:val="-21"/>
                      <w:sz w:val="21"/>
                      <w:szCs w:val="21"/>
                      <w:lang w:eastAsia="zh-CN"/>
                    </w:rPr>
                    <w:t>,</w:t>
                  </w:r>
                  <w:r>
                    <w:rPr>
                      <w:rFonts w:hint="default" w:ascii="Times New Roman" w:hAnsi="Times New Roman" w:eastAsia="宋体" w:cs="Times New Roman"/>
                      <w:color w:val="auto"/>
                      <w:spacing w:val="2"/>
                      <w:sz w:val="21"/>
                      <w:szCs w:val="21"/>
                    </w:rPr>
                    <w:t>6~</w:t>
                  </w:r>
                  <w:r>
                    <w:rPr>
                      <w:rFonts w:hint="default" w:ascii="Times New Roman" w:hAnsi="Times New Roman" w:eastAsia="宋体" w:cs="Times New Roman"/>
                      <w:color w:val="auto"/>
                      <w:spacing w:val="-26"/>
                      <w:sz w:val="21"/>
                      <w:szCs w:val="21"/>
                    </w:rPr>
                    <w:t xml:space="preserve"> </w:t>
                  </w:r>
                  <w:r>
                    <w:rPr>
                      <w:rFonts w:hint="default" w:ascii="Times New Roman" w:hAnsi="Times New Roman" w:eastAsia="宋体" w:cs="Times New Roman"/>
                      <w:color w:val="auto"/>
                      <w:spacing w:val="2"/>
                      <w:sz w:val="21"/>
                      <w:szCs w:val="21"/>
                    </w:rPr>
                    <w:t>10t/h</w:t>
                  </w:r>
                </w:p>
              </w:tc>
              <w:tc>
                <w:tcPr>
                  <w:tcW w:w="452" w:type="pct"/>
                  <w:gridSpan w:val="2"/>
                  <w:shd w:val="clear" w:color="auto" w:fill="auto"/>
                  <w:vAlign w:val="center"/>
                </w:tcPr>
                <w:p w14:paraId="629B6E8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57808D5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3FD1B6D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601AF6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1D5996C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4DF3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EB7EDE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4</w:t>
                  </w:r>
                </w:p>
              </w:tc>
              <w:tc>
                <w:tcPr>
                  <w:tcW w:w="907" w:type="pct"/>
                  <w:gridSpan w:val="2"/>
                  <w:shd w:val="clear" w:color="auto" w:fill="auto"/>
                  <w:vAlign w:val="center"/>
                </w:tcPr>
                <w:p w14:paraId="7C64DFF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添加剂料仓</w:t>
                  </w:r>
                </w:p>
              </w:tc>
              <w:tc>
                <w:tcPr>
                  <w:tcW w:w="1208" w:type="pct"/>
                  <w:gridSpan w:val="2"/>
                  <w:shd w:val="clear" w:color="auto" w:fill="auto"/>
                  <w:vAlign w:val="center"/>
                </w:tcPr>
                <w:p w14:paraId="366F0787">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非标，300L</w:t>
                  </w:r>
                </w:p>
              </w:tc>
              <w:tc>
                <w:tcPr>
                  <w:tcW w:w="452" w:type="pct"/>
                  <w:gridSpan w:val="2"/>
                  <w:shd w:val="clear" w:color="auto" w:fill="auto"/>
                  <w:vAlign w:val="center"/>
                </w:tcPr>
                <w:p w14:paraId="1F5E62E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374D5F1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2BBBADF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40E4759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50A2949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77B1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7A6BCB2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907" w:type="pct"/>
                  <w:gridSpan w:val="2"/>
                  <w:shd w:val="clear" w:color="auto" w:fill="auto"/>
                  <w:vAlign w:val="center"/>
                </w:tcPr>
                <w:p w14:paraId="63EBA18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添加剂</w:t>
                  </w:r>
                  <w:r>
                    <w:rPr>
                      <w:rFonts w:hint="default" w:ascii="Times New Roman" w:hAnsi="Times New Roman" w:eastAsia="宋体" w:cs="Times New Roman"/>
                      <w:color w:val="auto"/>
                      <w:spacing w:val="-17"/>
                      <w:sz w:val="21"/>
                      <w:szCs w:val="21"/>
                    </w:rPr>
                    <w:t xml:space="preserve"> </w:t>
                  </w:r>
                  <w:r>
                    <w:rPr>
                      <w:rFonts w:hint="default" w:ascii="Times New Roman" w:hAnsi="Times New Roman" w:eastAsia="宋体" w:cs="Times New Roman"/>
                      <w:color w:val="auto"/>
                      <w:spacing w:val="2"/>
                      <w:sz w:val="21"/>
                      <w:szCs w:val="21"/>
                    </w:rPr>
                    <w:t>1</w:t>
                  </w:r>
                  <w:r>
                    <w:rPr>
                      <w:rFonts w:hint="default" w:ascii="Times New Roman" w:hAnsi="Times New Roman" w:eastAsia="宋体" w:cs="Times New Roman"/>
                      <w:color w:val="auto"/>
                      <w:spacing w:val="17"/>
                      <w:w w:val="101"/>
                      <w:sz w:val="21"/>
                      <w:szCs w:val="21"/>
                    </w:rPr>
                    <w:t xml:space="preserve"> </w:t>
                  </w:r>
                  <w:r>
                    <w:rPr>
                      <w:rFonts w:hint="default" w:ascii="Times New Roman" w:hAnsi="Times New Roman" w:eastAsia="宋体" w:cs="Times New Roman"/>
                      <w:color w:val="auto"/>
                      <w:spacing w:val="2"/>
                      <w:sz w:val="21"/>
                      <w:szCs w:val="21"/>
                    </w:rPr>
                    <w:t>定量螺旋</w:t>
                  </w:r>
                </w:p>
              </w:tc>
              <w:tc>
                <w:tcPr>
                  <w:tcW w:w="1208" w:type="pct"/>
                  <w:gridSpan w:val="2"/>
                  <w:shd w:val="clear" w:color="auto" w:fill="auto"/>
                  <w:vAlign w:val="center"/>
                </w:tcPr>
                <w:p w14:paraId="633DEAF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9"/>
                      <w:sz w:val="21"/>
                      <w:szCs w:val="21"/>
                    </w:rPr>
                    <w:t>-</w:t>
                  </w:r>
                  <w:r>
                    <w:rPr>
                      <w:rFonts w:hint="default" w:ascii="Times New Roman" w:hAnsi="Times New Roman" w:eastAsia="宋体" w:cs="Times New Roman"/>
                      <w:color w:val="auto"/>
                      <w:sz w:val="21"/>
                      <w:szCs w:val="21"/>
                    </w:rPr>
                    <w:t>LS</w:t>
                  </w:r>
                  <w:r>
                    <w:rPr>
                      <w:rFonts w:hint="default" w:ascii="Times New Roman" w:hAnsi="Times New Roman" w:eastAsia="宋体" w:cs="Times New Roman"/>
                      <w:color w:val="auto"/>
                      <w:spacing w:val="9"/>
                      <w:sz w:val="21"/>
                      <w:szCs w:val="21"/>
                    </w:rPr>
                    <w:t>-80</w:t>
                  </w:r>
                </w:p>
              </w:tc>
              <w:tc>
                <w:tcPr>
                  <w:tcW w:w="452" w:type="pct"/>
                  <w:gridSpan w:val="2"/>
                  <w:shd w:val="clear" w:color="auto" w:fill="auto"/>
                  <w:vAlign w:val="center"/>
                </w:tcPr>
                <w:p w14:paraId="0E3E5555">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6569AFA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06AFCFD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1B062E2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56D30E4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38AAD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57AAE1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907" w:type="pct"/>
                  <w:gridSpan w:val="2"/>
                  <w:shd w:val="clear" w:color="auto" w:fill="auto"/>
                  <w:vAlign w:val="center"/>
                </w:tcPr>
                <w:p w14:paraId="7723AA2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双轴混合机</w:t>
                  </w:r>
                </w:p>
              </w:tc>
              <w:tc>
                <w:tcPr>
                  <w:tcW w:w="1208" w:type="pct"/>
                  <w:gridSpan w:val="2"/>
                  <w:shd w:val="clear" w:color="auto" w:fill="auto"/>
                  <w:vAlign w:val="center"/>
                </w:tcPr>
                <w:p w14:paraId="471080A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2"/>
                      <w:sz w:val="21"/>
                      <w:szCs w:val="21"/>
                    </w:rPr>
                    <w:t>-</w:t>
                  </w:r>
                  <w:r>
                    <w:rPr>
                      <w:rFonts w:hint="default" w:ascii="Times New Roman" w:hAnsi="Times New Roman" w:eastAsia="宋体" w:cs="Times New Roman"/>
                      <w:color w:val="auto"/>
                      <w:sz w:val="21"/>
                      <w:szCs w:val="21"/>
                    </w:rPr>
                    <w:t>MH</w:t>
                  </w:r>
                  <w:r>
                    <w:rPr>
                      <w:rFonts w:hint="default" w:ascii="Times New Roman" w:hAnsi="Times New Roman" w:eastAsia="宋体" w:cs="Times New Roman"/>
                      <w:color w:val="auto"/>
                      <w:spacing w:val="2"/>
                      <w:sz w:val="21"/>
                      <w:szCs w:val="21"/>
                    </w:rPr>
                    <w:t>3</w:t>
                  </w:r>
                  <w:r>
                    <w:rPr>
                      <w:rFonts w:hint="default" w:ascii="Times New Roman" w:hAnsi="Times New Roman" w:eastAsia="宋体" w:cs="Times New Roman"/>
                      <w:color w:val="auto"/>
                      <w:spacing w:val="-17"/>
                      <w:sz w:val="21"/>
                      <w:szCs w:val="21"/>
                    </w:rPr>
                    <w:t xml:space="preserve"> </w:t>
                  </w:r>
                  <w:r>
                    <w:rPr>
                      <w:rFonts w:hint="eastAsia" w:ascii="Times New Roman" w:hAnsi="Times New Roman" w:cs="Times New Roman"/>
                      <w:color w:val="auto"/>
                      <w:spacing w:val="-17"/>
                      <w:sz w:val="21"/>
                      <w:szCs w:val="21"/>
                      <w:lang w:eastAsia="zh-CN"/>
                    </w:rPr>
                    <w:t>,</w:t>
                  </w:r>
                  <w:r>
                    <w:rPr>
                      <w:rFonts w:hint="default" w:ascii="Times New Roman" w:hAnsi="Times New Roman" w:eastAsia="宋体" w:cs="Times New Roman"/>
                      <w:color w:val="auto"/>
                      <w:spacing w:val="2"/>
                      <w:sz w:val="21"/>
                      <w:szCs w:val="21"/>
                    </w:rPr>
                    <w:t>6~</w:t>
                  </w:r>
                  <w:r>
                    <w:rPr>
                      <w:rFonts w:hint="default" w:ascii="Times New Roman" w:hAnsi="Times New Roman" w:eastAsia="宋体" w:cs="Times New Roman"/>
                      <w:color w:val="auto"/>
                      <w:spacing w:val="-26"/>
                      <w:sz w:val="21"/>
                      <w:szCs w:val="21"/>
                    </w:rPr>
                    <w:t xml:space="preserve"> </w:t>
                  </w:r>
                  <w:r>
                    <w:rPr>
                      <w:rFonts w:hint="default" w:ascii="Times New Roman" w:hAnsi="Times New Roman" w:eastAsia="宋体" w:cs="Times New Roman"/>
                      <w:color w:val="auto"/>
                      <w:spacing w:val="2"/>
                      <w:sz w:val="21"/>
                      <w:szCs w:val="21"/>
                    </w:rPr>
                    <w:t>10t/h</w:t>
                  </w:r>
                </w:p>
              </w:tc>
              <w:tc>
                <w:tcPr>
                  <w:tcW w:w="452" w:type="pct"/>
                  <w:gridSpan w:val="2"/>
                  <w:shd w:val="clear" w:color="auto" w:fill="auto"/>
                  <w:vAlign w:val="center"/>
                </w:tcPr>
                <w:p w14:paraId="794E517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E80E9A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0EB260C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67CAE0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2AC4070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396F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5926E2C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w:t>
                  </w:r>
                </w:p>
              </w:tc>
              <w:tc>
                <w:tcPr>
                  <w:tcW w:w="907" w:type="pct"/>
                  <w:gridSpan w:val="2"/>
                  <w:shd w:val="clear" w:color="auto" w:fill="auto"/>
                  <w:vAlign w:val="center"/>
                </w:tcPr>
                <w:p w14:paraId="3B78368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木粉料仓</w:t>
                  </w:r>
                </w:p>
              </w:tc>
              <w:tc>
                <w:tcPr>
                  <w:tcW w:w="1208" w:type="pct"/>
                  <w:gridSpan w:val="2"/>
                  <w:shd w:val="clear" w:color="auto" w:fill="auto"/>
                  <w:vAlign w:val="center"/>
                </w:tcPr>
                <w:p w14:paraId="15441C1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13"/>
                      <w:sz w:val="21"/>
                      <w:szCs w:val="21"/>
                    </w:rPr>
                    <w:t>-</w:t>
                  </w:r>
                  <w:r>
                    <w:rPr>
                      <w:rFonts w:hint="default" w:ascii="Times New Roman" w:hAnsi="Times New Roman" w:eastAsia="宋体" w:cs="Times New Roman"/>
                      <w:color w:val="auto"/>
                      <w:sz w:val="21"/>
                      <w:szCs w:val="21"/>
                    </w:rPr>
                    <w:t>MF</w:t>
                  </w:r>
                  <w:r>
                    <w:rPr>
                      <w:rFonts w:hint="default" w:ascii="Times New Roman" w:hAnsi="Times New Roman" w:eastAsia="宋体" w:cs="Times New Roman"/>
                      <w:color w:val="auto"/>
                      <w:spacing w:val="13"/>
                      <w:sz w:val="21"/>
                      <w:szCs w:val="21"/>
                    </w:rPr>
                    <w:t>-</w:t>
                  </w: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pacing w:val="13"/>
                      <w:sz w:val="21"/>
                      <w:szCs w:val="21"/>
                    </w:rPr>
                    <w:t>-1</w:t>
                  </w:r>
                </w:p>
              </w:tc>
              <w:tc>
                <w:tcPr>
                  <w:tcW w:w="452" w:type="pct"/>
                  <w:gridSpan w:val="2"/>
                  <w:shd w:val="clear" w:color="auto" w:fill="auto"/>
                  <w:vAlign w:val="center"/>
                </w:tcPr>
                <w:p w14:paraId="7E635ACD">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58F9460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20252A8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2B9F7BC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29018CE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E78B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2C68CFA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w:t>
                  </w:r>
                </w:p>
              </w:tc>
              <w:tc>
                <w:tcPr>
                  <w:tcW w:w="907" w:type="pct"/>
                  <w:gridSpan w:val="2"/>
                  <w:shd w:val="clear" w:color="auto" w:fill="auto"/>
                  <w:vAlign w:val="center"/>
                </w:tcPr>
                <w:p w14:paraId="7EA2F93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木粉定量螺旋</w:t>
                  </w:r>
                </w:p>
              </w:tc>
              <w:tc>
                <w:tcPr>
                  <w:tcW w:w="1208" w:type="pct"/>
                  <w:gridSpan w:val="2"/>
                  <w:shd w:val="clear" w:color="auto" w:fill="auto"/>
                  <w:vAlign w:val="center"/>
                </w:tcPr>
                <w:p w14:paraId="5B40821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9"/>
                      <w:sz w:val="21"/>
                      <w:szCs w:val="21"/>
                    </w:rPr>
                    <w:t>-</w:t>
                  </w:r>
                  <w:r>
                    <w:rPr>
                      <w:rFonts w:hint="default" w:ascii="Times New Roman" w:hAnsi="Times New Roman" w:eastAsia="宋体" w:cs="Times New Roman"/>
                      <w:color w:val="auto"/>
                      <w:sz w:val="21"/>
                      <w:szCs w:val="21"/>
                    </w:rPr>
                    <w:t>LS</w:t>
                  </w:r>
                  <w:r>
                    <w:rPr>
                      <w:rFonts w:hint="default" w:ascii="Times New Roman" w:hAnsi="Times New Roman" w:eastAsia="宋体" w:cs="Times New Roman"/>
                      <w:color w:val="auto"/>
                      <w:spacing w:val="9"/>
                      <w:sz w:val="21"/>
                      <w:szCs w:val="21"/>
                    </w:rPr>
                    <w:t>-80</w:t>
                  </w:r>
                </w:p>
              </w:tc>
              <w:tc>
                <w:tcPr>
                  <w:tcW w:w="452" w:type="pct"/>
                  <w:gridSpan w:val="2"/>
                  <w:shd w:val="clear" w:color="auto" w:fill="auto"/>
                  <w:vAlign w:val="center"/>
                </w:tcPr>
                <w:p w14:paraId="4F44ED0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72B7219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08756D5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246EFAF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1338652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826C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C78B48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9</w:t>
                  </w:r>
                </w:p>
              </w:tc>
              <w:tc>
                <w:tcPr>
                  <w:tcW w:w="907" w:type="pct"/>
                  <w:gridSpan w:val="2"/>
                  <w:shd w:val="clear" w:color="auto" w:fill="auto"/>
                  <w:vAlign w:val="center"/>
                </w:tcPr>
                <w:p w14:paraId="1E933A8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混合螺旋</w:t>
                  </w:r>
                  <w:r>
                    <w:rPr>
                      <w:rFonts w:hint="default" w:ascii="Times New Roman" w:hAnsi="Times New Roman" w:eastAsia="宋体" w:cs="Times New Roman"/>
                      <w:color w:val="auto"/>
                      <w:spacing w:val="-20"/>
                      <w:sz w:val="21"/>
                      <w:szCs w:val="21"/>
                    </w:rPr>
                    <w:t xml:space="preserve"> </w:t>
                  </w:r>
                  <w:r>
                    <w:rPr>
                      <w:rFonts w:hint="default" w:ascii="Times New Roman" w:hAnsi="Times New Roman" w:eastAsia="宋体" w:cs="Times New Roman"/>
                      <w:color w:val="auto"/>
                      <w:spacing w:val="5"/>
                      <w:sz w:val="21"/>
                      <w:szCs w:val="21"/>
                    </w:rPr>
                    <w:t>1</w:t>
                  </w:r>
                </w:p>
              </w:tc>
              <w:tc>
                <w:tcPr>
                  <w:tcW w:w="1208" w:type="pct"/>
                  <w:gridSpan w:val="2"/>
                  <w:shd w:val="clear" w:color="auto" w:fill="auto"/>
                  <w:vAlign w:val="center"/>
                </w:tcPr>
                <w:p w14:paraId="567E863B">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z w:val="21"/>
                      <w:szCs w:val="21"/>
                    </w:rPr>
                    <w:t>HH</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z w:val="21"/>
                      <w:szCs w:val="21"/>
                    </w:rPr>
                    <w:t>LS</w:t>
                  </w:r>
                  <w:r>
                    <w:rPr>
                      <w:rFonts w:hint="default" w:ascii="Times New Roman" w:hAnsi="Times New Roman" w:eastAsia="宋体" w:cs="Times New Roman"/>
                      <w:color w:val="auto"/>
                      <w:spacing w:val="3"/>
                      <w:sz w:val="21"/>
                      <w:szCs w:val="21"/>
                    </w:rPr>
                    <w:t>-300</w:t>
                  </w:r>
                  <w:r>
                    <w:rPr>
                      <w:rFonts w:hint="default" w:ascii="Times New Roman" w:hAnsi="Times New Roman" w:eastAsia="宋体" w:cs="Times New Roman"/>
                      <w:color w:val="auto"/>
                      <w:spacing w:val="-13"/>
                      <w:sz w:val="21"/>
                      <w:szCs w:val="21"/>
                    </w:rPr>
                    <w:t xml:space="preserve"> </w:t>
                  </w:r>
                  <w:r>
                    <w:rPr>
                      <w:rFonts w:hint="eastAsia" w:ascii="Times New Roman" w:hAnsi="Times New Roman" w:cs="Times New Roman"/>
                      <w:color w:val="auto"/>
                      <w:spacing w:val="-13"/>
                      <w:sz w:val="21"/>
                      <w:szCs w:val="21"/>
                      <w:lang w:eastAsia="zh-CN"/>
                    </w:rPr>
                    <w:t>,</w:t>
                  </w:r>
                  <w:r>
                    <w:rPr>
                      <w:rFonts w:hint="default" w:ascii="Times New Roman" w:hAnsi="Times New Roman" w:eastAsia="宋体" w:cs="Times New Roman"/>
                      <w:color w:val="auto"/>
                      <w:spacing w:val="3"/>
                      <w:sz w:val="21"/>
                      <w:szCs w:val="21"/>
                    </w:rPr>
                    <w:t>6~</w:t>
                  </w:r>
                  <w:r>
                    <w:rPr>
                      <w:rFonts w:hint="default" w:ascii="Times New Roman" w:hAnsi="Times New Roman" w:eastAsia="宋体" w:cs="Times New Roman"/>
                      <w:color w:val="auto"/>
                      <w:spacing w:val="-26"/>
                      <w:sz w:val="21"/>
                      <w:szCs w:val="21"/>
                    </w:rPr>
                    <w:t xml:space="preserve"> </w:t>
                  </w:r>
                  <w:r>
                    <w:rPr>
                      <w:rFonts w:hint="default" w:ascii="Times New Roman" w:hAnsi="Times New Roman" w:eastAsia="宋体" w:cs="Times New Roman"/>
                      <w:color w:val="auto"/>
                      <w:spacing w:val="3"/>
                      <w:sz w:val="21"/>
                      <w:szCs w:val="21"/>
                    </w:rPr>
                    <w:t>10t/h</w:t>
                  </w:r>
                </w:p>
              </w:tc>
              <w:tc>
                <w:tcPr>
                  <w:tcW w:w="452" w:type="pct"/>
                  <w:gridSpan w:val="2"/>
                  <w:shd w:val="clear" w:color="auto" w:fill="auto"/>
                  <w:vAlign w:val="center"/>
                </w:tcPr>
                <w:p w14:paraId="3D202A5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65E3238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568D5FE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8D0AD6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218FA34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EC59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3789C7C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10</w:t>
                  </w:r>
                </w:p>
              </w:tc>
              <w:tc>
                <w:tcPr>
                  <w:tcW w:w="907" w:type="pct"/>
                  <w:gridSpan w:val="2"/>
                  <w:shd w:val="clear" w:color="auto" w:fill="auto"/>
                  <w:vAlign w:val="center"/>
                </w:tcPr>
                <w:p w14:paraId="3580E58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混合螺旋</w:t>
                  </w:r>
                  <w:r>
                    <w:rPr>
                      <w:rFonts w:hint="default" w:ascii="Times New Roman" w:hAnsi="Times New Roman" w:eastAsia="宋体" w:cs="Times New Roman"/>
                      <w:color w:val="auto"/>
                      <w:spacing w:val="-40"/>
                      <w:sz w:val="21"/>
                      <w:szCs w:val="21"/>
                    </w:rPr>
                    <w:t xml:space="preserve"> </w:t>
                  </w:r>
                  <w:r>
                    <w:rPr>
                      <w:rFonts w:hint="default" w:ascii="Times New Roman" w:hAnsi="Times New Roman" w:eastAsia="宋体" w:cs="Times New Roman"/>
                      <w:color w:val="auto"/>
                      <w:spacing w:val="5"/>
                      <w:sz w:val="21"/>
                      <w:szCs w:val="21"/>
                    </w:rPr>
                    <w:t>2</w:t>
                  </w:r>
                </w:p>
              </w:tc>
              <w:tc>
                <w:tcPr>
                  <w:tcW w:w="1208" w:type="pct"/>
                  <w:gridSpan w:val="2"/>
                  <w:shd w:val="clear" w:color="auto" w:fill="auto"/>
                  <w:vAlign w:val="center"/>
                </w:tcPr>
                <w:p w14:paraId="46A3AEFD">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z w:val="21"/>
                      <w:szCs w:val="21"/>
                    </w:rPr>
                    <w:t>HH</w:t>
                  </w:r>
                  <w:r>
                    <w:rPr>
                      <w:rFonts w:hint="default" w:ascii="Times New Roman" w:hAnsi="Times New Roman" w:eastAsia="宋体" w:cs="Times New Roman"/>
                      <w:color w:val="auto"/>
                      <w:spacing w:val="3"/>
                      <w:sz w:val="21"/>
                      <w:szCs w:val="21"/>
                    </w:rPr>
                    <w:t>-</w:t>
                  </w:r>
                  <w:r>
                    <w:rPr>
                      <w:rFonts w:hint="default" w:ascii="Times New Roman" w:hAnsi="Times New Roman" w:eastAsia="宋体" w:cs="Times New Roman"/>
                      <w:color w:val="auto"/>
                      <w:sz w:val="21"/>
                      <w:szCs w:val="21"/>
                    </w:rPr>
                    <w:t>LS</w:t>
                  </w:r>
                  <w:r>
                    <w:rPr>
                      <w:rFonts w:hint="default" w:ascii="Times New Roman" w:hAnsi="Times New Roman" w:eastAsia="宋体" w:cs="Times New Roman"/>
                      <w:color w:val="auto"/>
                      <w:spacing w:val="3"/>
                      <w:sz w:val="21"/>
                      <w:szCs w:val="21"/>
                    </w:rPr>
                    <w:t>-300</w:t>
                  </w:r>
                  <w:r>
                    <w:rPr>
                      <w:rFonts w:hint="default" w:ascii="Times New Roman" w:hAnsi="Times New Roman" w:eastAsia="宋体" w:cs="Times New Roman"/>
                      <w:color w:val="auto"/>
                      <w:spacing w:val="-13"/>
                      <w:sz w:val="21"/>
                      <w:szCs w:val="21"/>
                    </w:rPr>
                    <w:t xml:space="preserve"> </w:t>
                  </w:r>
                  <w:r>
                    <w:rPr>
                      <w:rFonts w:hint="eastAsia" w:ascii="Times New Roman" w:hAnsi="Times New Roman" w:cs="Times New Roman"/>
                      <w:color w:val="auto"/>
                      <w:spacing w:val="-13"/>
                      <w:sz w:val="21"/>
                      <w:szCs w:val="21"/>
                      <w:lang w:eastAsia="zh-CN"/>
                    </w:rPr>
                    <w:t>,</w:t>
                  </w:r>
                  <w:r>
                    <w:rPr>
                      <w:rFonts w:hint="default" w:ascii="Times New Roman" w:hAnsi="Times New Roman" w:eastAsia="宋体" w:cs="Times New Roman"/>
                      <w:color w:val="auto"/>
                      <w:spacing w:val="3"/>
                      <w:sz w:val="21"/>
                      <w:szCs w:val="21"/>
                    </w:rPr>
                    <w:t>6~</w:t>
                  </w:r>
                  <w:r>
                    <w:rPr>
                      <w:rFonts w:hint="default" w:ascii="Times New Roman" w:hAnsi="Times New Roman" w:eastAsia="宋体" w:cs="Times New Roman"/>
                      <w:color w:val="auto"/>
                      <w:spacing w:val="-26"/>
                      <w:sz w:val="21"/>
                      <w:szCs w:val="21"/>
                    </w:rPr>
                    <w:t xml:space="preserve"> </w:t>
                  </w:r>
                  <w:r>
                    <w:rPr>
                      <w:rFonts w:hint="default" w:ascii="Times New Roman" w:hAnsi="Times New Roman" w:eastAsia="宋体" w:cs="Times New Roman"/>
                      <w:color w:val="auto"/>
                      <w:spacing w:val="3"/>
                      <w:sz w:val="21"/>
                      <w:szCs w:val="21"/>
                    </w:rPr>
                    <w:t>10t/h</w:t>
                  </w:r>
                </w:p>
              </w:tc>
              <w:tc>
                <w:tcPr>
                  <w:tcW w:w="452" w:type="pct"/>
                  <w:gridSpan w:val="2"/>
                  <w:shd w:val="clear" w:color="auto" w:fill="auto"/>
                  <w:vAlign w:val="center"/>
                </w:tcPr>
                <w:p w14:paraId="20C2EC6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40910B4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2FDC7CC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5D1731F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04BB66B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5FCD7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6980EA8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0"/>
                      <w:sz w:val="21"/>
                      <w:szCs w:val="21"/>
                    </w:rPr>
                    <w:t>11</w:t>
                  </w:r>
                </w:p>
              </w:tc>
              <w:tc>
                <w:tcPr>
                  <w:tcW w:w="907" w:type="pct"/>
                  <w:gridSpan w:val="2"/>
                  <w:shd w:val="clear" w:color="auto" w:fill="auto"/>
                  <w:vAlign w:val="center"/>
                </w:tcPr>
                <w:p w14:paraId="6A6ECE6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暂存料斗</w:t>
                  </w:r>
                </w:p>
              </w:tc>
              <w:tc>
                <w:tcPr>
                  <w:tcW w:w="1208" w:type="pct"/>
                  <w:gridSpan w:val="2"/>
                  <w:shd w:val="clear" w:color="auto" w:fill="auto"/>
                  <w:vAlign w:val="center"/>
                </w:tcPr>
                <w:p w14:paraId="47A8BBF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BP</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pacing w:val="6"/>
                      <w:sz w:val="21"/>
                      <w:szCs w:val="21"/>
                    </w:rPr>
                    <w:t>-0.3</w:t>
                  </w:r>
                  <w:r>
                    <w:rPr>
                      <w:rFonts w:hint="default" w:ascii="Times New Roman" w:hAnsi="Times New Roman" w:eastAsia="宋体" w:cs="Times New Roman"/>
                      <w:color w:val="auto"/>
                      <w:spacing w:val="-22"/>
                      <w:sz w:val="21"/>
                      <w:szCs w:val="21"/>
                    </w:rPr>
                    <w:t xml:space="preserve"> </w:t>
                  </w:r>
                  <w:r>
                    <w:rPr>
                      <w:rFonts w:hint="eastAsia" w:ascii="Times New Roman" w:hAnsi="Times New Roman" w:cs="Times New Roman"/>
                      <w:color w:val="auto"/>
                      <w:spacing w:val="-22"/>
                      <w:sz w:val="21"/>
                      <w:szCs w:val="21"/>
                      <w:lang w:eastAsia="zh-CN"/>
                    </w:rPr>
                    <w:t>,</w:t>
                  </w:r>
                  <w:r>
                    <w:rPr>
                      <w:rFonts w:hint="default" w:ascii="Times New Roman" w:hAnsi="Times New Roman" w:eastAsia="宋体" w:cs="Times New Roman"/>
                      <w:color w:val="auto"/>
                      <w:spacing w:val="6"/>
                      <w:sz w:val="21"/>
                      <w:szCs w:val="21"/>
                    </w:rPr>
                    <w:t>300L</w:t>
                  </w:r>
                </w:p>
              </w:tc>
              <w:tc>
                <w:tcPr>
                  <w:tcW w:w="452" w:type="pct"/>
                  <w:gridSpan w:val="2"/>
                  <w:shd w:val="clear" w:color="auto" w:fill="auto"/>
                  <w:vAlign w:val="center"/>
                </w:tcPr>
                <w:p w14:paraId="37D293B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16" w:type="pct"/>
                  <w:vAlign w:val="center"/>
                </w:tcPr>
                <w:p w14:paraId="5E6B220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3A12ECD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02C0A46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7EF89F2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F79A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0F0C31F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12</w:t>
                  </w:r>
                </w:p>
              </w:tc>
              <w:tc>
                <w:tcPr>
                  <w:tcW w:w="907" w:type="pct"/>
                  <w:gridSpan w:val="2"/>
                  <w:shd w:val="clear" w:color="auto" w:fill="auto"/>
                  <w:vAlign w:val="center"/>
                </w:tcPr>
                <w:p w14:paraId="6E0D539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自动包装机</w:t>
                  </w:r>
                </w:p>
              </w:tc>
              <w:tc>
                <w:tcPr>
                  <w:tcW w:w="1208" w:type="pct"/>
                  <w:gridSpan w:val="2"/>
                  <w:shd w:val="clear" w:color="auto" w:fill="auto"/>
                  <w:vAlign w:val="center"/>
                </w:tcPr>
                <w:p w14:paraId="2A905A8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JWL-BP</w:t>
                  </w:r>
                </w:p>
              </w:tc>
              <w:tc>
                <w:tcPr>
                  <w:tcW w:w="452" w:type="pct"/>
                  <w:gridSpan w:val="2"/>
                  <w:shd w:val="clear" w:color="auto" w:fill="auto"/>
                  <w:vAlign w:val="center"/>
                </w:tcPr>
                <w:p w14:paraId="6DB37275">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16" w:type="pct"/>
                  <w:vAlign w:val="center"/>
                </w:tcPr>
                <w:p w14:paraId="6FA95DD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2783FE5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161916C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4399FA2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2E47C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0DC424C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13</w:t>
                  </w:r>
                </w:p>
              </w:tc>
              <w:tc>
                <w:tcPr>
                  <w:tcW w:w="907" w:type="pct"/>
                  <w:gridSpan w:val="2"/>
                  <w:shd w:val="clear" w:color="auto" w:fill="auto"/>
                  <w:vAlign w:val="center"/>
                </w:tcPr>
                <w:p w14:paraId="79B422D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称重剔除系统</w:t>
                  </w:r>
                </w:p>
              </w:tc>
              <w:tc>
                <w:tcPr>
                  <w:tcW w:w="1208" w:type="pct"/>
                  <w:gridSpan w:val="2"/>
                  <w:shd w:val="clear" w:color="auto" w:fill="auto"/>
                  <w:vAlign w:val="center"/>
                </w:tcPr>
                <w:p w14:paraId="07DEBF9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非标</w:t>
                  </w:r>
                </w:p>
              </w:tc>
              <w:tc>
                <w:tcPr>
                  <w:tcW w:w="452" w:type="pct"/>
                  <w:gridSpan w:val="2"/>
                  <w:shd w:val="clear" w:color="auto" w:fill="auto"/>
                  <w:vAlign w:val="center"/>
                </w:tcPr>
                <w:p w14:paraId="15820FB1">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16" w:type="pct"/>
                  <w:vAlign w:val="center"/>
                </w:tcPr>
                <w:p w14:paraId="6078C35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3F4563C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1964C3E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3706768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A899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065CE96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14</w:t>
                  </w:r>
                </w:p>
              </w:tc>
              <w:tc>
                <w:tcPr>
                  <w:tcW w:w="907" w:type="pct"/>
                  <w:gridSpan w:val="2"/>
                  <w:shd w:val="clear" w:color="auto" w:fill="auto"/>
                  <w:vAlign w:val="center"/>
                </w:tcPr>
                <w:p w14:paraId="4C1A78F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成品转运皮带</w:t>
                  </w:r>
                </w:p>
              </w:tc>
              <w:tc>
                <w:tcPr>
                  <w:tcW w:w="1208" w:type="pct"/>
                  <w:gridSpan w:val="2"/>
                  <w:shd w:val="clear" w:color="auto" w:fill="auto"/>
                  <w:vAlign w:val="center"/>
                </w:tcPr>
                <w:p w14:paraId="115F774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JWL-PD-ZZ</w:t>
                  </w:r>
                </w:p>
              </w:tc>
              <w:tc>
                <w:tcPr>
                  <w:tcW w:w="452" w:type="pct"/>
                  <w:gridSpan w:val="2"/>
                  <w:shd w:val="clear" w:color="auto" w:fill="auto"/>
                  <w:vAlign w:val="center"/>
                </w:tcPr>
                <w:p w14:paraId="525D3EE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16" w:type="pct"/>
                  <w:vAlign w:val="center"/>
                </w:tcPr>
                <w:p w14:paraId="0C6371E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732FD3D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47D91ED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4BBBF14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77783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26B28F8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15</w:t>
                  </w:r>
                </w:p>
              </w:tc>
              <w:tc>
                <w:tcPr>
                  <w:tcW w:w="907" w:type="pct"/>
                  <w:gridSpan w:val="2"/>
                  <w:shd w:val="clear" w:color="auto" w:fill="auto"/>
                  <w:vAlign w:val="center"/>
                </w:tcPr>
                <w:p w14:paraId="03BCA3D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基础油暂存罐</w:t>
                  </w:r>
                </w:p>
              </w:tc>
              <w:tc>
                <w:tcPr>
                  <w:tcW w:w="1208" w:type="pct"/>
                  <w:gridSpan w:val="2"/>
                  <w:shd w:val="clear" w:color="auto" w:fill="auto"/>
                  <w:vAlign w:val="center"/>
                </w:tcPr>
                <w:p w14:paraId="0EBD5E5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JWL-YC-5</w:t>
                  </w:r>
                  <w:r>
                    <w:rPr>
                      <w:rFonts w:hint="default" w:ascii="Times New Roman" w:hAnsi="Times New Roman" w:eastAsia="宋体" w:cs="Times New Roman"/>
                      <w:color w:val="auto"/>
                      <w:spacing w:val="-16"/>
                      <w:sz w:val="21"/>
                      <w:szCs w:val="21"/>
                    </w:rPr>
                    <w:t xml:space="preserve"> </w:t>
                  </w:r>
                  <w:r>
                    <w:rPr>
                      <w:rFonts w:hint="eastAsia" w:ascii="Times New Roman" w:hAnsi="Times New Roman" w:cs="Times New Roman"/>
                      <w:color w:val="auto"/>
                      <w:spacing w:val="-16"/>
                      <w:sz w:val="21"/>
                      <w:szCs w:val="21"/>
                      <w:lang w:eastAsia="zh-CN"/>
                    </w:rPr>
                    <w:t>,</w:t>
                  </w:r>
                  <w:r>
                    <w:rPr>
                      <w:rFonts w:hint="default" w:ascii="Times New Roman" w:hAnsi="Times New Roman" w:eastAsia="宋体" w:cs="Times New Roman"/>
                      <w:color w:val="auto"/>
                      <w:spacing w:val="-79"/>
                      <w:sz w:val="21"/>
                      <w:szCs w:val="21"/>
                    </w:rPr>
                    <w:t xml:space="preserve"> </w:t>
                  </w:r>
                  <w:r>
                    <w:rPr>
                      <w:rFonts w:hint="default" w:ascii="Times New Roman" w:hAnsi="Times New Roman" w:eastAsia="宋体" w:cs="Times New Roman"/>
                      <w:color w:val="auto"/>
                      <w:spacing w:val="-2"/>
                      <w:sz w:val="21"/>
                      <w:szCs w:val="21"/>
                    </w:rPr>
                    <w:t>φ</w:t>
                  </w:r>
                  <w:r>
                    <w:rPr>
                      <w:rFonts w:hint="default" w:ascii="Times New Roman" w:hAnsi="Times New Roman" w:eastAsia="宋体" w:cs="Times New Roman"/>
                      <w:color w:val="auto"/>
                      <w:spacing w:val="-75"/>
                      <w:sz w:val="21"/>
                      <w:szCs w:val="21"/>
                    </w:rPr>
                    <w:t xml:space="preserve"> </w:t>
                  </w:r>
                  <w:r>
                    <w:rPr>
                      <w:rFonts w:hint="default" w:ascii="Times New Roman" w:hAnsi="Times New Roman" w:eastAsia="宋体" w:cs="Times New Roman"/>
                      <w:color w:val="auto"/>
                      <w:spacing w:val="-2"/>
                      <w:sz w:val="21"/>
                      <w:szCs w:val="21"/>
                    </w:rPr>
                    <w:t>1200</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pacing w:val="-2"/>
                      <w:sz w:val="21"/>
                      <w:szCs w:val="21"/>
                    </w:rPr>
                    <w:t>5000L</w:t>
                  </w:r>
                </w:p>
              </w:tc>
              <w:tc>
                <w:tcPr>
                  <w:tcW w:w="452" w:type="pct"/>
                  <w:gridSpan w:val="2"/>
                  <w:shd w:val="clear" w:color="auto" w:fill="auto"/>
                  <w:vAlign w:val="center"/>
                </w:tcPr>
                <w:p w14:paraId="70446FE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3577372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494" w:type="pct"/>
                  <w:vAlign w:val="center"/>
                </w:tcPr>
                <w:p w14:paraId="3AB98E1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0B6383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vAlign w:val="center"/>
                </w:tcPr>
                <w:p w14:paraId="34294BF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73B13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4481CC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16</w:t>
                  </w:r>
                </w:p>
              </w:tc>
              <w:tc>
                <w:tcPr>
                  <w:tcW w:w="907" w:type="pct"/>
                  <w:gridSpan w:val="2"/>
                  <w:shd w:val="clear" w:color="auto" w:fill="auto"/>
                  <w:vAlign w:val="center"/>
                </w:tcPr>
                <w:p w14:paraId="0DD48A35">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基础油输送泵</w:t>
                  </w:r>
                </w:p>
              </w:tc>
              <w:tc>
                <w:tcPr>
                  <w:tcW w:w="1208" w:type="pct"/>
                  <w:gridSpan w:val="2"/>
                  <w:shd w:val="clear" w:color="auto" w:fill="auto"/>
                  <w:vAlign w:val="center"/>
                </w:tcPr>
                <w:p w14:paraId="326DEC30">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YX</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CL</w:t>
                  </w:r>
                  <w:r>
                    <w:rPr>
                      <w:rFonts w:hint="default" w:ascii="Times New Roman" w:hAnsi="Times New Roman" w:eastAsia="宋体" w:cs="Times New Roman"/>
                      <w:color w:val="auto"/>
                      <w:spacing w:val="5"/>
                      <w:sz w:val="21"/>
                      <w:szCs w:val="21"/>
                    </w:rPr>
                    <w:t>-0.7</w:t>
                  </w:r>
                  <w:r>
                    <w:rPr>
                      <w:rFonts w:hint="default" w:ascii="Times New Roman" w:hAnsi="Times New Roman" w:eastAsia="宋体" w:cs="Times New Roman"/>
                      <w:color w:val="auto"/>
                      <w:spacing w:val="-17"/>
                      <w:sz w:val="21"/>
                      <w:szCs w:val="21"/>
                    </w:rPr>
                    <w:t xml:space="preserve"> </w:t>
                  </w:r>
                  <w:r>
                    <w:rPr>
                      <w:rFonts w:hint="eastAsia" w:ascii="Times New Roman" w:hAnsi="Times New Roman" w:cs="Times New Roman"/>
                      <w:color w:val="auto"/>
                      <w:spacing w:val="-17"/>
                      <w:sz w:val="21"/>
                      <w:szCs w:val="21"/>
                      <w:lang w:eastAsia="zh-CN"/>
                    </w:rPr>
                    <w:t>,</w:t>
                  </w:r>
                  <w:r>
                    <w:rPr>
                      <w:rFonts w:hint="default" w:ascii="Times New Roman" w:hAnsi="Times New Roman" w:eastAsia="宋体" w:cs="Times New Roman"/>
                      <w:color w:val="auto"/>
                      <w:spacing w:val="5"/>
                      <w:sz w:val="21"/>
                      <w:szCs w:val="21"/>
                    </w:rPr>
                    <w:t>0.7m³/h</w:t>
                  </w:r>
                </w:p>
              </w:tc>
              <w:tc>
                <w:tcPr>
                  <w:tcW w:w="452" w:type="pct"/>
                  <w:gridSpan w:val="2"/>
                  <w:shd w:val="clear" w:color="auto" w:fill="auto"/>
                  <w:vAlign w:val="center"/>
                </w:tcPr>
                <w:p w14:paraId="651E2FF1">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1E7912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4DF2E3E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5EE4E5E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69DD4B7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F280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6A8FAEE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17</w:t>
                  </w:r>
                </w:p>
              </w:tc>
              <w:tc>
                <w:tcPr>
                  <w:tcW w:w="907" w:type="pct"/>
                  <w:gridSpan w:val="2"/>
                  <w:shd w:val="clear" w:color="auto" w:fill="auto"/>
                  <w:vAlign w:val="center"/>
                </w:tcPr>
                <w:p w14:paraId="74F5FEC1">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基质料仓</w:t>
                  </w:r>
                </w:p>
              </w:tc>
              <w:tc>
                <w:tcPr>
                  <w:tcW w:w="1208" w:type="pct"/>
                  <w:gridSpan w:val="2"/>
                  <w:shd w:val="clear" w:color="auto" w:fill="auto"/>
                  <w:vAlign w:val="center"/>
                </w:tcPr>
                <w:p w14:paraId="73B324E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RJ</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pacing w:val="5"/>
                      <w:sz w:val="21"/>
                      <w:szCs w:val="21"/>
                    </w:rPr>
                    <w:t>-0.5</w:t>
                  </w:r>
                  <w:r>
                    <w:rPr>
                      <w:rFonts w:hint="default" w:ascii="Times New Roman" w:hAnsi="Times New Roman" w:eastAsia="宋体" w:cs="Times New Roman"/>
                      <w:color w:val="auto"/>
                      <w:spacing w:val="-17"/>
                      <w:sz w:val="21"/>
                      <w:szCs w:val="21"/>
                    </w:rPr>
                    <w:t xml:space="preserve"> </w:t>
                  </w:r>
                  <w:r>
                    <w:rPr>
                      <w:rFonts w:hint="eastAsia" w:ascii="Times New Roman" w:hAnsi="Times New Roman" w:cs="Times New Roman"/>
                      <w:color w:val="auto"/>
                      <w:spacing w:val="-17"/>
                      <w:sz w:val="21"/>
                      <w:szCs w:val="21"/>
                      <w:lang w:eastAsia="zh-CN"/>
                    </w:rPr>
                    <w:t>,</w:t>
                  </w:r>
                  <w:r>
                    <w:rPr>
                      <w:rFonts w:hint="default" w:ascii="Times New Roman" w:hAnsi="Times New Roman" w:eastAsia="宋体" w:cs="Times New Roman"/>
                      <w:color w:val="auto"/>
                      <w:spacing w:val="5"/>
                      <w:sz w:val="21"/>
                      <w:szCs w:val="21"/>
                    </w:rPr>
                    <w:t>0.5m³</w:t>
                  </w:r>
                </w:p>
              </w:tc>
              <w:tc>
                <w:tcPr>
                  <w:tcW w:w="452" w:type="pct"/>
                  <w:gridSpan w:val="2"/>
                  <w:shd w:val="clear" w:color="auto" w:fill="auto"/>
                  <w:vAlign w:val="center"/>
                </w:tcPr>
                <w:p w14:paraId="2FB48D2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4B5B6DC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32EE86C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6DAD85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3DEDE83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3E7F8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632BD8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18</w:t>
                  </w:r>
                </w:p>
              </w:tc>
              <w:tc>
                <w:tcPr>
                  <w:tcW w:w="907" w:type="pct"/>
                  <w:gridSpan w:val="2"/>
                  <w:shd w:val="clear" w:color="auto" w:fill="auto"/>
                  <w:vAlign w:val="center"/>
                </w:tcPr>
                <w:p w14:paraId="7D645FEB">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电缸活塞式容积泵</w:t>
                  </w:r>
                </w:p>
              </w:tc>
              <w:tc>
                <w:tcPr>
                  <w:tcW w:w="1208" w:type="pct"/>
                  <w:gridSpan w:val="2"/>
                  <w:shd w:val="clear" w:color="auto" w:fill="auto"/>
                  <w:vAlign w:val="center"/>
                </w:tcPr>
                <w:p w14:paraId="6693C34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DHS</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RJ</w:t>
                  </w:r>
                  <w:r>
                    <w:rPr>
                      <w:rFonts w:hint="default" w:ascii="Times New Roman" w:hAnsi="Times New Roman" w:eastAsia="宋体" w:cs="Times New Roman"/>
                      <w:color w:val="auto"/>
                      <w:spacing w:val="-19"/>
                      <w:sz w:val="21"/>
                      <w:szCs w:val="21"/>
                    </w:rPr>
                    <w:t xml:space="preserve"> </w:t>
                  </w:r>
                  <w:r>
                    <w:rPr>
                      <w:rFonts w:hint="eastAsia" w:ascii="Times New Roman" w:hAnsi="Times New Roman" w:cs="Times New Roman"/>
                      <w:color w:val="auto"/>
                      <w:spacing w:val="-19"/>
                      <w:sz w:val="21"/>
                      <w:szCs w:val="21"/>
                      <w:lang w:eastAsia="zh-CN"/>
                    </w:rPr>
                    <w:t>,</w:t>
                  </w:r>
                  <w:r>
                    <w:rPr>
                      <w:rFonts w:hint="default" w:ascii="Times New Roman" w:hAnsi="Times New Roman" w:eastAsia="宋体" w:cs="Times New Roman"/>
                      <w:color w:val="auto"/>
                      <w:spacing w:val="6"/>
                      <w:sz w:val="21"/>
                      <w:szCs w:val="21"/>
                    </w:rPr>
                    <w:t>2.2m³/h</w:t>
                  </w:r>
                </w:p>
              </w:tc>
              <w:tc>
                <w:tcPr>
                  <w:tcW w:w="452" w:type="pct"/>
                  <w:gridSpan w:val="2"/>
                  <w:shd w:val="clear" w:color="auto" w:fill="auto"/>
                  <w:vAlign w:val="center"/>
                </w:tcPr>
                <w:p w14:paraId="6475CB1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F03E82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vAlign w:val="center"/>
                </w:tcPr>
                <w:p w14:paraId="71A9F77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4182C8E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vAlign w:val="center"/>
                </w:tcPr>
                <w:p w14:paraId="14DC39F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473B3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72F371B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19</w:t>
                  </w:r>
                </w:p>
              </w:tc>
              <w:tc>
                <w:tcPr>
                  <w:tcW w:w="907" w:type="pct"/>
                  <w:gridSpan w:val="2"/>
                  <w:shd w:val="clear" w:color="auto" w:fill="auto"/>
                  <w:vAlign w:val="center"/>
                </w:tcPr>
                <w:p w14:paraId="38DDF274">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添加剂</w:t>
                  </w:r>
                  <w:r>
                    <w:rPr>
                      <w:rFonts w:hint="default" w:ascii="Times New Roman" w:hAnsi="Times New Roman" w:eastAsia="宋体" w:cs="Times New Roman"/>
                      <w:color w:val="auto"/>
                      <w:spacing w:val="-39"/>
                      <w:sz w:val="21"/>
                      <w:szCs w:val="21"/>
                    </w:rPr>
                    <w:t xml:space="preserve"> </w:t>
                  </w:r>
                  <w:r>
                    <w:rPr>
                      <w:rFonts w:hint="default" w:ascii="Times New Roman" w:hAnsi="Times New Roman" w:eastAsia="宋体" w:cs="Times New Roman"/>
                      <w:color w:val="auto"/>
                      <w:spacing w:val="5"/>
                      <w:sz w:val="21"/>
                      <w:szCs w:val="21"/>
                    </w:rPr>
                    <w:t>2 储罐</w:t>
                  </w:r>
                </w:p>
              </w:tc>
              <w:tc>
                <w:tcPr>
                  <w:tcW w:w="1208" w:type="pct"/>
                  <w:gridSpan w:val="2"/>
                  <w:shd w:val="clear" w:color="auto" w:fill="auto"/>
                  <w:vAlign w:val="center"/>
                </w:tcPr>
                <w:p w14:paraId="0C43535E">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TJJ</w:t>
                  </w:r>
                  <w:r>
                    <w:rPr>
                      <w:rFonts w:hint="default" w:ascii="Times New Roman" w:hAnsi="Times New Roman" w:eastAsia="宋体" w:cs="Times New Roman"/>
                      <w:color w:val="auto"/>
                      <w:spacing w:val="5"/>
                      <w:sz w:val="21"/>
                      <w:szCs w:val="21"/>
                    </w:rPr>
                    <w:t>-1</w:t>
                  </w:r>
                  <w:r>
                    <w:rPr>
                      <w:rFonts w:hint="default" w:ascii="Times New Roman" w:hAnsi="Times New Roman" w:eastAsia="宋体" w:cs="Times New Roman"/>
                      <w:color w:val="auto"/>
                      <w:spacing w:val="-21"/>
                      <w:sz w:val="21"/>
                      <w:szCs w:val="21"/>
                    </w:rPr>
                    <w:t xml:space="preserve"> </w:t>
                  </w:r>
                  <w:r>
                    <w:rPr>
                      <w:rFonts w:hint="eastAsia" w:ascii="Times New Roman" w:hAnsi="Times New Roman" w:cs="Times New Roman"/>
                      <w:color w:val="auto"/>
                      <w:spacing w:val="-21"/>
                      <w:sz w:val="21"/>
                      <w:szCs w:val="21"/>
                      <w:lang w:eastAsia="zh-CN"/>
                    </w:rPr>
                    <w:t>,</w:t>
                  </w:r>
                  <w:r>
                    <w:rPr>
                      <w:rFonts w:hint="default" w:ascii="Times New Roman" w:hAnsi="Times New Roman" w:eastAsia="宋体" w:cs="Times New Roman"/>
                      <w:color w:val="auto"/>
                      <w:spacing w:val="5"/>
                      <w:sz w:val="21"/>
                      <w:szCs w:val="21"/>
                    </w:rPr>
                    <w:t>1m³</w:t>
                  </w:r>
                </w:p>
              </w:tc>
              <w:tc>
                <w:tcPr>
                  <w:tcW w:w="452" w:type="pct"/>
                  <w:gridSpan w:val="2"/>
                  <w:shd w:val="clear" w:color="auto" w:fill="auto"/>
                  <w:vAlign w:val="center"/>
                </w:tcPr>
                <w:p w14:paraId="3DEF960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vAlign w:val="center"/>
                </w:tcPr>
                <w:p w14:paraId="0B2150C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494" w:type="pct"/>
                  <w:vAlign w:val="center"/>
                </w:tcPr>
                <w:p w14:paraId="664CCF2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6CFEA5C">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532" w:type="pct"/>
                  <w:gridSpan w:val="2"/>
                  <w:vMerge w:val="continue"/>
                  <w:vAlign w:val="center"/>
                </w:tcPr>
                <w:p w14:paraId="521F066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FECC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48569C1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20</w:t>
                  </w:r>
                </w:p>
              </w:tc>
              <w:tc>
                <w:tcPr>
                  <w:tcW w:w="907" w:type="pct"/>
                  <w:gridSpan w:val="2"/>
                  <w:shd w:val="clear" w:color="auto" w:fill="auto"/>
                  <w:vAlign w:val="center"/>
                </w:tcPr>
                <w:p w14:paraId="08523C4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添加剂</w:t>
                  </w:r>
                  <w:r>
                    <w:rPr>
                      <w:rFonts w:hint="default" w:ascii="Times New Roman" w:hAnsi="Times New Roman" w:eastAsia="宋体" w:cs="Times New Roman"/>
                      <w:color w:val="auto"/>
                      <w:spacing w:val="-40"/>
                      <w:sz w:val="21"/>
                      <w:szCs w:val="21"/>
                    </w:rPr>
                    <w:t xml:space="preserve"> </w:t>
                  </w:r>
                  <w:r>
                    <w:rPr>
                      <w:rFonts w:hint="default" w:ascii="Times New Roman" w:hAnsi="Times New Roman" w:eastAsia="宋体" w:cs="Times New Roman"/>
                      <w:color w:val="auto"/>
                      <w:spacing w:val="6"/>
                      <w:sz w:val="21"/>
                      <w:szCs w:val="21"/>
                    </w:rPr>
                    <w:t>2 输送泵</w:t>
                  </w:r>
                </w:p>
              </w:tc>
              <w:tc>
                <w:tcPr>
                  <w:tcW w:w="1208" w:type="pct"/>
                  <w:gridSpan w:val="2"/>
                  <w:shd w:val="clear" w:color="auto" w:fill="auto"/>
                  <w:vAlign w:val="center"/>
                </w:tcPr>
                <w:p w14:paraId="0DAA96C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LG</w:t>
                  </w:r>
                  <w:r>
                    <w:rPr>
                      <w:rFonts w:hint="default" w:ascii="Times New Roman" w:hAnsi="Times New Roman" w:eastAsia="宋体" w:cs="Times New Roman"/>
                      <w:color w:val="auto"/>
                      <w:spacing w:val="3"/>
                      <w:sz w:val="21"/>
                      <w:szCs w:val="21"/>
                    </w:rPr>
                    <w:t>27F-1</w:t>
                  </w:r>
                  <w:r>
                    <w:rPr>
                      <w:rFonts w:hint="default" w:ascii="Times New Roman" w:hAnsi="Times New Roman" w:eastAsia="宋体" w:cs="Times New Roman"/>
                      <w:color w:val="auto"/>
                      <w:spacing w:val="-17"/>
                      <w:sz w:val="21"/>
                      <w:szCs w:val="21"/>
                    </w:rPr>
                    <w:t xml:space="preserve"> </w:t>
                  </w:r>
                  <w:r>
                    <w:rPr>
                      <w:rFonts w:hint="eastAsia" w:ascii="Times New Roman" w:hAnsi="Times New Roman" w:cs="Times New Roman"/>
                      <w:color w:val="auto"/>
                      <w:spacing w:val="-17"/>
                      <w:sz w:val="21"/>
                      <w:szCs w:val="21"/>
                      <w:lang w:eastAsia="zh-CN"/>
                    </w:rPr>
                    <w:t>,</w:t>
                  </w:r>
                  <w:r>
                    <w:rPr>
                      <w:rFonts w:hint="default" w:ascii="Times New Roman" w:hAnsi="Times New Roman" w:eastAsia="宋体" w:cs="Times New Roman"/>
                      <w:color w:val="auto"/>
                      <w:spacing w:val="3"/>
                      <w:sz w:val="21"/>
                      <w:szCs w:val="21"/>
                    </w:rPr>
                    <w:t>0.5m³/h</w:t>
                  </w:r>
                </w:p>
              </w:tc>
              <w:tc>
                <w:tcPr>
                  <w:tcW w:w="452" w:type="pct"/>
                  <w:gridSpan w:val="2"/>
                  <w:shd w:val="clear" w:color="auto" w:fill="auto"/>
                  <w:vAlign w:val="center"/>
                </w:tcPr>
                <w:p w14:paraId="412A24AD">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shd w:val="clear" w:color="auto" w:fill="auto"/>
                  <w:vAlign w:val="center"/>
                </w:tcPr>
                <w:p w14:paraId="29D31A0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494" w:type="pct"/>
                  <w:shd w:val="clear" w:color="auto" w:fill="auto"/>
                  <w:vAlign w:val="center"/>
                </w:tcPr>
                <w:p w14:paraId="34AD563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04C22D8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shd w:val="clear" w:color="auto" w:fill="auto"/>
                  <w:vAlign w:val="center"/>
                </w:tcPr>
                <w:p w14:paraId="2A0BB5B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3449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1852517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21</w:t>
                  </w:r>
                </w:p>
              </w:tc>
              <w:tc>
                <w:tcPr>
                  <w:tcW w:w="907" w:type="pct"/>
                  <w:gridSpan w:val="2"/>
                  <w:shd w:val="clear" w:color="auto" w:fill="auto"/>
                  <w:vAlign w:val="center"/>
                </w:tcPr>
                <w:p w14:paraId="6E87E2BA">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基质中转料斗</w:t>
                  </w:r>
                </w:p>
              </w:tc>
              <w:tc>
                <w:tcPr>
                  <w:tcW w:w="1208" w:type="pct"/>
                  <w:gridSpan w:val="2"/>
                  <w:shd w:val="clear" w:color="auto" w:fill="auto"/>
                  <w:vAlign w:val="center"/>
                </w:tcPr>
                <w:p w14:paraId="50A4086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RJ</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z w:val="21"/>
                      <w:szCs w:val="21"/>
                    </w:rPr>
                    <w:t>ZZ</w:t>
                  </w:r>
                  <w:r>
                    <w:rPr>
                      <w:rFonts w:hint="default" w:ascii="Times New Roman" w:hAnsi="Times New Roman" w:eastAsia="宋体" w:cs="Times New Roman"/>
                      <w:color w:val="auto"/>
                      <w:spacing w:val="5"/>
                      <w:sz w:val="21"/>
                      <w:szCs w:val="21"/>
                    </w:rPr>
                    <w:t>-0.3</w:t>
                  </w:r>
                  <w:r>
                    <w:rPr>
                      <w:rFonts w:hint="default" w:ascii="Times New Roman" w:hAnsi="Times New Roman" w:eastAsia="宋体" w:cs="Times New Roman"/>
                      <w:color w:val="auto"/>
                      <w:spacing w:val="-19"/>
                      <w:sz w:val="21"/>
                      <w:szCs w:val="21"/>
                    </w:rPr>
                    <w:t xml:space="preserve"> </w:t>
                  </w:r>
                  <w:r>
                    <w:rPr>
                      <w:rFonts w:hint="eastAsia" w:ascii="Times New Roman" w:hAnsi="Times New Roman" w:cs="Times New Roman"/>
                      <w:color w:val="auto"/>
                      <w:spacing w:val="-19"/>
                      <w:sz w:val="21"/>
                      <w:szCs w:val="21"/>
                      <w:lang w:eastAsia="zh-CN"/>
                    </w:rPr>
                    <w:t>,</w:t>
                  </w:r>
                  <w:r>
                    <w:rPr>
                      <w:rFonts w:hint="default" w:ascii="Times New Roman" w:hAnsi="Times New Roman" w:eastAsia="宋体" w:cs="Times New Roman"/>
                      <w:color w:val="auto"/>
                      <w:spacing w:val="5"/>
                      <w:sz w:val="21"/>
                      <w:szCs w:val="21"/>
                    </w:rPr>
                    <w:t>0.3m³</w:t>
                  </w:r>
                </w:p>
              </w:tc>
              <w:tc>
                <w:tcPr>
                  <w:tcW w:w="452" w:type="pct"/>
                  <w:gridSpan w:val="2"/>
                  <w:shd w:val="clear" w:color="auto" w:fill="auto"/>
                  <w:vAlign w:val="center"/>
                </w:tcPr>
                <w:p w14:paraId="34365316">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shd w:val="clear" w:color="auto" w:fill="auto"/>
                  <w:vAlign w:val="center"/>
                </w:tcPr>
                <w:p w14:paraId="608D9B78">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494" w:type="pct"/>
                  <w:shd w:val="clear" w:color="auto" w:fill="auto"/>
                  <w:vAlign w:val="center"/>
                </w:tcPr>
                <w:p w14:paraId="31E0331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6D08A1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532" w:type="pct"/>
                  <w:gridSpan w:val="2"/>
                  <w:vMerge w:val="continue"/>
                  <w:shd w:val="clear" w:color="auto" w:fill="auto"/>
                  <w:vAlign w:val="center"/>
                </w:tcPr>
                <w:p w14:paraId="4CE113D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1DF0F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6E7B3D9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22</w:t>
                  </w:r>
                </w:p>
              </w:tc>
              <w:tc>
                <w:tcPr>
                  <w:tcW w:w="907" w:type="pct"/>
                  <w:gridSpan w:val="2"/>
                  <w:shd w:val="clear" w:color="auto" w:fill="auto"/>
                  <w:vAlign w:val="center"/>
                </w:tcPr>
                <w:p w14:paraId="711E616C">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基础油料斗</w:t>
                  </w:r>
                </w:p>
              </w:tc>
              <w:tc>
                <w:tcPr>
                  <w:tcW w:w="1208" w:type="pct"/>
                  <w:gridSpan w:val="2"/>
                  <w:shd w:val="clear" w:color="auto" w:fill="auto"/>
                  <w:vAlign w:val="center"/>
                </w:tcPr>
                <w:p w14:paraId="749737DD">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JWL</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YC</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pacing w:val="-19"/>
                      <w:sz w:val="21"/>
                      <w:szCs w:val="21"/>
                    </w:rPr>
                    <w:t xml:space="preserve"> </w:t>
                  </w:r>
                  <w:r>
                    <w:rPr>
                      <w:rFonts w:hint="eastAsia" w:ascii="Times New Roman" w:hAnsi="Times New Roman" w:cs="Times New Roman"/>
                      <w:color w:val="auto"/>
                      <w:spacing w:val="-19"/>
                      <w:sz w:val="21"/>
                      <w:szCs w:val="21"/>
                      <w:lang w:eastAsia="zh-CN"/>
                    </w:rPr>
                    <w:t>,</w:t>
                  </w:r>
                  <w:r>
                    <w:rPr>
                      <w:rFonts w:hint="default" w:ascii="Times New Roman" w:hAnsi="Times New Roman" w:eastAsia="宋体" w:cs="Times New Roman"/>
                      <w:color w:val="auto"/>
                      <w:spacing w:val="6"/>
                      <w:sz w:val="21"/>
                      <w:szCs w:val="21"/>
                    </w:rPr>
                    <w:t>0.3m³</w:t>
                  </w:r>
                </w:p>
              </w:tc>
              <w:tc>
                <w:tcPr>
                  <w:tcW w:w="452" w:type="pct"/>
                  <w:gridSpan w:val="2"/>
                  <w:shd w:val="clear" w:color="auto" w:fill="auto"/>
                  <w:vAlign w:val="center"/>
                </w:tcPr>
                <w:p w14:paraId="2FFB24C5">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16" w:type="pct"/>
                  <w:shd w:val="clear" w:color="auto" w:fill="auto"/>
                  <w:vAlign w:val="center"/>
                </w:tcPr>
                <w:p w14:paraId="76947B5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494" w:type="pct"/>
                  <w:shd w:val="clear" w:color="auto" w:fill="auto"/>
                  <w:vAlign w:val="center"/>
                </w:tcPr>
                <w:p w14:paraId="4C86DAA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0CD95C3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532" w:type="pct"/>
                  <w:gridSpan w:val="2"/>
                  <w:vMerge w:val="continue"/>
                  <w:shd w:val="clear" w:color="auto" w:fill="auto"/>
                  <w:vAlign w:val="center"/>
                </w:tcPr>
                <w:p w14:paraId="40F0BF2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6F5F7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7" w:type="pct"/>
                  <w:gridSpan w:val="11"/>
                  <w:shd w:val="clear" w:color="auto" w:fill="auto"/>
                  <w:vAlign w:val="center"/>
                </w:tcPr>
                <w:p w14:paraId="0919F26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五、控制室</w:t>
                  </w:r>
                </w:p>
              </w:tc>
              <w:tc>
                <w:tcPr>
                  <w:tcW w:w="532" w:type="pct"/>
                  <w:gridSpan w:val="2"/>
                  <w:vMerge w:val="continue"/>
                  <w:shd w:val="clear" w:color="auto" w:fill="auto"/>
                  <w:vAlign w:val="center"/>
                </w:tcPr>
                <w:p w14:paraId="14FCF2E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7"/>
                      <w:sz w:val="21"/>
                      <w:szCs w:val="21"/>
                    </w:rPr>
                  </w:pPr>
                </w:p>
              </w:tc>
            </w:tr>
            <w:tr w14:paraId="49684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0E32DF3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907" w:type="pct"/>
                  <w:gridSpan w:val="2"/>
                  <w:shd w:val="clear" w:color="auto" w:fill="auto"/>
                  <w:vAlign w:val="center"/>
                </w:tcPr>
                <w:p w14:paraId="4825C2FB">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自动控制系统</w:t>
                  </w:r>
                </w:p>
              </w:tc>
              <w:tc>
                <w:tcPr>
                  <w:tcW w:w="1208" w:type="pct"/>
                  <w:gridSpan w:val="2"/>
                  <w:shd w:val="clear" w:color="auto" w:fill="auto"/>
                  <w:vAlign w:val="center"/>
                </w:tcPr>
                <w:p w14:paraId="7A52730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w:t>
                  </w:r>
                </w:p>
              </w:tc>
              <w:tc>
                <w:tcPr>
                  <w:tcW w:w="452" w:type="pct"/>
                  <w:gridSpan w:val="2"/>
                  <w:shd w:val="clear" w:color="auto" w:fill="auto"/>
                  <w:vAlign w:val="center"/>
                </w:tcPr>
                <w:p w14:paraId="56C5A0A8">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16" w:type="pct"/>
                  <w:shd w:val="clear" w:color="auto" w:fill="auto"/>
                  <w:vAlign w:val="center"/>
                </w:tcPr>
                <w:p w14:paraId="3B887EE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94" w:type="pct"/>
                  <w:shd w:val="clear" w:color="auto" w:fill="auto"/>
                  <w:vAlign w:val="center"/>
                </w:tcPr>
                <w:p w14:paraId="3BB21BC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8CA896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32" w:type="pct"/>
                  <w:gridSpan w:val="2"/>
                  <w:vMerge w:val="continue"/>
                  <w:shd w:val="clear" w:color="auto" w:fill="auto"/>
                  <w:vAlign w:val="center"/>
                </w:tcPr>
                <w:p w14:paraId="1A7C5369">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0E3DD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7" w:type="pct"/>
                  <w:gridSpan w:val="11"/>
                  <w:shd w:val="clear" w:color="auto" w:fill="auto"/>
                  <w:vAlign w:val="center"/>
                </w:tcPr>
                <w:p w14:paraId="727DA54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六、乳化粒状铵油炸药成品中转站台</w:t>
                  </w:r>
                </w:p>
              </w:tc>
              <w:tc>
                <w:tcPr>
                  <w:tcW w:w="532" w:type="pct"/>
                  <w:gridSpan w:val="2"/>
                  <w:vMerge w:val="continue"/>
                  <w:shd w:val="clear" w:color="auto" w:fill="auto"/>
                  <w:vAlign w:val="center"/>
                </w:tcPr>
                <w:p w14:paraId="0910047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775AA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752D904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907" w:type="pct"/>
                  <w:gridSpan w:val="2"/>
                  <w:shd w:val="clear" w:color="auto" w:fill="auto"/>
                  <w:vAlign w:val="center"/>
                </w:tcPr>
                <w:p w14:paraId="15FEBD59">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成品装车系统</w:t>
                  </w:r>
                </w:p>
              </w:tc>
              <w:tc>
                <w:tcPr>
                  <w:tcW w:w="1208" w:type="pct"/>
                  <w:gridSpan w:val="2"/>
                  <w:shd w:val="clear" w:color="auto" w:fill="auto"/>
                  <w:vAlign w:val="center"/>
                </w:tcPr>
                <w:p w14:paraId="7525C74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6"/>
                      <w:sz w:val="21"/>
                      <w:szCs w:val="21"/>
                    </w:rPr>
                    <w:t>KNACPM</w:t>
                  </w:r>
                </w:p>
              </w:tc>
              <w:tc>
                <w:tcPr>
                  <w:tcW w:w="452" w:type="pct"/>
                  <w:gridSpan w:val="2"/>
                  <w:shd w:val="clear" w:color="auto" w:fill="auto"/>
                  <w:vAlign w:val="center"/>
                </w:tcPr>
                <w:p w14:paraId="4E936627">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16" w:type="pct"/>
                  <w:shd w:val="clear" w:color="auto" w:fill="auto"/>
                  <w:vAlign w:val="center"/>
                </w:tcPr>
                <w:p w14:paraId="03033CE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494" w:type="pct"/>
                  <w:shd w:val="clear" w:color="auto" w:fill="auto"/>
                  <w:vAlign w:val="center"/>
                </w:tcPr>
                <w:p w14:paraId="1E23D1A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353B369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532" w:type="pct"/>
                  <w:gridSpan w:val="2"/>
                  <w:vMerge w:val="continue"/>
                  <w:shd w:val="clear" w:color="auto" w:fill="auto"/>
                  <w:vAlign w:val="center"/>
                </w:tcPr>
                <w:p w14:paraId="13543D2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7E31F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67" w:type="pct"/>
                  <w:gridSpan w:val="11"/>
                  <w:shd w:val="clear" w:color="auto" w:fill="auto"/>
                  <w:vAlign w:val="center"/>
                </w:tcPr>
                <w:p w14:paraId="1C5C580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七、硝酸铵溶液储罐区</w:t>
                  </w:r>
                </w:p>
              </w:tc>
              <w:tc>
                <w:tcPr>
                  <w:tcW w:w="532" w:type="pct"/>
                  <w:gridSpan w:val="2"/>
                  <w:vMerge w:val="continue"/>
                  <w:shd w:val="clear" w:color="auto" w:fill="auto"/>
                  <w:vAlign w:val="center"/>
                </w:tcPr>
                <w:p w14:paraId="2A385F8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492E6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 w:type="pct"/>
                  <w:gridSpan w:val="2"/>
                  <w:shd w:val="clear" w:color="auto" w:fill="auto"/>
                  <w:vAlign w:val="center"/>
                </w:tcPr>
                <w:p w14:paraId="0EF1EF97">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907" w:type="pct"/>
                  <w:gridSpan w:val="2"/>
                  <w:shd w:val="clear" w:color="auto" w:fill="auto"/>
                  <w:vAlign w:val="center"/>
                </w:tcPr>
                <w:p w14:paraId="13D39CAB">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硝酸铵溶液储罐</w:t>
                  </w:r>
                </w:p>
              </w:tc>
              <w:tc>
                <w:tcPr>
                  <w:tcW w:w="1208" w:type="pct"/>
                  <w:gridSpan w:val="2"/>
                  <w:shd w:val="clear" w:color="auto" w:fill="auto"/>
                  <w:vAlign w:val="center"/>
                </w:tcPr>
                <w:p w14:paraId="6F4CA161">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position w:val="-1"/>
                      <w:sz w:val="21"/>
                      <w:szCs w:val="21"/>
                    </w:rPr>
                    <w:t>40m</w:t>
                  </w:r>
                  <w:r>
                    <w:rPr>
                      <w:rFonts w:hint="default" w:ascii="Times New Roman" w:hAnsi="Times New Roman" w:eastAsia="宋体" w:cs="Times New Roman"/>
                      <w:color w:val="auto"/>
                      <w:spacing w:val="4"/>
                      <w:position w:val="5"/>
                      <w:sz w:val="21"/>
                      <w:szCs w:val="21"/>
                    </w:rPr>
                    <w:t>3</w:t>
                  </w:r>
                </w:p>
              </w:tc>
              <w:tc>
                <w:tcPr>
                  <w:tcW w:w="452" w:type="pct"/>
                  <w:gridSpan w:val="2"/>
                  <w:shd w:val="clear" w:color="auto" w:fill="auto"/>
                  <w:vAlign w:val="center"/>
                </w:tcPr>
                <w:p w14:paraId="5E9A7643">
                  <w:pPr>
                    <w:pStyle w:val="115"/>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16" w:type="pct"/>
                  <w:shd w:val="clear" w:color="auto" w:fill="auto"/>
                  <w:vAlign w:val="center"/>
                </w:tcPr>
                <w:p w14:paraId="4A803D2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494" w:type="pct"/>
                  <w:shd w:val="clear" w:color="auto" w:fill="auto"/>
                  <w:vAlign w:val="center"/>
                </w:tcPr>
                <w:p w14:paraId="2552877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2FF2C4D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532" w:type="pct"/>
                  <w:gridSpan w:val="2"/>
                  <w:vMerge w:val="continue"/>
                  <w:shd w:val="clear" w:color="auto" w:fill="auto"/>
                  <w:vAlign w:val="center"/>
                </w:tcPr>
                <w:p w14:paraId="3AFBF78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p>
              </w:tc>
            </w:tr>
            <w:tr w14:paraId="522F5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4467" w:type="pct"/>
                  <w:gridSpan w:val="11"/>
                  <w:vAlign w:val="center"/>
                </w:tcPr>
                <w:p w14:paraId="41067FCC">
                  <w:pPr>
                    <w:keepNext/>
                    <w:keepLines w:val="0"/>
                    <w:pageBreakBefore w:val="0"/>
                    <w:widowControl w:val="0"/>
                    <w:kinsoku/>
                    <w:wordWrap/>
                    <w:overflowPunct/>
                    <w:topLinePunct w:val="0"/>
                    <w:bidi w:val="0"/>
                    <w:adjustRightInd/>
                    <w:snapToGrid/>
                    <w:spacing w:line="240" w:lineRule="auto"/>
                    <w:ind w:left="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一、水相制备工房</w:t>
                  </w:r>
                </w:p>
              </w:tc>
              <w:tc>
                <w:tcPr>
                  <w:tcW w:w="530" w:type="pct"/>
                  <w:vMerge w:val="restart"/>
                  <w:vAlign w:val="center"/>
                </w:tcPr>
                <w:p w14:paraId="74AA52DE">
                  <w:pPr>
                    <w:keepNext/>
                    <w:keepLines w:val="0"/>
                    <w:pageBreakBefore w:val="0"/>
                    <w:widowControl w:val="0"/>
                    <w:kinsoku/>
                    <w:wordWrap/>
                    <w:overflowPunct/>
                    <w:topLinePunct w:val="0"/>
                    <w:bidi w:val="0"/>
                    <w:adjustRightInd/>
                    <w:snapToGrid/>
                    <w:spacing w:line="240" w:lineRule="auto"/>
                    <w:ind w:left="0" w:right="0" w:firstLine="0"/>
                    <w:jc w:val="left"/>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lang w:val="en-US" w:eastAsia="zh-CN"/>
                    </w:rPr>
                    <w:t>年产20000t乳化炸药生产线</w:t>
                  </w:r>
                </w:p>
              </w:tc>
            </w:tr>
            <w:tr w14:paraId="334DE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4212297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bookmarkStart w:id="33" w:name="OLE_LINK78" w:colFirst="1" w:colLast="1"/>
                  <w:r>
                    <w:rPr>
                      <w:rFonts w:hint="default" w:ascii="Times New Roman" w:hAnsi="Times New Roman" w:eastAsia="Times New Roman" w:cs="Times New Roman"/>
                      <w:color w:val="auto"/>
                      <w:sz w:val="21"/>
                      <w:szCs w:val="21"/>
                    </w:rPr>
                    <w:t>1</w:t>
                  </w:r>
                </w:p>
              </w:tc>
              <w:tc>
                <w:tcPr>
                  <w:tcW w:w="916" w:type="pct"/>
                  <w:gridSpan w:val="2"/>
                  <w:vAlign w:val="center"/>
                </w:tcPr>
                <w:p w14:paraId="6F20F65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破碎机</w:t>
                  </w:r>
                </w:p>
              </w:tc>
              <w:tc>
                <w:tcPr>
                  <w:tcW w:w="1205" w:type="pct"/>
                  <w:gridSpan w:val="2"/>
                  <w:vAlign w:val="center"/>
                </w:tcPr>
                <w:p w14:paraId="2B51975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pacing w:val="-11"/>
                      <w:sz w:val="21"/>
                      <w:szCs w:val="21"/>
                    </w:rPr>
                    <w:t>PC</w:t>
                  </w:r>
                  <w:r>
                    <w:rPr>
                      <w:rFonts w:hint="default" w:ascii="Times New Roman" w:hAnsi="Times New Roman" w:eastAsia="Times New Roman" w:cs="Times New Roman"/>
                      <w:color w:val="auto"/>
                      <w:spacing w:val="-12"/>
                      <w:sz w:val="21"/>
                      <w:szCs w:val="21"/>
                    </w:rPr>
                    <w:t>9</w:t>
                  </w:r>
                  <w:r>
                    <w:rPr>
                      <w:rFonts w:hint="default" w:ascii="Times New Roman" w:hAnsi="Times New Roman" w:eastAsia="宋体" w:cs="Times New Roman"/>
                      <w:color w:val="auto"/>
                      <w:spacing w:val="-11"/>
                      <w:sz w:val="21"/>
                      <w:szCs w:val="21"/>
                    </w:rPr>
                    <w:t>型，</w:t>
                  </w:r>
                  <w:r>
                    <w:rPr>
                      <w:rFonts w:hint="default" w:ascii="Times New Roman" w:hAnsi="Times New Roman" w:eastAsia="Times New Roman" w:cs="Times New Roman"/>
                      <w:color w:val="auto"/>
                      <w:spacing w:val="-11"/>
                      <w:sz w:val="21"/>
                      <w:szCs w:val="21"/>
                    </w:rPr>
                    <w:t>9t/h</w:t>
                  </w:r>
                </w:p>
              </w:tc>
              <w:tc>
                <w:tcPr>
                  <w:tcW w:w="440" w:type="pct"/>
                  <w:gridSpan w:val="2"/>
                  <w:vAlign w:val="center"/>
                </w:tcPr>
                <w:p w14:paraId="55AAD94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个</w:t>
                  </w:r>
                </w:p>
              </w:tc>
              <w:tc>
                <w:tcPr>
                  <w:tcW w:w="548" w:type="pct"/>
                  <w:gridSpan w:val="2"/>
                  <w:vAlign w:val="center"/>
                </w:tcPr>
                <w:p w14:paraId="69FAD3A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338A2CA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50DA830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eastAsia="Times New Roman" w:cs="Times New Roman"/>
                      <w:color w:val="auto"/>
                      <w:sz w:val="21"/>
                      <w:szCs w:val="21"/>
                    </w:rPr>
                    <w:t>1</w:t>
                  </w:r>
                </w:p>
              </w:tc>
              <w:tc>
                <w:tcPr>
                  <w:tcW w:w="530" w:type="pct"/>
                  <w:vMerge w:val="continue"/>
                  <w:vAlign w:val="center"/>
                </w:tcPr>
                <w:p w14:paraId="063261D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10B3E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26922E9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2</w:t>
                  </w:r>
                </w:p>
              </w:tc>
              <w:tc>
                <w:tcPr>
                  <w:tcW w:w="916" w:type="pct"/>
                  <w:gridSpan w:val="2"/>
                  <w:vAlign w:val="center"/>
                </w:tcPr>
                <w:p w14:paraId="6167C73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螺旋输送机</w:t>
                  </w:r>
                </w:p>
              </w:tc>
              <w:tc>
                <w:tcPr>
                  <w:tcW w:w="1205" w:type="pct"/>
                  <w:gridSpan w:val="2"/>
                  <w:vAlign w:val="center"/>
                </w:tcPr>
                <w:p w14:paraId="608E344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非标，</w:t>
                  </w:r>
                  <w:r>
                    <w:rPr>
                      <w:rFonts w:hint="default" w:ascii="Times New Roman" w:hAnsi="Times New Roman" w:eastAsia="Times New Roman" w:cs="Times New Roman"/>
                      <w:color w:val="auto"/>
                      <w:spacing w:val="-2"/>
                      <w:sz w:val="21"/>
                      <w:szCs w:val="21"/>
                    </w:rPr>
                    <w:t>9t/</w:t>
                  </w:r>
                  <w:r>
                    <w:rPr>
                      <w:rFonts w:hint="default" w:ascii="Times New Roman" w:hAnsi="Times New Roman" w:eastAsia="Times New Roman" w:cs="Times New Roman"/>
                      <w:color w:val="auto"/>
                      <w:spacing w:val="-1"/>
                      <w:sz w:val="21"/>
                      <w:szCs w:val="21"/>
                    </w:rPr>
                    <w:t>h</w:t>
                  </w:r>
                </w:p>
              </w:tc>
              <w:tc>
                <w:tcPr>
                  <w:tcW w:w="440" w:type="pct"/>
                  <w:gridSpan w:val="2"/>
                  <w:vAlign w:val="center"/>
                </w:tcPr>
                <w:p w14:paraId="074EF3A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个</w:t>
                  </w:r>
                </w:p>
              </w:tc>
              <w:tc>
                <w:tcPr>
                  <w:tcW w:w="548" w:type="pct"/>
                  <w:gridSpan w:val="2"/>
                  <w:vAlign w:val="center"/>
                </w:tcPr>
                <w:p w14:paraId="62213CF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7AE96683">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E77E34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eastAsia="Times New Roman" w:cs="Times New Roman"/>
                      <w:color w:val="auto"/>
                      <w:sz w:val="21"/>
                      <w:szCs w:val="21"/>
                    </w:rPr>
                    <w:t>1</w:t>
                  </w:r>
                </w:p>
              </w:tc>
              <w:tc>
                <w:tcPr>
                  <w:tcW w:w="530" w:type="pct"/>
                  <w:vMerge w:val="continue"/>
                  <w:vAlign w:val="center"/>
                </w:tcPr>
                <w:p w14:paraId="0D325CB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6202F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3EA4E3A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3</w:t>
                  </w:r>
                </w:p>
              </w:tc>
              <w:tc>
                <w:tcPr>
                  <w:tcW w:w="916" w:type="pct"/>
                  <w:gridSpan w:val="2"/>
                  <w:vAlign w:val="center"/>
                </w:tcPr>
                <w:p w14:paraId="403652E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水相制备罐</w:t>
                  </w:r>
                </w:p>
              </w:tc>
              <w:tc>
                <w:tcPr>
                  <w:tcW w:w="1205" w:type="pct"/>
                  <w:gridSpan w:val="2"/>
                  <w:vAlign w:val="center"/>
                </w:tcPr>
                <w:p w14:paraId="349E92C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pacing w:val="-2"/>
                      <w:position w:val="-1"/>
                      <w:sz w:val="21"/>
                      <w:szCs w:val="21"/>
                    </w:rPr>
                    <w:t>2</w:t>
                  </w:r>
                  <w:r>
                    <w:rPr>
                      <w:rFonts w:hint="default" w:ascii="Times New Roman" w:hAnsi="Times New Roman" w:eastAsia="Times New Roman" w:cs="Times New Roman"/>
                      <w:color w:val="auto"/>
                      <w:spacing w:val="-1"/>
                      <w:position w:val="-1"/>
                      <w:sz w:val="21"/>
                      <w:szCs w:val="21"/>
                    </w:rPr>
                    <w:t>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3D0382B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个</w:t>
                  </w:r>
                </w:p>
              </w:tc>
              <w:tc>
                <w:tcPr>
                  <w:tcW w:w="548" w:type="pct"/>
                  <w:gridSpan w:val="2"/>
                  <w:vAlign w:val="center"/>
                </w:tcPr>
                <w:p w14:paraId="49A273A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2</w:t>
                  </w:r>
                </w:p>
              </w:tc>
              <w:tc>
                <w:tcPr>
                  <w:tcW w:w="494" w:type="pct"/>
                  <w:vAlign w:val="center"/>
                </w:tcPr>
                <w:p w14:paraId="6323563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727D53C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eastAsia="Times New Roman" w:cs="Times New Roman"/>
                      <w:color w:val="auto"/>
                      <w:sz w:val="21"/>
                      <w:szCs w:val="21"/>
                    </w:rPr>
                    <w:t>2</w:t>
                  </w:r>
                </w:p>
              </w:tc>
              <w:tc>
                <w:tcPr>
                  <w:tcW w:w="530" w:type="pct"/>
                  <w:vMerge w:val="continue"/>
                  <w:vAlign w:val="center"/>
                </w:tcPr>
                <w:p w14:paraId="71EBF53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20257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18703B9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4</w:t>
                  </w:r>
                </w:p>
              </w:tc>
              <w:tc>
                <w:tcPr>
                  <w:tcW w:w="916" w:type="pct"/>
                  <w:gridSpan w:val="2"/>
                  <w:vAlign w:val="center"/>
                </w:tcPr>
                <w:p w14:paraId="4F80F9C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水相输送泵</w:t>
                  </w:r>
                </w:p>
              </w:tc>
              <w:tc>
                <w:tcPr>
                  <w:tcW w:w="1205" w:type="pct"/>
                  <w:gridSpan w:val="2"/>
                  <w:vAlign w:val="center"/>
                </w:tcPr>
                <w:p w14:paraId="0B815DB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非标，</w:t>
                  </w:r>
                  <w:r>
                    <w:rPr>
                      <w:rFonts w:hint="default" w:ascii="Times New Roman" w:hAnsi="Times New Roman" w:eastAsia="Times New Roman" w:cs="Times New Roman"/>
                      <w:color w:val="auto"/>
                      <w:spacing w:val="-2"/>
                      <w:sz w:val="21"/>
                      <w:szCs w:val="21"/>
                    </w:rPr>
                    <w:t>20</w:t>
                  </w:r>
                  <w:r>
                    <w:rPr>
                      <w:rFonts w:hint="default" w:ascii="Times New Roman" w:hAnsi="Times New Roman" w:eastAsia="Times New Roman" w:cs="Times New Roman"/>
                      <w:color w:val="auto"/>
                      <w:spacing w:val="-1"/>
                      <w:sz w:val="21"/>
                      <w:szCs w:val="21"/>
                    </w:rPr>
                    <w:t>t/h</w:t>
                  </w:r>
                </w:p>
              </w:tc>
              <w:tc>
                <w:tcPr>
                  <w:tcW w:w="440" w:type="pct"/>
                  <w:gridSpan w:val="2"/>
                  <w:vAlign w:val="center"/>
                </w:tcPr>
                <w:p w14:paraId="2F7B2AB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670C530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4EC990D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0E4367A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eastAsia="Times New Roman" w:cs="Times New Roman"/>
                      <w:color w:val="auto"/>
                      <w:sz w:val="21"/>
                      <w:szCs w:val="21"/>
                    </w:rPr>
                    <w:t>1</w:t>
                  </w:r>
                </w:p>
              </w:tc>
              <w:tc>
                <w:tcPr>
                  <w:tcW w:w="530" w:type="pct"/>
                  <w:vMerge w:val="continue"/>
                  <w:vAlign w:val="center"/>
                </w:tcPr>
                <w:p w14:paraId="4F80B9B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458ED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7B8869F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5</w:t>
                  </w:r>
                </w:p>
              </w:tc>
              <w:tc>
                <w:tcPr>
                  <w:tcW w:w="916" w:type="pct"/>
                  <w:gridSpan w:val="2"/>
                  <w:vAlign w:val="center"/>
                </w:tcPr>
                <w:p w14:paraId="42265C0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4"/>
                      <w:sz w:val="21"/>
                      <w:szCs w:val="21"/>
                    </w:rPr>
                    <w:t>热</w:t>
                  </w:r>
                  <w:r>
                    <w:rPr>
                      <w:rFonts w:hint="default" w:ascii="Times New Roman" w:hAnsi="Times New Roman" w:eastAsia="宋体" w:cs="Times New Roman"/>
                      <w:color w:val="auto"/>
                      <w:spacing w:val="-3"/>
                      <w:sz w:val="21"/>
                      <w:szCs w:val="21"/>
                    </w:rPr>
                    <w:t>水罐</w:t>
                  </w:r>
                </w:p>
              </w:tc>
              <w:tc>
                <w:tcPr>
                  <w:tcW w:w="1205" w:type="pct"/>
                  <w:gridSpan w:val="2"/>
                  <w:vAlign w:val="center"/>
                </w:tcPr>
                <w:p w14:paraId="5CF27B5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4"/>
                      <w:sz w:val="21"/>
                      <w:szCs w:val="21"/>
                    </w:rPr>
                    <w:t>.0m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26C2253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06CED79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0A24A6A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2CCC0D9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eastAsia="Times New Roman" w:cs="Times New Roman"/>
                      <w:color w:val="auto"/>
                      <w:sz w:val="21"/>
                      <w:szCs w:val="21"/>
                    </w:rPr>
                    <w:t>1</w:t>
                  </w:r>
                </w:p>
              </w:tc>
              <w:tc>
                <w:tcPr>
                  <w:tcW w:w="530" w:type="pct"/>
                  <w:vMerge w:val="continue"/>
                  <w:vAlign w:val="center"/>
                </w:tcPr>
                <w:p w14:paraId="762DABC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6179C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20D4885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6</w:t>
                  </w:r>
                </w:p>
              </w:tc>
              <w:tc>
                <w:tcPr>
                  <w:tcW w:w="916" w:type="pct"/>
                  <w:gridSpan w:val="2"/>
                  <w:vAlign w:val="center"/>
                </w:tcPr>
                <w:p w14:paraId="613CD90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硝酸铵</w:t>
                  </w:r>
                  <w:r>
                    <w:rPr>
                      <w:rFonts w:hint="default" w:ascii="Times New Roman" w:hAnsi="Times New Roman" w:eastAsia="宋体" w:cs="Times New Roman"/>
                      <w:color w:val="auto"/>
                      <w:spacing w:val="-1"/>
                      <w:sz w:val="21"/>
                      <w:szCs w:val="21"/>
                    </w:rPr>
                    <w:t>溶液储罐</w:t>
                  </w:r>
                </w:p>
              </w:tc>
              <w:tc>
                <w:tcPr>
                  <w:tcW w:w="1205" w:type="pct"/>
                  <w:gridSpan w:val="2"/>
                  <w:vAlign w:val="center"/>
                </w:tcPr>
                <w:p w14:paraId="5317698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13"/>
                      <w:sz w:val="21"/>
                      <w:szCs w:val="21"/>
                    </w:rPr>
                    <w:t>立式搅拌，</w:t>
                  </w:r>
                  <w:r>
                    <w:rPr>
                      <w:rFonts w:hint="default" w:ascii="Times New Roman" w:hAnsi="Times New Roman" w:eastAsia="Times New Roman" w:cs="Times New Roman"/>
                      <w:color w:val="auto"/>
                      <w:spacing w:val="-13"/>
                      <w:sz w:val="21"/>
                      <w:szCs w:val="21"/>
                    </w:rPr>
                    <w:t>40</w:t>
                  </w:r>
                  <w:r>
                    <w:rPr>
                      <w:rFonts w:hint="default" w:ascii="Times New Roman" w:hAnsi="Times New Roman" w:eastAsia="Times New Roman" w:cs="Times New Roman"/>
                      <w:color w:val="auto"/>
                      <w:spacing w:val="-12"/>
                      <w:sz w:val="21"/>
                      <w:szCs w:val="21"/>
                    </w:rPr>
                    <w:t>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0C57D6D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套</w:t>
                  </w:r>
                </w:p>
              </w:tc>
              <w:tc>
                <w:tcPr>
                  <w:tcW w:w="548" w:type="pct"/>
                  <w:gridSpan w:val="2"/>
                  <w:vAlign w:val="center"/>
                </w:tcPr>
                <w:p w14:paraId="2C440FC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2</w:t>
                  </w:r>
                </w:p>
              </w:tc>
              <w:tc>
                <w:tcPr>
                  <w:tcW w:w="494" w:type="pct"/>
                  <w:vAlign w:val="center"/>
                </w:tcPr>
                <w:p w14:paraId="109FAD95">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0C7B061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eastAsia="Times New Roman" w:cs="Times New Roman"/>
                      <w:color w:val="auto"/>
                      <w:sz w:val="21"/>
                      <w:szCs w:val="21"/>
                    </w:rPr>
                    <w:t>2</w:t>
                  </w:r>
                </w:p>
              </w:tc>
              <w:tc>
                <w:tcPr>
                  <w:tcW w:w="530" w:type="pct"/>
                  <w:vMerge w:val="continue"/>
                  <w:vAlign w:val="center"/>
                </w:tcPr>
                <w:p w14:paraId="5E98BA1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2BEA3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42D007B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7</w:t>
                  </w:r>
                </w:p>
              </w:tc>
              <w:tc>
                <w:tcPr>
                  <w:tcW w:w="916" w:type="pct"/>
                  <w:gridSpan w:val="2"/>
                  <w:vAlign w:val="center"/>
                </w:tcPr>
                <w:p w14:paraId="0B50BE9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硝酸</w:t>
                  </w:r>
                  <w:r>
                    <w:rPr>
                      <w:rFonts w:hint="default" w:ascii="Times New Roman" w:hAnsi="Times New Roman" w:eastAsia="宋体" w:cs="Times New Roman"/>
                      <w:color w:val="auto"/>
                      <w:spacing w:val="-1"/>
                      <w:sz w:val="21"/>
                      <w:szCs w:val="21"/>
                    </w:rPr>
                    <w:t>铵溶液输送泵</w:t>
                  </w:r>
                </w:p>
              </w:tc>
              <w:tc>
                <w:tcPr>
                  <w:tcW w:w="1205" w:type="pct"/>
                  <w:gridSpan w:val="2"/>
                  <w:vAlign w:val="center"/>
                </w:tcPr>
                <w:p w14:paraId="2A83DF8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15"/>
                      <w:sz w:val="21"/>
                      <w:szCs w:val="21"/>
                    </w:rPr>
                    <w:t>材</w:t>
                  </w:r>
                  <w:r>
                    <w:rPr>
                      <w:rFonts w:hint="default" w:ascii="Times New Roman" w:hAnsi="Times New Roman" w:eastAsia="宋体" w:cs="Times New Roman"/>
                      <w:color w:val="auto"/>
                      <w:spacing w:val="-13"/>
                      <w:sz w:val="21"/>
                      <w:szCs w:val="21"/>
                    </w:rPr>
                    <w:t>质</w:t>
                  </w:r>
                  <w:r>
                    <w:rPr>
                      <w:rFonts w:hint="default" w:ascii="Times New Roman" w:hAnsi="Times New Roman" w:eastAsia="Times New Roman" w:cs="Times New Roman"/>
                      <w:color w:val="auto"/>
                      <w:spacing w:val="-13"/>
                      <w:sz w:val="21"/>
                      <w:szCs w:val="21"/>
                    </w:rPr>
                    <w:t>304</w:t>
                  </w:r>
                  <w:r>
                    <w:rPr>
                      <w:rFonts w:hint="default" w:ascii="Times New Roman" w:hAnsi="Times New Roman" w:eastAsia="宋体" w:cs="Times New Roman"/>
                      <w:color w:val="auto"/>
                      <w:spacing w:val="-13"/>
                      <w:sz w:val="21"/>
                      <w:szCs w:val="21"/>
                    </w:rPr>
                    <w:t>，</w:t>
                  </w:r>
                  <w:r>
                    <w:rPr>
                      <w:rFonts w:hint="default" w:ascii="Times New Roman" w:hAnsi="Times New Roman" w:eastAsia="Times New Roman" w:cs="Times New Roman"/>
                      <w:color w:val="auto"/>
                      <w:spacing w:val="-13"/>
                      <w:sz w:val="21"/>
                      <w:szCs w:val="21"/>
                    </w:rPr>
                    <w:t>DN50</w:t>
                  </w:r>
                  <w:r>
                    <w:rPr>
                      <w:rFonts w:hint="default" w:ascii="Times New Roman" w:hAnsi="Times New Roman" w:eastAsia="宋体" w:cs="Times New Roman"/>
                      <w:color w:val="auto"/>
                      <w:spacing w:val="-13"/>
                      <w:sz w:val="21"/>
                      <w:szCs w:val="21"/>
                    </w:rPr>
                    <w:t>夹层管道</w:t>
                  </w:r>
                </w:p>
              </w:tc>
              <w:tc>
                <w:tcPr>
                  <w:tcW w:w="440" w:type="pct"/>
                  <w:gridSpan w:val="2"/>
                  <w:vAlign w:val="center"/>
                </w:tcPr>
                <w:p w14:paraId="456F3A4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套</w:t>
                  </w:r>
                </w:p>
              </w:tc>
              <w:tc>
                <w:tcPr>
                  <w:tcW w:w="548" w:type="pct"/>
                  <w:gridSpan w:val="2"/>
                  <w:vAlign w:val="center"/>
                </w:tcPr>
                <w:p w14:paraId="6A24588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68EFDF5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shd w:val="clear" w:color="auto" w:fill="auto"/>
                  <w:vAlign w:val="center"/>
                </w:tcPr>
                <w:p w14:paraId="62BF936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kern w:val="2"/>
                      <w:sz w:val="21"/>
                      <w:szCs w:val="21"/>
                      <w:vertAlign w:val="baseline"/>
                      <w:lang w:val="en-US" w:eastAsia="zh-CN" w:bidi="ar-SA"/>
                    </w:rPr>
                  </w:pPr>
                  <w:r>
                    <w:rPr>
                      <w:rFonts w:hint="default" w:ascii="Times New Roman" w:hAnsi="Times New Roman" w:eastAsia="Times New Roman" w:cs="Times New Roman"/>
                      <w:color w:val="auto"/>
                      <w:sz w:val="21"/>
                      <w:szCs w:val="21"/>
                    </w:rPr>
                    <w:t>1</w:t>
                  </w:r>
                </w:p>
              </w:tc>
              <w:tc>
                <w:tcPr>
                  <w:tcW w:w="530" w:type="pct"/>
                  <w:vMerge w:val="continue"/>
                  <w:vAlign w:val="center"/>
                </w:tcPr>
                <w:p w14:paraId="5F9938F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bookmarkEnd w:id="33"/>
            <w:tr w14:paraId="21F90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4467" w:type="pct"/>
                  <w:gridSpan w:val="11"/>
                  <w:vAlign w:val="center"/>
                </w:tcPr>
                <w:p w14:paraId="41845618">
                  <w:pPr>
                    <w:keepNext/>
                    <w:keepLines w:val="0"/>
                    <w:pageBreakBefore w:val="0"/>
                    <w:widowControl w:val="0"/>
                    <w:kinsoku/>
                    <w:wordWrap/>
                    <w:overflowPunct/>
                    <w:topLinePunct w:val="0"/>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二</w:t>
                  </w:r>
                  <w:r>
                    <w:rPr>
                      <w:rFonts w:hint="default" w:ascii="Times New Roman" w:hAnsi="Times New Roman" w:eastAsia="宋体" w:cs="Times New Roman"/>
                      <w:color w:val="auto"/>
                      <w:spacing w:val="7"/>
                      <w:sz w:val="21"/>
                      <w:szCs w:val="21"/>
                    </w:rPr>
                    <w:t>、乳化炸药生产工房</w:t>
                  </w:r>
                </w:p>
              </w:tc>
              <w:tc>
                <w:tcPr>
                  <w:tcW w:w="530" w:type="pct"/>
                  <w:vMerge w:val="continue"/>
                  <w:vAlign w:val="center"/>
                </w:tcPr>
                <w:p w14:paraId="5F158EF4">
                  <w:pPr>
                    <w:keepNext/>
                    <w:keepLines w:val="0"/>
                    <w:pageBreakBefore w:val="0"/>
                    <w:widowControl w:val="0"/>
                    <w:kinsoku/>
                    <w:wordWrap/>
                    <w:overflowPunct/>
                    <w:topLinePunct w:val="0"/>
                    <w:bidi w:val="0"/>
                    <w:adjustRightInd/>
                    <w:snapToGrid/>
                    <w:spacing w:line="240" w:lineRule="auto"/>
                    <w:ind w:left="0" w:right="0" w:firstLine="0"/>
                    <w:jc w:val="left"/>
                    <w:textAlignment w:val="auto"/>
                    <w:outlineLvl w:val="9"/>
                    <w:rPr>
                      <w:rFonts w:hint="default" w:ascii="Times New Roman" w:hAnsi="Times New Roman" w:eastAsia="宋体" w:cs="Times New Roman"/>
                      <w:color w:val="auto"/>
                      <w:spacing w:val="8"/>
                      <w:sz w:val="21"/>
                      <w:szCs w:val="21"/>
                    </w:rPr>
                  </w:pPr>
                </w:p>
              </w:tc>
            </w:tr>
            <w:tr w14:paraId="36B32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46570DB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bookmarkStart w:id="34" w:name="OLE_LINK81" w:colFirst="1" w:colLast="1"/>
                  <w:r>
                    <w:rPr>
                      <w:rFonts w:hint="default" w:ascii="Times New Roman" w:hAnsi="Times New Roman" w:eastAsia="Times New Roman" w:cs="Times New Roman"/>
                      <w:color w:val="auto"/>
                      <w:sz w:val="21"/>
                      <w:szCs w:val="21"/>
                    </w:rPr>
                    <w:t>1</w:t>
                  </w:r>
                </w:p>
              </w:tc>
              <w:tc>
                <w:tcPr>
                  <w:tcW w:w="916" w:type="pct"/>
                  <w:gridSpan w:val="2"/>
                  <w:vAlign w:val="center"/>
                </w:tcPr>
                <w:p w14:paraId="6605A80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pacing w:val="-4"/>
                      <w:sz w:val="21"/>
                      <w:szCs w:val="21"/>
                    </w:rPr>
                    <w:t>水</w:t>
                  </w:r>
                  <w:r>
                    <w:rPr>
                      <w:rFonts w:hint="default" w:ascii="Times New Roman" w:hAnsi="Times New Roman" w:eastAsia="宋体" w:cs="Times New Roman"/>
                      <w:color w:val="auto"/>
                      <w:spacing w:val="-2"/>
                      <w:sz w:val="21"/>
                      <w:szCs w:val="21"/>
                    </w:rPr>
                    <w:t>相储罐</w:t>
                  </w:r>
                  <w:r>
                    <w:rPr>
                      <w:rFonts w:hint="eastAsia" w:ascii="Times New Roman" w:hAnsi="Times New Roman" w:eastAsia="宋体" w:cs="Times New Roman"/>
                      <w:color w:val="auto"/>
                      <w:spacing w:val="-2"/>
                      <w:sz w:val="21"/>
                      <w:szCs w:val="21"/>
                      <w:lang w:eastAsia="zh-CN"/>
                    </w:rPr>
                    <w:t>（</w:t>
                  </w:r>
                  <w:r>
                    <w:rPr>
                      <w:rFonts w:hint="eastAsia" w:ascii="Times New Roman" w:hAnsi="Times New Roman" w:eastAsia="宋体" w:cs="Times New Roman"/>
                      <w:color w:val="auto"/>
                      <w:spacing w:val="-2"/>
                      <w:sz w:val="21"/>
                      <w:szCs w:val="21"/>
                      <w:lang w:val="en-US" w:eastAsia="zh-CN"/>
                    </w:rPr>
                    <w:t>生产线中间罐</w:t>
                  </w:r>
                  <w:r>
                    <w:rPr>
                      <w:rFonts w:hint="eastAsia" w:ascii="Times New Roman" w:hAnsi="Times New Roman" w:eastAsia="宋体" w:cs="Times New Roman"/>
                      <w:color w:val="auto"/>
                      <w:spacing w:val="-2"/>
                      <w:sz w:val="21"/>
                      <w:szCs w:val="21"/>
                      <w:lang w:eastAsia="zh-CN"/>
                    </w:rPr>
                    <w:t>）</w:t>
                  </w:r>
                </w:p>
              </w:tc>
              <w:tc>
                <w:tcPr>
                  <w:tcW w:w="1205" w:type="pct"/>
                  <w:gridSpan w:val="2"/>
                  <w:vAlign w:val="center"/>
                </w:tcPr>
                <w:p w14:paraId="49A78B5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pacing w:val="-1"/>
                      <w:position w:val="-1"/>
                      <w:sz w:val="21"/>
                      <w:szCs w:val="21"/>
                    </w:rPr>
                    <w:t>4m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1C97383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149AB25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78F4F32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40FB9ED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1BA1F3E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5AE65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24CCD30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2</w:t>
                  </w:r>
                </w:p>
              </w:tc>
              <w:tc>
                <w:tcPr>
                  <w:tcW w:w="916" w:type="pct"/>
                  <w:gridSpan w:val="2"/>
                  <w:vAlign w:val="center"/>
                </w:tcPr>
                <w:p w14:paraId="347F083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水相输送泵</w:t>
                  </w:r>
                </w:p>
              </w:tc>
              <w:tc>
                <w:tcPr>
                  <w:tcW w:w="1205" w:type="pct"/>
                  <w:gridSpan w:val="2"/>
                  <w:vAlign w:val="center"/>
                </w:tcPr>
                <w:p w14:paraId="15BC1DB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非标，</w:t>
                  </w:r>
                  <w:r>
                    <w:rPr>
                      <w:rFonts w:hint="default" w:ascii="Times New Roman" w:hAnsi="Times New Roman" w:eastAsia="Times New Roman" w:cs="Times New Roman"/>
                      <w:color w:val="auto"/>
                      <w:spacing w:val="-2"/>
                      <w:sz w:val="21"/>
                      <w:szCs w:val="21"/>
                    </w:rPr>
                    <w:t>6t/</w:t>
                  </w:r>
                  <w:r>
                    <w:rPr>
                      <w:rFonts w:hint="default" w:ascii="Times New Roman" w:hAnsi="Times New Roman" w:eastAsia="Times New Roman" w:cs="Times New Roman"/>
                      <w:color w:val="auto"/>
                      <w:spacing w:val="-1"/>
                      <w:sz w:val="21"/>
                      <w:szCs w:val="21"/>
                    </w:rPr>
                    <w:t>h</w:t>
                  </w:r>
                </w:p>
              </w:tc>
              <w:tc>
                <w:tcPr>
                  <w:tcW w:w="440" w:type="pct"/>
                  <w:gridSpan w:val="2"/>
                  <w:vAlign w:val="center"/>
                </w:tcPr>
                <w:p w14:paraId="2B75C37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5CCEF31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1934A8C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02BCDA5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6E3C1F4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2D67B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142F01B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3</w:t>
                  </w:r>
                </w:p>
              </w:tc>
              <w:tc>
                <w:tcPr>
                  <w:tcW w:w="916" w:type="pct"/>
                  <w:gridSpan w:val="2"/>
                  <w:vAlign w:val="center"/>
                </w:tcPr>
                <w:p w14:paraId="0D73908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4"/>
                      <w:sz w:val="21"/>
                      <w:szCs w:val="21"/>
                    </w:rPr>
                    <w:t>油</w:t>
                  </w:r>
                  <w:r>
                    <w:rPr>
                      <w:rFonts w:hint="default" w:ascii="Times New Roman" w:hAnsi="Times New Roman" w:eastAsia="宋体" w:cs="Times New Roman"/>
                      <w:color w:val="auto"/>
                      <w:spacing w:val="-2"/>
                      <w:sz w:val="21"/>
                      <w:szCs w:val="21"/>
                    </w:rPr>
                    <w:t>相储罐</w:t>
                  </w:r>
                  <w:r>
                    <w:rPr>
                      <w:rFonts w:hint="eastAsia" w:ascii="Times New Roman" w:hAnsi="Times New Roman" w:eastAsia="宋体" w:cs="Times New Roman"/>
                      <w:color w:val="auto"/>
                      <w:spacing w:val="-2"/>
                      <w:sz w:val="21"/>
                      <w:szCs w:val="21"/>
                      <w:lang w:eastAsia="zh-CN"/>
                    </w:rPr>
                    <w:t>（</w:t>
                  </w:r>
                  <w:r>
                    <w:rPr>
                      <w:rFonts w:hint="eastAsia" w:ascii="Times New Roman" w:hAnsi="Times New Roman" w:eastAsia="宋体" w:cs="Times New Roman"/>
                      <w:color w:val="auto"/>
                      <w:spacing w:val="-2"/>
                      <w:sz w:val="21"/>
                      <w:szCs w:val="21"/>
                      <w:lang w:val="en-US" w:eastAsia="zh-CN"/>
                    </w:rPr>
                    <w:t>生产线中间罐</w:t>
                  </w:r>
                  <w:r>
                    <w:rPr>
                      <w:rFonts w:hint="eastAsia" w:ascii="Times New Roman" w:hAnsi="Times New Roman" w:eastAsia="宋体" w:cs="Times New Roman"/>
                      <w:color w:val="auto"/>
                      <w:spacing w:val="-2"/>
                      <w:sz w:val="21"/>
                      <w:szCs w:val="21"/>
                      <w:lang w:eastAsia="zh-CN"/>
                    </w:rPr>
                    <w:t>）</w:t>
                  </w:r>
                </w:p>
              </w:tc>
              <w:tc>
                <w:tcPr>
                  <w:tcW w:w="1205" w:type="pct"/>
                  <w:gridSpan w:val="2"/>
                  <w:vAlign w:val="center"/>
                </w:tcPr>
                <w:p w14:paraId="41097EB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pacing w:val="-1"/>
                      <w:position w:val="-1"/>
                      <w:sz w:val="21"/>
                      <w:szCs w:val="21"/>
                    </w:rPr>
                    <w:t>2.0m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59C7A69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6B17B87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36B0639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36578B9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1751739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48E2C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3ECEFB4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4</w:t>
                  </w:r>
                </w:p>
              </w:tc>
              <w:tc>
                <w:tcPr>
                  <w:tcW w:w="916" w:type="pct"/>
                  <w:gridSpan w:val="2"/>
                  <w:vAlign w:val="center"/>
                </w:tcPr>
                <w:p w14:paraId="3847FE9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油相中间输</w:t>
                  </w:r>
                  <w:r>
                    <w:rPr>
                      <w:rFonts w:hint="default" w:ascii="Times New Roman" w:hAnsi="Times New Roman" w:eastAsia="宋体" w:cs="Times New Roman"/>
                      <w:color w:val="auto"/>
                      <w:spacing w:val="-1"/>
                      <w:sz w:val="21"/>
                      <w:szCs w:val="21"/>
                    </w:rPr>
                    <w:t>送泵</w:t>
                  </w:r>
                </w:p>
              </w:tc>
              <w:tc>
                <w:tcPr>
                  <w:tcW w:w="1205" w:type="pct"/>
                  <w:gridSpan w:val="2"/>
                  <w:vAlign w:val="center"/>
                </w:tcPr>
                <w:p w14:paraId="1082C36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1"/>
                      <w:sz w:val="21"/>
                      <w:szCs w:val="21"/>
                    </w:rPr>
                    <w:t>非</w:t>
                  </w:r>
                  <w:r>
                    <w:rPr>
                      <w:rFonts w:hint="default" w:ascii="Times New Roman" w:hAnsi="Times New Roman" w:eastAsia="宋体" w:cs="Times New Roman"/>
                      <w:color w:val="auto"/>
                      <w:spacing w:val="-14"/>
                      <w:sz w:val="21"/>
                      <w:szCs w:val="21"/>
                    </w:rPr>
                    <w:t>标，</w:t>
                  </w:r>
                  <w:r>
                    <w:rPr>
                      <w:rFonts w:hint="default" w:ascii="Times New Roman" w:hAnsi="Times New Roman" w:eastAsia="Times New Roman" w:cs="Times New Roman"/>
                      <w:color w:val="auto"/>
                      <w:spacing w:val="-14"/>
                      <w:sz w:val="21"/>
                      <w:szCs w:val="21"/>
                    </w:rPr>
                    <w:t>1t/h</w:t>
                  </w:r>
                </w:p>
              </w:tc>
              <w:tc>
                <w:tcPr>
                  <w:tcW w:w="440" w:type="pct"/>
                  <w:gridSpan w:val="2"/>
                  <w:vAlign w:val="center"/>
                </w:tcPr>
                <w:p w14:paraId="49EDDC3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62D6795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38DB655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409A22C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1015A28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1401B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50EAEBF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5</w:t>
                  </w:r>
                </w:p>
              </w:tc>
              <w:tc>
                <w:tcPr>
                  <w:tcW w:w="916" w:type="pct"/>
                  <w:gridSpan w:val="2"/>
                  <w:vAlign w:val="center"/>
                </w:tcPr>
                <w:p w14:paraId="38D1F93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15"/>
                      <w:sz w:val="21"/>
                      <w:szCs w:val="21"/>
                    </w:rPr>
                    <w:t>油</w:t>
                  </w:r>
                  <w:r>
                    <w:rPr>
                      <w:rFonts w:hint="default" w:ascii="Times New Roman" w:hAnsi="Times New Roman" w:eastAsia="宋体" w:cs="Times New Roman"/>
                      <w:color w:val="auto"/>
                      <w:spacing w:val="-13"/>
                      <w:sz w:val="21"/>
                      <w:szCs w:val="21"/>
                    </w:rPr>
                    <w:t>相储罐</w:t>
                  </w:r>
                  <w:r>
                    <w:rPr>
                      <w:rFonts w:hint="eastAsia" w:ascii="Times New Roman" w:hAnsi="Times New Roman" w:eastAsia="宋体" w:cs="Times New Roman"/>
                      <w:color w:val="auto"/>
                      <w:spacing w:val="-2"/>
                      <w:sz w:val="21"/>
                      <w:szCs w:val="21"/>
                      <w:lang w:eastAsia="zh-CN"/>
                    </w:rPr>
                    <w:t>（</w:t>
                  </w:r>
                  <w:r>
                    <w:rPr>
                      <w:rFonts w:hint="eastAsia" w:ascii="Times New Roman" w:hAnsi="Times New Roman" w:eastAsia="宋体" w:cs="Times New Roman"/>
                      <w:color w:val="auto"/>
                      <w:spacing w:val="-2"/>
                      <w:sz w:val="21"/>
                      <w:szCs w:val="21"/>
                      <w:lang w:val="en-US" w:eastAsia="zh-CN"/>
                    </w:rPr>
                    <w:t>生产线中间罐</w:t>
                  </w:r>
                  <w:r>
                    <w:rPr>
                      <w:rFonts w:hint="eastAsia" w:ascii="Times New Roman" w:hAnsi="Times New Roman" w:eastAsia="宋体" w:cs="Times New Roman"/>
                      <w:color w:val="auto"/>
                      <w:spacing w:val="-2"/>
                      <w:sz w:val="21"/>
                      <w:szCs w:val="21"/>
                      <w:lang w:eastAsia="zh-CN"/>
                    </w:rPr>
                    <w:t>）</w:t>
                  </w:r>
                </w:p>
              </w:tc>
              <w:tc>
                <w:tcPr>
                  <w:tcW w:w="1205" w:type="pct"/>
                  <w:gridSpan w:val="2"/>
                  <w:vAlign w:val="center"/>
                </w:tcPr>
                <w:p w14:paraId="3EF98FD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pacing w:val="-1"/>
                      <w:position w:val="-1"/>
                      <w:sz w:val="21"/>
                      <w:szCs w:val="21"/>
                    </w:rPr>
                    <w:t>2.0m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772D1EE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1067DFA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6CCD3D5D">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5C132C6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61126DD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12C01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501E4F7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6</w:t>
                  </w:r>
                </w:p>
              </w:tc>
              <w:tc>
                <w:tcPr>
                  <w:tcW w:w="916" w:type="pct"/>
                  <w:gridSpan w:val="2"/>
                  <w:vAlign w:val="center"/>
                </w:tcPr>
                <w:p w14:paraId="05E0DB9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15"/>
                      <w:sz w:val="21"/>
                      <w:szCs w:val="21"/>
                    </w:rPr>
                    <w:t>油</w:t>
                  </w:r>
                  <w:r>
                    <w:rPr>
                      <w:rFonts w:hint="default" w:ascii="Times New Roman" w:hAnsi="Times New Roman" w:eastAsia="宋体" w:cs="Times New Roman"/>
                      <w:color w:val="auto"/>
                      <w:spacing w:val="-14"/>
                      <w:sz w:val="21"/>
                      <w:szCs w:val="21"/>
                    </w:rPr>
                    <w:t>相输送泵</w:t>
                  </w:r>
                </w:p>
              </w:tc>
              <w:tc>
                <w:tcPr>
                  <w:tcW w:w="1205" w:type="pct"/>
                  <w:gridSpan w:val="2"/>
                  <w:vAlign w:val="center"/>
                </w:tcPr>
                <w:p w14:paraId="494E1C4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非标，</w:t>
                  </w:r>
                  <w:r>
                    <w:rPr>
                      <w:rFonts w:hint="default" w:ascii="Times New Roman" w:hAnsi="Times New Roman" w:eastAsia="Times New Roman" w:cs="Times New Roman"/>
                      <w:color w:val="auto"/>
                      <w:spacing w:val="-2"/>
                      <w:sz w:val="21"/>
                      <w:szCs w:val="21"/>
                    </w:rPr>
                    <w:t>1t/</w:t>
                  </w:r>
                  <w:r>
                    <w:rPr>
                      <w:rFonts w:hint="default" w:ascii="Times New Roman" w:hAnsi="Times New Roman" w:eastAsia="Times New Roman" w:cs="Times New Roman"/>
                      <w:color w:val="auto"/>
                      <w:spacing w:val="-1"/>
                      <w:sz w:val="21"/>
                      <w:szCs w:val="21"/>
                    </w:rPr>
                    <w:t>h</w:t>
                  </w:r>
                </w:p>
              </w:tc>
              <w:tc>
                <w:tcPr>
                  <w:tcW w:w="440" w:type="pct"/>
                  <w:gridSpan w:val="2"/>
                  <w:vAlign w:val="center"/>
                </w:tcPr>
                <w:p w14:paraId="762223B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5B66805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72D0F60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269AC67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07FAB75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771F1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6CB4DA7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7</w:t>
                  </w:r>
                </w:p>
              </w:tc>
              <w:tc>
                <w:tcPr>
                  <w:tcW w:w="916" w:type="pct"/>
                  <w:gridSpan w:val="2"/>
                  <w:vAlign w:val="center"/>
                </w:tcPr>
                <w:p w14:paraId="0E94DCE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14"/>
                      <w:sz w:val="21"/>
                      <w:szCs w:val="21"/>
                    </w:rPr>
                    <w:t>热</w:t>
                  </w:r>
                  <w:r>
                    <w:rPr>
                      <w:rFonts w:hint="default" w:ascii="Times New Roman" w:hAnsi="Times New Roman" w:eastAsia="宋体" w:cs="Times New Roman"/>
                      <w:color w:val="auto"/>
                      <w:spacing w:val="-11"/>
                      <w:sz w:val="21"/>
                      <w:szCs w:val="21"/>
                    </w:rPr>
                    <w:t>水罐</w:t>
                  </w:r>
                </w:p>
              </w:tc>
              <w:tc>
                <w:tcPr>
                  <w:tcW w:w="1205" w:type="pct"/>
                  <w:gridSpan w:val="2"/>
                  <w:vAlign w:val="center"/>
                </w:tcPr>
                <w:p w14:paraId="4EC87EA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pacing w:val="-12"/>
                      <w:sz w:val="21"/>
                      <w:szCs w:val="21"/>
                    </w:rPr>
                    <w:t>1</w:t>
                  </w:r>
                  <w:r>
                    <w:rPr>
                      <w:rFonts w:hint="default" w:ascii="Times New Roman" w:hAnsi="Times New Roman" w:eastAsia="Times New Roman" w:cs="Times New Roman"/>
                      <w:color w:val="auto"/>
                      <w:spacing w:val="-11"/>
                      <w:sz w:val="21"/>
                      <w:szCs w:val="21"/>
                    </w:rPr>
                    <w:t>.0 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13A5FA1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71B08AB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2F335D4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130716F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60EA94E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1C5D2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7D28B5D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8</w:t>
                  </w:r>
                </w:p>
              </w:tc>
              <w:tc>
                <w:tcPr>
                  <w:tcW w:w="916" w:type="pct"/>
                  <w:gridSpan w:val="2"/>
                  <w:vAlign w:val="center"/>
                </w:tcPr>
                <w:p w14:paraId="194328F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14"/>
                      <w:sz w:val="21"/>
                      <w:szCs w:val="21"/>
                    </w:rPr>
                    <w:t>热</w:t>
                  </w:r>
                  <w:r>
                    <w:rPr>
                      <w:rFonts w:hint="default" w:ascii="Times New Roman" w:hAnsi="Times New Roman" w:eastAsia="宋体" w:cs="Times New Roman"/>
                      <w:color w:val="auto"/>
                      <w:spacing w:val="-11"/>
                      <w:sz w:val="21"/>
                      <w:szCs w:val="21"/>
                    </w:rPr>
                    <w:t>水泵</w:t>
                  </w:r>
                </w:p>
              </w:tc>
              <w:tc>
                <w:tcPr>
                  <w:tcW w:w="1205" w:type="pct"/>
                  <w:gridSpan w:val="2"/>
                  <w:vAlign w:val="center"/>
                </w:tcPr>
                <w:p w14:paraId="689E036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pacing w:val="-2"/>
                      <w:sz w:val="21"/>
                      <w:szCs w:val="21"/>
                    </w:rPr>
                    <w:t>非标</w:t>
                  </w:r>
                  <w:r>
                    <w:rPr>
                      <w:rFonts w:hint="default" w:ascii="Times New Roman" w:hAnsi="Times New Roman" w:eastAsia="宋体" w:cs="Times New Roman"/>
                      <w:color w:val="auto"/>
                      <w:spacing w:val="-1"/>
                      <w:sz w:val="21"/>
                      <w:szCs w:val="21"/>
                    </w:rPr>
                    <w:t>，</w:t>
                  </w:r>
                  <w:r>
                    <w:rPr>
                      <w:rFonts w:hint="default" w:ascii="Times New Roman" w:hAnsi="Times New Roman" w:eastAsia="Times New Roman" w:cs="Times New Roman"/>
                      <w:color w:val="auto"/>
                      <w:spacing w:val="-1"/>
                      <w:sz w:val="21"/>
                      <w:szCs w:val="21"/>
                    </w:rPr>
                    <w:t>10m</w:t>
                  </w:r>
                  <w:r>
                    <w:rPr>
                      <w:rFonts w:hint="default" w:ascii="Times New Roman" w:hAnsi="Times New Roman" w:eastAsia="Times New Roman" w:cs="Times New Roman"/>
                      <w:color w:val="auto"/>
                      <w:spacing w:val="-1"/>
                      <w:position w:val="-1"/>
                      <w:sz w:val="21"/>
                      <w:szCs w:val="21"/>
                      <w:vertAlign w:val="superscript"/>
                    </w:rPr>
                    <w:t>3</w:t>
                  </w:r>
                  <w:r>
                    <w:rPr>
                      <w:rFonts w:hint="default" w:ascii="Times New Roman" w:hAnsi="Times New Roman" w:eastAsia="Times New Roman" w:cs="Times New Roman"/>
                      <w:color w:val="auto"/>
                      <w:spacing w:val="-1"/>
                      <w:sz w:val="21"/>
                      <w:szCs w:val="21"/>
                    </w:rPr>
                    <w:t>/h</w:t>
                  </w:r>
                </w:p>
              </w:tc>
              <w:tc>
                <w:tcPr>
                  <w:tcW w:w="440" w:type="pct"/>
                  <w:gridSpan w:val="2"/>
                  <w:vAlign w:val="center"/>
                </w:tcPr>
                <w:p w14:paraId="7850E27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宋体" w:cs="Times New Roman"/>
                      <w:color w:val="auto"/>
                      <w:sz w:val="21"/>
                      <w:szCs w:val="21"/>
                    </w:rPr>
                    <w:t>台</w:t>
                  </w:r>
                </w:p>
              </w:tc>
              <w:tc>
                <w:tcPr>
                  <w:tcW w:w="548" w:type="pct"/>
                  <w:gridSpan w:val="2"/>
                  <w:vAlign w:val="center"/>
                </w:tcPr>
                <w:p w14:paraId="3AC8307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eastAsia="Times New Roman" w:cs="Times New Roman"/>
                      <w:color w:val="auto"/>
                      <w:sz w:val="21"/>
                      <w:szCs w:val="21"/>
                    </w:rPr>
                    <w:t>1</w:t>
                  </w:r>
                </w:p>
              </w:tc>
              <w:tc>
                <w:tcPr>
                  <w:tcW w:w="494" w:type="pct"/>
                  <w:vAlign w:val="center"/>
                </w:tcPr>
                <w:p w14:paraId="533E4BC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36CE542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3DFF41E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7B620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327365C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bookmarkStart w:id="35" w:name="OLE_LINK12" w:colFirst="7" w:colLast="7"/>
                  <w:r>
                    <w:rPr>
                      <w:rFonts w:hint="default" w:ascii="Times New Roman" w:hAnsi="Times New Roman" w:eastAsia="Times New Roman" w:cs="Times New Roman"/>
                      <w:color w:val="auto"/>
                      <w:sz w:val="21"/>
                      <w:szCs w:val="21"/>
                    </w:rPr>
                    <w:t>9</w:t>
                  </w:r>
                </w:p>
              </w:tc>
              <w:tc>
                <w:tcPr>
                  <w:tcW w:w="916" w:type="pct"/>
                  <w:gridSpan w:val="2"/>
                  <w:vAlign w:val="center"/>
                </w:tcPr>
                <w:p w14:paraId="4FB9CA6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静态乳</w:t>
                  </w:r>
                  <w:r>
                    <w:rPr>
                      <w:rFonts w:hint="default" w:ascii="Times New Roman" w:hAnsi="Times New Roman" w:eastAsia="宋体" w:cs="Times New Roman"/>
                      <w:color w:val="auto"/>
                      <w:spacing w:val="-1"/>
                      <w:sz w:val="21"/>
                      <w:szCs w:val="21"/>
                    </w:rPr>
                    <w:t>化系统</w:t>
                  </w:r>
                </w:p>
              </w:tc>
              <w:tc>
                <w:tcPr>
                  <w:tcW w:w="1205" w:type="pct"/>
                  <w:gridSpan w:val="2"/>
                  <w:vAlign w:val="center"/>
                </w:tcPr>
                <w:p w14:paraId="3F99F3D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KNJR</w:t>
                  </w:r>
                  <w:r>
                    <w:rPr>
                      <w:rFonts w:hint="default" w:ascii="Times New Roman" w:hAnsi="Times New Roman" w:eastAsia="宋体" w:cs="Times New Roman"/>
                      <w:color w:val="auto"/>
                      <w:spacing w:val="6"/>
                      <w:sz w:val="21"/>
                      <w:szCs w:val="21"/>
                    </w:rPr>
                    <w:t>型</w:t>
                  </w:r>
                </w:p>
              </w:tc>
              <w:tc>
                <w:tcPr>
                  <w:tcW w:w="440" w:type="pct"/>
                  <w:gridSpan w:val="2"/>
                  <w:vAlign w:val="center"/>
                </w:tcPr>
                <w:p w14:paraId="7ABB4C2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8" w:type="pct"/>
                  <w:gridSpan w:val="2"/>
                  <w:vAlign w:val="center"/>
                </w:tcPr>
                <w:p w14:paraId="4028B90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32084C7A">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457995B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65707A4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43C45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3078736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0</w:t>
                  </w:r>
                </w:p>
              </w:tc>
              <w:tc>
                <w:tcPr>
                  <w:tcW w:w="916" w:type="pct"/>
                  <w:gridSpan w:val="2"/>
                  <w:vAlign w:val="center"/>
                </w:tcPr>
                <w:p w14:paraId="33E9B67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4"/>
                      <w:sz w:val="21"/>
                      <w:szCs w:val="21"/>
                    </w:rPr>
                    <w:t>冷</w:t>
                  </w:r>
                  <w:r>
                    <w:rPr>
                      <w:rFonts w:hint="default" w:ascii="Times New Roman" w:hAnsi="Times New Roman" w:eastAsia="宋体" w:cs="Times New Roman"/>
                      <w:color w:val="auto"/>
                      <w:spacing w:val="13"/>
                      <w:sz w:val="21"/>
                      <w:szCs w:val="21"/>
                    </w:rPr>
                    <w:t>却器</w:t>
                  </w:r>
                  <w:r>
                    <w:rPr>
                      <w:rFonts w:hint="eastAsia" w:ascii="Times New Roman" w:hAnsi="Times New Roman" w:eastAsia="宋体" w:cs="Times New Roman"/>
                      <w:color w:val="auto"/>
                      <w:spacing w:val="13"/>
                      <w:sz w:val="21"/>
                      <w:szCs w:val="21"/>
                      <w:lang w:eastAsia="zh-CN"/>
                    </w:rPr>
                    <w:t>（</w:t>
                  </w:r>
                  <w:r>
                    <w:rPr>
                      <w:rFonts w:hint="default" w:ascii="Times New Roman" w:hAnsi="Times New Roman" w:eastAsia="宋体" w:cs="Times New Roman"/>
                      <w:color w:val="auto"/>
                      <w:spacing w:val="13"/>
                      <w:sz w:val="21"/>
                      <w:szCs w:val="21"/>
                    </w:rPr>
                    <w:t>钢带</w:t>
                  </w:r>
                  <w:r>
                    <w:rPr>
                      <w:rFonts w:hint="eastAsia" w:ascii="Times New Roman" w:hAnsi="Times New Roman" w:eastAsia="宋体" w:cs="Times New Roman"/>
                      <w:color w:val="auto"/>
                      <w:spacing w:val="13"/>
                      <w:sz w:val="21"/>
                      <w:szCs w:val="21"/>
                      <w:lang w:eastAsia="zh-CN"/>
                    </w:rPr>
                    <w:t>）</w:t>
                  </w:r>
                </w:p>
              </w:tc>
              <w:tc>
                <w:tcPr>
                  <w:tcW w:w="1205" w:type="pct"/>
                  <w:gridSpan w:val="2"/>
                  <w:vAlign w:val="center"/>
                </w:tcPr>
                <w:p w14:paraId="649DFC9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s="Times New Roman"/>
                      <w:color w:val="auto"/>
                      <w:spacing w:val="-2"/>
                      <w:sz w:val="21"/>
                      <w:szCs w:val="21"/>
                    </w:rPr>
                    <w:t>CF</w:t>
                  </w:r>
                  <w:r>
                    <w:rPr>
                      <w:rFonts w:hint="default" w:ascii="Times New Roman" w:hAnsi="Times New Roman" w:eastAsia="宋体" w:cs="Times New Roman"/>
                      <w:color w:val="auto"/>
                      <w:spacing w:val="-4"/>
                      <w:sz w:val="21"/>
                      <w:szCs w:val="21"/>
                    </w:rPr>
                    <w:t>，南</w:t>
                  </w:r>
                  <w:r>
                    <w:rPr>
                      <w:rFonts w:hint="default" w:ascii="Times New Roman" w:hAnsi="Times New Roman" w:eastAsia="宋体" w:cs="Times New Roman"/>
                      <w:color w:val="auto"/>
                      <w:spacing w:val="-2"/>
                      <w:sz w:val="21"/>
                      <w:szCs w:val="21"/>
                    </w:rPr>
                    <w:t>京三普</w:t>
                  </w:r>
                </w:p>
              </w:tc>
              <w:tc>
                <w:tcPr>
                  <w:tcW w:w="440" w:type="pct"/>
                  <w:gridSpan w:val="2"/>
                  <w:vAlign w:val="center"/>
                </w:tcPr>
                <w:p w14:paraId="3AF98A7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61BC36A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22DDB55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7D5CF64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1364A1F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bookmarkEnd w:id="35"/>
            <w:tr w14:paraId="23A0F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7341BDC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1</w:t>
                  </w:r>
                </w:p>
              </w:tc>
              <w:tc>
                <w:tcPr>
                  <w:tcW w:w="916" w:type="pct"/>
                  <w:gridSpan w:val="2"/>
                  <w:vAlign w:val="center"/>
                </w:tcPr>
                <w:p w14:paraId="4AD63BC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sz w:val="21"/>
                      <w:szCs w:val="21"/>
                    </w:rPr>
                    <w:t>敏</w:t>
                  </w:r>
                  <w:r>
                    <w:rPr>
                      <w:rFonts w:hint="default" w:ascii="Times New Roman" w:hAnsi="Times New Roman" w:eastAsia="宋体" w:cs="Times New Roman"/>
                      <w:color w:val="auto"/>
                      <w:spacing w:val="-2"/>
                      <w:sz w:val="21"/>
                      <w:szCs w:val="21"/>
                    </w:rPr>
                    <w:t>化机</w:t>
                  </w:r>
                </w:p>
              </w:tc>
              <w:tc>
                <w:tcPr>
                  <w:tcW w:w="1205" w:type="pct"/>
                  <w:gridSpan w:val="2"/>
                  <w:vAlign w:val="center"/>
                </w:tcPr>
                <w:p w14:paraId="0571B50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AE</w:t>
                  </w:r>
                  <w:r>
                    <w:rPr>
                      <w:rFonts w:hint="default" w:ascii="Times New Roman" w:hAnsi="Times New Roman" w:eastAsia="Times New Roman" w:cs="Times New Roman"/>
                      <w:color w:val="auto"/>
                      <w:spacing w:val="2"/>
                      <w:sz w:val="21"/>
                      <w:szCs w:val="21"/>
                    </w:rPr>
                    <w:t>-</w:t>
                  </w:r>
                  <w:r>
                    <w:rPr>
                      <w:rFonts w:hint="default" w:ascii="Times New Roman" w:hAnsi="Times New Roman" w:eastAsia="Times New Roman" w:cs="Times New Roman"/>
                      <w:color w:val="auto"/>
                      <w:sz w:val="21"/>
                      <w:szCs w:val="21"/>
                    </w:rPr>
                    <w:t>HLC</w:t>
                  </w:r>
                  <w:r>
                    <w:rPr>
                      <w:rFonts w:hint="default" w:ascii="Times New Roman" w:hAnsi="Times New Roman" w:eastAsia="Times New Roman" w:cs="Times New Roman"/>
                      <w:color w:val="auto"/>
                      <w:spacing w:val="2"/>
                      <w:sz w:val="21"/>
                      <w:szCs w:val="21"/>
                    </w:rPr>
                    <w:t xml:space="preserve">-6.0 </w:t>
                  </w:r>
                  <w:r>
                    <w:rPr>
                      <w:rFonts w:hint="default" w:ascii="Times New Roman" w:hAnsi="Times New Roman" w:eastAsia="宋体" w:cs="Times New Roman"/>
                      <w:color w:val="auto"/>
                      <w:sz w:val="21"/>
                      <w:szCs w:val="21"/>
                    </w:rPr>
                    <w:t>型</w:t>
                  </w:r>
                </w:p>
              </w:tc>
              <w:tc>
                <w:tcPr>
                  <w:tcW w:w="440" w:type="pct"/>
                  <w:gridSpan w:val="2"/>
                  <w:vAlign w:val="center"/>
                </w:tcPr>
                <w:p w14:paraId="695A5BC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3990616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29902F7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78945FF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4A2A911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6096F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0F970BD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2</w:t>
                  </w:r>
                </w:p>
              </w:tc>
              <w:tc>
                <w:tcPr>
                  <w:tcW w:w="916" w:type="pct"/>
                  <w:gridSpan w:val="2"/>
                  <w:vAlign w:val="center"/>
                </w:tcPr>
                <w:p w14:paraId="2E1BE32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发</w:t>
                  </w:r>
                  <w:r>
                    <w:rPr>
                      <w:rFonts w:hint="default" w:ascii="Times New Roman" w:hAnsi="Times New Roman" w:eastAsia="宋体" w:cs="Times New Roman"/>
                      <w:color w:val="auto"/>
                      <w:spacing w:val="-3"/>
                      <w:sz w:val="21"/>
                      <w:szCs w:val="21"/>
                    </w:rPr>
                    <w:t>泡剂罐</w:t>
                  </w:r>
                </w:p>
              </w:tc>
              <w:tc>
                <w:tcPr>
                  <w:tcW w:w="1205" w:type="pct"/>
                  <w:gridSpan w:val="2"/>
                  <w:vAlign w:val="center"/>
                </w:tcPr>
                <w:p w14:paraId="47D8243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2"/>
                      <w:position w:val="-1"/>
                      <w:sz w:val="21"/>
                      <w:szCs w:val="21"/>
                    </w:rPr>
                    <w:t>0.4</w:t>
                  </w:r>
                  <w:r>
                    <w:rPr>
                      <w:rFonts w:hint="default" w:ascii="Times New Roman" w:hAnsi="Times New Roman" w:eastAsia="Times New Roman" w:cs="Times New Roman"/>
                      <w:color w:val="auto"/>
                      <w:spacing w:val="-1"/>
                      <w:position w:val="-1"/>
                      <w:sz w:val="21"/>
                      <w:szCs w:val="21"/>
                    </w:rPr>
                    <w:t>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75FDE2A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6AC8F3E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0C7DD17E">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1DB4E72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010E4CE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10115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63613AC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3</w:t>
                  </w:r>
                </w:p>
              </w:tc>
              <w:tc>
                <w:tcPr>
                  <w:tcW w:w="916" w:type="pct"/>
                  <w:gridSpan w:val="2"/>
                  <w:vAlign w:val="center"/>
                </w:tcPr>
                <w:p w14:paraId="25C0FB6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促</w:t>
                  </w:r>
                  <w:r>
                    <w:rPr>
                      <w:rFonts w:hint="default" w:ascii="Times New Roman" w:hAnsi="Times New Roman" w:eastAsia="宋体" w:cs="Times New Roman"/>
                      <w:color w:val="auto"/>
                      <w:spacing w:val="-3"/>
                      <w:sz w:val="21"/>
                      <w:szCs w:val="21"/>
                    </w:rPr>
                    <w:t>进</w:t>
                  </w:r>
                  <w:r>
                    <w:rPr>
                      <w:rFonts w:hint="default" w:ascii="Times New Roman" w:hAnsi="Times New Roman" w:eastAsia="宋体" w:cs="Times New Roman"/>
                      <w:color w:val="auto"/>
                      <w:spacing w:val="-2"/>
                      <w:sz w:val="21"/>
                      <w:szCs w:val="21"/>
                    </w:rPr>
                    <w:t>剂罐</w:t>
                  </w:r>
                </w:p>
              </w:tc>
              <w:tc>
                <w:tcPr>
                  <w:tcW w:w="1205" w:type="pct"/>
                  <w:gridSpan w:val="2"/>
                  <w:vAlign w:val="center"/>
                </w:tcPr>
                <w:p w14:paraId="23CE5F0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2"/>
                      <w:position w:val="-1"/>
                      <w:sz w:val="21"/>
                      <w:szCs w:val="21"/>
                    </w:rPr>
                    <w:t>0.5</w:t>
                  </w:r>
                  <w:r>
                    <w:rPr>
                      <w:rFonts w:hint="default" w:ascii="Times New Roman" w:hAnsi="Times New Roman" w:eastAsia="Times New Roman" w:cs="Times New Roman"/>
                      <w:color w:val="auto"/>
                      <w:spacing w:val="-1"/>
                      <w:position w:val="-1"/>
                      <w:sz w:val="21"/>
                      <w:szCs w:val="21"/>
                    </w:rPr>
                    <w:t>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32A9FDF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3AFC724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680E4CF6">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60103D4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35A2AAA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6544E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60C6E87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4</w:t>
                  </w:r>
                </w:p>
              </w:tc>
              <w:tc>
                <w:tcPr>
                  <w:tcW w:w="916" w:type="pct"/>
                  <w:gridSpan w:val="2"/>
                  <w:vAlign w:val="center"/>
                </w:tcPr>
                <w:p w14:paraId="73E3B4F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珍珠岩料仓</w:t>
                  </w:r>
                </w:p>
              </w:tc>
              <w:tc>
                <w:tcPr>
                  <w:tcW w:w="1205" w:type="pct"/>
                  <w:gridSpan w:val="2"/>
                  <w:vAlign w:val="center"/>
                </w:tcPr>
                <w:p w14:paraId="4C8623F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2"/>
                      <w:position w:val="-1"/>
                      <w:sz w:val="21"/>
                      <w:szCs w:val="21"/>
                    </w:rPr>
                    <w:t>9.6</w:t>
                  </w:r>
                  <w:r>
                    <w:rPr>
                      <w:rFonts w:hint="default" w:ascii="Times New Roman" w:hAnsi="Times New Roman" w:eastAsia="Times New Roman" w:cs="Times New Roman"/>
                      <w:color w:val="auto"/>
                      <w:spacing w:val="-1"/>
                      <w:position w:val="-1"/>
                      <w:sz w:val="21"/>
                      <w:szCs w:val="21"/>
                    </w:rPr>
                    <w:t>m</w:t>
                  </w:r>
                  <w:r>
                    <w:rPr>
                      <w:rFonts w:hint="default" w:ascii="Times New Roman" w:hAnsi="Times New Roman" w:eastAsia="Times New Roman" w:cs="Times New Roman"/>
                      <w:color w:val="auto"/>
                      <w:spacing w:val="-1"/>
                      <w:position w:val="-1"/>
                      <w:sz w:val="21"/>
                      <w:szCs w:val="21"/>
                      <w:vertAlign w:val="superscript"/>
                    </w:rPr>
                    <w:t>3</w:t>
                  </w:r>
                </w:p>
              </w:tc>
              <w:tc>
                <w:tcPr>
                  <w:tcW w:w="440" w:type="pct"/>
                  <w:gridSpan w:val="2"/>
                  <w:vAlign w:val="center"/>
                </w:tcPr>
                <w:p w14:paraId="41EE882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8" w:type="pct"/>
                  <w:gridSpan w:val="2"/>
                  <w:vAlign w:val="center"/>
                </w:tcPr>
                <w:p w14:paraId="07D1CE6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0F734E2B">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1089DC9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57C4310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0199A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2194CD5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5</w:t>
                  </w:r>
                </w:p>
              </w:tc>
              <w:tc>
                <w:tcPr>
                  <w:tcW w:w="916" w:type="pct"/>
                  <w:gridSpan w:val="2"/>
                  <w:vAlign w:val="center"/>
                </w:tcPr>
                <w:p w14:paraId="2E33B4E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珍珠岩输</w:t>
                  </w:r>
                  <w:r>
                    <w:rPr>
                      <w:rFonts w:hint="default" w:ascii="Times New Roman" w:hAnsi="Times New Roman" w:eastAsia="宋体" w:cs="Times New Roman"/>
                      <w:color w:val="auto"/>
                      <w:spacing w:val="-1"/>
                      <w:sz w:val="21"/>
                      <w:szCs w:val="21"/>
                    </w:rPr>
                    <w:t>送机</w:t>
                  </w:r>
                </w:p>
              </w:tc>
              <w:tc>
                <w:tcPr>
                  <w:tcW w:w="1205" w:type="pct"/>
                  <w:gridSpan w:val="2"/>
                  <w:vAlign w:val="center"/>
                </w:tcPr>
                <w:p w14:paraId="43FCDFC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1"/>
                      <w:sz w:val="21"/>
                      <w:szCs w:val="21"/>
                    </w:rPr>
                    <w:t>2</w:t>
                  </w:r>
                  <w:r>
                    <w:rPr>
                      <w:rFonts w:hint="default" w:ascii="Times New Roman" w:hAnsi="Times New Roman" w:eastAsia="Times New Roman" w:cs="Times New Roman"/>
                      <w:color w:val="auto"/>
                      <w:sz w:val="21"/>
                      <w:szCs w:val="21"/>
                    </w:rPr>
                    <w:t>m</w:t>
                  </w:r>
                  <w:r>
                    <w:rPr>
                      <w:rFonts w:hint="default" w:ascii="Times New Roman" w:hAnsi="Times New Roman" w:eastAsia="Times New Roman" w:cs="Times New Roman"/>
                      <w:color w:val="auto"/>
                      <w:spacing w:val="-1"/>
                      <w:position w:val="-1"/>
                      <w:sz w:val="21"/>
                      <w:szCs w:val="21"/>
                      <w:vertAlign w:val="superscript"/>
                    </w:rPr>
                    <w:t>3</w:t>
                  </w:r>
                  <w:r>
                    <w:rPr>
                      <w:rFonts w:hint="default" w:ascii="Times New Roman" w:hAnsi="Times New Roman" w:eastAsia="Times New Roman" w:cs="Times New Roman"/>
                      <w:color w:val="auto"/>
                      <w:spacing w:val="-1"/>
                      <w:sz w:val="21"/>
                      <w:szCs w:val="21"/>
                    </w:rPr>
                    <w:t>/</w:t>
                  </w:r>
                  <w:r>
                    <w:rPr>
                      <w:rFonts w:hint="default" w:ascii="Times New Roman" w:hAnsi="Times New Roman" w:eastAsia="Times New Roman" w:cs="Times New Roman"/>
                      <w:color w:val="auto"/>
                      <w:sz w:val="21"/>
                      <w:szCs w:val="21"/>
                    </w:rPr>
                    <w:t>h</w:t>
                  </w:r>
                </w:p>
              </w:tc>
              <w:tc>
                <w:tcPr>
                  <w:tcW w:w="440" w:type="pct"/>
                  <w:gridSpan w:val="2"/>
                  <w:vAlign w:val="center"/>
                </w:tcPr>
                <w:p w14:paraId="217F721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8" w:type="pct"/>
                  <w:gridSpan w:val="2"/>
                  <w:vAlign w:val="center"/>
                </w:tcPr>
                <w:p w14:paraId="708367C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50C6D7D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69C73A8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60F23FB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36632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Height w:val="270" w:hRule="atLeast"/>
              </w:trPr>
              <w:tc>
                <w:tcPr>
                  <w:tcW w:w="357" w:type="pct"/>
                  <w:vAlign w:val="center"/>
                </w:tcPr>
                <w:p w14:paraId="341F36F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6</w:t>
                  </w:r>
                </w:p>
              </w:tc>
              <w:tc>
                <w:tcPr>
                  <w:tcW w:w="916" w:type="pct"/>
                  <w:gridSpan w:val="2"/>
                  <w:vAlign w:val="center"/>
                </w:tcPr>
                <w:p w14:paraId="537EADD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散</w:t>
                  </w:r>
                  <w:r>
                    <w:rPr>
                      <w:rFonts w:hint="default" w:ascii="Times New Roman" w:hAnsi="Times New Roman" w:eastAsia="宋体" w:cs="Times New Roman"/>
                      <w:color w:val="auto"/>
                      <w:spacing w:val="-1"/>
                      <w:sz w:val="21"/>
                      <w:szCs w:val="21"/>
                    </w:rPr>
                    <w:t>料输送皮带</w:t>
                  </w:r>
                </w:p>
              </w:tc>
              <w:tc>
                <w:tcPr>
                  <w:tcW w:w="1205" w:type="pct"/>
                  <w:gridSpan w:val="2"/>
                  <w:vAlign w:val="center"/>
                </w:tcPr>
                <w:p w14:paraId="68DAFA0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5"/>
                      <w:sz w:val="21"/>
                      <w:szCs w:val="21"/>
                    </w:rPr>
                    <w:t>8</w:t>
                  </w:r>
                  <w:r>
                    <w:rPr>
                      <w:rFonts w:hint="default" w:ascii="Times New Roman" w:hAnsi="Times New Roman" w:eastAsia="Times New Roman" w:cs="Times New Roman"/>
                      <w:color w:val="auto"/>
                      <w:spacing w:val="-3"/>
                      <w:sz w:val="21"/>
                      <w:szCs w:val="21"/>
                    </w:rPr>
                    <w:t>t/h</w:t>
                  </w:r>
                </w:p>
              </w:tc>
              <w:tc>
                <w:tcPr>
                  <w:tcW w:w="440" w:type="pct"/>
                  <w:gridSpan w:val="2"/>
                  <w:vAlign w:val="center"/>
                </w:tcPr>
                <w:p w14:paraId="2FAF083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40B30BE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2</w:t>
                  </w:r>
                </w:p>
              </w:tc>
              <w:tc>
                <w:tcPr>
                  <w:tcW w:w="494" w:type="pct"/>
                  <w:vAlign w:val="center"/>
                </w:tcPr>
                <w:p w14:paraId="0E392AE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13B298B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w:t>
                  </w:r>
                </w:p>
              </w:tc>
              <w:tc>
                <w:tcPr>
                  <w:tcW w:w="530" w:type="pct"/>
                  <w:vMerge w:val="continue"/>
                  <w:vAlign w:val="center"/>
                </w:tcPr>
                <w:p w14:paraId="7916D30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081E7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5D4A284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7</w:t>
                  </w:r>
                </w:p>
              </w:tc>
              <w:tc>
                <w:tcPr>
                  <w:tcW w:w="916" w:type="pct"/>
                  <w:gridSpan w:val="2"/>
                  <w:vAlign w:val="center"/>
                </w:tcPr>
                <w:p w14:paraId="09E15CB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小直径药卷装</w:t>
                  </w:r>
                  <w:r>
                    <w:rPr>
                      <w:rFonts w:hint="default" w:ascii="Times New Roman" w:hAnsi="Times New Roman" w:eastAsia="宋体" w:cs="Times New Roman"/>
                      <w:color w:val="auto"/>
                      <w:spacing w:val="-1"/>
                      <w:sz w:val="21"/>
                      <w:szCs w:val="21"/>
                    </w:rPr>
                    <w:t>药机</w:t>
                  </w:r>
                </w:p>
              </w:tc>
              <w:tc>
                <w:tcPr>
                  <w:tcW w:w="1205" w:type="pct"/>
                  <w:gridSpan w:val="2"/>
                  <w:vAlign w:val="center"/>
                </w:tcPr>
                <w:p w14:paraId="2518132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DJK</w:t>
                  </w:r>
                  <w:r>
                    <w:rPr>
                      <w:rFonts w:hint="default" w:ascii="Times New Roman" w:hAnsi="Times New Roman" w:eastAsia="Times New Roman" w:cs="Times New Roman"/>
                      <w:color w:val="auto"/>
                      <w:spacing w:val="-1"/>
                      <w:sz w:val="21"/>
                      <w:szCs w:val="21"/>
                    </w:rPr>
                    <w:t xml:space="preserve">-5 </w:t>
                  </w:r>
                  <w:r>
                    <w:rPr>
                      <w:rFonts w:hint="default" w:ascii="Times New Roman" w:hAnsi="Times New Roman" w:eastAsia="宋体" w:cs="Times New Roman"/>
                      <w:color w:val="auto"/>
                      <w:spacing w:val="-1"/>
                      <w:sz w:val="21"/>
                      <w:szCs w:val="21"/>
                    </w:rPr>
                    <w:t>型，</w:t>
                  </w:r>
                  <w:r>
                    <w:rPr>
                      <w:rFonts w:hint="default" w:ascii="Times New Roman" w:hAnsi="Times New Roman" w:eastAsia="Times New Roman" w:cs="Times New Roman"/>
                      <w:color w:val="auto"/>
                      <w:sz w:val="21"/>
                      <w:szCs w:val="21"/>
                    </w:rPr>
                    <w:t>5.4t/h</w:t>
                  </w:r>
                </w:p>
              </w:tc>
              <w:tc>
                <w:tcPr>
                  <w:tcW w:w="440" w:type="pct"/>
                  <w:gridSpan w:val="2"/>
                  <w:vAlign w:val="center"/>
                </w:tcPr>
                <w:p w14:paraId="763750A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275E772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237BB79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1BD745F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0F79940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67400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1210499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8</w:t>
                  </w:r>
                </w:p>
              </w:tc>
              <w:tc>
                <w:tcPr>
                  <w:tcW w:w="916" w:type="pct"/>
                  <w:gridSpan w:val="2"/>
                  <w:vAlign w:val="center"/>
                </w:tcPr>
                <w:p w14:paraId="2572064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大直径</w:t>
                  </w:r>
                  <w:r>
                    <w:rPr>
                      <w:rFonts w:hint="default" w:ascii="Times New Roman" w:hAnsi="Times New Roman" w:eastAsia="宋体" w:cs="Times New Roman"/>
                      <w:color w:val="auto"/>
                      <w:spacing w:val="-1"/>
                      <w:sz w:val="21"/>
                      <w:szCs w:val="21"/>
                    </w:rPr>
                    <w:t>药卷装药机</w:t>
                  </w:r>
                </w:p>
              </w:tc>
              <w:tc>
                <w:tcPr>
                  <w:tcW w:w="1205" w:type="pct"/>
                  <w:gridSpan w:val="2"/>
                  <w:vAlign w:val="center"/>
                </w:tcPr>
                <w:p w14:paraId="64E2A29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DJK</w:t>
                  </w:r>
                  <w:r>
                    <w:rPr>
                      <w:rFonts w:hint="default" w:ascii="Times New Roman" w:hAnsi="Times New Roman" w:eastAsia="Times New Roman" w:cs="Times New Roman"/>
                      <w:color w:val="auto"/>
                      <w:spacing w:val="-1"/>
                      <w:sz w:val="21"/>
                      <w:szCs w:val="21"/>
                    </w:rPr>
                    <w:t xml:space="preserve">-5 </w:t>
                  </w:r>
                  <w:r>
                    <w:rPr>
                      <w:rFonts w:hint="default" w:ascii="Times New Roman" w:hAnsi="Times New Roman" w:eastAsia="宋体" w:cs="Times New Roman"/>
                      <w:color w:val="auto"/>
                      <w:spacing w:val="-1"/>
                      <w:sz w:val="21"/>
                      <w:szCs w:val="21"/>
                    </w:rPr>
                    <w:t>型，</w:t>
                  </w:r>
                  <w:r>
                    <w:rPr>
                      <w:rFonts w:hint="default" w:ascii="Times New Roman" w:hAnsi="Times New Roman" w:eastAsia="Times New Roman" w:cs="Times New Roman"/>
                      <w:color w:val="auto"/>
                      <w:sz w:val="21"/>
                      <w:szCs w:val="21"/>
                    </w:rPr>
                    <w:t>6.0t/h</w:t>
                  </w:r>
                </w:p>
              </w:tc>
              <w:tc>
                <w:tcPr>
                  <w:tcW w:w="440" w:type="pct"/>
                  <w:gridSpan w:val="2"/>
                  <w:vAlign w:val="center"/>
                </w:tcPr>
                <w:p w14:paraId="581BB36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5CE98D9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3B402194">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08444CE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6EA1A22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218EE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59AC8723">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8"/>
                      <w:sz w:val="21"/>
                      <w:szCs w:val="21"/>
                    </w:rPr>
                    <w:t>1</w:t>
                  </w:r>
                  <w:r>
                    <w:rPr>
                      <w:rFonts w:hint="default" w:ascii="Times New Roman" w:hAnsi="Times New Roman" w:eastAsia="Times New Roman" w:cs="Times New Roman"/>
                      <w:color w:val="auto"/>
                      <w:spacing w:val="-7"/>
                      <w:sz w:val="21"/>
                      <w:szCs w:val="21"/>
                    </w:rPr>
                    <w:t>9</w:t>
                  </w:r>
                </w:p>
              </w:tc>
              <w:tc>
                <w:tcPr>
                  <w:tcW w:w="916" w:type="pct"/>
                  <w:gridSpan w:val="2"/>
                  <w:vAlign w:val="center"/>
                </w:tcPr>
                <w:p w14:paraId="13549CF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药卷输出</w:t>
                  </w:r>
                  <w:r>
                    <w:rPr>
                      <w:rFonts w:hint="default" w:ascii="Times New Roman" w:hAnsi="Times New Roman" w:eastAsia="宋体" w:cs="Times New Roman"/>
                      <w:color w:val="auto"/>
                      <w:spacing w:val="-1"/>
                      <w:sz w:val="21"/>
                      <w:szCs w:val="21"/>
                    </w:rPr>
                    <w:t>皮带机</w:t>
                  </w:r>
                </w:p>
              </w:tc>
              <w:tc>
                <w:tcPr>
                  <w:tcW w:w="1205" w:type="pct"/>
                  <w:gridSpan w:val="2"/>
                  <w:vAlign w:val="center"/>
                </w:tcPr>
                <w:p w14:paraId="74AA7AD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2"/>
                      <w:sz w:val="21"/>
                      <w:szCs w:val="21"/>
                    </w:rPr>
                    <w:t>6.0</w:t>
                  </w:r>
                  <w:r>
                    <w:rPr>
                      <w:rFonts w:hint="default" w:ascii="Times New Roman" w:hAnsi="Times New Roman" w:eastAsia="Times New Roman" w:cs="Times New Roman"/>
                      <w:color w:val="auto"/>
                      <w:spacing w:val="-1"/>
                      <w:sz w:val="21"/>
                      <w:szCs w:val="21"/>
                    </w:rPr>
                    <w:t>t</w:t>
                  </w:r>
                  <w:r>
                    <w:rPr>
                      <w:rFonts w:hint="default" w:ascii="Times New Roman" w:hAnsi="Times New Roman" w:eastAsia="Times New Roman" w:cs="Times New Roman"/>
                      <w:color w:val="auto"/>
                      <w:spacing w:val="-2"/>
                      <w:sz w:val="21"/>
                      <w:szCs w:val="21"/>
                    </w:rPr>
                    <w:t>/</w:t>
                  </w:r>
                  <w:r>
                    <w:rPr>
                      <w:rFonts w:hint="default" w:ascii="Times New Roman" w:hAnsi="Times New Roman" w:eastAsia="Times New Roman" w:cs="Times New Roman"/>
                      <w:color w:val="auto"/>
                      <w:spacing w:val="-1"/>
                      <w:sz w:val="21"/>
                      <w:szCs w:val="21"/>
                    </w:rPr>
                    <w:t>h</w:t>
                  </w:r>
                </w:p>
              </w:tc>
              <w:tc>
                <w:tcPr>
                  <w:tcW w:w="440" w:type="pct"/>
                  <w:gridSpan w:val="2"/>
                  <w:vAlign w:val="center"/>
                </w:tcPr>
                <w:p w14:paraId="1DE0ACF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8" w:type="pct"/>
                  <w:gridSpan w:val="2"/>
                  <w:vAlign w:val="center"/>
                </w:tcPr>
                <w:p w14:paraId="0601FBC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3</w:t>
                  </w:r>
                </w:p>
              </w:tc>
              <w:tc>
                <w:tcPr>
                  <w:tcW w:w="494" w:type="pct"/>
                  <w:vAlign w:val="center"/>
                </w:tcPr>
                <w:p w14:paraId="36C9FB42">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77C4BEE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3</w:t>
                  </w:r>
                </w:p>
              </w:tc>
              <w:tc>
                <w:tcPr>
                  <w:tcW w:w="530" w:type="pct"/>
                  <w:vMerge w:val="continue"/>
                  <w:vAlign w:val="center"/>
                </w:tcPr>
                <w:p w14:paraId="209299D8">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0FD7E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42A27F6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2"/>
                      <w:sz w:val="21"/>
                      <w:szCs w:val="21"/>
                    </w:rPr>
                    <w:t>2</w:t>
                  </w:r>
                  <w:r>
                    <w:rPr>
                      <w:rFonts w:hint="default" w:ascii="Times New Roman" w:hAnsi="Times New Roman" w:eastAsia="Times New Roman" w:cs="Times New Roman"/>
                      <w:color w:val="auto"/>
                      <w:spacing w:val="-1"/>
                      <w:sz w:val="21"/>
                      <w:szCs w:val="21"/>
                    </w:rPr>
                    <w:t>0</w:t>
                  </w:r>
                </w:p>
              </w:tc>
              <w:tc>
                <w:tcPr>
                  <w:tcW w:w="916" w:type="pct"/>
                  <w:gridSpan w:val="2"/>
                  <w:vAlign w:val="center"/>
                </w:tcPr>
                <w:p w14:paraId="029DF19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1"/>
                      <w:sz w:val="21"/>
                      <w:szCs w:val="21"/>
                    </w:rPr>
                    <w:t>自</w:t>
                  </w:r>
                  <w:r>
                    <w:rPr>
                      <w:rFonts w:hint="default" w:ascii="Times New Roman" w:hAnsi="Times New Roman" w:eastAsia="宋体" w:cs="Times New Roman"/>
                      <w:color w:val="auto"/>
                      <w:spacing w:val="-7"/>
                      <w:sz w:val="21"/>
                      <w:szCs w:val="21"/>
                    </w:rPr>
                    <w:t>动包装机</w:t>
                  </w:r>
                </w:p>
              </w:tc>
              <w:tc>
                <w:tcPr>
                  <w:tcW w:w="1205" w:type="pct"/>
                  <w:gridSpan w:val="2"/>
                  <w:shd w:val="clear" w:color="auto" w:fill="auto"/>
                  <w:vAlign w:val="center"/>
                </w:tcPr>
                <w:p w14:paraId="58977416">
                  <w:pPr>
                    <w:keepNext/>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DJK</w:t>
                  </w:r>
                  <w:r>
                    <w:rPr>
                      <w:rFonts w:hint="default" w:ascii="Times New Roman" w:hAnsi="Times New Roman" w:eastAsia="Times New Roman" w:cs="Times New Roman"/>
                      <w:color w:val="auto"/>
                      <w:spacing w:val="-1"/>
                      <w:sz w:val="21"/>
                      <w:szCs w:val="21"/>
                    </w:rPr>
                    <w:t xml:space="preserve">-5 </w:t>
                  </w:r>
                  <w:r>
                    <w:rPr>
                      <w:rFonts w:hint="default" w:ascii="Times New Roman" w:hAnsi="Times New Roman" w:eastAsia="宋体" w:cs="Times New Roman"/>
                      <w:color w:val="auto"/>
                      <w:spacing w:val="-1"/>
                      <w:sz w:val="21"/>
                      <w:szCs w:val="21"/>
                    </w:rPr>
                    <w:t>型，</w:t>
                  </w:r>
                  <w:r>
                    <w:rPr>
                      <w:rFonts w:hint="default" w:ascii="Times New Roman" w:hAnsi="Times New Roman" w:eastAsia="Times New Roman" w:cs="Times New Roman"/>
                      <w:color w:val="auto"/>
                      <w:sz w:val="21"/>
                      <w:szCs w:val="21"/>
                    </w:rPr>
                    <w:t>5.4t/h</w:t>
                  </w:r>
                </w:p>
              </w:tc>
              <w:tc>
                <w:tcPr>
                  <w:tcW w:w="440" w:type="pct"/>
                  <w:gridSpan w:val="2"/>
                  <w:vAlign w:val="center"/>
                </w:tcPr>
                <w:p w14:paraId="22B5DD8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548" w:type="pct"/>
                  <w:gridSpan w:val="2"/>
                  <w:vAlign w:val="center"/>
                </w:tcPr>
                <w:p w14:paraId="6CC5615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2</w:t>
                  </w:r>
                </w:p>
              </w:tc>
              <w:tc>
                <w:tcPr>
                  <w:tcW w:w="494" w:type="pct"/>
                  <w:vAlign w:val="center"/>
                </w:tcPr>
                <w:p w14:paraId="0456FB8F">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1252E50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2</w:t>
                  </w:r>
                </w:p>
              </w:tc>
              <w:tc>
                <w:tcPr>
                  <w:tcW w:w="530" w:type="pct"/>
                  <w:vMerge w:val="continue"/>
                  <w:vAlign w:val="center"/>
                </w:tcPr>
                <w:p w14:paraId="5EBBE0B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7B3E1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07FE69A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2"/>
                      <w:sz w:val="21"/>
                      <w:szCs w:val="21"/>
                    </w:rPr>
                    <w:t>2</w:t>
                  </w:r>
                  <w:r>
                    <w:rPr>
                      <w:rFonts w:hint="default" w:ascii="Times New Roman" w:hAnsi="Times New Roman" w:eastAsia="Times New Roman" w:cs="Times New Roman"/>
                      <w:color w:val="auto"/>
                      <w:spacing w:val="-1"/>
                      <w:sz w:val="21"/>
                      <w:szCs w:val="21"/>
                    </w:rPr>
                    <w:t>1</w:t>
                  </w:r>
                </w:p>
              </w:tc>
              <w:tc>
                <w:tcPr>
                  <w:tcW w:w="916" w:type="pct"/>
                  <w:gridSpan w:val="2"/>
                  <w:vAlign w:val="center"/>
                </w:tcPr>
                <w:p w14:paraId="18466F4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9"/>
                      <w:sz w:val="21"/>
                      <w:szCs w:val="21"/>
                    </w:rPr>
                    <w:t>自</w:t>
                  </w:r>
                  <w:r>
                    <w:rPr>
                      <w:rFonts w:hint="default" w:ascii="Times New Roman" w:hAnsi="Times New Roman" w:eastAsia="宋体" w:cs="Times New Roman"/>
                      <w:color w:val="auto"/>
                      <w:spacing w:val="-8"/>
                      <w:sz w:val="21"/>
                      <w:szCs w:val="21"/>
                    </w:rPr>
                    <w:t>动控制系统</w:t>
                  </w:r>
                </w:p>
              </w:tc>
              <w:tc>
                <w:tcPr>
                  <w:tcW w:w="1205" w:type="pct"/>
                  <w:gridSpan w:val="2"/>
                  <w:shd w:val="clear" w:color="auto" w:fill="auto"/>
                  <w:vAlign w:val="center"/>
                </w:tcPr>
                <w:p w14:paraId="6CEF0D8F">
                  <w:pPr>
                    <w:keepNext/>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DJK</w:t>
                  </w:r>
                  <w:r>
                    <w:rPr>
                      <w:rFonts w:hint="default" w:ascii="Times New Roman" w:hAnsi="Times New Roman" w:eastAsia="Times New Roman" w:cs="Times New Roman"/>
                      <w:color w:val="auto"/>
                      <w:spacing w:val="-1"/>
                      <w:sz w:val="21"/>
                      <w:szCs w:val="21"/>
                    </w:rPr>
                    <w:t xml:space="preserve">-5 </w:t>
                  </w:r>
                  <w:r>
                    <w:rPr>
                      <w:rFonts w:hint="default" w:ascii="Times New Roman" w:hAnsi="Times New Roman" w:eastAsia="宋体" w:cs="Times New Roman"/>
                      <w:color w:val="auto"/>
                      <w:spacing w:val="-1"/>
                      <w:sz w:val="21"/>
                      <w:szCs w:val="21"/>
                    </w:rPr>
                    <w:t>型，</w:t>
                  </w:r>
                  <w:r>
                    <w:rPr>
                      <w:rFonts w:hint="default" w:ascii="Times New Roman" w:hAnsi="Times New Roman" w:eastAsia="Times New Roman" w:cs="Times New Roman"/>
                      <w:color w:val="auto"/>
                      <w:sz w:val="21"/>
                      <w:szCs w:val="21"/>
                    </w:rPr>
                    <w:t>6.0t/h</w:t>
                  </w:r>
                </w:p>
              </w:tc>
              <w:tc>
                <w:tcPr>
                  <w:tcW w:w="440" w:type="pct"/>
                  <w:gridSpan w:val="2"/>
                  <w:vAlign w:val="center"/>
                </w:tcPr>
                <w:p w14:paraId="02443C6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8" w:type="pct"/>
                  <w:gridSpan w:val="2"/>
                  <w:vAlign w:val="center"/>
                </w:tcPr>
                <w:p w14:paraId="27702B6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6B117DB0">
                  <w:pPr>
                    <w:keepNext/>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eastAsia" w:ascii="Times New Roman" w:hAnsi="Times New Roman" w:eastAsia="宋体" w:cs="Times New Roman"/>
                      <w:color w:val="auto"/>
                      <w:sz w:val="21"/>
                      <w:szCs w:val="21"/>
                      <w:lang w:val="en-US" w:eastAsia="zh-CN"/>
                    </w:rPr>
                    <w:t>0</w:t>
                  </w:r>
                </w:p>
              </w:tc>
              <w:tc>
                <w:tcPr>
                  <w:tcW w:w="504" w:type="pct"/>
                  <w:vAlign w:val="center"/>
                </w:tcPr>
                <w:p w14:paraId="692D6DF1">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46ED2616">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bookmarkEnd w:id="34"/>
            <w:tr w14:paraId="139F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4467" w:type="pct"/>
                  <w:gridSpan w:val="11"/>
                  <w:vAlign w:val="center"/>
                </w:tcPr>
                <w:p w14:paraId="0B13460A">
                  <w:pPr>
                    <w:keepNext/>
                    <w:keepLines w:val="0"/>
                    <w:pageBreakBefore w:val="0"/>
                    <w:widowControl w:val="0"/>
                    <w:kinsoku/>
                    <w:wordWrap/>
                    <w:overflowPunct/>
                    <w:topLinePunct w:val="0"/>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14"/>
                      <w:sz w:val="21"/>
                      <w:szCs w:val="21"/>
                    </w:rPr>
                  </w:pPr>
                  <w:r>
                    <w:rPr>
                      <w:rFonts w:hint="default" w:ascii="Times New Roman" w:hAnsi="Times New Roman" w:eastAsia="宋体" w:cs="Times New Roman"/>
                      <w:color w:val="auto"/>
                      <w:spacing w:val="14"/>
                      <w:sz w:val="21"/>
                      <w:szCs w:val="21"/>
                    </w:rPr>
                    <w:t>三</w:t>
                  </w:r>
                  <w:r>
                    <w:rPr>
                      <w:rFonts w:hint="default" w:ascii="Times New Roman" w:hAnsi="Times New Roman" w:eastAsia="宋体" w:cs="Times New Roman"/>
                      <w:color w:val="auto"/>
                      <w:spacing w:val="8"/>
                      <w:sz w:val="21"/>
                      <w:szCs w:val="21"/>
                    </w:rPr>
                    <w:t>、成品中转站台</w:t>
                  </w:r>
                </w:p>
              </w:tc>
              <w:tc>
                <w:tcPr>
                  <w:tcW w:w="530" w:type="pct"/>
                  <w:vMerge w:val="continue"/>
                  <w:vAlign w:val="center"/>
                </w:tcPr>
                <w:p w14:paraId="5E8CD2CF">
                  <w:pPr>
                    <w:keepNext/>
                    <w:keepLines w:val="0"/>
                    <w:pageBreakBefore w:val="0"/>
                    <w:widowControl w:val="0"/>
                    <w:kinsoku/>
                    <w:wordWrap/>
                    <w:overflowPunct/>
                    <w:topLinePunct w:val="0"/>
                    <w:bidi w:val="0"/>
                    <w:adjustRightInd/>
                    <w:snapToGrid/>
                    <w:spacing w:line="240" w:lineRule="auto"/>
                    <w:ind w:left="0" w:right="0" w:firstLine="0"/>
                    <w:jc w:val="both"/>
                    <w:textAlignment w:val="auto"/>
                    <w:outlineLvl w:val="9"/>
                    <w:rPr>
                      <w:rFonts w:hint="default" w:ascii="Times New Roman" w:hAnsi="Times New Roman" w:eastAsia="宋体" w:cs="Times New Roman"/>
                      <w:color w:val="auto"/>
                      <w:spacing w:val="14"/>
                      <w:sz w:val="21"/>
                      <w:szCs w:val="21"/>
                    </w:rPr>
                  </w:pPr>
                </w:p>
              </w:tc>
            </w:tr>
            <w:tr w14:paraId="01FB3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1DD458E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22</w:t>
                  </w:r>
                </w:p>
              </w:tc>
              <w:tc>
                <w:tcPr>
                  <w:tcW w:w="916" w:type="pct"/>
                  <w:gridSpan w:val="2"/>
                  <w:vAlign w:val="center"/>
                </w:tcPr>
                <w:p w14:paraId="4C6123B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bookmarkStart w:id="36" w:name="OLE_LINK82"/>
                  <w:r>
                    <w:rPr>
                      <w:rFonts w:hint="default" w:ascii="Times New Roman" w:hAnsi="Times New Roman" w:eastAsia="宋体" w:cs="Times New Roman"/>
                      <w:color w:val="auto"/>
                      <w:spacing w:val="-2"/>
                      <w:sz w:val="21"/>
                      <w:szCs w:val="21"/>
                    </w:rPr>
                    <w:t>装车机</w:t>
                  </w:r>
                  <w:r>
                    <w:rPr>
                      <w:rFonts w:hint="default" w:ascii="Times New Roman" w:hAnsi="Times New Roman" w:eastAsia="宋体" w:cs="Times New Roman"/>
                      <w:color w:val="auto"/>
                      <w:spacing w:val="-1"/>
                      <w:sz w:val="21"/>
                      <w:szCs w:val="21"/>
                    </w:rPr>
                    <w:t>器人</w:t>
                  </w:r>
                  <w:bookmarkEnd w:id="36"/>
                </w:p>
              </w:tc>
              <w:tc>
                <w:tcPr>
                  <w:tcW w:w="1205" w:type="pct"/>
                  <w:gridSpan w:val="2"/>
                  <w:vAlign w:val="center"/>
                </w:tcPr>
                <w:p w14:paraId="53E74A3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1"/>
                      <w:sz w:val="21"/>
                      <w:szCs w:val="21"/>
                    </w:rPr>
                    <w:t>KNACP</w:t>
                  </w:r>
                  <w:r>
                    <w:rPr>
                      <w:rFonts w:hint="default" w:ascii="Times New Roman" w:hAnsi="Times New Roman" w:eastAsia="Times New Roman" w:cs="Times New Roman"/>
                      <w:color w:val="auto"/>
                      <w:sz w:val="21"/>
                      <w:szCs w:val="21"/>
                    </w:rPr>
                    <w:t>M</w:t>
                  </w:r>
                </w:p>
              </w:tc>
              <w:tc>
                <w:tcPr>
                  <w:tcW w:w="440" w:type="pct"/>
                  <w:gridSpan w:val="2"/>
                  <w:vAlign w:val="center"/>
                </w:tcPr>
                <w:p w14:paraId="5FB10D6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8" w:type="pct"/>
                  <w:gridSpan w:val="2"/>
                  <w:vAlign w:val="center"/>
                </w:tcPr>
                <w:p w14:paraId="06F0983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1</w:t>
                  </w:r>
                </w:p>
              </w:tc>
              <w:tc>
                <w:tcPr>
                  <w:tcW w:w="494" w:type="pct"/>
                  <w:vAlign w:val="center"/>
                </w:tcPr>
                <w:p w14:paraId="1DB865A7">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04" w:type="pct"/>
                  <w:vAlign w:val="center"/>
                </w:tcPr>
                <w:p w14:paraId="10731BC2">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1</w:t>
                  </w:r>
                </w:p>
              </w:tc>
              <w:tc>
                <w:tcPr>
                  <w:tcW w:w="530" w:type="pct"/>
                  <w:vMerge w:val="continue"/>
                  <w:vAlign w:val="center"/>
                </w:tcPr>
                <w:p w14:paraId="59B73C3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Times New Roman" w:cs="Times New Roman"/>
                      <w:color w:val="auto"/>
                      <w:sz w:val="21"/>
                      <w:szCs w:val="21"/>
                    </w:rPr>
                  </w:pPr>
                </w:p>
              </w:tc>
            </w:tr>
            <w:tr w14:paraId="34A2D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4467" w:type="pct"/>
                  <w:gridSpan w:val="11"/>
                  <w:vAlign w:val="center"/>
                </w:tcPr>
                <w:p w14:paraId="79E43094">
                  <w:pPr>
                    <w:keepNext/>
                    <w:keepLines w:val="0"/>
                    <w:pageBreakBefore w:val="0"/>
                    <w:widowControl w:val="0"/>
                    <w:kinsoku/>
                    <w:wordWrap/>
                    <w:overflowPunct/>
                    <w:topLinePunct w:val="0"/>
                    <w:bidi w:val="0"/>
                    <w:adjustRightInd/>
                    <w:snapToGrid/>
                    <w:spacing w:line="240" w:lineRule="auto"/>
                    <w:ind w:left="0" w:right="0" w:firstLine="0"/>
                    <w:jc w:val="center"/>
                    <w:textAlignment w:val="auto"/>
                    <w:outlineLvl w:val="9"/>
                    <w:rPr>
                      <w:rFonts w:hint="eastAsia"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四</w:t>
                  </w:r>
                  <w:r>
                    <w:rPr>
                      <w:rFonts w:hint="default" w:ascii="Times New Roman" w:hAnsi="Times New Roman" w:eastAsia="宋体" w:cs="Times New Roman"/>
                      <w:color w:val="auto"/>
                      <w:spacing w:val="8"/>
                      <w:sz w:val="21"/>
                      <w:szCs w:val="21"/>
                    </w:rPr>
                    <w:t>、</w:t>
                  </w:r>
                  <w:r>
                    <w:rPr>
                      <w:rFonts w:hint="eastAsia" w:ascii="Times New Roman" w:hAnsi="Times New Roman" w:eastAsia="宋体" w:cs="Times New Roman"/>
                      <w:color w:val="auto"/>
                      <w:spacing w:val="-2"/>
                      <w:sz w:val="21"/>
                      <w:szCs w:val="21"/>
                      <w:lang w:val="en-US" w:eastAsia="zh-CN"/>
                    </w:rPr>
                    <w:t>不合格品处理工房</w:t>
                  </w:r>
                </w:p>
              </w:tc>
              <w:tc>
                <w:tcPr>
                  <w:tcW w:w="530" w:type="pct"/>
                  <w:vMerge w:val="continue"/>
                  <w:vAlign w:val="center"/>
                </w:tcPr>
                <w:p w14:paraId="550CF5CE">
                  <w:pPr>
                    <w:keepNext/>
                    <w:keepLines w:val="0"/>
                    <w:pageBreakBefore w:val="0"/>
                    <w:widowControl w:val="0"/>
                    <w:kinsoku/>
                    <w:wordWrap/>
                    <w:overflowPunct/>
                    <w:topLinePunct w:val="0"/>
                    <w:bidi w:val="0"/>
                    <w:adjustRightInd/>
                    <w:snapToGrid/>
                    <w:spacing w:line="240" w:lineRule="auto"/>
                    <w:ind w:left="0" w:right="0" w:firstLine="0"/>
                    <w:jc w:val="left"/>
                    <w:textAlignment w:val="auto"/>
                    <w:outlineLvl w:val="9"/>
                    <w:rPr>
                      <w:rFonts w:hint="eastAsia" w:ascii="Times New Roman" w:hAnsi="Times New Roman" w:eastAsia="宋体" w:cs="Times New Roman"/>
                      <w:color w:val="auto"/>
                      <w:spacing w:val="-2"/>
                      <w:sz w:val="21"/>
                      <w:szCs w:val="21"/>
                      <w:lang w:val="en-US" w:eastAsia="zh-CN"/>
                    </w:rPr>
                  </w:pPr>
                </w:p>
              </w:tc>
            </w:tr>
            <w:tr w14:paraId="2154B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417904F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23</w:t>
                  </w:r>
                </w:p>
              </w:tc>
              <w:tc>
                <w:tcPr>
                  <w:tcW w:w="916" w:type="pct"/>
                  <w:gridSpan w:val="2"/>
                  <w:vAlign w:val="center"/>
                </w:tcPr>
                <w:p w14:paraId="1E4CAC3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rPr>
                  </w:pPr>
                  <w:r>
                    <w:rPr>
                      <w:rFonts w:hint="eastAsia" w:ascii="Times New Roman" w:hAnsi="Times New Roman" w:eastAsia="宋体" w:cs="Times New Roman"/>
                      <w:color w:val="auto"/>
                      <w:spacing w:val="-1"/>
                      <w:sz w:val="21"/>
                      <w:szCs w:val="21"/>
                      <w:lang w:val="en-US" w:eastAsia="zh-CN"/>
                    </w:rPr>
                    <w:t>混拌机</w:t>
                  </w:r>
                </w:p>
              </w:tc>
              <w:tc>
                <w:tcPr>
                  <w:tcW w:w="1205" w:type="pct"/>
                  <w:gridSpan w:val="2"/>
                  <w:vAlign w:val="center"/>
                </w:tcPr>
                <w:p w14:paraId="435CD8A5">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AE-HLC型</w:t>
                  </w:r>
                </w:p>
              </w:tc>
              <w:tc>
                <w:tcPr>
                  <w:tcW w:w="440" w:type="pct"/>
                  <w:gridSpan w:val="2"/>
                  <w:vAlign w:val="center"/>
                </w:tcPr>
                <w:p w14:paraId="2461366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8" w:type="pct"/>
                  <w:gridSpan w:val="2"/>
                  <w:vAlign w:val="center"/>
                </w:tcPr>
                <w:p w14:paraId="69EA36E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494" w:type="pct"/>
                  <w:vAlign w:val="center"/>
                </w:tcPr>
                <w:p w14:paraId="5CA5BC7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04" w:type="pct"/>
                  <w:vAlign w:val="center"/>
                </w:tcPr>
                <w:p w14:paraId="40BE200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530" w:type="pct"/>
                  <w:vMerge w:val="continue"/>
                  <w:vAlign w:val="center"/>
                </w:tcPr>
                <w:p w14:paraId="2FD1653B">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p>
              </w:tc>
            </w:tr>
            <w:tr w14:paraId="6ADCD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pct"/>
              </w:trPr>
              <w:tc>
                <w:tcPr>
                  <w:tcW w:w="357" w:type="pct"/>
                  <w:vAlign w:val="center"/>
                </w:tcPr>
                <w:p w14:paraId="092748BD">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24</w:t>
                  </w:r>
                </w:p>
              </w:tc>
              <w:tc>
                <w:tcPr>
                  <w:tcW w:w="916" w:type="pct"/>
                  <w:gridSpan w:val="2"/>
                  <w:vAlign w:val="center"/>
                </w:tcPr>
                <w:p w14:paraId="155FC3E9">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2"/>
                      <w:sz w:val="21"/>
                      <w:szCs w:val="21"/>
                    </w:rPr>
                  </w:pPr>
                  <w:r>
                    <w:rPr>
                      <w:rFonts w:hint="eastAsia" w:ascii="Times New Roman" w:hAnsi="Times New Roman" w:eastAsia="宋体" w:cs="Times New Roman"/>
                      <w:color w:val="auto"/>
                      <w:spacing w:val="-1"/>
                      <w:sz w:val="21"/>
                      <w:szCs w:val="21"/>
                      <w:lang w:val="en-US" w:eastAsia="zh-CN"/>
                    </w:rPr>
                    <w:t>活塞式装药机</w:t>
                  </w:r>
                </w:p>
              </w:tc>
              <w:tc>
                <w:tcPr>
                  <w:tcW w:w="1205" w:type="pct"/>
                  <w:gridSpan w:val="2"/>
                  <w:vAlign w:val="center"/>
                </w:tcPr>
                <w:p w14:paraId="478B094A">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RHZ25</w:t>
                  </w:r>
                </w:p>
              </w:tc>
              <w:tc>
                <w:tcPr>
                  <w:tcW w:w="440" w:type="pct"/>
                  <w:gridSpan w:val="2"/>
                  <w:vAlign w:val="center"/>
                </w:tcPr>
                <w:p w14:paraId="2DB62C4C">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8" w:type="pct"/>
                  <w:gridSpan w:val="2"/>
                  <w:vAlign w:val="center"/>
                </w:tcPr>
                <w:p w14:paraId="3E5AD1AF">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494" w:type="pct"/>
                  <w:vAlign w:val="center"/>
                </w:tcPr>
                <w:p w14:paraId="51873AFE">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04" w:type="pct"/>
                  <w:vAlign w:val="center"/>
                </w:tcPr>
                <w:p w14:paraId="4B6996E0">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530" w:type="pct"/>
                  <w:vMerge w:val="continue"/>
                  <w:vAlign w:val="center"/>
                </w:tcPr>
                <w:p w14:paraId="0478B2B4">
                  <w:pPr>
                    <w:keepNext/>
                    <w:keepLines w:val="0"/>
                    <w:pageBreakBefore w:val="0"/>
                    <w:widowControl w:val="0"/>
                    <w:kinsoku/>
                    <w:wordWrap/>
                    <w:overflowPunct/>
                    <w:topLinePunct w:val="0"/>
                    <w:bidi w:val="0"/>
                    <w:adjustRightInd/>
                    <w:snapToGrid/>
                    <w:spacing w:line="240" w:lineRule="auto"/>
                    <w:ind w:left="0" w:leftChars="0" w:right="0" w:firstLine="0"/>
                    <w:jc w:val="center"/>
                    <w:textAlignment w:val="auto"/>
                    <w:outlineLvl w:val="9"/>
                    <w:rPr>
                      <w:rFonts w:hint="eastAsia" w:ascii="Times New Roman" w:hAnsi="Times New Roman" w:eastAsia="宋体" w:cs="Times New Roman"/>
                      <w:color w:val="auto"/>
                      <w:sz w:val="21"/>
                      <w:szCs w:val="21"/>
                      <w:lang w:val="en-US" w:eastAsia="zh-CN"/>
                    </w:rPr>
                  </w:pPr>
                </w:p>
              </w:tc>
            </w:tr>
          </w:tbl>
          <w:tbl>
            <w:tblPr>
              <w:tblStyle w:val="8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48"/>
              <w:gridCol w:w="1563"/>
              <w:gridCol w:w="1977"/>
              <w:gridCol w:w="774"/>
              <w:gridCol w:w="902"/>
              <w:gridCol w:w="842"/>
              <w:gridCol w:w="824"/>
              <w:gridCol w:w="887"/>
            </w:tblGrid>
            <w:tr w14:paraId="28BC3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66" w:type="pct"/>
                  <w:gridSpan w:val="7"/>
                  <w:vAlign w:val="center"/>
                </w:tcPr>
                <w:p w14:paraId="52BE224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一、水油相制备工房</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403</w:t>
                  </w:r>
                  <w:r>
                    <w:rPr>
                      <w:rFonts w:hint="eastAsia" w:ascii="Times New Roman" w:hAnsi="Times New Roman" w:cs="Times New Roman"/>
                      <w:color w:val="auto"/>
                      <w:sz w:val="21"/>
                      <w:szCs w:val="21"/>
                      <w:lang w:eastAsia="zh-CN"/>
                    </w:rPr>
                    <w:t>）</w:t>
                  </w:r>
                </w:p>
              </w:tc>
              <w:tc>
                <w:tcPr>
                  <w:tcW w:w="533" w:type="pct"/>
                  <w:vMerge w:val="restart"/>
                  <w:vAlign w:val="center"/>
                </w:tcPr>
                <w:p w14:paraId="4E0A35F5">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年产7000吨乳化炸药震源药柱生产线</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lang w:val="en-US" w:eastAsia="zh-CN"/>
                    </w:rPr>
                    <w:t>本项目）</w:t>
                  </w:r>
                </w:p>
              </w:tc>
            </w:tr>
            <w:tr w14:paraId="299A9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vAlign w:val="center"/>
                </w:tcPr>
                <w:p w14:paraId="4C5845C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940" w:type="pct"/>
                  <w:vAlign w:val="center"/>
                </w:tcPr>
                <w:p w14:paraId="40AED0C5">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螺旋输送机</w:t>
                  </w:r>
                </w:p>
              </w:tc>
              <w:tc>
                <w:tcPr>
                  <w:tcW w:w="1188" w:type="pct"/>
                  <w:vAlign w:val="center"/>
                </w:tcPr>
                <w:p w14:paraId="55A09B1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10t/h</w:t>
                  </w:r>
                </w:p>
              </w:tc>
              <w:tc>
                <w:tcPr>
                  <w:tcW w:w="465" w:type="pct"/>
                  <w:vAlign w:val="center"/>
                </w:tcPr>
                <w:p w14:paraId="114BB50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2" w:type="pct"/>
                  <w:vAlign w:val="center"/>
                </w:tcPr>
                <w:p w14:paraId="74ABF21F">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4CA582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42E20C7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06222C7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298EC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03BBA50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940" w:type="pct"/>
                  <w:vAlign w:val="center"/>
                </w:tcPr>
                <w:p w14:paraId="53501C8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分料螺旋</w:t>
                  </w:r>
                </w:p>
              </w:tc>
              <w:tc>
                <w:tcPr>
                  <w:tcW w:w="1188" w:type="pct"/>
                  <w:vAlign w:val="center"/>
                </w:tcPr>
                <w:p w14:paraId="3D161F0B">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10t/h</w:t>
                  </w:r>
                </w:p>
              </w:tc>
              <w:tc>
                <w:tcPr>
                  <w:tcW w:w="465" w:type="pct"/>
                  <w:vAlign w:val="center"/>
                </w:tcPr>
                <w:p w14:paraId="3E8444F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2" w:type="pct"/>
                  <w:vAlign w:val="center"/>
                </w:tcPr>
                <w:p w14:paraId="77E544DC">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8F2382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5D92AB6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0005913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2059F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6695CCD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940" w:type="pct"/>
                  <w:vAlign w:val="center"/>
                </w:tcPr>
                <w:p w14:paraId="23C419F5">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水相制备罐</w:t>
                  </w:r>
                </w:p>
              </w:tc>
              <w:tc>
                <w:tcPr>
                  <w:tcW w:w="1188" w:type="pct"/>
                  <w:vAlign w:val="center"/>
                </w:tcPr>
                <w:p w14:paraId="5F63EAB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12m³</w:t>
                  </w:r>
                </w:p>
              </w:tc>
              <w:tc>
                <w:tcPr>
                  <w:tcW w:w="465" w:type="pct"/>
                  <w:vAlign w:val="center"/>
                </w:tcPr>
                <w:p w14:paraId="2F1C398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2" w:type="pct"/>
                  <w:vAlign w:val="center"/>
                </w:tcPr>
                <w:p w14:paraId="204DBD6C">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3A9642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vAlign w:val="center"/>
                </w:tcPr>
                <w:p w14:paraId="69E2395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vAlign w:val="center"/>
                </w:tcPr>
                <w:p w14:paraId="000BE99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325C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38E0039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940" w:type="pct"/>
                  <w:shd w:val="clear" w:color="auto" w:fill="auto"/>
                  <w:vAlign w:val="center"/>
                </w:tcPr>
                <w:p w14:paraId="09DD937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油相制备罐</w:t>
                  </w:r>
                </w:p>
              </w:tc>
              <w:tc>
                <w:tcPr>
                  <w:tcW w:w="1188" w:type="pct"/>
                  <w:shd w:val="clear" w:color="auto" w:fill="auto"/>
                  <w:vAlign w:val="center"/>
                </w:tcPr>
                <w:p w14:paraId="0D9FB4D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4.0m³</w:t>
                  </w:r>
                </w:p>
              </w:tc>
              <w:tc>
                <w:tcPr>
                  <w:tcW w:w="465" w:type="pct"/>
                  <w:shd w:val="clear" w:color="auto" w:fill="auto"/>
                  <w:vAlign w:val="center"/>
                </w:tcPr>
                <w:p w14:paraId="644186D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6022B02D">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2F6EC9C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7F6CE5D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kern w:val="2"/>
                      <w:sz w:val="21"/>
                      <w:szCs w:val="21"/>
                      <w:lang w:val="en-US" w:eastAsia="en-US" w:bidi="ar-SA"/>
                    </w:rPr>
                  </w:pPr>
                  <w:r>
                    <w:rPr>
                      <w:rFonts w:hint="default" w:ascii="Times New Roman" w:hAnsi="Times New Roman" w:eastAsia="宋体" w:cs="Times New Roman"/>
                      <w:color w:val="auto"/>
                      <w:sz w:val="21"/>
                      <w:szCs w:val="21"/>
                    </w:rPr>
                    <w:t>1</w:t>
                  </w:r>
                </w:p>
              </w:tc>
              <w:tc>
                <w:tcPr>
                  <w:tcW w:w="533" w:type="pct"/>
                  <w:vMerge w:val="continue"/>
                  <w:vAlign w:val="center"/>
                </w:tcPr>
                <w:p w14:paraId="7EF8A11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4B38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7FCD2A4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940" w:type="pct"/>
                  <w:shd w:val="clear" w:color="auto" w:fill="auto"/>
                  <w:vAlign w:val="center"/>
                </w:tcPr>
                <w:p w14:paraId="3003462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水相过滤器</w:t>
                  </w:r>
                </w:p>
              </w:tc>
              <w:tc>
                <w:tcPr>
                  <w:tcW w:w="1188" w:type="pct"/>
                  <w:shd w:val="clear" w:color="auto" w:fill="auto"/>
                  <w:vAlign w:val="center"/>
                </w:tcPr>
                <w:p w14:paraId="281D6CC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CSL-II-4</w:t>
                  </w:r>
                </w:p>
              </w:tc>
              <w:tc>
                <w:tcPr>
                  <w:tcW w:w="465" w:type="pct"/>
                  <w:shd w:val="clear" w:color="auto" w:fill="auto"/>
                  <w:vAlign w:val="center"/>
                </w:tcPr>
                <w:p w14:paraId="4C90AFD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个</w:t>
                  </w:r>
                </w:p>
              </w:tc>
              <w:tc>
                <w:tcPr>
                  <w:tcW w:w="542" w:type="pct"/>
                  <w:shd w:val="clear" w:color="auto" w:fill="auto"/>
                  <w:vAlign w:val="center"/>
                </w:tcPr>
                <w:p w14:paraId="4F8DF67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73C5FA0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zh-CN" w:bidi="ar-SA"/>
                    </w:rPr>
                    <w:t>1</w:t>
                  </w:r>
                </w:p>
              </w:tc>
              <w:tc>
                <w:tcPr>
                  <w:tcW w:w="492" w:type="pct"/>
                  <w:shd w:val="clear" w:color="auto" w:fill="auto"/>
                  <w:vAlign w:val="center"/>
                </w:tcPr>
                <w:p w14:paraId="202E81FC">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533" w:type="pct"/>
                  <w:vMerge w:val="continue"/>
                  <w:vAlign w:val="center"/>
                </w:tcPr>
                <w:p w14:paraId="6959842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E222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63F3533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940" w:type="pct"/>
                  <w:shd w:val="clear" w:color="auto" w:fill="auto"/>
                  <w:vAlign w:val="center"/>
                </w:tcPr>
                <w:p w14:paraId="3F6B300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水相输送泵</w:t>
                  </w:r>
                </w:p>
              </w:tc>
              <w:tc>
                <w:tcPr>
                  <w:tcW w:w="1188" w:type="pct"/>
                  <w:shd w:val="clear" w:color="auto" w:fill="auto"/>
                  <w:vAlign w:val="center"/>
                </w:tcPr>
                <w:p w14:paraId="1FB6798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20t/h</w:t>
                  </w:r>
                </w:p>
              </w:tc>
              <w:tc>
                <w:tcPr>
                  <w:tcW w:w="465" w:type="pct"/>
                  <w:shd w:val="clear" w:color="auto" w:fill="auto"/>
                  <w:vAlign w:val="center"/>
                </w:tcPr>
                <w:p w14:paraId="31284A9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4D36B152">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6FAF5E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17B36A5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kern w:val="2"/>
                      <w:sz w:val="21"/>
                      <w:szCs w:val="21"/>
                      <w:lang w:val="en-US" w:eastAsia="en-US" w:bidi="ar-SA"/>
                    </w:rPr>
                  </w:pPr>
                  <w:r>
                    <w:rPr>
                      <w:rFonts w:hint="default" w:ascii="Times New Roman" w:hAnsi="Times New Roman" w:eastAsia="宋体" w:cs="Times New Roman"/>
                      <w:color w:val="auto"/>
                      <w:sz w:val="21"/>
                      <w:szCs w:val="21"/>
                    </w:rPr>
                    <w:t>1</w:t>
                  </w:r>
                </w:p>
              </w:tc>
              <w:tc>
                <w:tcPr>
                  <w:tcW w:w="533" w:type="pct"/>
                  <w:vMerge w:val="continue"/>
                  <w:vAlign w:val="center"/>
                </w:tcPr>
                <w:p w14:paraId="2A1784C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2D92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5BC467E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940" w:type="pct"/>
                  <w:shd w:val="clear" w:color="auto" w:fill="auto"/>
                  <w:vAlign w:val="center"/>
                </w:tcPr>
                <w:p w14:paraId="37D00F3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油相过滤器</w:t>
                  </w:r>
                </w:p>
              </w:tc>
              <w:tc>
                <w:tcPr>
                  <w:tcW w:w="1188" w:type="pct"/>
                  <w:shd w:val="clear" w:color="auto" w:fill="auto"/>
                  <w:vAlign w:val="center"/>
                </w:tcPr>
                <w:p w14:paraId="1C672AD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CSL-II-4</w:t>
                  </w:r>
                </w:p>
              </w:tc>
              <w:tc>
                <w:tcPr>
                  <w:tcW w:w="465" w:type="pct"/>
                  <w:shd w:val="clear" w:color="auto" w:fill="auto"/>
                  <w:vAlign w:val="center"/>
                </w:tcPr>
                <w:p w14:paraId="41D5F80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个</w:t>
                  </w:r>
                </w:p>
              </w:tc>
              <w:tc>
                <w:tcPr>
                  <w:tcW w:w="542" w:type="pct"/>
                  <w:shd w:val="clear" w:color="auto" w:fill="auto"/>
                  <w:vAlign w:val="center"/>
                </w:tcPr>
                <w:p w14:paraId="17F5896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014EA03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089D339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kern w:val="2"/>
                      <w:sz w:val="21"/>
                      <w:szCs w:val="21"/>
                      <w:lang w:val="en-US" w:eastAsia="en-US" w:bidi="ar-SA"/>
                    </w:rPr>
                  </w:pPr>
                  <w:r>
                    <w:rPr>
                      <w:rFonts w:hint="default" w:ascii="Times New Roman" w:hAnsi="Times New Roman" w:eastAsia="宋体" w:cs="Times New Roman"/>
                      <w:color w:val="auto"/>
                      <w:sz w:val="21"/>
                      <w:szCs w:val="21"/>
                    </w:rPr>
                    <w:t>1</w:t>
                  </w:r>
                </w:p>
              </w:tc>
              <w:tc>
                <w:tcPr>
                  <w:tcW w:w="533" w:type="pct"/>
                  <w:vMerge w:val="continue"/>
                  <w:vAlign w:val="center"/>
                </w:tcPr>
                <w:p w14:paraId="5D475BA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CA99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28B2CF0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940" w:type="pct"/>
                  <w:shd w:val="clear" w:color="auto" w:fill="auto"/>
                  <w:vAlign w:val="center"/>
                </w:tcPr>
                <w:p w14:paraId="31B9316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油相输送泵</w:t>
                  </w:r>
                </w:p>
              </w:tc>
              <w:tc>
                <w:tcPr>
                  <w:tcW w:w="1188" w:type="pct"/>
                  <w:shd w:val="clear" w:color="auto" w:fill="auto"/>
                  <w:vAlign w:val="center"/>
                </w:tcPr>
                <w:p w14:paraId="0757B6F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10t/h</w:t>
                  </w:r>
                </w:p>
              </w:tc>
              <w:tc>
                <w:tcPr>
                  <w:tcW w:w="465" w:type="pct"/>
                  <w:shd w:val="clear" w:color="auto" w:fill="auto"/>
                  <w:vAlign w:val="center"/>
                </w:tcPr>
                <w:p w14:paraId="3592EC6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F9E3C94">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89EC25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269D84C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kern w:val="2"/>
                      <w:sz w:val="21"/>
                      <w:szCs w:val="21"/>
                      <w:lang w:val="en-US" w:eastAsia="en-US" w:bidi="ar-SA"/>
                    </w:rPr>
                  </w:pPr>
                  <w:r>
                    <w:rPr>
                      <w:rFonts w:hint="default" w:ascii="Times New Roman" w:hAnsi="Times New Roman" w:eastAsia="宋体" w:cs="Times New Roman"/>
                      <w:color w:val="auto"/>
                      <w:sz w:val="21"/>
                      <w:szCs w:val="21"/>
                    </w:rPr>
                    <w:t>1</w:t>
                  </w:r>
                </w:p>
              </w:tc>
              <w:tc>
                <w:tcPr>
                  <w:tcW w:w="533" w:type="pct"/>
                  <w:vMerge w:val="continue"/>
                  <w:vAlign w:val="center"/>
                </w:tcPr>
                <w:p w14:paraId="191A84E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537CE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61C83AB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940" w:type="pct"/>
                  <w:shd w:val="clear" w:color="auto" w:fill="auto"/>
                  <w:vAlign w:val="center"/>
                </w:tcPr>
                <w:p w14:paraId="22C3788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热水罐</w:t>
                  </w:r>
                </w:p>
              </w:tc>
              <w:tc>
                <w:tcPr>
                  <w:tcW w:w="1188" w:type="pct"/>
                  <w:shd w:val="clear" w:color="auto" w:fill="auto"/>
                  <w:vAlign w:val="center"/>
                </w:tcPr>
                <w:p w14:paraId="0CB3EA6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1.5m³</w:t>
                  </w:r>
                </w:p>
              </w:tc>
              <w:tc>
                <w:tcPr>
                  <w:tcW w:w="465" w:type="pct"/>
                  <w:shd w:val="clear" w:color="auto" w:fill="auto"/>
                  <w:vAlign w:val="center"/>
                </w:tcPr>
                <w:p w14:paraId="54985A2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3F5D81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B01A45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6D90B07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kern w:val="2"/>
                      <w:sz w:val="21"/>
                      <w:szCs w:val="21"/>
                      <w:lang w:val="en-US" w:eastAsia="en-US" w:bidi="ar-SA"/>
                    </w:rPr>
                  </w:pPr>
                  <w:r>
                    <w:rPr>
                      <w:rFonts w:hint="default" w:ascii="Times New Roman" w:hAnsi="Times New Roman" w:eastAsia="宋体" w:cs="Times New Roman"/>
                      <w:color w:val="auto"/>
                      <w:sz w:val="21"/>
                      <w:szCs w:val="21"/>
                    </w:rPr>
                    <w:t>1</w:t>
                  </w:r>
                </w:p>
              </w:tc>
              <w:tc>
                <w:tcPr>
                  <w:tcW w:w="533" w:type="pct"/>
                  <w:vMerge w:val="continue"/>
                  <w:vAlign w:val="center"/>
                </w:tcPr>
                <w:p w14:paraId="33B58C7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8844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8" w:type="dxa"/>
                  <w:vAlign w:val="center"/>
                </w:tcPr>
                <w:p w14:paraId="4D8D63D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10</w:t>
                  </w:r>
                </w:p>
              </w:tc>
              <w:tc>
                <w:tcPr>
                  <w:tcW w:w="940" w:type="pct"/>
                  <w:shd w:val="clear" w:color="auto" w:fill="auto"/>
                  <w:vAlign w:val="center"/>
                </w:tcPr>
                <w:p w14:paraId="3978B0A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热水泵</w:t>
                  </w:r>
                </w:p>
              </w:tc>
              <w:tc>
                <w:tcPr>
                  <w:tcW w:w="1188" w:type="pct"/>
                  <w:shd w:val="clear" w:color="auto" w:fill="auto"/>
                  <w:vAlign w:val="center"/>
                </w:tcPr>
                <w:p w14:paraId="3B7E914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10t/h</w:t>
                  </w:r>
                </w:p>
              </w:tc>
              <w:tc>
                <w:tcPr>
                  <w:tcW w:w="465" w:type="pct"/>
                  <w:shd w:val="clear" w:color="auto" w:fill="auto"/>
                  <w:vAlign w:val="center"/>
                </w:tcPr>
                <w:p w14:paraId="4F34E02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8925CE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6F5C9A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71A1D51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kern w:val="2"/>
                      <w:sz w:val="21"/>
                      <w:szCs w:val="21"/>
                      <w:lang w:val="en-US" w:eastAsia="en-US" w:bidi="ar-SA"/>
                    </w:rPr>
                  </w:pPr>
                  <w:r>
                    <w:rPr>
                      <w:rFonts w:hint="default" w:ascii="Times New Roman" w:hAnsi="Times New Roman" w:eastAsia="宋体" w:cs="Times New Roman"/>
                      <w:color w:val="auto"/>
                      <w:sz w:val="21"/>
                      <w:szCs w:val="21"/>
                    </w:rPr>
                    <w:t>1</w:t>
                  </w:r>
                </w:p>
              </w:tc>
              <w:tc>
                <w:tcPr>
                  <w:tcW w:w="533" w:type="pct"/>
                  <w:vMerge w:val="continue"/>
                  <w:vAlign w:val="center"/>
                </w:tcPr>
                <w:p w14:paraId="0EF8697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3B7B3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66" w:type="pct"/>
                  <w:gridSpan w:val="7"/>
                  <w:vAlign w:val="center"/>
                </w:tcPr>
                <w:p w14:paraId="3077FB9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二、硝酸铵溶液储罐区</w:t>
                  </w:r>
                  <w:r>
                    <w:rPr>
                      <w:rFonts w:hint="eastAsia" w:ascii="Times New Roman" w:hAnsi="Times New Roman" w:cs="Times New Roman"/>
                      <w:color w:val="auto"/>
                      <w:spacing w:val="10"/>
                      <w:sz w:val="21"/>
                      <w:szCs w:val="21"/>
                      <w:lang w:eastAsia="zh-CN"/>
                    </w:rPr>
                    <w:t>（</w:t>
                  </w:r>
                  <w:r>
                    <w:rPr>
                      <w:rFonts w:hint="default" w:ascii="Times New Roman" w:hAnsi="Times New Roman" w:eastAsia="宋体" w:cs="Times New Roman"/>
                      <w:color w:val="auto"/>
                      <w:spacing w:val="10"/>
                      <w:sz w:val="21"/>
                      <w:szCs w:val="21"/>
                    </w:rPr>
                    <w:t>403-¹</w:t>
                  </w:r>
                  <w:r>
                    <w:rPr>
                      <w:rFonts w:hint="eastAsia" w:ascii="Times New Roman" w:hAnsi="Times New Roman" w:cs="Times New Roman"/>
                      <w:color w:val="auto"/>
                      <w:spacing w:val="10"/>
                      <w:sz w:val="21"/>
                      <w:szCs w:val="21"/>
                      <w:lang w:eastAsia="zh-CN"/>
                    </w:rPr>
                    <w:t>）</w:t>
                  </w:r>
                </w:p>
              </w:tc>
              <w:tc>
                <w:tcPr>
                  <w:tcW w:w="533" w:type="pct"/>
                  <w:vMerge w:val="continue"/>
                  <w:vAlign w:val="center"/>
                </w:tcPr>
                <w:p w14:paraId="22917AC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pacing w:val="10"/>
                      <w:sz w:val="21"/>
                      <w:szCs w:val="21"/>
                    </w:rPr>
                  </w:pPr>
                </w:p>
              </w:tc>
            </w:tr>
            <w:tr w14:paraId="3FFEA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vAlign w:val="center"/>
                </w:tcPr>
                <w:p w14:paraId="2F1A64D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940" w:type="pct"/>
                  <w:vAlign w:val="center"/>
                </w:tcPr>
                <w:p w14:paraId="5DDCF64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硝酸铵溶液储罐</w:t>
                  </w:r>
                </w:p>
              </w:tc>
              <w:tc>
                <w:tcPr>
                  <w:tcW w:w="1188" w:type="pct"/>
                  <w:vAlign w:val="center"/>
                </w:tcPr>
                <w:p w14:paraId="33039CE5">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40m³</w:t>
                  </w:r>
                </w:p>
              </w:tc>
              <w:tc>
                <w:tcPr>
                  <w:tcW w:w="465" w:type="pct"/>
                  <w:vAlign w:val="center"/>
                </w:tcPr>
                <w:p w14:paraId="1FAF9D9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2" w:type="pct"/>
                  <w:vAlign w:val="center"/>
                </w:tcPr>
                <w:p w14:paraId="06E77E1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F04BA5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4465422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32C91DE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37451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vAlign w:val="center"/>
                </w:tcPr>
                <w:p w14:paraId="2DF416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940" w:type="pct"/>
                  <w:vAlign w:val="center"/>
                </w:tcPr>
                <w:p w14:paraId="4CBF385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硝酸铵溶液卸料泵</w:t>
                  </w:r>
                </w:p>
              </w:tc>
              <w:tc>
                <w:tcPr>
                  <w:tcW w:w="1188" w:type="pct"/>
                  <w:vAlign w:val="center"/>
                </w:tcPr>
                <w:p w14:paraId="607BC3F0">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20t/h</w:t>
                  </w:r>
                </w:p>
              </w:tc>
              <w:tc>
                <w:tcPr>
                  <w:tcW w:w="465" w:type="pct"/>
                  <w:vAlign w:val="center"/>
                </w:tcPr>
                <w:p w14:paraId="338F46E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2" w:type="pct"/>
                  <w:vAlign w:val="center"/>
                </w:tcPr>
                <w:p w14:paraId="4ED30997">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866190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32B0EF6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3FE5B1A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103B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vAlign w:val="center"/>
                </w:tcPr>
                <w:p w14:paraId="762E55C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940" w:type="pct"/>
                  <w:vAlign w:val="center"/>
                </w:tcPr>
                <w:p w14:paraId="247FCC5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硝酸铵溶液输送泵</w:t>
                  </w:r>
                </w:p>
              </w:tc>
              <w:tc>
                <w:tcPr>
                  <w:tcW w:w="1188" w:type="pct"/>
                  <w:vAlign w:val="center"/>
                </w:tcPr>
                <w:p w14:paraId="564DF7B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20t/h</w:t>
                  </w:r>
                </w:p>
              </w:tc>
              <w:tc>
                <w:tcPr>
                  <w:tcW w:w="465" w:type="pct"/>
                  <w:vAlign w:val="center"/>
                </w:tcPr>
                <w:p w14:paraId="2DCCBA0E">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542" w:type="pct"/>
                  <w:vAlign w:val="center"/>
                </w:tcPr>
                <w:p w14:paraId="7781923C">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7AC72E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37B3506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451E61A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3954A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66" w:type="pct"/>
                  <w:gridSpan w:val="7"/>
                  <w:vAlign w:val="center"/>
                </w:tcPr>
                <w:p w14:paraId="13B5970B">
                  <w:pPr>
                    <w:pStyle w:val="115"/>
                    <w:keepNext/>
                    <w:keepLines w:val="0"/>
                    <w:pageBreakBefore w:val="0"/>
                    <w:kinsoku/>
                    <w:wordWrap/>
                    <w:overflowPunct/>
                    <w:topLinePunct w:val="0"/>
                    <w:autoSpaceDE w:val="0"/>
                    <w:autoSpaceDN w:val="0"/>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三、乳化炸药震源药柱生产工房</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404</w:t>
                  </w:r>
                  <w:r>
                    <w:rPr>
                      <w:rFonts w:hint="eastAsia" w:ascii="Times New Roman" w:hAnsi="Times New Roman" w:cs="Times New Roman"/>
                      <w:color w:val="auto"/>
                      <w:sz w:val="21"/>
                      <w:szCs w:val="21"/>
                      <w:lang w:eastAsia="zh-CN"/>
                    </w:rPr>
                    <w:t>）</w:t>
                  </w:r>
                </w:p>
              </w:tc>
              <w:tc>
                <w:tcPr>
                  <w:tcW w:w="533" w:type="pct"/>
                  <w:vMerge w:val="continue"/>
                  <w:vAlign w:val="center"/>
                </w:tcPr>
                <w:p w14:paraId="5F639341">
                  <w:pPr>
                    <w:pStyle w:val="115"/>
                    <w:keepNext/>
                    <w:keepLines w:val="0"/>
                    <w:pageBreakBefore w:val="0"/>
                    <w:kinsoku/>
                    <w:wordWrap/>
                    <w:overflowPunct/>
                    <w:topLinePunct w:val="0"/>
                    <w:autoSpaceDE w:val="0"/>
                    <w:autoSpaceDN w:val="0"/>
                    <w:bidi w:val="0"/>
                    <w:jc w:val="center"/>
                    <w:outlineLvl w:val="9"/>
                    <w:rPr>
                      <w:rFonts w:hint="default" w:ascii="Times New Roman" w:hAnsi="Times New Roman" w:eastAsia="宋体" w:cs="Times New Roman"/>
                      <w:color w:val="auto"/>
                      <w:sz w:val="21"/>
                      <w:szCs w:val="21"/>
                    </w:rPr>
                  </w:pPr>
                </w:p>
              </w:tc>
            </w:tr>
            <w:tr w14:paraId="10D4D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1451A15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940" w:type="pct"/>
                  <w:shd w:val="clear" w:color="auto" w:fill="auto"/>
                  <w:vAlign w:val="center"/>
                </w:tcPr>
                <w:p w14:paraId="459E9B7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水相储罐</w:t>
                  </w:r>
                </w:p>
              </w:tc>
              <w:tc>
                <w:tcPr>
                  <w:tcW w:w="1188" w:type="pct"/>
                  <w:shd w:val="clear" w:color="auto" w:fill="auto"/>
                  <w:vAlign w:val="center"/>
                </w:tcPr>
                <w:p w14:paraId="13FEECA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12m³</w:t>
                  </w:r>
                </w:p>
              </w:tc>
              <w:tc>
                <w:tcPr>
                  <w:tcW w:w="465" w:type="pct"/>
                  <w:shd w:val="clear" w:color="auto" w:fill="auto"/>
                  <w:vAlign w:val="center"/>
                </w:tcPr>
                <w:p w14:paraId="6C70F76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0D32E3B4">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629CAD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7393BD6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06209A7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0A0E2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6F06B2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940" w:type="pct"/>
                  <w:shd w:val="clear" w:color="auto" w:fill="auto"/>
                  <w:vAlign w:val="center"/>
                </w:tcPr>
                <w:p w14:paraId="26D0789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水相输送泵</w:t>
                  </w:r>
                </w:p>
              </w:tc>
              <w:tc>
                <w:tcPr>
                  <w:tcW w:w="1188" w:type="pct"/>
                  <w:shd w:val="clear" w:color="auto" w:fill="auto"/>
                  <w:vAlign w:val="center"/>
                </w:tcPr>
                <w:p w14:paraId="37CEB21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非标，6t/h</w:t>
                  </w:r>
                </w:p>
              </w:tc>
              <w:tc>
                <w:tcPr>
                  <w:tcW w:w="465" w:type="pct"/>
                  <w:shd w:val="clear" w:color="auto" w:fill="auto"/>
                  <w:vAlign w:val="center"/>
                </w:tcPr>
                <w:p w14:paraId="07CF830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0AB0CF6D">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0DCC92E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7F0934D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2274BED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FC15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8BDE01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3</w:t>
                  </w:r>
                </w:p>
              </w:tc>
              <w:tc>
                <w:tcPr>
                  <w:tcW w:w="940" w:type="pct"/>
                  <w:shd w:val="clear" w:color="auto" w:fill="auto"/>
                  <w:vAlign w:val="center"/>
                </w:tcPr>
                <w:p w14:paraId="68D7C85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油相储罐</w:t>
                  </w:r>
                </w:p>
              </w:tc>
              <w:tc>
                <w:tcPr>
                  <w:tcW w:w="1188" w:type="pct"/>
                  <w:shd w:val="clear" w:color="auto" w:fill="auto"/>
                  <w:vAlign w:val="center"/>
                </w:tcPr>
                <w:p w14:paraId="3356D2E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2"/>
                      <w:sz w:val="21"/>
                      <w:szCs w:val="21"/>
                    </w:rPr>
                    <w:t>非标，4.0m³</w:t>
                  </w:r>
                </w:p>
              </w:tc>
              <w:tc>
                <w:tcPr>
                  <w:tcW w:w="465" w:type="pct"/>
                  <w:shd w:val="clear" w:color="auto" w:fill="auto"/>
                  <w:vAlign w:val="center"/>
                </w:tcPr>
                <w:p w14:paraId="11654A9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6AF14EE4">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5327D2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18FE5C8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33BD90E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08D86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CAFCCB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4</w:t>
                  </w:r>
                </w:p>
              </w:tc>
              <w:tc>
                <w:tcPr>
                  <w:tcW w:w="940" w:type="pct"/>
                  <w:shd w:val="clear" w:color="auto" w:fill="auto"/>
                  <w:vAlign w:val="center"/>
                </w:tcPr>
                <w:p w14:paraId="3215B89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油相输送泵</w:t>
                  </w:r>
                </w:p>
              </w:tc>
              <w:tc>
                <w:tcPr>
                  <w:tcW w:w="1188" w:type="pct"/>
                  <w:shd w:val="clear" w:color="auto" w:fill="auto"/>
                  <w:vAlign w:val="center"/>
                </w:tcPr>
                <w:p w14:paraId="2A891B2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非标，1t/h</w:t>
                  </w:r>
                </w:p>
              </w:tc>
              <w:tc>
                <w:tcPr>
                  <w:tcW w:w="465" w:type="pct"/>
                  <w:shd w:val="clear" w:color="auto" w:fill="auto"/>
                  <w:vAlign w:val="center"/>
                </w:tcPr>
                <w:p w14:paraId="295377F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79C1F132">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3E5A8A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47D1C30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268524E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3B618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1B2717B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5</w:t>
                  </w:r>
                </w:p>
              </w:tc>
              <w:tc>
                <w:tcPr>
                  <w:tcW w:w="940" w:type="pct"/>
                  <w:shd w:val="clear" w:color="auto" w:fill="auto"/>
                  <w:vAlign w:val="center"/>
                </w:tcPr>
                <w:p w14:paraId="21AE07A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热水罐</w:t>
                  </w:r>
                </w:p>
              </w:tc>
              <w:tc>
                <w:tcPr>
                  <w:tcW w:w="1188" w:type="pct"/>
                  <w:shd w:val="clear" w:color="auto" w:fill="auto"/>
                  <w:vAlign w:val="center"/>
                </w:tcPr>
                <w:p w14:paraId="62DDAFE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1.0m³</w:t>
                  </w:r>
                </w:p>
              </w:tc>
              <w:tc>
                <w:tcPr>
                  <w:tcW w:w="465" w:type="pct"/>
                  <w:shd w:val="clear" w:color="auto" w:fill="auto"/>
                  <w:vAlign w:val="center"/>
                </w:tcPr>
                <w:p w14:paraId="5CEFC95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76F170BA">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4F1B95A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0B8C348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73F63AC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211A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6286700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6</w:t>
                  </w:r>
                </w:p>
              </w:tc>
              <w:tc>
                <w:tcPr>
                  <w:tcW w:w="940" w:type="pct"/>
                  <w:shd w:val="clear" w:color="auto" w:fill="auto"/>
                  <w:vAlign w:val="center"/>
                </w:tcPr>
                <w:p w14:paraId="73C1E9B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热水泵</w:t>
                  </w:r>
                </w:p>
              </w:tc>
              <w:tc>
                <w:tcPr>
                  <w:tcW w:w="1188" w:type="pct"/>
                  <w:shd w:val="clear" w:color="auto" w:fill="auto"/>
                  <w:vAlign w:val="center"/>
                </w:tcPr>
                <w:p w14:paraId="42CB7F1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5"/>
                      <w:sz w:val="21"/>
                      <w:szCs w:val="21"/>
                    </w:rPr>
                    <w:t>非标，10m³h</w:t>
                  </w:r>
                </w:p>
              </w:tc>
              <w:tc>
                <w:tcPr>
                  <w:tcW w:w="465" w:type="pct"/>
                  <w:shd w:val="clear" w:color="auto" w:fill="auto"/>
                  <w:vAlign w:val="center"/>
                </w:tcPr>
                <w:p w14:paraId="5029396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1B06227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48CF43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29B9F3A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71F2D65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DC6B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615D9E7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7</w:t>
                  </w:r>
                </w:p>
              </w:tc>
              <w:tc>
                <w:tcPr>
                  <w:tcW w:w="940" w:type="pct"/>
                  <w:shd w:val="clear" w:color="auto" w:fill="auto"/>
                  <w:vAlign w:val="center"/>
                </w:tcPr>
                <w:p w14:paraId="33EB1C6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静态乳化系统</w:t>
                  </w:r>
                </w:p>
              </w:tc>
              <w:tc>
                <w:tcPr>
                  <w:tcW w:w="1188" w:type="pct"/>
                  <w:shd w:val="clear" w:color="auto" w:fill="auto"/>
                  <w:vAlign w:val="center"/>
                </w:tcPr>
                <w:p w14:paraId="5E87887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K N</w:t>
                  </w:r>
                  <w:r>
                    <w:rPr>
                      <w:rFonts w:hint="default" w:ascii="Times New Roman" w:hAnsi="Times New Roman" w:eastAsia="宋体" w:cs="Times New Roman"/>
                      <w:color w:val="auto"/>
                      <w:spacing w:val="7"/>
                      <w:sz w:val="21"/>
                      <w:szCs w:val="21"/>
                    </w:rPr>
                    <w:t xml:space="preserve"> </w:t>
                  </w:r>
                  <w:r>
                    <w:rPr>
                      <w:rFonts w:hint="default" w:ascii="Times New Roman" w:hAnsi="Times New Roman" w:eastAsia="宋体" w:cs="Times New Roman"/>
                      <w:color w:val="auto"/>
                      <w:spacing w:val="-4"/>
                      <w:sz w:val="21"/>
                      <w:szCs w:val="21"/>
                    </w:rPr>
                    <w:t>J R</w:t>
                  </w:r>
                  <w:r>
                    <w:rPr>
                      <w:rFonts w:hint="default" w:ascii="Times New Roman" w:hAnsi="Times New Roman" w:eastAsia="宋体" w:cs="Times New Roman"/>
                      <w:color w:val="auto"/>
                      <w:spacing w:val="12"/>
                      <w:sz w:val="21"/>
                      <w:szCs w:val="21"/>
                    </w:rPr>
                    <w:t xml:space="preserve"> </w:t>
                  </w:r>
                  <w:r>
                    <w:rPr>
                      <w:rFonts w:hint="default" w:ascii="Times New Roman" w:hAnsi="Times New Roman" w:eastAsia="宋体" w:cs="Times New Roman"/>
                      <w:color w:val="auto"/>
                      <w:spacing w:val="-4"/>
                      <w:sz w:val="21"/>
                      <w:szCs w:val="21"/>
                    </w:rPr>
                    <w:t>型</w:t>
                  </w:r>
                </w:p>
              </w:tc>
              <w:tc>
                <w:tcPr>
                  <w:tcW w:w="465" w:type="pct"/>
                  <w:shd w:val="clear" w:color="auto" w:fill="auto"/>
                  <w:vAlign w:val="center"/>
                </w:tcPr>
                <w:p w14:paraId="4CF02AC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6F4BFC07">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2F8797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13C8333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6CF35FF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19DE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3B166E7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8</w:t>
                  </w:r>
                </w:p>
              </w:tc>
              <w:tc>
                <w:tcPr>
                  <w:tcW w:w="940" w:type="pct"/>
                  <w:shd w:val="clear" w:color="auto" w:fill="auto"/>
                  <w:vAlign w:val="center"/>
                </w:tcPr>
                <w:p w14:paraId="2132A3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钢带冷却器</w:t>
                  </w:r>
                </w:p>
              </w:tc>
              <w:tc>
                <w:tcPr>
                  <w:tcW w:w="1188" w:type="pct"/>
                  <w:shd w:val="clear" w:color="auto" w:fill="auto"/>
                  <w:vAlign w:val="center"/>
                </w:tcPr>
                <w:p w14:paraId="10FE431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4P-1.5</w:t>
                  </w:r>
                </w:p>
              </w:tc>
              <w:tc>
                <w:tcPr>
                  <w:tcW w:w="465" w:type="pct"/>
                  <w:shd w:val="clear" w:color="auto" w:fill="auto"/>
                  <w:vAlign w:val="center"/>
                </w:tcPr>
                <w:p w14:paraId="198DDB8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0DFCEC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7BC6DB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66BC000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1A22433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29A4E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31EA94A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9</w:t>
                  </w:r>
                </w:p>
              </w:tc>
              <w:tc>
                <w:tcPr>
                  <w:tcW w:w="940" w:type="pct"/>
                  <w:shd w:val="clear" w:color="auto" w:fill="auto"/>
                  <w:vAlign w:val="center"/>
                </w:tcPr>
                <w:p w14:paraId="2A1544D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敏化器</w:t>
                  </w:r>
                </w:p>
              </w:tc>
              <w:tc>
                <w:tcPr>
                  <w:tcW w:w="1188" w:type="pct"/>
                  <w:shd w:val="clear" w:color="auto" w:fill="auto"/>
                  <w:vAlign w:val="center"/>
                </w:tcPr>
                <w:p w14:paraId="76770D4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AE-HLC-6.0型</w:t>
                  </w:r>
                </w:p>
              </w:tc>
              <w:tc>
                <w:tcPr>
                  <w:tcW w:w="465" w:type="pct"/>
                  <w:shd w:val="clear" w:color="auto" w:fill="auto"/>
                  <w:vAlign w:val="center"/>
                </w:tcPr>
                <w:p w14:paraId="451893C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7E112989">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9E17CD7">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zh-CN" w:bidi="ar-SA"/>
                    </w:rPr>
                    <w:t>1</w:t>
                  </w:r>
                </w:p>
              </w:tc>
              <w:tc>
                <w:tcPr>
                  <w:tcW w:w="492" w:type="pct"/>
                  <w:shd w:val="clear" w:color="auto" w:fill="auto"/>
                  <w:vAlign w:val="center"/>
                </w:tcPr>
                <w:p w14:paraId="3B8DE236">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kern w:val="2"/>
                      <w:sz w:val="21"/>
                      <w:szCs w:val="21"/>
                      <w:lang w:val="en-US" w:eastAsia="zh-CN" w:bidi="ar-SA"/>
                    </w:rPr>
                    <w:t>1</w:t>
                  </w:r>
                </w:p>
              </w:tc>
              <w:tc>
                <w:tcPr>
                  <w:tcW w:w="533" w:type="pct"/>
                  <w:vMerge w:val="continue"/>
                  <w:shd w:val="clear" w:color="auto" w:fill="auto"/>
                  <w:vAlign w:val="center"/>
                </w:tcPr>
                <w:p w14:paraId="09A99BE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49BD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AF853D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w:t>
                  </w:r>
                </w:p>
              </w:tc>
              <w:tc>
                <w:tcPr>
                  <w:tcW w:w="940" w:type="pct"/>
                  <w:shd w:val="clear" w:color="auto" w:fill="auto"/>
                  <w:vAlign w:val="center"/>
                </w:tcPr>
                <w:p w14:paraId="64AC4F6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珍珠岩输送系统</w:t>
                  </w:r>
                </w:p>
              </w:tc>
              <w:tc>
                <w:tcPr>
                  <w:tcW w:w="1188" w:type="pct"/>
                  <w:shd w:val="clear" w:color="auto" w:fill="auto"/>
                  <w:vAlign w:val="center"/>
                </w:tcPr>
                <w:p w14:paraId="1E11FA1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KL-3000</w:t>
                  </w:r>
                </w:p>
              </w:tc>
              <w:tc>
                <w:tcPr>
                  <w:tcW w:w="465" w:type="pct"/>
                  <w:shd w:val="clear" w:color="auto" w:fill="auto"/>
                  <w:vAlign w:val="center"/>
                </w:tcPr>
                <w:p w14:paraId="62673B8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4633A382">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2EC45F5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53C30AF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3DA1370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53463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6B3E9B4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10-1</w:t>
                  </w:r>
                </w:p>
              </w:tc>
              <w:tc>
                <w:tcPr>
                  <w:tcW w:w="940" w:type="pct"/>
                  <w:shd w:val="clear" w:color="auto" w:fill="auto"/>
                  <w:vAlign w:val="center"/>
                </w:tcPr>
                <w:p w14:paraId="09BBD12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珍珠岩料仓</w:t>
                  </w:r>
                </w:p>
              </w:tc>
              <w:tc>
                <w:tcPr>
                  <w:tcW w:w="1188" w:type="pct"/>
                  <w:shd w:val="clear" w:color="auto" w:fill="auto"/>
                  <w:vAlign w:val="center"/>
                </w:tcPr>
                <w:p w14:paraId="2D6980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KL-MH</w:t>
                  </w:r>
                </w:p>
              </w:tc>
              <w:tc>
                <w:tcPr>
                  <w:tcW w:w="465" w:type="pct"/>
                  <w:shd w:val="clear" w:color="auto" w:fill="auto"/>
                  <w:vAlign w:val="center"/>
                </w:tcPr>
                <w:p w14:paraId="7AB2039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26A24D57">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406562B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50727A6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75D7AD7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4638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1D154A3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10-2</w:t>
                  </w:r>
                </w:p>
              </w:tc>
              <w:tc>
                <w:tcPr>
                  <w:tcW w:w="940" w:type="pct"/>
                  <w:shd w:val="clear" w:color="auto" w:fill="auto"/>
                  <w:vAlign w:val="center"/>
                </w:tcPr>
                <w:p w14:paraId="6133F5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珍珠岩提升机</w:t>
                  </w:r>
                </w:p>
              </w:tc>
              <w:tc>
                <w:tcPr>
                  <w:tcW w:w="1188" w:type="pct"/>
                  <w:shd w:val="clear" w:color="auto" w:fill="auto"/>
                  <w:vAlign w:val="center"/>
                </w:tcPr>
                <w:p w14:paraId="7C90107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TSJ-2000</w:t>
                  </w:r>
                </w:p>
              </w:tc>
              <w:tc>
                <w:tcPr>
                  <w:tcW w:w="465" w:type="pct"/>
                  <w:shd w:val="clear" w:color="auto" w:fill="auto"/>
                  <w:vAlign w:val="center"/>
                </w:tcPr>
                <w:p w14:paraId="140C55D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3F56412F">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FB444E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0112EB0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0F5C0CD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2BFD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ED356E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10-3</w:t>
                  </w:r>
                </w:p>
              </w:tc>
              <w:tc>
                <w:tcPr>
                  <w:tcW w:w="940" w:type="pct"/>
                  <w:shd w:val="clear" w:color="auto" w:fill="auto"/>
                  <w:vAlign w:val="center"/>
                </w:tcPr>
                <w:p w14:paraId="33F6055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珍珠岩定量料仓</w:t>
                  </w:r>
                </w:p>
              </w:tc>
              <w:tc>
                <w:tcPr>
                  <w:tcW w:w="1188" w:type="pct"/>
                  <w:shd w:val="clear" w:color="auto" w:fill="auto"/>
                  <w:vAlign w:val="center"/>
                </w:tcPr>
                <w:p w14:paraId="73BC4E8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KLLC-1.0M</w:t>
                  </w:r>
                </w:p>
              </w:tc>
              <w:tc>
                <w:tcPr>
                  <w:tcW w:w="465" w:type="pct"/>
                  <w:shd w:val="clear" w:color="auto" w:fill="auto"/>
                  <w:vAlign w:val="center"/>
                </w:tcPr>
                <w:p w14:paraId="13AE0F5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0A7572F0">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296E903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7161AE6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71F00D0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253CA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6799DD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10-4</w:t>
                  </w:r>
                </w:p>
              </w:tc>
              <w:tc>
                <w:tcPr>
                  <w:tcW w:w="940" w:type="pct"/>
                  <w:shd w:val="clear" w:color="auto" w:fill="auto"/>
                  <w:vAlign w:val="center"/>
                </w:tcPr>
                <w:p w14:paraId="4B8DCA6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珍珠岩定量螺旋</w:t>
                  </w:r>
                </w:p>
              </w:tc>
              <w:tc>
                <w:tcPr>
                  <w:tcW w:w="1188" w:type="pct"/>
                  <w:shd w:val="clear" w:color="auto" w:fill="auto"/>
                  <w:vAlign w:val="center"/>
                </w:tcPr>
                <w:p w14:paraId="2E74A1F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KLLX-159</w:t>
                  </w:r>
                </w:p>
              </w:tc>
              <w:tc>
                <w:tcPr>
                  <w:tcW w:w="465" w:type="pct"/>
                  <w:shd w:val="clear" w:color="auto" w:fill="auto"/>
                  <w:vAlign w:val="center"/>
                </w:tcPr>
                <w:p w14:paraId="11074F3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6F643BA4">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25BD56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7731F01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321FBEF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29BAB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CC002C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10-5</w:t>
                  </w:r>
                </w:p>
              </w:tc>
              <w:tc>
                <w:tcPr>
                  <w:tcW w:w="940" w:type="pct"/>
                  <w:shd w:val="clear" w:color="auto" w:fill="auto"/>
                  <w:vAlign w:val="center"/>
                </w:tcPr>
                <w:p w14:paraId="28CDD05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真空上料机</w:t>
                  </w:r>
                </w:p>
              </w:tc>
              <w:tc>
                <w:tcPr>
                  <w:tcW w:w="1188" w:type="pct"/>
                  <w:shd w:val="clear" w:color="auto" w:fill="auto"/>
                  <w:vAlign w:val="center"/>
                </w:tcPr>
                <w:p w14:paraId="065C8FB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position w:val="-3"/>
                      <w:sz w:val="21"/>
                      <w:szCs w:val="21"/>
                    </w:rPr>
                    <w:t>KL-FG</w:t>
                  </w:r>
                </w:p>
              </w:tc>
              <w:tc>
                <w:tcPr>
                  <w:tcW w:w="465" w:type="pct"/>
                  <w:shd w:val="clear" w:color="auto" w:fill="auto"/>
                  <w:vAlign w:val="center"/>
                </w:tcPr>
                <w:p w14:paraId="1396311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41AF10BC">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4158262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41DE5D2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225095B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C936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416191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11</w:t>
                  </w:r>
                </w:p>
              </w:tc>
              <w:tc>
                <w:tcPr>
                  <w:tcW w:w="940" w:type="pct"/>
                  <w:shd w:val="clear" w:color="auto" w:fill="auto"/>
                  <w:vAlign w:val="center"/>
                </w:tcPr>
                <w:p w14:paraId="04F4FB7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散药皮带输送机</w:t>
                  </w:r>
                </w:p>
              </w:tc>
              <w:tc>
                <w:tcPr>
                  <w:tcW w:w="1188" w:type="pct"/>
                  <w:shd w:val="clear" w:color="auto" w:fill="auto"/>
                  <w:vAlign w:val="center"/>
                </w:tcPr>
                <w:p w14:paraId="5535B2E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CF1.5-31.6-6(P)8t/h</w:t>
                  </w:r>
                </w:p>
              </w:tc>
              <w:tc>
                <w:tcPr>
                  <w:tcW w:w="465" w:type="pct"/>
                  <w:shd w:val="clear" w:color="auto" w:fill="auto"/>
                  <w:vAlign w:val="center"/>
                </w:tcPr>
                <w:p w14:paraId="025849F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751B46B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7FECA03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66A396D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6F2C38D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0CF7C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2CFCC8F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12</w:t>
                  </w:r>
                </w:p>
              </w:tc>
              <w:tc>
                <w:tcPr>
                  <w:tcW w:w="940" w:type="pct"/>
                  <w:shd w:val="clear" w:color="auto" w:fill="auto"/>
                  <w:vAlign w:val="center"/>
                </w:tcPr>
                <w:p w14:paraId="77DE285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倍速链</w:t>
                  </w:r>
                </w:p>
              </w:tc>
              <w:tc>
                <w:tcPr>
                  <w:tcW w:w="1188" w:type="pct"/>
                  <w:shd w:val="clear" w:color="auto" w:fill="auto"/>
                  <w:vAlign w:val="center"/>
                </w:tcPr>
                <w:p w14:paraId="64CE89A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3BS-18000/6200</w:t>
                  </w:r>
                </w:p>
              </w:tc>
              <w:tc>
                <w:tcPr>
                  <w:tcW w:w="465" w:type="pct"/>
                  <w:shd w:val="clear" w:color="auto" w:fill="auto"/>
                  <w:vAlign w:val="center"/>
                </w:tcPr>
                <w:p w14:paraId="60E94F0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19A4F8F">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A137C9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64BB1E8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05220B0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8872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B9D017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13</w:t>
                  </w:r>
                </w:p>
              </w:tc>
              <w:tc>
                <w:tcPr>
                  <w:tcW w:w="940" w:type="pct"/>
                  <w:shd w:val="clear" w:color="auto" w:fill="auto"/>
                  <w:vAlign w:val="center"/>
                </w:tcPr>
                <w:p w14:paraId="2B4D1DF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乳化炸药装药机</w:t>
                  </w:r>
                </w:p>
              </w:tc>
              <w:tc>
                <w:tcPr>
                  <w:tcW w:w="1188" w:type="pct"/>
                  <w:shd w:val="clear" w:color="auto" w:fill="auto"/>
                  <w:vAlign w:val="center"/>
                </w:tcPr>
                <w:p w14:paraId="31FEB15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position w:val="-2"/>
                      <w:sz w:val="21"/>
                      <w:szCs w:val="21"/>
                    </w:rPr>
                    <w:t>LRD</w:t>
                  </w:r>
                </w:p>
              </w:tc>
              <w:tc>
                <w:tcPr>
                  <w:tcW w:w="465" w:type="pct"/>
                  <w:shd w:val="clear" w:color="auto" w:fill="auto"/>
                  <w:vAlign w:val="center"/>
                </w:tcPr>
                <w:p w14:paraId="24DEE25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30C1070">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266CBCF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36C100C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773499B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DC06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6415B46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14</w:t>
                  </w:r>
                </w:p>
              </w:tc>
              <w:tc>
                <w:tcPr>
                  <w:tcW w:w="940" w:type="pct"/>
                  <w:shd w:val="clear" w:color="auto" w:fill="auto"/>
                  <w:vAlign w:val="center"/>
                </w:tcPr>
                <w:p w14:paraId="5941BFF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上壳机</w:t>
                  </w:r>
                </w:p>
              </w:tc>
              <w:tc>
                <w:tcPr>
                  <w:tcW w:w="1188" w:type="pct"/>
                  <w:shd w:val="clear" w:color="auto" w:fill="auto"/>
                  <w:vAlign w:val="center"/>
                </w:tcPr>
                <w:p w14:paraId="02F73BD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3"/>
                      <w:sz w:val="21"/>
                      <w:szCs w:val="21"/>
                    </w:rPr>
                    <w:t>RZY60-15G</w:t>
                  </w:r>
                </w:p>
              </w:tc>
              <w:tc>
                <w:tcPr>
                  <w:tcW w:w="465" w:type="pct"/>
                  <w:shd w:val="clear" w:color="auto" w:fill="auto"/>
                  <w:vAlign w:val="center"/>
                </w:tcPr>
                <w:p w14:paraId="43194C8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1AE3A796">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E39B36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63814EC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04951A1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BDE6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1A84868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15</w:t>
                  </w:r>
                </w:p>
              </w:tc>
              <w:tc>
                <w:tcPr>
                  <w:tcW w:w="940" w:type="pct"/>
                  <w:shd w:val="clear" w:color="auto" w:fill="auto"/>
                  <w:vAlign w:val="center"/>
                </w:tcPr>
                <w:p w14:paraId="43D638C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称重检测机</w:t>
                  </w:r>
                </w:p>
              </w:tc>
              <w:tc>
                <w:tcPr>
                  <w:tcW w:w="1188" w:type="pct"/>
                  <w:shd w:val="clear" w:color="auto" w:fill="auto"/>
                  <w:vAlign w:val="center"/>
                </w:tcPr>
                <w:p w14:paraId="5E6F4BF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RZY60-1-2KG</w:t>
                  </w:r>
                </w:p>
              </w:tc>
              <w:tc>
                <w:tcPr>
                  <w:tcW w:w="465" w:type="pct"/>
                  <w:shd w:val="clear" w:color="auto" w:fill="auto"/>
                  <w:vAlign w:val="center"/>
                </w:tcPr>
                <w:p w14:paraId="26CD3FB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7EA51209">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6D1F2F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67CD7A9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6A05EDD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1A6F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2CA5395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16</w:t>
                  </w:r>
                </w:p>
              </w:tc>
              <w:tc>
                <w:tcPr>
                  <w:tcW w:w="940" w:type="pct"/>
                  <w:shd w:val="clear" w:color="auto" w:fill="auto"/>
                  <w:vAlign w:val="center"/>
                </w:tcPr>
                <w:p w14:paraId="7DF0B8C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压盖机</w:t>
                  </w:r>
                </w:p>
              </w:tc>
              <w:tc>
                <w:tcPr>
                  <w:tcW w:w="1188" w:type="pct"/>
                  <w:shd w:val="clear" w:color="auto" w:fill="auto"/>
                  <w:vAlign w:val="center"/>
                </w:tcPr>
                <w:p w14:paraId="7A18794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RZY60-1-2-15</w:t>
                  </w:r>
                </w:p>
              </w:tc>
              <w:tc>
                <w:tcPr>
                  <w:tcW w:w="465" w:type="pct"/>
                  <w:shd w:val="clear" w:color="auto" w:fill="auto"/>
                  <w:vAlign w:val="center"/>
                </w:tcPr>
                <w:p w14:paraId="29C8AAA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77A7394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A356AF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64E37E4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69B65F1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8034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BB7516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17</w:t>
                  </w:r>
                </w:p>
              </w:tc>
              <w:tc>
                <w:tcPr>
                  <w:tcW w:w="940" w:type="pct"/>
                  <w:shd w:val="clear" w:color="auto" w:fill="auto"/>
                  <w:vAlign w:val="center"/>
                </w:tcPr>
                <w:p w14:paraId="0C6BC23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擦药机</w:t>
                  </w:r>
                </w:p>
              </w:tc>
              <w:tc>
                <w:tcPr>
                  <w:tcW w:w="1188" w:type="pct"/>
                  <w:shd w:val="clear" w:color="auto" w:fill="auto"/>
                  <w:vAlign w:val="center"/>
                </w:tcPr>
                <w:p w14:paraId="3CDFE91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R400-250</w:t>
                  </w:r>
                </w:p>
              </w:tc>
              <w:tc>
                <w:tcPr>
                  <w:tcW w:w="465" w:type="pct"/>
                  <w:shd w:val="clear" w:color="auto" w:fill="auto"/>
                  <w:vAlign w:val="center"/>
                </w:tcPr>
                <w:p w14:paraId="2680614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0686878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F202BC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58364D0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4A19129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2B55B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24D622B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18</w:t>
                  </w:r>
                </w:p>
              </w:tc>
              <w:tc>
                <w:tcPr>
                  <w:tcW w:w="940" w:type="pct"/>
                  <w:shd w:val="clear" w:color="auto" w:fill="auto"/>
                  <w:vAlign w:val="center"/>
                </w:tcPr>
                <w:p w14:paraId="7144D53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抓式抓取机</w:t>
                  </w:r>
                </w:p>
              </w:tc>
              <w:tc>
                <w:tcPr>
                  <w:tcW w:w="1188" w:type="pct"/>
                  <w:shd w:val="clear" w:color="auto" w:fill="auto"/>
                  <w:vAlign w:val="center"/>
                </w:tcPr>
                <w:p w14:paraId="0E56BA3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RY60-15</w:t>
                  </w:r>
                </w:p>
              </w:tc>
              <w:tc>
                <w:tcPr>
                  <w:tcW w:w="465" w:type="pct"/>
                  <w:shd w:val="clear" w:color="auto" w:fill="auto"/>
                  <w:vAlign w:val="center"/>
                </w:tcPr>
                <w:p w14:paraId="4725665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63A2FA7A">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46F00A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4D5E77D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5607DFF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5625F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C43F38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sz w:val="21"/>
                      <w:szCs w:val="21"/>
                    </w:rPr>
                    <w:t>19</w:t>
                  </w:r>
                </w:p>
              </w:tc>
              <w:tc>
                <w:tcPr>
                  <w:tcW w:w="940" w:type="pct"/>
                  <w:shd w:val="clear" w:color="auto" w:fill="auto"/>
                  <w:vAlign w:val="center"/>
                </w:tcPr>
                <w:p w14:paraId="66C066E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雷管座抓取放料机</w:t>
                  </w:r>
                </w:p>
              </w:tc>
              <w:tc>
                <w:tcPr>
                  <w:tcW w:w="1188" w:type="pct"/>
                  <w:shd w:val="clear" w:color="auto" w:fill="auto"/>
                  <w:vAlign w:val="center"/>
                </w:tcPr>
                <w:p w14:paraId="2B94C63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R60-125-15</w:t>
                  </w:r>
                </w:p>
              </w:tc>
              <w:tc>
                <w:tcPr>
                  <w:tcW w:w="465" w:type="pct"/>
                  <w:shd w:val="clear" w:color="auto" w:fill="auto"/>
                  <w:vAlign w:val="center"/>
                </w:tcPr>
                <w:p w14:paraId="15AA334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6A98B38D">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848D27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3491A7B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1C3492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B8AA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F6A16B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20</w:t>
                  </w:r>
                </w:p>
              </w:tc>
              <w:tc>
                <w:tcPr>
                  <w:tcW w:w="940" w:type="pct"/>
                  <w:shd w:val="clear" w:color="auto" w:fill="auto"/>
                  <w:vAlign w:val="center"/>
                </w:tcPr>
                <w:p w14:paraId="061731A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雷管座输送机</w:t>
                  </w:r>
                </w:p>
              </w:tc>
              <w:tc>
                <w:tcPr>
                  <w:tcW w:w="1188" w:type="pct"/>
                  <w:shd w:val="clear" w:color="auto" w:fill="auto"/>
                  <w:vAlign w:val="center"/>
                </w:tcPr>
                <w:p w14:paraId="52274F0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R60-125</w:t>
                  </w:r>
                </w:p>
              </w:tc>
              <w:tc>
                <w:tcPr>
                  <w:tcW w:w="465" w:type="pct"/>
                  <w:shd w:val="clear" w:color="auto" w:fill="auto"/>
                  <w:vAlign w:val="center"/>
                </w:tcPr>
                <w:p w14:paraId="28056FD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2260EBD2">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7DA9746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17AD6ED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397CF42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7719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F2CB23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21</w:t>
                  </w:r>
                </w:p>
              </w:tc>
              <w:tc>
                <w:tcPr>
                  <w:tcW w:w="940" w:type="pct"/>
                  <w:shd w:val="clear" w:color="auto" w:fill="auto"/>
                  <w:vAlign w:val="center"/>
                </w:tcPr>
                <w:p w14:paraId="644D11B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雷管座自动整理送料机</w:t>
                  </w:r>
                </w:p>
              </w:tc>
              <w:tc>
                <w:tcPr>
                  <w:tcW w:w="1188" w:type="pct"/>
                  <w:shd w:val="clear" w:color="auto" w:fill="auto"/>
                  <w:vAlign w:val="center"/>
                </w:tcPr>
                <w:p w14:paraId="1A29FB2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RK-300</w:t>
                  </w:r>
                </w:p>
              </w:tc>
              <w:tc>
                <w:tcPr>
                  <w:tcW w:w="465" w:type="pct"/>
                  <w:shd w:val="clear" w:color="auto" w:fill="auto"/>
                  <w:vAlign w:val="center"/>
                </w:tcPr>
                <w:p w14:paraId="444C761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756774E7">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C569EB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30B291C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1EE779A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3E7B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3A1FE93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22</w:t>
                  </w:r>
                </w:p>
              </w:tc>
              <w:tc>
                <w:tcPr>
                  <w:tcW w:w="940" w:type="pct"/>
                  <w:shd w:val="clear" w:color="auto" w:fill="auto"/>
                  <w:vAlign w:val="center"/>
                </w:tcPr>
                <w:p w14:paraId="405EAA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雷管座提升机</w:t>
                  </w:r>
                </w:p>
              </w:tc>
              <w:tc>
                <w:tcPr>
                  <w:tcW w:w="1188" w:type="pct"/>
                  <w:shd w:val="clear" w:color="auto" w:fill="auto"/>
                  <w:vAlign w:val="center"/>
                </w:tcPr>
                <w:p w14:paraId="3A87026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RKL-800</w:t>
                  </w:r>
                </w:p>
              </w:tc>
              <w:tc>
                <w:tcPr>
                  <w:tcW w:w="465" w:type="pct"/>
                  <w:shd w:val="clear" w:color="auto" w:fill="auto"/>
                  <w:vAlign w:val="center"/>
                </w:tcPr>
                <w:p w14:paraId="66F01AB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B9C8186">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4613D8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10282DD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7D26A32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64ADC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6BD18A0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23</w:t>
                  </w:r>
                </w:p>
              </w:tc>
              <w:tc>
                <w:tcPr>
                  <w:tcW w:w="940" w:type="pct"/>
                  <w:shd w:val="clear" w:color="auto" w:fill="auto"/>
                  <w:vAlign w:val="center"/>
                </w:tcPr>
                <w:p w14:paraId="3B00F9B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药柱分流输送皮带机</w:t>
                  </w:r>
                </w:p>
              </w:tc>
              <w:tc>
                <w:tcPr>
                  <w:tcW w:w="1188" w:type="pct"/>
                  <w:shd w:val="clear" w:color="auto" w:fill="auto"/>
                  <w:vAlign w:val="center"/>
                </w:tcPr>
                <w:p w14:paraId="0CD85DD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YZPD1500-4</w:t>
                  </w:r>
                </w:p>
              </w:tc>
              <w:tc>
                <w:tcPr>
                  <w:tcW w:w="465" w:type="pct"/>
                  <w:shd w:val="clear" w:color="auto" w:fill="auto"/>
                  <w:vAlign w:val="center"/>
                </w:tcPr>
                <w:p w14:paraId="2C9CC99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2483C5A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A6DB35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0AD21F1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4843B61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C023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289F3E1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24</w:t>
                  </w:r>
                </w:p>
              </w:tc>
              <w:tc>
                <w:tcPr>
                  <w:tcW w:w="940" w:type="pct"/>
                  <w:shd w:val="clear" w:color="auto" w:fill="auto"/>
                  <w:vAlign w:val="center"/>
                </w:tcPr>
                <w:p w14:paraId="602484C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板式抓取机</w:t>
                  </w:r>
                </w:p>
              </w:tc>
              <w:tc>
                <w:tcPr>
                  <w:tcW w:w="1188" w:type="pct"/>
                  <w:shd w:val="clear" w:color="auto" w:fill="auto"/>
                  <w:vAlign w:val="center"/>
                </w:tcPr>
                <w:p w14:paraId="297A15F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1"/>
                      <w:sz w:val="21"/>
                      <w:szCs w:val="21"/>
                    </w:rPr>
                    <w:t>BZQ-15Z</w:t>
                  </w:r>
                </w:p>
              </w:tc>
              <w:tc>
                <w:tcPr>
                  <w:tcW w:w="465" w:type="pct"/>
                  <w:shd w:val="clear" w:color="auto" w:fill="auto"/>
                  <w:vAlign w:val="center"/>
                </w:tcPr>
                <w:p w14:paraId="18A4958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463122C">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008E80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23A3557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6348F79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FACC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3C3B93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25</w:t>
                  </w:r>
                </w:p>
              </w:tc>
              <w:tc>
                <w:tcPr>
                  <w:tcW w:w="940" w:type="pct"/>
                  <w:shd w:val="clear" w:color="auto" w:fill="auto"/>
                  <w:vAlign w:val="center"/>
                </w:tcPr>
                <w:p w14:paraId="3464D5D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自动封口连接套装配一体机</w:t>
                  </w:r>
                </w:p>
              </w:tc>
              <w:tc>
                <w:tcPr>
                  <w:tcW w:w="1188" w:type="pct"/>
                  <w:shd w:val="clear" w:color="auto" w:fill="auto"/>
                  <w:vAlign w:val="center"/>
                </w:tcPr>
                <w:p w14:paraId="7D2BC11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RY60-680</w:t>
                  </w:r>
                </w:p>
              </w:tc>
              <w:tc>
                <w:tcPr>
                  <w:tcW w:w="465" w:type="pct"/>
                  <w:shd w:val="clear" w:color="auto" w:fill="auto"/>
                  <w:vAlign w:val="center"/>
                </w:tcPr>
                <w:p w14:paraId="08DAB51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0039F4CD">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C1151A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2E91E29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59A503E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F610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B6A355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26</w:t>
                  </w:r>
                </w:p>
              </w:tc>
              <w:tc>
                <w:tcPr>
                  <w:tcW w:w="940" w:type="pct"/>
                  <w:shd w:val="clear" w:color="auto" w:fill="auto"/>
                  <w:vAlign w:val="center"/>
                </w:tcPr>
                <w:p w14:paraId="3143524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提升皮带输送机</w:t>
                  </w:r>
                </w:p>
              </w:tc>
              <w:tc>
                <w:tcPr>
                  <w:tcW w:w="1188" w:type="pct"/>
                  <w:shd w:val="clear" w:color="auto" w:fill="auto"/>
                  <w:vAlign w:val="center"/>
                </w:tcPr>
                <w:p w14:paraId="11F38AA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TS-800</w:t>
                  </w:r>
                </w:p>
              </w:tc>
              <w:tc>
                <w:tcPr>
                  <w:tcW w:w="465" w:type="pct"/>
                  <w:shd w:val="clear" w:color="auto" w:fill="auto"/>
                  <w:vAlign w:val="center"/>
                </w:tcPr>
                <w:p w14:paraId="3D4A22B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23E435C">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A9BE94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14C1E22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6181F49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21D1D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DF89D7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27</w:t>
                  </w:r>
                </w:p>
              </w:tc>
              <w:tc>
                <w:tcPr>
                  <w:tcW w:w="940" w:type="pct"/>
                  <w:shd w:val="clear" w:color="auto" w:fill="auto"/>
                  <w:vAlign w:val="center"/>
                </w:tcPr>
                <w:p w14:paraId="4AFA336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喷码皮带输送机</w:t>
                  </w:r>
                </w:p>
              </w:tc>
              <w:tc>
                <w:tcPr>
                  <w:tcW w:w="1188" w:type="pct"/>
                  <w:shd w:val="clear" w:color="auto" w:fill="auto"/>
                  <w:vAlign w:val="center"/>
                </w:tcPr>
                <w:p w14:paraId="4057BBA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PM-200</w:t>
                  </w:r>
                </w:p>
              </w:tc>
              <w:tc>
                <w:tcPr>
                  <w:tcW w:w="465" w:type="pct"/>
                  <w:shd w:val="clear" w:color="auto" w:fill="auto"/>
                  <w:vAlign w:val="center"/>
                </w:tcPr>
                <w:p w14:paraId="53A2C7D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2DB83FF5">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173866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shd w:val="clear" w:color="auto" w:fill="auto"/>
                  <w:vAlign w:val="center"/>
                </w:tcPr>
                <w:p w14:paraId="7AC9A7D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shd w:val="clear" w:color="auto" w:fill="auto"/>
                  <w:vAlign w:val="center"/>
                </w:tcPr>
                <w:p w14:paraId="1441CD6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7DC3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BB4604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28</w:t>
                  </w:r>
                </w:p>
              </w:tc>
              <w:tc>
                <w:tcPr>
                  <w:tcW w:w="940" w:type="pct"/>
                  <w:shd w:val="clear" w:color="auto" w:fill="auto"/>
                  <w:vAlign w:val="center"/>
                </w:tcPr>
                <w:p w14:paraId="0D75174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喷码机</w:t>
                  </w:r>
                </w:p>
              </w:tc>
              <w:tc>
                <w:tcPr>
                  <w:tcW w:w="1188" w:type="pct"/>
                  <w:shd w:val="clear" w:color="auto" w:fill="auto"/>
                  <w:vAlign w:val="center"/>
                </w:tcPr>
                <w:p w14:paraId="55AA263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非标</w:t>
                  </w:r>
                </w:p>
              </w:tc>
              <w:tc>
                <w:tcPr>
                  <w:tcW w:w="465" w:type="pct"/>
                  <w:shd w:val="clear" w:color="auto" w:fill="auto"/>
                  <w:vAlign w:val="center"/>
                </w:tcPr>
                <w:p w14:paraId="72FF3F0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4372A1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0C028A0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512BB48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50647C9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12F4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60E0BBC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29</w:t>
                  </w:r>
                </w:p>
              </w:tc>
              <w:tc>
                <w:tcPr>
                  <w:tcW w:w="940" w:type="pct"/>
                  <w:shd w:val="clear" w:color="auto" w:fill="auto"/>
                  <w:vAlign w:val="center"/>
                </w:tcPr>
                <w:p w14:paraId="539A8D9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成品药柱输送机</w:t>
                  </w:r>
                </w:p>
              </w:tc>
              <w:tc>
                <w:tcPr>
                  <w:tcW w:w="1188" w:type="pct"/>
                  <w:shd w:val="clear" w:color="auto" w:fill="auto"/>
                  <w:vAlign w:val="center"/>
                </w:tcPr>
                <w:p w14:paraId="6A1264D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YZLB-800</w:t>
                  </w:r>
                </w:p>
              </w:tc>
              <w:tc>
                <w:tcPr>
                  <w:tcW w:w="465" w:type="pct"/>
                  <w:shd w:val="clear" w:color="auto" w:fill="auto"/>
                  <w:vAlign w:val="center"/>
                </w:tcPr>
                <w:p w14:paraId="3C640AB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B160F32">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B3BF68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3F617D0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7F33FEE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3354A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1E96DE3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30</w:t>
                  </w:r>
                </w:p>
              </w:tc>
              <w:tc>
                <w:tcPr>
                  <w:tcW w:w="940" w:type="pct"/>
                  <w:shd w:val="clear" w:color="auto" w:fill="auto"/>
                  <w:vAlign w:val="center"/>
                </w:tcPr>
                <w:p w14:paraId="040D8B7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机器人装箱系统</w:t>
                  </w:r>
                </w:p>
              </w:tc>
              <w:tc>
                <w:tcPr>
                  <w:tcW w:w="1188" w:type="pct"/>
                  <w:shd w:val="clear" w:color="auto" w:fill="auto"/>
                  <w:vAlign w:val="center"/>
                </w:tcPr>
                <w:p w14:paraId="15589BD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position w:val="-3"/>
                      <w:sz w:val="21"/>
                      <w:szCs w:val="21"/>
                    </w:rPr>
                    <w:t>RGZX</w:t>
                  </w:r>
                </w:p>
              </w:tc>
              <w:tc>
                <w:tcPr>
                  <w:tcW w:w="465" w:type="pct"/>
                  <w:shd w:val="clear" w:color="auto" w:fill="auto"/>
                  <w:vAlign w:val="center"/>
                </w:tcPr>
                <w:p w14:paraId="36C7A93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56C5186">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005720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61F721B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70BD9E9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D834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47F3581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31</w:t>
                  </w:r>
                </w:p>
              </w:tc>
              <w:tc>
                <w:tcPr>
                  <w:tcW w:w="940" w:type="pct"/>
                  <w:shd w:val="clear" w:color="auto" w:fill="auto"/>
                  <w:vAlign w:val="center"/>
                </w:tcPr>
                <w:p w14:paraId="353FFE7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封箱机</w:t>
                  </w:r>
                </w:p>
              </w:tc>
              <w:tc>
                <w:tcPr>
                  <w:tcW w:w="1188" w:type="pct"/>
                  <w:shd w:val="clear" w:color="auto" w:fill="auto"/>
                  <w:vAlign w:val="center"/>
                </w:tcPr>
                <w:p w14:paraId="336A99B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FX5045</w:t>
                  </w:r>
                </w:p>
              </w:tc>
              <w:tc>
                <w:tcPr>
                  <w:tcW w:w="465" w:type="pct"/>
                  <w:shd w:val="clear" w:color="auto" w:fill="auto"/>
                  <w:vAlign w:val="center"/>
                </w:tcPr>
                <w:p w14:paraId="0F01829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51C50B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77D8AD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shd w:val="clear" w:color="auto" w:fill="auto"/>
                  <w:vAlign w:val="center"/>
                </w:tcPr>
                <w:p w14:paraId="71D6CB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shd w:val="clear" w:color="auto" w:fill="auto"/>
                  <w:vAlign w:val="center"/>
                </w:tcPr>
                <w:p w14:paraId="426D30C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3B7A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09DA14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32</w:t>
                  </w:r>
                </w:p>
              </w:tc>
              <w:tc>
                <w:tcPr>
                  <w:tcW w:w="940" w:type="pct"/>
                  <w:shd w:val="clear" w:color="auto" w:fill="auto"/>
                  <w:vAlign w:val="center"/>
                </w:tcPr>
                <w:p w14:paraId="370B453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纸箱捆扎机</w:t>
                  </w:r>
                </w:p>
              </w:tc>
              <w:tc>
                <w:tcPr>
                  <w:tcW w:w="1188" w:type="pct"/>
                  <w:shd w:val="clear" w:color="auto" w:fill="auto"/>
                  <w:vAlign w:val="center"/>
                </w:tcPr>
                <w:p w14:paraId="250E6E0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3"/>
                      <w:sz w:val="21"/>
                      <w:szCs w:val="21"/>
                    </w:rPr>
                    <w:t>MH-101B</w:t>
                  </w:r>
                </w:p>
              </w:tc>
              <w:tc>
                <w:tcPr>
                  <w:tcW w:w="465" w:type="pct"/>
                  <w:shd w:val="clear" w:color="auto" w:fill="auto"/>
                  <w:vAlign w:val="center"/>
                </w:tcPr>
                <w:p w14:paraId="5E4B923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F838B50">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642DB09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492" w:type="pct"/>
                  <w:vAlign w:val="center"/>
                </w:tcPr>
                <w:p w14:paraId="2E5EA56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2</w:t>
                  </w:r>
                </w:p>
              </w:tc>
              <w:tc>
                <w:tcPr>
                  <w:tcW w:w="533" w:type="pct"/>
                  <w:vMerge w:val="continue"/>
                  <w:vAlign w:val="center"/>
                </w:tcPr>
                <w:p w14:paraId="5116D05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C426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30524D9C">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33</w:t>
                  </w:r>
                </w:p>
              </w:tc>
              <w:tc>
                <w:tcPr>
                  <w:tcW w:w="940" w:type="pct"/>
                  <w:shd w:val="clear" w:color="auto" w:fill="auto"/>
                  <w:vAlign w:val="center"/>
                </w:tcPr>
                <w:p w14:paraId="1E1891D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成品纸箱输送机</w:t>
                  </w:r>
                </w:p>
              </w:tc>
              <w:tc>
                <w:tcPr>
                  <w:tcW w:w="1188" w:type="pct"/>
                  <w:shd w:val="clear" w:color="auto" w:fill="auto"/>
                  <w:vAlign w:val="center"/>
                </w:tcPr>
                <w:p w14:paraId="62DC6BB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ZG50-900</w:t>
                  </w:r>
                </w:p>
              </w:tc>
              <w:tc>
                <w:tcPr>
                  <w:tcW w:w="465" w:type="pct"/>
                  <w:shd w:val="clear" w:color="auto" w:fill="auto"/>
                  <w:vAlign w:val="center"/>
                </w:tcPr>
                <w:p w14:paraId="7B1812D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2DEE88C2">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72D195C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1A9EF58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05CCF73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5A4E6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15A8EF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34</w:t>
                  </w:r>
                </w:p>
              </w:tc>
              <w:tc>
                <w:tcPr>
                  <w:tcW w:w="940" w:type="pct"/>
                  <w:shd w:val="clear" w:color="auto" w:fill="auto"/>
                  <w:vAlign w:val="center"/>
                </w:tcPr>
                <w:p w14:paraId="54C8E04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成品纸箱喷码贴标</w:t>
                  </w:r>
                </w:p>
              </w:tc>
              <w:tc>
                <w:tcPr>
                  <w:tcW w:w="1188" w:type="pct"/>
                  <w:shd w:val="clear" w:color="auto" w:fill="auto"/>
                  <w:vAlign w:val="center"/>
                </w:tcPr>
                <w:p w14:paraId="6E0B1A9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非标</w:t>
                  </w:r>
                </w:p>
              </w:tc>
              <w:tc>
                <w:tcPr>
                  <w:tcW w:w="465" w:type="pct"/>
                  <w:shd w:val="clear" w:color="auto" w:fill="auto"/>
                  <w:vAlign w:val="center"/>
                </w:tcPr>
                <w:p w14:paraId="1AFB8E2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3738DA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69AB95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4C4C02F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6A06465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5087C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0637419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35</w:t>
                  </w:r>
                </w:p>
              </w:tc>
              <w:tc>
                <w:tcPr>
                  <w:tcW w:w="940" w:type="pct"/>
                  <w:shd w:val="clear" w:color="auto" w:fill="auto"/>
                  <w:vAlign w:val="center"/>
                </w:tcPr>
                <w:p w14:paraId="61C7488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机器人开箱系统</w:t>
                  </w:r>
                </w:p>
              </w:tc>
              <w:tc>
                <w:tcPr>
                  <w:tcW w:w="1188" w:type="pct"/>
                  <w:shd w:val="clear" w:color="auto" w:fill="auto"/>
                  <w:vAlign w:val="center"/>
                </w:tcPr>
                <w:p w14:paraId="5C9D0DA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ZX601-602</w:t>
                  </w:r>
                </w:p>
              </w:tc>
              <w:tc>
                <w:tcPr>
                  <w:tcW w:w="465" w:type="pct"/>
                  <w:shd w:val="clear" w:color="auto" w:fill="auto"/>
                  <w:vAlign w:val="center"/>
                </w:tcPr>
                <w:p w14:paraId="5D402E1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090294CD">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22C85F2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408D622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48D0A81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51D02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1944B5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36</w:t>
                  </w:r>
                </w:p>
              </w:tc>
              <w:tc>
                <w:tcPr>
                  <w:tcW w:w="940" w:type="pct"/>
                  <w:shd w:val="clear" w:color="auto" w:fill="auto"/>
                  <w:vAlign w:val="center"/>
                </w:tcPr>
                <w:p w14:paraId="4A51DD2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纸箱输送机</w:t>
                  </w:r>
                </w:p>
              </w:tc>
              <w:tc>
                <w:tcPr>
                  <w:tcW w:w="1188" w:type="pct"/>
                  <w:shd w:val="clear" w:color="auto" w:fill="auto"/>
                  <w:vAlign w:val="center"/>
                </w:tcPr>
                <w:p w14:paraId="78F986E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3"/>
                      <w:sz w:val="21"/>
                      <w:szCs w:val="21"/>
                    </w:rPr>
                    <w:t>GD550W</w:t>
                  </w:r>
                </w:p>
              </w:tc>
              <w:tc>
                <w:tcPr>
                  <w:tcW w:w="465" w:type="pct"/>
                  <w:shd w:val="clear" w:color="auto" w:fill="auto"/>
                  <w:vAlign w:val="center"/>
                </w:tcPr>
                <w:p w14:paraId="7212D72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7F51577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5217333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工</w:t>
                  </w:r>
                </w:p>
              </w:tc>
              <w:tc>
                <w:tcPr>
                  <w:tcW w:w="492" w:type="pct"/>
                  <w:vAlign w:val="center"/>
                </w:tcPr>
                <w:p w14:paraId="0397645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工</w:t>
                  </w:r>
                </w:p>
              </w:tc>
              <w:tc>
                <w:tcPr>
                  <w:tcW w:w="533" w:type="pct"/>
                  <w:vMerge w:val="continue"/>
                  <w:vAlign w:val="center"/>
                </w:tcPr>
                <w:p w14:paraId="7F9884B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D4EE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15F323E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37</w:t>
                  </w:r>
                </w:p>
              </w:tc>
              <w:tc>
                <w:tcPr>
                  <w:tcW w:w="940" w:type="pct"/>
                  <w:shd w:val="clear" w:color="auto" w:fill="auto"/>
                  <w:vAlign w:val="center"/>
                </w:tcPr>
                <w:p w14:paraId="08E4F26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纸箱存放辊道机</w:t>
                  </w:r>
                </w:p>
              </w:tc>
              <w:tc>
                <w:tcPr>
                  <w:tcW w:w="1188" w:type="pct"/>
                  <w:shd w:val="clear" w:color="auto" w:fill="auto"/>
                  <w:vAlign w:val="center"/>
                </w:tcPr>
                <w:p w14:paraId="061AF6C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position w:val="-3"/>
                      <w:sz w:val="21"/>
                      <w:szCs w:val="21"/>
                    </w:rPr>
                    <w:t>ZXGD1100W</w:t>
                  </w:r>
                </w:p>
              </w:tc>
              <w:tc>
                <w:tcPr>
                  <w:tcW w:w="465" w:type="pct"/>
                  <w:shd w:val="clear" w:color="auto" w:fill="auto"/>
                  <w:vAlign w:val="center"/>
                </w:tcPr>
                <w:p w14:paraId="6CDCD75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9BEDB50">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13AD9A5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035ACC0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27CF13A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4FE7E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4464DB0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38</w:t>
                  </w:r>
                </w:p>
              </w:tc>
              <w:tc>
                <w:tcPr>
                  <w:tcW w:w="940" w:type="pct"/>
                  <w:shd w:val="clear" w:color="auto" w:fill="auto"/>
                  <w:vAlign w:val="center"/>
                </w:tcPr>
                <w:p w14:paraId="52F22B49">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连接套提升输送机</w:t>
                  </w:r>
                </w:p>
              </w:tc>
              <w:tc>
                <w:tcPr>
                  <w:tcW w:w="1188" w:type="pct"/>
                  <w:shd w:val="clear" w:color="auto" w:fill="auto"/>
                  <w:vAlign w:val="center"/>
                </w:tcPr>
                <w:p w14:paraId="1AA19120">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RKL-1500</w:t>
                  </w:r>
                </w:p>
              </w:tc>
              <w:tc>
                <w:tcPr>
                  <w:tcW w:w="465" w:type="pct"/>
                  <w:shd w:val="clear" w:color="auto" w:fill="auto"/>
                  <w:vAlign w:val="center"/>
                </w:tcPr>
                <w:p w14:paraId="376D306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2360CBCF">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038302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5139995E">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5656269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7B344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A5C0D26">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sz w:val="21"/>
                      <w:szCs w:val="21"/>
                    </w:rPr>
                    <w:t>39</w:t>
                  </w:r>
                </w:p>
              </w:tc>
              <w:tc>
                <w:tcPr>
                  <w:tcW w:w="940" w:type="pct"/>
                  <w:shd w:val="clear" w:color="auto" w:fill="auto"/>
                  <w:vAlign w:val="center"/>
                </w:tcPr>
                <w:p w14:paraId="2001086A">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连接套自动整理送料机</w:t>
                  </w:r>
                </w:p>
              </w:tc>
              <w:tc>
                <w:tcPr>
                  <w:tcW w:w="1188" w:type="pct"/>
                  <w:shd w:val="clear" w:color="auto" w:fill="auto"/>
                  <w:vAlign w:val="center"/>
                </w:tcPr>
                <w:p w14:paraId="34EC19F8">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RK-900</w:t>
                  </w:r>
                </w:p>
              </w:tc>
              <w:tc>
                <w:tcPr>
                  <w:tcW w:w="465" w:type="pct"/>
                  <w:shd w:val="clear" w:color="auto" w:fill="auto"/>
                  <w:vAlign w:val="center"/>
                </w:tcPr>
                <w:p w14:paraId="4303D8ED">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5A16FD9F">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35514A1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32959E21">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1B23275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0502E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5277B4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40</w:t>
                  </w:r>
                </w:p>
              </w:tc>
              <w:tc>
                <w:tcPr>
                  <w:tcW w:w="940" w:type="pct"/>
                  <w:shd w:val="clear" w:color="auto" w:fill="auto"/>
                  <w:vAlign w:val="center"/>
                </w:tcPr>
                <w:p w14:paraId="4BA3DEF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壳体抓取机器人</w:t>
                  </w:r>
                </w:p>
              </w:tc>
              <w:tc>
                <w:tcPr>
                  <w:tcW w:w="1188" w:type="pct"/>
                  <w:shd w:val="clear" w:color="auto" w:fill="auto"/>
                  <w:vAlign w:val="center"/>
                </w:tcPr>
                <w:p w14:paraId="6840354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ER20B-1760</w:t>
                  </w:r>
                </w:p>
              </w:tc>
              <w:tc>
                <w:tcPr>
                  <w:tcW w:w="465" w:type="pct"/>
                  <w:shd w:val="clear" w:color="auto" w:fill="auto"/>
                  <w:vAlign w:val="center"/>
                </w:tcPr>
                <w:p w14:paraId="26267E9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台</w:t>
                  </w:r>
                </w:p>
              </w:tc>
              <w:tc>
                <w:tcPr>
                  <w:tcW w:w="542" w:type="pct"/>
                  <w:shd w:val="clear" w:color="auto" w:fill="auto"/>
                  <w:vAlign w:val="center"/>
                </w:tcPr>
                <w:p w14:paraId="302E1207">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shd w:val="clear" w:color="auto" w:fill="auto"/>
                  <w:vAlign w:val="center"/>
                </w:tcPr>
                <w:p w14:paraId="42F86397">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492" w:type="pct"/>
                  <w:vAlign w:val="center"/>
                </w:tcPr>
                <w:p w14:paraId="52430F0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454578B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p>
              </w:tc>
            </w:tr>
            <w:tr w14:paraId="16C65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66" w:type="pct"/>
                  <w:gridSpan w:val="7"/>
                  <w:shd w:val="clear" w:color="auto" w:fill="auto"/>
                  <w:vAlign w:val="center"/>
                </w:tcPr>
                <w:p w14:paraId="7A33FDF0">
                  <w:pPr>
                    <w:pStyle w:val="115"/>
                    <w:keepNext/>
                    <w:keepLines w:val="0"/>
                    <w:pageBreakBefore w:val="0"/>
                    <w:kinsoku/>
                    <w:wordWrap/>
                    <w:overflowPunct/>
                    <w:topLinePunct w:val="0"/>
                    <w:autoSpaceDE w:val="0"/>
                    <w:autoSpaceDN w:val="0"/>
                    <w:bidi w:val="0"/>
                    <w:spacing w:before="130" w:line="210" w:lineRule="auto"/>
                    <w:ind w:left="393"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四、管壳输送工房及综合材料库</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pacing w:val="2"/>
                      <w:sz w:val="21"/>
                      <w:szCs w:val="21"/>
                    </w:rPr>
                    <w:t>402</w:t>
                  </w:r>
                  <w:r>
                    <w:rPr>
                      <w:rFonts w:hint="eastAsia" w:ascii="Times New Roman" w:hAnsi="Times New Roman" w:cs="Times New Roman"/>
                      <w:color w:val="auto"/>
                      <w:spacing w:val="2"/>
                      <w:sz w:val="21"/>
                      <w:szCs w:val="21"/>
                      <w:lang w:eastAsia="zh-CN"/>
                    </w:rPr>
                    <w:t>）</w:t>
                  </w:r>
                </w:p>
              </w:tc>
              <w:tc>
                <w:tcPr>
                  <w:tcW w:w="533" w:type="pct"/>
                  <w:vMerge w:val="continue"/>
                  <w:shd w:val="clear" w:color="auto" w:fill="auto"/>
                  <w:vAlign w:val="center"/>
                </w:tcPr>
                <w:p w14:paraId="07E046F3">
                  <w:pPr>
                    <w:pStyle w:val="115"/>
                    <w:keepNext/>
                    <w:keepLines w:val="0"/>
                    <w:pageBreakBefore w:val="0"/>
                    <w:kinsoku/>
                    <w:wordWrap/>
                    <w:overflowPunct/>
                    <w:topLinePunct w:val="0"/>
                    <w:autoSpaceDE w:val="0"/>
                    <w:autoSpaceDN w:val="0"/>
                    <w:bidi w:val="0"/>
                    <w:spacing w:before="130" w:line="210" w:lineRule="auto"/>
                    <w:ind w:left="393" w:leftChars="0"/>
                    <w:jc w:val="center"/>
                    <w:outlineLvl w:val="9"/>
                    <w:rPr>
                      <w:rFonts w:hint="default" w:ascii="Times New Roman" w:hAnsi="Times New Roman" w:eastAsia="宋体" w:cs="Times New Roman"/>
                      <w:color w:val="auto"/>
                      <w:spacing w:val="2"/>
                      <w:sz w:val="21"/>
                      <w:szCs w:val="21"/>
                    </w:rPr>
                  </w:pPr>
                </w:p>
              </w:tc>
            </w:tr>
            <w:tr w14:paraId="35A15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7060E45E">
                  <w:pPr>
                    <w:pStyle w:val="115"/>
                    <w:keepNext/>
                    <w:keepLines w:val="0"/>
                    <w:pageBreakBefore w:val="0"/>
                    <w:kinsoku/>
                    <w:wordWrap/>
                    <w:overflowPunct/>
                    <w:topLinePunct w:val="0"/>
                    <w:autoSpaceDE w:val="0"/>
                    <w:autoSpaceDN w:val="0"/>
                    <w:bidi w:val="0"/>
                    <w:spacing w:before="109" w:line="216" w:lineRule="auto"/>
                    <w:ind w:left="220"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940" w:type="pct"/>
                  <w:shd w:val="clear" w:color="auto" w:fill="auto"/>
                  <w:vAlign w:val="center"/>
                </w:tcPr>
                <w:p w14:paraId="21371E6D">
                  <w:pPr>
                    <w:pStyle w:val="115"/>
                    <w:keepNext/>
                    <w:keepLines w:val="0"/>
                    <w:pageBreakBefore w:val="0"/>
                    <w:kinsoku/>
                    <w:wordWrap/>
                    <w:overflowPunct/>
                    <w:topLinePunct w:val="0"/>
                    <w:autoSpaceDE w:val="0"/>
                    <w:autoSpaceDN w:val="0"/>
                    <w:bidi w:val="0"/>
                    <w:spacing w:before="84" w:line="219" w:lineRule="auto"/>
                    <w:ind w:left="1"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sz w:val="21"/>
                      <w:szCs w:val="21"/>
                    </w:rPr>
                    <w:t>壳体输送机</w:t>
                  </w:r>
                </w:p>
              </w:tc>
              <w:tc>
                <w:tcPr>
                  <w:tcW w:w="1188" w:type="pct"/>
                  <w:shd w:val="clear" w:color="auto" w:fill="auto"/>
                  <w:vAlign w:val="center"/>
                </w:tcPr>
                <w:p w14:paraId="1C48B90E">
                  <w:pPr>
                    <w:keepNext/>
                    <w:keepLines w:val="0"/>
                    <w:pageBreakBefore w:val="0"/>
                    <w:kinsoku/>
                    <w:wordWrap/>
                    <w:overflowPunct/>
                    <w:topLinePunct w:val="0"/>
                    <w:autoSpaceDE w:val="0"/>
                    <w:autoSpaceDN w:val="0"/>
                    <w:bidi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465" w:type="pct"/>
                  <w:shd w:val="clear" w:color="auto" w:fill="auto"/>
                  <w:vAlign w:val="center"/>
                </w:tcPr>
                <w:p w14:paraId="21E9C0C2">
                  <w:pPr>
                    <w:pStyle w:val="115"/>
                    <w:keepNext/>
                    <w:keepLines w:val="0"/>
                    <w:pageBreakBefore w:val="0"/>
                    <w:kinsoku/>
                    <w:wordWrap/>
                    <w:overflowPunct/>
                    <w:topLinePunct w:val="0"/>
                    <w:autoSpaceDE w:val="0"/>
                    <w:autoSpaceDN w:val="0"/>
                    <w:bidi w:val="0"/>
                    <w:spacing w:before="86" w:line="220" w:lineRule="auto"/>
                    <w:ind w:left="226"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6841FB13">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vAlign w:val="center"/>
                </w:tcPr>
                <w:p w14:paraId="58EED5E2">
                  <w:pPr>
                    <w:pStyle w:val="115"/>
                    <w:keepNext/>
                    <w:keepLines w:val="0"/>
                    <w:pageBreakBefore w:val="0"/>
                    <w:kinsoku/>
                    <w:wordWrap/>
                    <w:overflowPunct/>
                    <w:topLinePunct w:val="0"/>
                    <w:autoSpaceDE w:val="0"/>
                    <w:autoSpaceDN w:val="0"/>
                    <w:bidi w:val="0"/>
                    <w:spacing w:before="109" w:line="216"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492" w:type="pct"/>
                  <w:vAlign w:val="center"/>
                </w:tcPr>
                <w:p w14:paraId="01ED7C59">
                  <w:pPr>
                    <w:pStyle w:val="115"/>
                    <w:keepNext/>
                    <w:keepLines w:val="0"/>
                    <w:pageBreakBefore w:val="0"/>
                    <w:kinsoku/>
                    <w:wordWrap/>
                    <w:overflowPunct/>
                    <w:topLinePunct w:val="0"/>
                    <w:autoSpaceDE w:val="0"/>
                    <w:autoSpaceDN w:val="0"/>
                    <w:bidi w:val="0"/>
                    <w:spacing w:before="109" w:line="216"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4FBF23ED">
                  <w:pPr>
                    <w:pStyle w:val="115"/>
                    <w:keepNext/>
                    <w:keepLines w:val="0"/>
                    <w:pageBreakBefore w:val="0"/>
                    <w:kinsoku/>
                    <w:wordWrap/>
                    <w:overflowPunct/>
                    <w:topLinePunct w:val="0"/>
                    <w:autoSpaceDE w:val="0"/>
                    <w:autoSpaceDN w:val="0"/>
                    <w:bidi w:val="0"/>
                    <w:spacing w:before="86" w:line="219" w:lineRule="auto"/>
                    <w:ind w:left="385" w:leftChars="0"/>
                    <w:jc w:val="center"/>
                    <w:outlineLvl w:val="9"/>
                    <w:rPr>
                      <w:rFonts w:hint="default" w:ascii="Times New Roman" w:hAnsi="Times New Roman" w:eastAsia="宋体" w:cs="Times New Roman"/>
                      <w:color w:val="auto"/>
                      <w:spacing w:val="-2"/>
                      <w:sz w:val="21"/>
                      <w:szCs w:val="21"/>
                    </w:rPr>
                  </w:pPr>
                </w:p>
              </w:tc>
            </w:tr>
            <w:tr w14:paraId="508E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1232F483">
                  <w:pPr>
                    <w:pStyle w:val="115"/>
                    <w:keepNext/>
                    <w:keepLines w:val="0"/>
                    <w:pageBreakBefore w:val="0"/>
                    <w:kinsoku/>
                    <w:wordWrap/>
                    <w:overflowPunct/>
                    <w:topLinePunct w:val="0"/>
                    <w:autoSpaceDE w:val="0"/>
                    <w:autoSpaceDN w:val="0"/>
                    <w:bidi w:val="0"/>
                    <w:spacing w:before="109" w:line="207" w:lineRule="auto"/>
                    <w:ind w:left="220"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940" w:type="pct"/>
                  <w:shd w:val="clear" w:color="auto" w:fill="auto"/>
                  <w:vAlign w:val="center"/>
                </w:tcPr>
                <w:p w14:paraId="3EBDC7E5">
                  <w:pPr>
                    <w:pStyle w:val="115"/>
                    <w:keepNext/>
                    <w:keepLines w:val="0"/>
                    <w:pageBreakBefore w:val="0"/>
                    <w:kinsoku/>
                    <w:wordWrap/>
                    <w:overflowPunct/>
                    <w:topLinePunct w:val="0"/>
                    <w:autoSpaceDE w:val="0"/>
                    <w:autoSpaceDN w:val="0"/>
                    <w:bidi w:val="0"/>
                    <w:spacing w:before="84" w:line="219" w:lineRule="auto"/>
                    <w:ind w:left="1"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连接套输送机</w:t>
                  </w:r>
                </w:p>
              </w:tc>
              <w:tc>
                <w:tcPr>
                  <w:tcW w:w="1188" w:type="pct"/>
                  <w:shd w:val="clear" w:color="auto" w:fill="auto"/>
                  <w:vAlign w:val="center"/>
                </w:tcPr>
                <w:p w14:paraId="7CEEE7D5">
                  <w:pPr>
                    <w:keepNext/>
                    <w:keepLines w:val="0"/>
                    <w:pageBreakBefore w:val="0"/>
                    <w:kinsoku/>
                    <w:wordWrap/>
                    <w:overflowPunct/>
                    <w:topLinePunct w:val="0"/>
                    <w:autoSpaceDE w:val="0"/>
                    <w:autoSpaceDN w:val="0"/>
                    <w:bidi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465" w:type="pct"/>
                  <w:shd w:val="clear" w:color="auto" w:fill="auto"/>
                  <w:vAlign w:val="center"/>
                </w:tcPr>
                <w:p w14:paraId="238FC2E4">
                  <w:pPr>
                    <w:pStyle w:val="115"/>
                    <w:keepNext/>
                    <w:keepLines w:val="0"/>
                    <w:pageBreakBefore w:val="0"/>
                    <w:kinsoku/>
                    <w:wordWrap/>
                    <w:overflowPunct/>
                    <w:topLinePunct w:val="0"/>
                    <w:autoSpaceDE w:val="0"/>
                    <w:autoSpaceDN w:val="0"/>
                    <w:bidi w:val="0"/>
                    <w:spacing w:before="86" w:line="220" w:lineRule="auto"/>
                    <w:ind w:left="226" w:leftChars="0"/>
                    <w:jc w:val="both"/>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4CE3CF5E">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lang w:val="en-US" w:eastAsia="zh-CN"/>
                    </w:rPr>
                    <w:t>0</w:t>
                  </w:r>
                </w:p>
              </w:tc>
              <w:tc>
                <w:tcPr>
                  <w:tcW w:w="506" w:type="pct"/>
                  <w:vAlign w:val="center"/>
                </w:tcPr>
                <w:p w14:paraId="48E95965">
                  <w:pPr>
                    <w:pStyle w:val="115"/>
                    <w:keepNext/>
                    <w:keepLines w:val="0"/>
                    <w:pageBreakBefore w:val="0"/>
                    <w:kinsoku/>
                    <w:wordWrap/>
                    <w:overflowPunct/>
                    <w:topLinePunct w:val="0"/>
                    <w:autoSpaceDE w:val="0"/>
                    <w:autoSpaceDN w:val="0"/>
                    <w:bidi w:val="0"/>
                    <w:spacing w:before="109" w:line="207"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492" w:type="pct"/>
                  <w:vAlign w:val="center"/>
                </w:tcPr>
                <w:p w14:paraId="505E6142">
                  <w:pPr>
                    <w:pStyle w:val="115"/>
                    <w:keepNext/>
                    <w:keepLines w:val="0"/>
                    <w:pageBreakBefore w:val="0"/>
                    <w:kinsoku/>
                    <w:wordWrap/>
                    <w:overflowPunct/>
                    <w:topLinePunct w:val="0"/>
                    <w:autoSpaceDE w:val="0"/>
                    <w:autoSpaceDN w:val="0"/>
                    <w:bidi w:val="0"/>
                    <w:spacing w:before="109" w:line="207"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25A37E60">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2"/>
                      <w:sz w:val="21"/>
                      <w:szCs w:val="21"/>
                    </w:rPr>
                  </w:pPr>
                </w:p>
              </w:tc>
            </w:tr>
            <w:tr w14:paraId="644AF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66" w:type="pct"/>
                  <w:gridSpan w:val="7"/>
                  <w:shd w:val="clear" w:color="auto" w:fill="auto"/>
                  <w:vAlign w:val="center"/>
                </w:tcPr>
                <w:p w14:paraId="1D01C97F">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五、乳化炸药震源药柱成品中转站台</w:t>
                  </w:r>
                  <w:r>
                    <w:rPr>
                      <w:rFonts w:hint="eastAsia" w:ascii="Times New Roman" w:hAnsi="Times New Roman" w:cs="Times New Roman"/>
                      <w:color w:val="auto"/>
                      <w:spacing w:val="2"/>
                      <w:sz w:val="21"/>
                      <w:szCs w:val="21"/>
                      <w:lang w:eastAsia="zh-CN"/>
                    </w:rPr>
                    <w:t>（</w:t>
                  </w:r>
                  <w:r>
                    <w:rPr>
                      <w:rFonts w:hint="default" w:ascii="Times New Roman" w:hAnsi="Times New Roman" w:eastAsia="宋体" w:cs="Times New Roman"/>
                      <w:color w:val="auto"/>
                      <w:spacing w:val="2"/>
                      <w:sz w:val="21"/>
                      <w:szCs w:val="21"/>
                    </w:rPr>
                    <w:t>405</w:t>
                  </w:r>
                  <w:r>
                    <w:rPr>
                      <w:rFonts w:hint="eastAsia" w:ascii="Times New Roman" w:hAnsi="Times New Roman" w:cs="Times New Roman"/>
                      <w:color w:val="auto"/>
                      <w:spacing w:val="2"/>
                      <w:sz w:val="21"/>
                      <w:szCs w:val="21"/>
                      <w:lang w:eastAsia="zh-CN"/>
                    </w:rPr>
                    <w:t>）</w:t>
                  </w:r>
                </w:p>
              </w:tc>
              <w:tc>
                <w:tcPr>
                  <w:tcW w:w="533" w:type="pct"/>
                  <w:vMerge w:val="continue"/>
                  <w:shd w:val="clear" w:color="auto" w:fill="auto"/>
                  <w:vAlign w:val="center"/>
                </w:tcPr>
                <w:p w14:paraId="203D2AE5">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2"/>
                      <w:sz w:val="21"/>
                      <w:szCs w:val="21"/>
                    </w:rPr>
                  </w:pPr>
                </w:p>
              </w:tc>
            </w:tr>
            <w:tr w14:paraId="153E4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4C6AE38A">
                  <w:pPr>
                    <w:pStyle w:val="115"/>
                    <w:keepNext/>
                    <w:keepLines w:val="0"/>
                    <w:pageBreakBefore w:val="0"/>
                    <w:kinsoku/>
                    <w:wordWrap/>
                    <w:overflowPunct/>
                    <w:topLinePunct w:val="0"/>
                    <w:autoSpaceDE w:val="0"/>
                    <w:autoSpaceDN w:val="0"/>
                    <w:bidi w:val="0"/>
                    <w:spacing w:before="311" w:line="241" w:lineRule="auto"/>
                    <w:ind w:left="220"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940" w:type="pct"/>
                  <w:shd w:val="clear" w:color="auto" w:fill="auto"/>
                  <w:vAlign w:val="center"/>
                </w:tcPr>
                <w:p w14:paraId="0163C415">
                  <w:pPr>
                    <w:pStyle w:val="115"/>
                    <w:keepNext/>
                    <w:keepLines w:val="0"/>
                    <w:pageBreakBefore w:val="0"/>
                    <w:kinsoku/>
                    <w:wordWrap/>
                    <w:overflowPunct/>
                    <w:topLinePunct w:val="0"/>
                    <w:autoSpaceDE w:val="0"/>
                    <w:autoSpaceDN w:val="0"/>
                    <w:bidi w:val="0"/>
                    <w:spacing w:before="118" w:line="254" w:lineRule="auto"/>
                    <w:ind w:left="1" w:leftChars="0" w:right="26" w:righ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工业炸药成品箱</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袋</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自动上</w:t>
                  </w:r>
                  <w:r>
                    <w:rPr>
                      <w:rFonts w:hint="default" w:ascii="Times New Roman" w:hAnsi="Times New Roman" w:eastAsia="宋体" w:cs="Times New Roman"/>
                      <w:color w:val="auto"/>
                      <w:spacing w:val="3"/>
                      <w:sz w:val="21"/>
                      <w:szCs w:val="21"/>
                    </w:rPr>
                    <w:t>车系统</w:t>
                  </w:r>
                </w:p>
              </w:tc>
              <w:tc>
                <w:tcPr>
                  <w:tcW w:w="1188" w:type="pct"/>
                  <w:shd w:val="clear" w:color="auto" w:fill="auto"/>
                  <w:vAlign w:val="center"/>
                </w:tcPr>
                <w:p w14:paraId="6A7E4639">
                  <w:pPr>
                    <w:keepNext/>
                    <w:keepLines w:val="0"/>
                    <w:pageBreakBefore w:val="0"/>
                    <w:kinsoku/>
                    <w:wordWrap/>
                    <w:overflowPunct/>
                    <w:topLinePunct w:val="0"/>
                    <w:autoSpaceDE w:val="0"/>
                    <w:autoSpaceDN w:val="0"/>
                    <w:bidi w:val="0"/>
                    <w:spacing w:line="267" w:lineRule="auto"/>
                    <w:jc w:val="center"/>
                    <w:outlineLvl w:val="9"/>
                    <w:rPr>
                      <w:rFonts w:hint="default" w:ascii="Times New Roman" w:hAnsi="Times New Roman" w:eastAsia="宋体" w:cs="Times New Roman"/>
                      <w:color w:val="auto"/>
                      <w:sz w:val="21"/>
                      <w:szCs w:val="21"/>
                    </w:rPr>
                  </w:pPr>
                </w:p>
                <w:p w14:paraId="320603B3">
                  <w:pPr>
                    <w:pStyle w:val="115"/>
                    <w:keepNext/>
                    <w:keepLines w:val="0"/>
                    <w:pageBreakBefore w:val="0"/>
                    <w:kinsoku/>
                    <w:wordWrap/>
                    <w:overflowPunct/>
                    <w:topLinePunct w:val="0"/>
                    <w:autoSpaceDE w:val="0"/>
                    <w:autoSpaceDN w:val="0"/>
                    <w:bidi w:val="0"/>
                    <w:spacing w:before="78" w:line="185" w:lineRule="auto"/>
                    <w:ind w:left="763"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KNACPM</w:t>
                  </w:r>
                </w:p>
              </w:tc>
              <w:tc>
                <w:tcPr>
                  <w:tcW w:w="465" w:type="pct"/>
                  <w:shd w:val="clear" w:color="auto" w:fill="auto"/>
                  <w:vAlign w:val="center"/>
                </w:tcPr>
                <w:p w14:paraId="4475CB59">
                  <w:pPr>
                    <w:pStyle w:val="115"/>
                    <w:keepNext/>
                    <w:keepLines w:val="0"/>
                    <w:pageBreakBefore w:val="0"/>
                    <w:kinsoku/>
                    <w:wordWrap/>
                    <w:overflowPunct/>
                    <w:topLinePunct w:val="0"/>
                    <w:autoSpaceDE w:val="0"/>
                    <w:autoSpaceDN w:val="0"/>
                    <w:bidi w:val="0"/>
                    <w:spacing w:before="86" w:line="220" w:lineRule="auto"/>
                    <w:ind w:left="226" w:leftChars="0"/>
                    <w:jc w:val="both"/>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77BF45F0">
                  <w:pPr>
                    <w:pStyle w:val="115"/>
                    <w:keepNext/>
                    <w:keepLines w:val="0"/>
                    <w:pageBreakBefore w:val="0"/>
                    <w:kinsoku/>
                    <w:wordWrap/>
                    <w:overflowPunct/>
                    <w:topLinePunct w:val="0"/>
                    <w:autoSpaceDE w:val="0"/>
                    <w:autoSpaceDN w:val="0"/>
                    <w:bidi w:val="0"/>
                    <w:spacing w:before="109" w:line="207" w:lineRule="auto"/>
                    <w:ind w:left="247" w:left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506" w:type="pct"/>
                  <w:vAlign w:val="center"/>
                </w:tcPr>
                <w:p w14:paraId="00306691">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lang w:val="en-US" w:eastAsia="zh-CN"/>
                    </w:rPr>
                    <w:t>1</w:t>
                  </w:r>
                </w:p>
              </w:tc>
              <w:tc>
                <w:tcPr>
                  <w:tcW w:w="492" w:type="pct"/>
                  <w:vAlign w:val="center"/>
                </w:tcPr>
                <w:p w14:paraId="74E44202">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lang w:val="en-US" w:eastAsia="zh-CN"/>
                    </w:rPr>
                    <w:t>1</w:t>
                  </w:r>
                </w:p>
              </w:tc>
              <w:tc>
                <w:tcPr>
                  <w:tcW w:w="533" w:type="pct"/>
                  <w:vMerge w:val="continue"/>
                  <w:vAlign w:val="center"/>
                </w:tcPr>
                <w:p w14:paraId="23EA799B">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2"/>
                      <w:sz w:val="21"/>
                      <w:szCs w:val="21"/>
                    </w:rPr>
                  </w:pPr>
                </w:p>
              </w:tc>
            </w:tr>
            <w:tr w14:paraId="73E0F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66" w:type="pct"/>
                  <w:gridSpan w:val="7"/>
                  <w:shd w:val="clear" w:color="auto" w:fill="auto"/>
                  <w:vAlign w:val="center"/>
                </w:tcPr>
                <w:p w14:paraId="501DA9BF">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六、控制系统部分</w:t>
                  </w:r>
                </w:p>
              </w:tc>
              <w:tc>
                <w:tcPr>
                  <w:tcW w:w="533" w:type="pct"/>
                  <w:vMerge w:val="continue"/>
                  <w:shd w:val="clear" w:color="auto" w:fill="auto"/>
                  <w:vAlign w:val="center"/>
                </w:tcPr>
                <w:p w14:paraId="500ECCB6">
                  <w:pPr>
                    <w:pStyle w:val="115"/>
                    <w:keepNext/>
                    <w:keepLines w:val="0"/>
                    <w:pageBreakBefore w:val="0"/>
                    <w:kinsoku/>
                    <w:wordWrap/>
                    <w:overflowPunct/>
                    <w:topLinePunct w:val="0"/>
                    <w:autoSpaceDE w:val="0"/>
                    <w:autoSpaceDN w:val="0"/>
                    <w:bidi w:val="0"/>
                    <w:spacing w:before="85" w:line="219" w:lineRule="auto"/>
                    <w:ind w:left="385" w:leftChars="0"/>
                    <w:jc w:val="center"/>
                    <w:outlineLvl w:val="9"/>
                    <w:rPr>
                      <w:rFonts w:hint="default" w:ascii="Times New Roman" w:hAnsi="Times New Roman" w:eastAsia="宋体" w:cs="Times New Roman"/>
                      <w:color w:val="auto"/>
                      <w:spacing w:val="1"/>
                      <w:sz w:val="21"/>
                      <w:szCs w:val="21"/>
                    </w:rPr>
                  </w:pPr>
                </w:p>
              </w:tc>
            </w:tr>
            <w:tr w14:paraId="6C1A0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304FA97">
                  <w:pPr>
                    <w:pStyle w:val="115"/>
                    <w:keepNext/>
                    <w:keepLines w:val="0"/>
                    <w:pageBreakBefore w:val="0"/>
                    <w:kinsoku/>
                    <w:wordWrap/>
                    <w:overflowPunct/>
                    <w:topLinePunct w:val="0"/>
                    <w:autoSpaceDE w:val="0"/>
                    <w:autoSpaceDN w:val="0"/>
                    <w:bidi w:val="0"/>
                    <w:spacing w:before="103" w:line="205" w:lineRule="auto"/>
                    <w:ind w:left="214"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w:t>
                  </w:r>
                </w:p>
              </w:tc>
              <w:tc>
                <w:tcPr>
                  <w:tcW w:w="940" w:type="pct"/>
                  <w:shd w:val="clear" w:color="auto" w:fill="auto"/>
                  <w:vAlign w:val="center"/>
                </w:tcPr>
                <w:p w14:paraId="117667D2">
                  <w:pPr>
                    <w:pStyle w:val="115"/>
                    <w:keepNext/>
                    <w:keepLines w:val="0"/>
                    <w:pageBreakBefore w:val="0"/>
                    <w:kinsoku/>
                    <w:wordWrap/>
                    <w:overflowPunct/>
                    <w:topLinePunct w:val="0"/>
                    <w:autoSpaceDE w:val="0"/>
                    <w:autoSpaceDN w:val="0"/>
                    <w:bidi w:val="0"/>
                    <w:spacing w:before="8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自动控制系统</w:t>
                  </w:r>
                </w:p>
              </w:tc>
              <w:tc>
                <w:tcPr>
                  <w:tcW w:w="1188" w:type="pct"/>
                  <w:shd w:val="clear" w:color="auto" w:fill="auto"/>
                  <w:vAlign w:val="center"/>
                </w:tcPr>
                <w:p w14:paraId="0DBBC012">
                  <w:pPr>
                    <w:pStyle w:val="115"/>
                    <w:keepNext/>
                    <w:keepLines w:val="0"/>
                    <w:pageBreakBefore w:val="0"/>
                    <w:kinsoku/>
                    <w:wordWrap/>
                    <w:overflowPunct/>
                    <w:topLinePunct w:val="0"/>
                    <w:autoSpaceDE w:val="0"/>
                    <w:autoSpaceDN w:val="0"/>
                    <w:bidi w:val="0"/>
                    <w:spacing w:before="8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465" w:type="pct"/>
                  <w:shd w:val="clear" w:color="auto" w:fill="auto"/>
                  <w:vAlign w:val="center"/>
                </w:tcPr>
                <w:p w14:paraId="6990A622">
                  <w:pPr>
                    <w:pStyle w:val="115"/>
                    <w:keepNext/>
                    <w:keepLines w:val="0"/>
                    <w:pageBreakBefore w:val="0"/>
                    <w:kinsoku/>
                    <w:wordWrap/>
                    <w:overflowPunct/>
                    <w:topLinePunct w:val="0"/>
                    <w:autoSpaceDE w:val="0"/>
                    <w:autoSpaceDN w:val="0"/>
                    <w:bidi w:val="0"/>
                    <w:spacing w:before="80" w:line="220" w:lineRule="auto"/>
                    <w:ind w:left="226"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6996B31D">
                  <w:pPr>
                    <w:keepNext/>
                    <w:keepLines w:val="0"/>
                    <w:pageBreakBefore w:val="0"/>
                    <w:kinsoku/>
                    <w:wordWrap/>
                    <w:overflowPunct/>
                    <w:topLinePunct w:val="0"/>
                    <w:autoSpaceDE w:val="0"/>
                    <w:autoSpaceDN w:val="0"/>
                    <w:bidi w:val="0"/>
                    <w:spacing w:before="103" w:line="205" w:lineRule="auto"/>
                    <w:ind w:left="247" w:left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vAlign w:val="center"/>
                </w:tcPr>
                <w:p w14:paraId="0FD3CED9">
                  <w:pPr>
                    <w:pStyle w:val="115"/>
                    <w:keepNext/>
                    <w:keepLines w:val="0"/>
                    <w:pageBreakBefore w:val="0"/>
                    <w:kinsoku/>
                    <w:wordWrap/>
                    <w:overflowPunct/>
                    <w:topLinePunct w:val="0"/>
                    <w:autoSpaceDE w:val="0"/>
                    <w:autoSpaceDN w:val="0"/>
                    <w:bidi w:val="0"/>
                    <w:spacing w:before="80" w:line="219" w:lineRule="auto"/>
                    <w:ind w:left="385"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492" w:type="pct"/>
                  <w:vAlign w:val="center"/>
                </w:tcPr>
                <w:p w14:paraId="59CEB1F3">
                  <w:pPr>
                    <w:pStyle w:val="115"/>
                    <w:keepNext/>
                    <w:keepLines w:val="0"/>
                    <w:pageBreakBefore w:val="0"/>
                    <w:kinsoku/>
                    <w:wordWrap/>
                    <w:overflowPunct/>
                    <w:topLinePunct w:val="0"/>
                    <w:autoSpaceDE w:val="0"/>
                    <w:autoSpaceDN w:val="0"/>
                    <w:bidi w:val="0"/>
                    <w:spacing w:before="80" w:line="219" w:lineRule="auto"/>
                    <w:ind w:left="385"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5052EABE">
                  <w:pPr>
                    <w:pStyle w:val="115"/>
                    <w:keepNext/>
                    <w:keepLines w:val="0"/>
                    <w:pageBreakBefore w:val="0"/>
                    <w:kinsoku/>
                    <w:wordWrap/>
                    <w:overflowPunct/>
                    <w:topLinePunct w:val="0"/>
                    <w:autoSpaceDE w:val="0"/>
                    <w:autoSpaceDN w:val="0"/>
                    <w:bidi w:val="0"/>
                    <w:spacing w:before="80" w:line="219" w:lineRule="auto"/>
                    <w:ind w:left="385" w:leftChars="0"/>
                    <w:jc w:val="center"/>
                    <w:outlineLvl w:val="9"/>
                    <w:rPr>
                      <w:rFonts w:hint="default" w:ascii="Times New Roman" w:hAnsi="Times New Roman" w:eastAsia="宋体" w:cs="Times New Roman"/>
                      <w:color w:val="auto"/>
                      <w:spacing w:val="-2"/>
                      <w:sz w:val="21"/>
                      <w:szCs w:val="21"/>
                    </w:rPr>
                  </w:pPr>
                </w:p>
              </w:tc>
            </w:tr>
            <w:tr w14:paraId="4041E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47AB5C6">
                  <w:pPr>
                    <w:pStyle w:val="115"/>
                    <w:keepNext/>
                    <w:keepLines w:val="0"/>
                    <w:pageBreakBefore w:val="0"/>
                    <w:kinsoku/>
                    <w:wordWrap/>
                    <w:overflowPunct/>
                    <w:topLinePunct w:val="0"/>
                    <w:autoSpaceDE w:val="0"/>
                    <w:autoSpaceDN w:val="0"/>
                    <w:bidi w:val="0"/>
                    <w:spacing w:before="113" w:line="208" w:lineRule="auto"/>
                    <w:ind w:left="214"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w:t>
                  </w:r>
                </w:p>
              </w:tc>
              <w:tc>
                <w:tcPr>
                  <w:tcW w:w="940" w:type="pct"/>
                  <w:shd w:val="clear" w:color="auto" w:fill="auto"/>
                  <w:vAlign w:val="center"/>
                </w:tcPr>
                <w:p w14:paraId="77FA3D11">
                  <w:pPr>
                    <w:pStyle w:val="115"/>
                    <w:keepNext/>
                    <w:keepLines w:val="0"/>
                    <w:pageBreakBefore w:val="0"/>
                    <w:kinsoku/>
                    <w:wordWrap/>
                    <w:overflowPunct/>
                    <w:topLinePunct w:val="0"/>
                    <w:autoSpaceDE w:val="0"/>
                    <w:autoSpaceDN w:val="0"/>
                    <w:bidi w:val="0"/>
                    <w:spacing w:before="9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视频监控系统</w:t>
                  </w:r>
                </w:p>
              </w:tc>
              <w:tc>
                <w:tcPr>
                  <w:tcW w:w="1188" w:type="pct"/>
                  <w:shd w:val="clear" w:color="auto" w:fill="auto"/>
                  <w:vAlign w:val="center"/>
                </w:tcPr>
                <w:p w14:paraId="03FEAC05">
                  <w:pPr>
                    <w:pStyle w:val="115"/>
                    <w:keepNext/>
                    <w:keepLines w:val="0"/>
                    <w:pageBreakBefore w:val="0"/>
                    <w:kinsoku/>
                    <w:wordWrap/>
                    <w:overflowPunct/>
                    <w:topLinePunct w:val="0"/>
                    <w:autoSpaceDE w:val="0"/>
                    <w:autoSpaceDN w:val="0"/>
                    <w:bidi w:val="0"/>
                    <w:spacing w:before="90" w:line="220" w:lineRule="auto"/>
                    <w:ind w:left="1"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465" w:type="pct"/>
                  <w:shd w:val="clear" w:color="auto" w:fill="auto"/>
                  <w:vAlign w:val="center"/>
                </w:tcPr>
                <w:p w14:paraId="511A85EF">
                  <w:pPr>
                    <w:pStyle w:val="115"/>
                    <w:keepNext/>
                    <w:keepLines w:val="0"/>
                    <w:pageBreakBefore w:val="0"/>
                    <w:kinsoku/>
                    <w:wordWrap/>
                    <w:overflowPunct/>
                    <w:topLinePunct w:val="0"/>
                    <w:autoSpaceDE w:val="0"/>
                    <w:autoSpaceDN w:val="0"/>
                    <w:bidi w:val="0"/>
                    <w:spacing w:before="90" w:line="220" w:lineRule="auto"/>
                    <w:ind w:left="226"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4010D56A">
                  <w:pPr>
                    <w:keepNext/>
                    <w:keepLines w:val="0"/>
                    <w:pageBreakBefore w:val="0"/>
                    <w:kinsoku/>
                    <w:wordWrap/>
                    <w:overflowPunct/>
                    <w:topLinePunct w:val="0"/>
                    <w:autoSpaceDE w:val="0"/>
                    <w:autoSpaceDN w:val="0"/>
                    <w:bidi w:val="0"/>
                    <w:spacing w:before="113" w:line="208" w:lineRule="auto"/>
                    <w:ind w:left="247" w:left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vAlign w:val="center"/>
                </w:tcPr>
                <w:p w14:paraId="7D4F35C9">
                  <w:pPr>
                    <w:pStyle w:val="115"/>
                    <w:keepNext/>
                    <w:keepLines w:val="0"/>
                    <w:pageBreakBefore w:val="0"/>
                    <w:kinsoku/>
                    <w:wordWrap/>
                    <w:overflowPunct/>
                    <w:topLinePunct w:val="0"/>
                    <w:autoSpaceDE w:val="0"/>
                    <w:autoSpaceDN w:val="0"/>
                    <w:bidi w:val="0"/>
                    <w:spacing w:before="113" w:line="208"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492" w:type="pct"/>
                  <w:vAlign w:val="center"/>
                </w:tcPr>
                <w:p w14:paraId="64BE13C2">
                  <w:pPr>
                    <w:pStyle w:val="115"/>
                    <w:keepNext/>
                    <w:keepLines w:val="0"/>
                    <w:pageBreakBefore w:val="0"/>
                    <w:kinsoku/>
                    <w:wordWrap/>
                    <w:overflowPunct/>
                    <w:topLinePunct w:val="0"/>
                    <w:autoSpaceDE w:val="0"/>
                    <w:autoSpaceDN w:val="0"/>
                    <w:bidi w:val="0"/>
                    <w:spacing w:before="113" w:line="208"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1FF246BE">
                  <w:pPr>
                    <w:pStyle w:val="115"/>
                    <w:keepNext/>
                    <w:keepLines w:val="0"/>
                    <w:pageBreakBefore w:val="0"/>
                    <w:kinsoku/>
                    <w:wordWrap/>
                    <w:overflowPunct/>
                    <w:topLinePunct w:val="0"/>
                    <w:autoSpaceDE w:val="0"/>
                    <w:autoSpaceDN w:val="0"/>
                    <w:bidi w:val="0"/>
                    <w:spacing w:before="89" w:line="219" w:lineRule="auto"/>
                    <w:ind w:left="385" w:leftChars="0"/>
                    <w:jc w:val="center"/>
                    <w:outlineLvl w:val="9"/>
                    <w:rPr>
                      <w:rFonts w:hint="default" w:ascii="Times New Roman" w:hAnsi="Times New Roman" w:eastAsia="宋体" w:cs="Times New Roman"/>
                      <w:color w:val="auto"/>
                      <w:spacing w:val="-2"/>
                      <w:sz w:val="21"/>
                      <w:szCs w:val="21"/>
                    </w:rPr>
                  </w:pPr>
                </w:p>
              </w:tc>
            </w:tr>
            <w:tr w14:paraId="4BE58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3A466B27">
                  <w:pPr>
                    <w:pStyle w:val="115"/>
                    <w:keepNext/>
                    <w:keepLines w:val="0"/>
                    <w:pageBreakBefore w:val="0"/>
                    <w:kinsoku/>
                    <w:wordWrap/>
                    <w:overflowPunct/>
                    <w:topLinePunct w:val="0"/>
                    <w:autoSpaceDE w:val="0"/>
                    <w:autoSpaceDN w:val="0"/>
                    <w:bidi w:val="0"/>
                    <w:spacing w:before="177" w:line="162" w:lineRule="auto"/>
                    <w:ind w:left="224"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3</w:t>
                  </w:r>
                </w:p>
              </w:tc>
              <w:tc>
                <w:tcPr>
                  <w:tcW w:w="940" w:type="pct"/>
                  <w:shd w:val="clear" w:color="auto" w:fill="auto"/>
                  <w:vAlign w:val="center"/>
                </w:tcPr>
                <w:p w14:paraId="752E5605">
                  <w:pPr>
                    <w:pStyle w:val="115"/>
                    <w:keepNext/>
                    <w:keepLines w:val="0"/>
                    <w:pageBreakBefore w:val="0"/>
                    <w:kinsoku/>
                    <w:wordWrap/>
                    <w:overflowPunct/>
                    <w:topLinePunct w:val="0"/>
                    <w:autoSpaceDE w:val="0"/>
                    <w:autoSpaceDN w:val="0"/>
                    <w:bidi w:val="0"/>
                    <w:spacing w:before="84" w:line="219"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对讲系统</w:t>
                  </w:r>
                </w:p>
              </w:tc>
              <w:tc>
                <w:tcPr>
                  <w:tcW w:w="1188" w:type="pct"/>
                  <w:shd w:val="clear" w:color="auto" w:fill="auto"/>
                  <w:vAlign w:val="center"/>
                </w:tcPr>
                <w:p w14:paraId="7D332D11">
                  <w:pPr>
                    <w:pStyle w:val="115"/>
                    <w:keepNext/>
                    <w:keepLines w:val="0"/>
                    <w:pageBreakBefore w:val="0"/>
                    <w:kinsoku/>
                    <w:wordWrap/>
                    <w:overflowPunct/>
                    <w:topLinePunct w:val="0"/>
                    <w:autoSpaceDE w:val="0"/>
                    <w:autoSpaceDN w:val="0"/>
                    <w:bidi w:val="0"/>
                    <w:spacing w:before="84" w:line="219"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465" w:type="pct"/>
                  <w:shd w:val="clear" w:color="auto" w:fill="auto"/>
                  <w:vAlign w:val="center"/>
                </w:tcPr>
                <w:p w14:paraId="7D67EF1E">
                  <w:pPr>
                    <w:pStyle w:val="115"/>
                    <w:keepNext/>
                    <w:keepLines w:val="0"/>
                    <w:pageBreakBefore w:val="0"/>
                    <w:kinsoku/>
                    <w:wordWrap/>
                    <w:overflowPunct/>
                    <w:topLinePunct w:val="0"/>
                    <w:autoSpaceDE w:val="0"/>
                    <w:autoSpaceDN w:val="0"/>
                    <w:bidi w:val="0"/>
                    <w:spacing w:before="80" w:line="220" w:lineRule="auto"/>
                    <w:ind w:left="226" w:leftChars="0"/>
                    <w:jc w:val="both"/>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6F756679">
                  <w:pPr>
                    <w:keepNext/>
                    <w:keepLines w:val="0"/>
                    <w:pageBreakBefore w:val="0"/>
                    <w:kinsoku/>
                    <w:wordWrap/>
                    <w:overflowPunct/>
                    <w:topLinePunct w:val="0"/>
                    <w:autoSpaceDE w:val="0"/>
                    <w:autoSpaceDN w:val="0"/>
                    <w:bidi w:val="0"/>
                    <w:spacing w:before="103" w:line="205" w:lineRule="auto"/>
                    <w:ind w:left="247" w:left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vAlign w:val="center"/>
                </w:tcPr>
                <w:p w14:paraId="3396185A">
                  <w:pPr>
                    <w:pStyle w:val="115"/>
                    <w:keepNext/>
                    <w:keepLines w:val="0"/>
                    <w:pageBreakBefore w:val="0"/>
                    <w:kinsoku/>
                    <w:wordWrap/>
                    <w:overflowPunct/>
                    <w:topLinePunct w:val="0"/>
                    <w:autoSpaceDE w:val="0"/>
                    <w:autoSpaceDN w:val="0"/>
                    <w:bidi w:val="0"/>
                    <w:spacing w:before="103" w:line="205"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492" w:type="pct"/>
                  <w:vAlign w:val="center"/>
                </w:tcPr>
                <w:p w14:paraId="091CC082">
                  <w:pPr>
                    <w:pStyle w:val="115"/>
                    <w:keepNext/>
                    <w:keepLines w:val="0"/>
                    <w:pageBreakBefore w:val="0"/>
                    <w:kinsoku/>
                    <w:wordWrap/>
                    <w:overflowPunct/>
                    <w:topLinePunct w:val="0"/>
                    <w:autoSpaceDE w:val="0"/>
                    <w:autoSpaceDN w:val="0"/>
                    <w:bidi w:val="0"/>
                    <w:spacing w:before="103" w:line="205"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41D8D392">
                  <w:pPr>
                    <w:pStyle w:val="115"/>
                    <w:keepNext/>
                    <w:keepLines w:val="0"/>
                    <w:pageBreakBefore w:val="0"/>
                    <w:kinsoku/>
                    <w:wordWrap/>
                    <w:overflowPunct/>
                    <w:topLinePunct w:val="0"/>
                    <w:autoSpaceDE w:val="0"/>
                    <w:autoSpaceDN w:val="0"/>
                    <w:bidi w:val="0"/>
                    <w:spacing w:before="84" w:line="219" w:lineRule="auto"/>
                    <w:ind w:left="394" w:leftChars="0"/>
                    <w:jc w:val="center"/>
                    <w:outlineLvl w:val="9"/>
                    <w:rPr>
                      <w:rFonts w:hint="default" w:ascii="Times New Roman" w:hAnsi="Times New Roman" w:eastAsia="宋体" w:cs="Times New Roman"/>
                      <w:color w:val="auto"/>
                      <w:spacing w:val="-2"/>
                      <w:sz w:val="21"/>
                      <w:szCs w:val="21"/>
                    </w:rPr>
                  </w:pPr>
                </w:p>
              </w:tc>
            </w:tr>
            <w:tr w14:paraId="1DE2C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0" w:type="pct"/>
                  <w:shd w:val="clear" w:color="auto" w:fill="auto"/>
                  <w:vAlign w:val="center"/>
                </w:tcPr>
                <w:p w14:paraId="511EA0E7">
                  <w:pPr>
                    <w:pStyle w:val="115"/>
                    <w:keepNext/>
                    <w:keepLines w:val="0"/>
                    <w:pageBreakBefore w:val="0"/>
                    <w:kinsoku/>
                    <w:wordWrap/>
                    <w:overflowPunct/>
                    <w:topLinePunct w:val="0"/>
                    <w:autoSpaceDE w:val="0"/>
                    <w:autoSpaceDN w:val="0"/>
                    <w:bidi w:val="0"/>
                    <w:spacing w:before="179" w:line="161" w:lineRule="auto"/>
                    <w:ind w:left="224" w:leftChars="0"/>
                    <w:jc w:val="center"/>
                    <w:outlineLvl w:val="9"/>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4</w:t>
                  </w:r>
                </w:p>
              </w:tc>
              <w:tc>
                <w:tcPr>
                  <w:tcW w:w="940" w:type="pct"/>
                  <w:shd w:val="clear" w:color="auto" w:fill="auto"/>
                  <w:vAlign w:val="center"/>
                </w:tcPr>
                <w:p w14:paraId="170141A8">
                  <w:pPr>
                    <w:pStyle w:val="115"/>
                    <w:keepNext/>
                    <w:keepLines w:val="0"/>
                    <w:pageBreakBefore w:val="0"/>
                    <w:kinsoku/>
                    <w:wordWrap/>
                    <w:overflowPunct/>
                    <w:topLinePunct w:val="0"/>
                    <w:autoSpaceDE w:val="0"/>
                    <w:autoSpaceDN w:val="0"/>
                    <w:bidi w:val="0"/>
                    <w:spacing w:before="125" w:line="203"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信息化总控系统</w:t>
                  </w:r>
                </w:p>
              </w:tc>
              <w:tc>
                <w:tcPr>
                  <w:tcW w:w="1188" w:type="pct"/>
                  <w:shd w:val="clear" w:color="auto" w:fill="auto"/>
                  <w:vAlign w:val="center"/>
                </w:tcPr>
                <w:p w14:paraId="5DEF9C18">
                  <w:pPr>
                    <w:pStyle w:val="115"/>
                    <w:keepNext/>
                    <w:keepLines w:val="0"/>
                    <w:pageBreakBefore w:val="0"/>
                    <w:kinsoku/>
                    <w:wordWrap/>
                    <w:overflowPunct/>
                    <w:topLinePunct w:val="0"/>
                    <w:autoSpaceDE w:val="0"/>
                    <w:autoSpaceDN w:val="0"/>
                    <w:bidi w:val="0"/>
                    <w:spacing w:before="125" w:line="203" w:lineRule="auto"/>
                    <w:ind w:left="1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465" w:type="pct"/>
                  <w:shd w:val="clear" w:color="auto" w:fill="auto"/>
                  <w:vAlign w:val="center"/>
                </w:tcPr>
                <w:p w14:paraId="347E637E">
                  <w:pPr>
                    <w:pStyle w:val="115"/>
                    <w:keepNext/>
                    <w:keepLines w:val="0"/>
                    <w:pageBreakBefore w:val="0"/>
                    <w:kinsoku/>
                    <w:wordWrap/>
                    <w:overflowPunct/>
                    <w:topLinePunct w:val="0"/>
                    <w:autoSpaceDE w:val="0"/>
                    <w:autoSpaceDN w:val="0"/>
                    <w:bidi w:val="0"/>
                    <w:spacing w:before="90" w:line="220" w:lineRule="auto"/>
                    <w:ind w:left="226"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542" w:type="pct"/>
                  <w:shd w:val="clear" w:color="auto" w:fill="auto"/>
                  <w:vAlign w:val="center"/>
                </w:tcPr>
                <w:p w14:paraId="1BFD847D">
                  <w:pPr>
                    <w:keepNext/>
                    <w:keepLines w:val="0"/>
                    <w:pageBreakBefore w:val="0"/>
                    <w:kinsoku/>
                    <w:wordWrap/>
                    <w:overflowPunct/>
                    <w:topLinePunct w:val="0"/>
                    <w:autoSpaceDE w:val="0"/>
                    <w:autoSpaceDN w:val="0"/>
                    <w:bidi w:val="0"/>
                    <w:spacing w:before="113" w:line="208" w:lineRule="auto"/>
                    <w:ind w:left="247" w:leftChars="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506" w:type="pct"/>
                  <w:vAlign w:val="center"/>
                </w:tcPr>
                <w:p w14:paraId="56292F19">
                  <w:pPr>
                    <w:pStyle w:val="115"/>
                    <w:keepNext/>
                    <w:keepLines w:val="0"/>
                    <w:pageBreakBefore w:val="0"/>
                    <w:kinsoku/>
                    <w:wordWrap/>
                    <w:overflowPunct/>
                    <w:topLinePunct w:val="0"/>
                    <w:autoSpaceDE w:val="0"/>
                    <w:autoSpaceDN w:val="0"/>
                    <w:bidi w:val="0"/>
                    <w:spacing w:before="113" w:line="208"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492" w:type="pct"/>
                  <w:vAlign w:val="center"/>
                </w:tcPr>
                <w:p w14:paraId="40C4DD11">
                  <w:pPr>
                    <w:pStyle w:val="115"/>
                    <w:keepNext/>
                    <w:keepLines w:val="0"/>
                    <w:pageBreakBefore w:val="0"/>
                    <w:kinsoku/>
                    <w:wordWrap/>
                    <w:overflowPunct/>
                    <w:topLinePunct w:val="0"/>
                    <w:autoSpaceDE w:val="0"/>
                    <w:autoSpaceDN w:val="0"/>
                    <w:bidi w:val="0"/>
                    <w:spacing w:before="113" w:line="208" w:lineRule="auto"/>
                    <w:ind w:left="247" w:leftChars="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z w:val="21"/>
                      <w:szCs w:val="21"/>
                    </w:rPr>
                    <w:t>1</w:t>
                  </w:r>
                </w:p>
              </w:tc>
              <w:tc>
                <w:tcPr>
                  <w:tcW w:w="533" w:type="pct"/>
                  <w:vMerge w:val="continue"/>
                  <w:vAlign w:val="center"/>
                </w:tcPr>
                <w:p w14:paraId="48858DA6">
                  <w:pPr>
                    <w:pStyle w:val="115"/>
                    <w:keepNext/>
                    <w:keepLines w:val="0"/>
                    <w:pageBreakBefore w:val="0"/>
                    <w:kinsoku/>
                    <w:wordWrap/>
                    <w:overflowPunct/>
                    <w:topLinePunct w:val="0"/>
                    <w:autoSpaceDE w:val="0"/>
                    <w:autoSpaceDN w:val="0"/>
                    <w:bidi w:val="0"/>
                    <w:spacing w:before="125" w:line="203" w:lineRule="auto"/>
                    <w:ind w:left="394" w:leftChars="0"/>
                    <w:jc w:val="center"/>
                    <w:outlineLvl w:val="9"/>
                    <w:rPr>
                      <w:rFonts w:hint="default" w:ascii="Times New Roman" w:hAnsi="Times New Roman" w:eastAsia="宋体" w:cs="Times New Roman"/>
                      <w:color w:val="auto"/>
                      <w:spacing w:val="-2"/>
                      <w:sz w:val="21"/>
                      <w:szCs w:val="21"/>
                    </w:rPr>
                  </w:pPr>
                </w:p>
              </w:tc>
            </w:tr>
          </w:tbl>
          <w:p w14:paraId="7F630ABF">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lang w:val="en-US" w:eastAsia="zh-CN"/>
              </w:rPr>
              <w:t>5</w:t>
            </w:r>
            <w:r>
              <w:rPr>
                <w:rFonts w:hint="eastAsia"/>
                <w:b/>
                <w:bCs/>
                <w:color w:val="auto"/>
                <w:sz w:val="24"/>
              </w:rPr>
              <w:t>、主要原辅材料</w:t>
            </w:r>
          </w:p>
          <w:p w14:paraId="3DDC349C">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eastAsia"/>
                <w:color w:val="auto"/>
                <w:sz w:val="24"/>
              </w:rPr>
              <w:t>本项目新增原辅材料及能源资源消耗情况一览表见表2-</w:t>
            </w:r>
            <w:r>
              <w:rPr>
                <w:rFonts w:hint="eastAsia"/>
                <w:color w:val="auto"/>
                <w:sz w:val="24"/>
                <w:lang w:val="en-US" w:eastAsia="zh-CN"/>
              </w:rPr>
              <w:t>8</w:t>
            </w:r>
            <w:r>
              <w:rPr>
                <w:rFonts w:hint="eastAsia"/>
                <w:color w:val="auto"/>
                <w:sz w:val="24"/>
              </w:rPr>
              <w:t>。</w:t>
            </w:r>
            <w:r>
              <w:rPr>
                <w:rFonts w:hint="eastAsia" w:asciiTheme="minorEastAsia" w:hAnsiTheme="minorEastAsia" w:cstheme="minorEastAsia"/>
                <w:color w:val="auto"/>
                <w:sz w:val="24"/>
                <w:szCs w:val="24"/>
                <w:lang w:val="en-US" w:eastAsia="zh-CN"/>
              </w:rPr>
              <w:t>扩建后全</w:t>
            </w:r>
            <w:r>
              <w:rPr>
                <w:color w:val="auto"/>
                <w:sz w:val="24"/>
              </w:rPr>
              <w:t>厂</w:t>
            </w:r>
            <w:r>
              <w:rPr>
                <w:rFonts w:hint="eastAsia" w:asciiTheme="minorEastAsia" w:hAnsiTheme="minorEastAsia" w:cstheme="minorEastAsia"/>
                <w:color w:val="auto"/>
                <w:sz w:val="24"/>
                <w:szCs w:val="24"/>
                <w:lang w:val="en-US" w:eastAsia="zh-CN"/>
              </w:rPr>
              <w:t>原辅料变化情况</w:t>
            </w:r>
            <w:r>
              <w:rPr>
                <w:rFonts w:hint="default" w:ascii="Times New Roman" w:hAnsi="Times New Roman" w:cs="Times New Roman"/>
                <w:color w:val="auto"/>
                <w:sz w:val="24"/>
                <w:szCs w:val="24"/>
                <w:lang w:val="en-US" w:eastAsia="zh-CN"/>
              </w:rPr>
              <w:t>见表</w:t>
            </w:r>
            <w:r>
              <w:rPr>
                <w:rFonts w:hint="eastAsia" w:cs="Times New Roman"/>
                <w:color w:val="auto"/>
                <w:sz w:val="24"/>
                <w:szCs w:val="24"/>
                <w:lang w:val="en-US" w:eastAsia="zh-CN"/>
              </w:rPr>
              <w:t>2-9</w:t>
            </w:r>
            <w:r>
              <w:rPr>
                <w:rFonts w:hint="default" w:ascii="Times New Roman" w:hAnsi="Times New Roman" w:cs="Times New Roman"/>
                <w:color w:val="auto"/>
                <w:sz w:val="24"/>
                <w:szCs w:val="24"/>
                <w:lang w:val="en-US" w:eastAsia="zh-CN"/>
              </w:rPr>
              <w:t>。</w:t>
            </w:r>
          </w:p>
          <w:p w14:paraId="1EE9E8FE">
            <w:pPr>
              <w:pStyle w:val="8"/>
              <w:keepNext/>
              <w:keepLines w:val="0"/>
              <w:pageBreakBefore w:val="0"/>
              <w:kinsoku/>
              <w:wordWrap/>
              <w:overflowPunct/>
              <w:topLinePunct w:val="0"/>
              <w:bidi w:val="0"/>
              <w:ind w:left="360"/>
              <w:outlineLvl w:val="9"/>
              <w:rPr>
                <w:b/>
                <w:bCs/>
                <w:color w:val="auto"/>
              </w:rPr>
            </w:pPr>
            <w:r>
              <w:rPr>
                <w:b/>
                <w:bCs/>
                <w:color w:val="auto"/>
              </w:rPr>
              <w:t>表2-</w:t>
            </w:r>
            <w:r>
              <w:rPr>
                <w:rFonts w:hint="eastAsia"/>
                <w:b/>
                <w:bCs/>
                <w:color w:val="auto"/>
                <w:lang w:val="en-US" w:eastAsia="zh-CN"/>
              </w:rPr>
              <w:t>8</w:t>
            </w:r>
            <w:r>
              <w:rPr>
                <w:rFonts w:hint="eastAsia"/>
                <w:b/>
                <w:bCs/>
                <w:color w:val="auto"/>
              </w:rPr>
              <w:t xml:space="preserve"> </w:t>
            </w:r>
            <w:r>
              <w:rPr>
                <w:b/>
                <w:bCs/>
                <w:color w:val="auto"/>
              </w:rPr>
              <w:t xml:space="preserve"> 原辅材料一览表</w:t>
            </w:r>
          </w:p>
          <w:tbl>
            <w:tblPr>
              <w:tblStyle w:val="85"/>
              <w:tblW w:w="499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61"/>
              <w:gridCol w:w="1359"/>
              <w:gridCol w:w="1072"/>
              <w:gridCol w:w="1213"/>
              <w:gridCol w:w="1729"/>
              <w:gridCol w:w="867"/>
              <w:gridCol w:w="1612"/>
            </w:tblGrid>
            <w:tr w14:paraId="2E1122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7" w:hRule="atLeast"/>
              </w:trPr>
              <w:tc>
                <w:tcPr>
                  <w:tcW w:w="277" w:type="pct"/>
                  <w:vAlign w:val="center"/>
                </w:tcPr>
                <w:p w14:paraId="6C29D93B">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b/>
                      <w:bCs/>
                      <w:color w:val="auto"/>
                      <w:sz w:val="21"/>
                      <w:szCs w:val="21"/>
                    </w:rPr>
                  </w:pPr>
                  <w:r>
                    <w:rPr>
                      <w:rFonts w:ascii="宋体" w:hAnsi="宋体" w:eastAsia="宋体" w:cs="宋体"/>
                      <w:b/>
                      <w:bCs/>
                      <w:color w:val="auto"/>
                      <w:spacing w:val="-3"/>
                      <w:sz w:val="21"/>
                      <w:szCs w:val="21"/>
                    </w:rPr>
                    <w:t>序</w:t>
                  </w:r>
                  <w:r>
                    <w:rPr>
                      <w:rFonts w:ascii="宋体" w:hAnsi="宋体" w:eastAsia="宋体" w:cs="宋体"/>
                      <w:b/>
                      <w:bCs/>
                      <w:color w:val="auto"/>
                      <w:spacing w:val="-2"/>
                      <w:sz w:val="21"/>
                      <w:szCs w:val="21"/>
                    </w:rPr>
                    <w:t>号</w:t>
                  </w:r>
                </w:p>
              </w:tc>
              <w:tc>
                <w:tcPr>
                  <w:tcW w:w="817" w:type="pct"/>
                  <w:vAlign w:val="center"/>
                </w:tcPr>
                <w:p w14:paraId="539C5087">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b/>
                      <w:bCs/>
                      <w:color w:val="auto"/>
                      <w:sz w:val="21"/>
                      <w:szCs w:val="21"/>
                    </w:rPr>
                  </w:pPr>
                  <w:r>
                    <w:rPr>
                      <w:rFonts w:ascii="宋体" w:hAnsi="宋体" w:eastAsia="宋体" w:cs="宋体"/>
                      <w:b/>
                      <w:bCs/>
                      <w:color w:val="auto"/>
                      <w:spacing w:val="-2"/>
                      <w:sz w:val="21"/>
                      <w:szCs w:val="21"/>
                    </w:rPr>
                    <w:t>原、辅材料名</w:t>
                  </w:r>
                  <w:r>
                    <w:rPr>
                      <w:rFonts w:ascii="宋体" w:hAnsi="宋体" w:eastAsia="宋体" w:cs="宋体"/>
                      <w:b/>
                      <w:bCs/>
                      <w:color w:val="auto"/>
                      <w:spacing w:val="-1"/>
                      <w:sz w:val="21"/>
                      <w:szCs w:val="21"/>
                    </w:rPr>
                    <w:t>称</w:t>
                  </w:r>
                </w:p>
              </w:tc>
              <w:tc>
                <w:tcPr>
                  <w:tcW w:w="644" w:type="pct"/>
                  <w:vAlign w:val="center"/>
                </w:tcPr>
                <w:p w14:paraId="7376E7EA">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b/>
                      <w:bCs/>
                      <w:color w:val="auto"/>
                      <w:sz w:val="21"/>
                      <w:szCs w:val="21"/>
                    </w:rPr>
                  </w:pPr>
                  <w:r>
                    <w:rPr>
                      <w:rFonts w:ascii="宋体" w:hAnsi="宋体" w:eastAsia="宋体" w:cs="宋体"/>
                      <w:b/>
                      <w:bCs/>
                      <w:color w:val="auto"/>
                      <w:spacing w:val="22"/>
                      <w:sz w:val="21"/>
                      <w:szCs w:val="21"/>
                    </w:rPr>
                    <w:t>年消耗</w:t>
                  </w:r>
                  <w:r>
                    <w:rPr>
                      <w:rFonts w:hint="eastAsia" w:ascii="宋体" w:hAnsi="宋体" w:cs="宋体"/>
                      <w:b/>
                      <w:bCs/>
                      <w:color w:val="auto"/>
                      <w:spacing w:val="22"/>
                      <w:sz w:val="21"/>
                      <w:szCs w:val="21"/>
                      <w:lang w:val="en-US" w:eastAsia="zh-CN"/>
                    </w:rPr>
                    <w:t>量</w:t>
                  </w:r>
                  <w:r>
                    <w:rPr>
                      <w:rFonts w:hint="eastAsia" w:ascii="宋体" w:hAnsi="宋体" w:eastAsia="宋体" w:cs="宋体"/>
                      <w:b/>
                      <w:bCs/>
                      <w:color w:val="auto"/>
                      <w:spacing w:val="22"/>
                      <w:sz w:val="21"/>
                      <w:szCs w:val="21"/>
                      <w:lang w:eastAsia="zh-CN"/>
                    </w:rPr>
                    <w:t>（</w:t>
                  </w:r>
                  <w:r>
                    <w:rPr>
                      <w:rFonts w:ascii="Times New Roman" w:hAnsi="Times New Roman" w:eastAsia="Times New Roman" w:cs="Times New Roman"/>
                      <w:b/>
                      <w:bCs/>
                      <w:color w:val="auto"/>
                      <w:sz w:val="21"/>
                      <w:szCs w:val="21"/>
                    </w:rPr>
                    <w:t>t</w:t>
                  </w:r>
                  <w:r>
                    <w:rPr>
                      <w:rFonts w:hint="eastAsia" w:ascii="Times New Roman" w:hAnsi="Times New Roman" w:eastAsia="宋体" w:cs="Times New Roman"/>
                      <w:b/>
                      <w:bCs/>
                      <w:color w:val="auto"/>
                      <w:sz w:val="21"/>
                      <w:szCs w:val="21"/>
                      <w:lang w:eastAsia="zh-CN"/>
                    </w:rPr>
                    <w:t>）</w:t>
                  </w:r>
                </w:p>
              </w:tc>
              <w:tc>
                <w:tcPr>
                  <w:tcW w:w="729" w:type="pct"/>
                  <w:vAlign w:val="center"/>
                </w:tcPr>
                <w:p w14:paraId="1F932C4C">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b/>
                      <w:bCs/>
                      <w:color w:val="auto"/>
                      <w:spacing w:val="22"/>
                      <w:sz w:val="21"/>
                      <w:szCs w:val="21"/>
                      <w:lang w:val="en-US" w:eastAsia="zh-CN"/>
                    </w:rPr>
                  </w:pPr>
                  <w:r>
                    <w:rPr>
                      <w:rFonts w:hint="eastAsia" w:ascii="宋体" w:hAnsi="宋体" w:eastAsia="宋体" w:cs="宋体"/>
                      <w:b/>
                      <w:bCs/>
                      <w:color w:val="auto"/>
                      <w:spacing w:val="22"/>
                      <w:sz w:val="21"/>
                      <w:szCs w:val="21"/>
                      <w:lang w:val="en-US" w:eastAsia="zh-CN"/>
                    </w:rPr>
                    <w:t>厂内最大贮存量（</w:t>
                  </w:r>
                  <w:r>
                    <w:rPr>
                      <w:rFonts w:ascii="Times New Roman" w:hAnsi="Times New Roman" w:eastAsia="Times New Roman" w:cs="Times New Roman"/>
                      <w:b/>
                      <w:bCs/>
                      <w:color w:val="auto"/>
                      <w:sz w:val="21"/>
                      <w:szCs w:val="21"/>
                    </w:rPr>
                    <w:t>t</w:t>
                  </w:r>
                  <w:r>
                    <w:rPr>
                      <w:rFonts w:hint="eastAsia" w:ascii="Times New Roman" w:hAnsi="Times New Roman" w:eastAsia="宋体" w:cs="Times New Roman"/>
                      <w:b/>
                      <w:bCs/>
                      <w:color w:val="auto"/>
                      <w:sz w:val="21"/>
                      <w:szCs w:val="21"/>
                      <w:lang w:eastAsia="zh-CN"/>
                    </w:rPr>
                    <w:t>）</w:t>
                  </w:r>
                </w:p>
              </w:tc>
              <w:tc>
                <w:tcPr>
                  <w:tcW w:w="1039" w:type="pct"/>
                  <w:vAlign w:val="center"/>
                </w:tcPr>
                <w:p w14:paraId="3495A5FA">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b/>
                      <w:bCs/>
                      <w:color w:val="auto"/>
                      <w:spacing w:val="22"/>
                      <w:sz w:val="21"/>
                      <w:szCs w:val="21"/>
                      <w:lang w:val="en-US" w:eastAsia="zh-CN"/>
                    </w:rPr>
                  </w:pPr>
                  <w:r>
                    <w:rPr>
                      <w:rFonts w:hint="eastAsia" w:ascii="宋体" w:hAnsi="宋体" w:eastAsia="宋体" w:cs="宋体"/>
                      <w:b/>
                      <w:bCs/>
                      <w:color w:val="auto"/>
                      <w:spacing w:val="22"/>
                      <w:sz w:val="21"/>
                      <w:szCs w:val="21"/>
                      <w:lang w:val="en-US" w:eastAsia="zh-CN"/>
                    </w:rPr>
                    <w:t>规格/包装</w:t>
                  </w:r>
                </w:p>
              </w:tc>
              <w:tc>
                <w:tcPr>
                  <w:tcW w:w="521" w:type="pct"/>
                  <w:vAlign w:val="center"/>
                </w:tcPr>
                <w:p w14:paraId="7042D33A">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b/>
                      <w:bCs/>
                      <w:color w:val="auto"/>
                      <w:spacing w:val="22"/>
                      <w:sz w:val="21"/>
                      <w:szCs w:val="21"/>
                      <w:lang w:val="en-US" w:eastAsia="zh-CN"/>
                    </w:rPr>
                  </w:pPr>
                  <w:r>
                    <w:rPr>
                      <w:rFonts w:hint="eastAsia" w:ascii="宋体" w:hAnsi="宋体" w:eastAsia="宋体" w:cs="宋体"/>
                      <w:b/>
                      <w:bCs/>
                      <w:color w:val="auto"/>
                      <w:spacing w:val="22"/>
                      <w:sz w:val="21"/>
                      <w:szCs w:val="21"/>
                      <w:lang w:val="en-US" w:eastAsia="zh-CN"/>
                    </w:rPr>
                    <w:t>存放位置</w:t>
                  </w:r>
                </w:p>
              </w:tc>
              <w:tc>
                <w:tcPr>
                  <w:tcW w:w="969" w:type="pct"/>
                  <w:vAlign w:val="center"/>
                </w:tcPr>
                <w:p w14:paraId="5BBE30E1">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b/>
                      <w:bCs/>
                      <w:color w:val="auto"/>
                      <w:sz w:val="21"/>
                      <w:szCs w:val="21"/>
                    </w:rPr>
                  </w:pPr>
                  <w:r>
                    <w:rPr>
                      <w:rFonts w:ascii="宋体" w:hAnsi="宋体" w:eastAsia="宋体" w:cs="宋体"/>
                      <w:b/>
                      <w:bCs/>
                      <w:color w:val="auto"/>
                      <w:spacing w:val="-2"/>
                      <w:sz w:val="21"/>
                      <w:szCs w:val="21"/>
                    </w:rPr>
                    <w:t>标准规格</w:t>
                  </w:r>
                </w:p>
              </w:tc>
            </w:tr>
            <w:tr w14:paraId="0C912A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277" w:type="pct"/>
                  <w:vAlign w:val="center"/>
                </w:tcPr>
                <w:p w14:paraId="45E1C0E1">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r>
                    <w:rPr>
                      <w:sz w:val="21"/>
                    </w:rPr>
                    <mc:AlternateContent>
                      <mc:Choice Requires="wps">
                        <w:drawing>
                          <wp:anchor distT="0" distB="0" distL="114300" distR="114300" simplePos="0" relativeHeight="251821056" behindDoc="0" locked="0" layoutInCell="1" allowOverlap="1">
                            <wp:simplePos x="0" y="0"/>
                            <wp:positionH relativeFrom="column">
                              <wp:posOffset>250190</wp:posOffset>
                            </wp:positionH>
                            <wp:positionV relativeFrom="paragraph">
                              <wp:posOffset>-53340</wp:posOffset>
                            </wp:positionV>
                            <wp:extent cx="5038725" cy="3076575"/>
                            <wp:effectExtent l="5080" t="4445" r="4445" b="5080"/>
                            <wp:wrapNone/>
                            <wp:docPr id="223" name="矩形 223"/>
                            <wp:cNvGraphicFramePr/>
                            <a:graphic xmlns:a="http://schemas.openxmlformats.org/drawingml/2006/main">
                              <a:graphicData uri="http://schemas.microsoft.com/office/word/2010/wordprocessingShape">
                                <wps:wsp>
                                  <wps:cNvSpPr/>
                                  <wps:spPr>
                                    <a:xfrm>
                                      <a:off x="2084705" y="6444615"/>
                                      <a:ext cx="5038725" cy="3076575"/>
                                    </a:xfrm>
                                    <a:prstGeom prst="rect">
                                      <a:avLst/>
                                    </a:prstGeom>
                                    <a:solidFill>
                                      <a:schemeClr val="bg1"/>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pt;margin-top:-4.2pt;height:242.25pt;width:396.75pt;z-index:251821056;v-text-anchor:middle;mso-width-relative:page;mso-height-relative:page;" fillcolor="#FFFFFF [3212]" filled="t" stroked="t" coordsize="21600,21600" o:gfxdata="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S9yJcNoAAAAJAQAADwAAAAAA&#10;AAABACAAAAAiAAAAZHJzL2Rvd25yZXYueG1sUEsBAhQAFAAAAAgAh07iQMUVTISDAgAABgUAAA4A&#10;AAAAAAAAAQAgAAAAKQEAAGRycy9lMm9Eb2MueG1sUEsFBgAAAAAGAAYAWQEAAB4GAAAAAA==&#10;">
                            <v:fill on="t" focussize="0,0"/>
                            <v:stroke color="#000000 [3213]" joinstyle="round" endarrow="open"/>
                            <v:imagedata o:title=""/>
                            <o:lock v:ext="edit" aspectratio="f"/>
                          </v:rect>
                        </w:pict>
                      </mc:Fallback>
                    </mc:AlternateContent>
                  </w:r>
                  <w:r>
                    <w:rPr>
                      <w:rFonts w:ascii="Times New Roman" w:hAnsi="Times New Roman" w:eastAsia="Times New Roman" w:cs="Times New Roman"/>
                      <w:color w:val="auto"/>
                      <w:sz w:val="21"/>
                      <w:szCs w:val="21"/>
                    </w:rPr>
                    <w:t>1</w:t>
                  </w:r>
                </w:p>
              </w:tc>
              <w:tc>
                <w:tcPr>
                  <w:tcW w:w="817" w:type="pct"/>
                  <w:vAlign w:val="center"/>
                </w:tcPr>
                <w:p w14:paraId="52583416">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ascii="宋体" w:hAnsi="宋体" w:eastAsia="宋体" w:cs="宋体"/>
                      <w:color w:val="auto"/>
                      <w:spacing w:val="-4"/>
                      <w:sz w:val="21"/>
                      <w:szCs w:val="21"/>
                    </w:rPr>
                    <w:t>硝</w:t>
                  </w:r>
                  <w:r>
                    <w:rPr>
                      <w:rFonts w:ascii="宋体" w:hAnsi="宋体" w:eastAsia="宋体" w:cs="宋体"/>
                      <w:color w:val="auto"/>
                      <w:spacing w:val="-2"/>
                      <w:sz w:val="21"/>
                      <w:szCs w:val="21"/>
                    </w:rPr>
                    <w:t>酸铵</w:t>
                  </w:r>
                </w:p>
              </w:tc>
              <w:tc>
                <w:tcPr>
                  <w:tcW w:w="644" w:type="pct"/>
                  <w:shd w:val="clear" w:color="auto" w:fill="auto"/>
                  <w:vAlign w:val="center"/>
                </w:tcPr>
                <w:p w14:paraId="46E88762">
                  <w:pPr>
                    <w:keepNext/>
                    <w:keepLines w:val="0"/>
                    <w:pageBreakBefore w:val="0"/>
                    <w:widowControl/>
                    <w:suppressLineNumbers w:val="0"/>
                    <w:kinsoku/>
                    <w:wordWrap/>
                    <w:overflowPunct/>
                    <w:topLinePunct w:val="0"/>
                    <w:autoSpaceDE w:val="0"/>
                    <w:autoSpaceDN w:val="0"/>
                    <w:bidi w:val="0"/>
                    <w:jc w:val="center"/>
                    <w:textAlignment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5320</w:t>
                  </w:r>
                </w:p>
              </w:tc>
              <w:tc>
                <w:tcPr>
                  <w:tcW w:w="729" w:type="pct"/>
                  <w:vAlign w:val="center"/>
                </w:tcPr>
                <w:p w14:paraId="05280F97">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highlight w:val="none"/>
                      <w:lang w:val="en-US" w:eastAsia="zh-CN"/>
                    </w:rPr>
                    <w:t>128.3</w:t>
                  </w:r>
                </w:p>
              </w:tc>
              <w:tc>
                <w:tcPr>
                  <w:tcW w:w="1039" w:type="pct"/>
                  <w:vAlign w:val="center"/>
                </w:tcPr>
                <w:p w14:paraId="0111FD55">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浓度92%，液态散装</w:t>
                  </w:r>
                </w:p>
              </w:tc>
              <w:tc>
                <w:tcPr>
                  <w:tcW w:w="521" w:type="pct"/>
                  <w:vAlign w:val="center"/>
                </w:tcPr>
                <w:p w14:paraId="36253DEB">
                  <w:pPr>
                    <w:keepNext/>
                    <w:keepLines w:val="0"/>
                    <w:pageBreakBefore w:val="0"/>
                    <w:kinsoku/>
                    <w:wordWrap/>
                    <w:overflowPunct/>
                    <w:topLinePunct w:val="0"/>
                    <w:autoSpaceDE w:val="0"/>
                    <w:autoSpaceDN w:val="0"/>
                    <w:bidi w:val="0"/>
                    <w:spacing w:line="240" w:lineRule="auto"/>
                    <w:ind w:left="0"/>
                    <w:jc w:val="center"/>
                    <w:outlineLvl w:val="9"/>
                    <w:rPr>
                      <w:rFonts w:hint="eastAsia"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储罐</w:t>
                  </w:r>
                </w:p>
              </w:tc>
              <w:tc>
                <w:tcPr>
                  <w:tcW w:w="969" w:type="pct"/>
                  <w:vAlign w:val="center"/>
                </w:tcPr>
                <w:p w14:paraId="60F036F6">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bookmarkStart w:id="37" w:name="OLE_LINK52"/>
                  <w:r>
                    <w:rPr>
                      <w:rFonts w:ascii="Times New Roman" w:hAnsi="Times New Roman" w:eastAsia="Times New Roman" w:cs="Times New Roman"/>
                      <w:color w:val="auto"/>
                      <w:sz w:val="21"/>
                      <w:szCs w:val="21"/>
                    </w:rPr>
                    <w:t>GB</w:t>
                  </w:r>
                  <w:r>
                    <w:rPr>
                      <w:rFonts w:hint="eastAsia" w:ascii="Times New Roman" w:hAnsi="Times New Roman" w:eastAsia="宋体" w:cs="Times New Roman"/>
                      <w:color w:val="auto"/>
                      <w:sz w:val="21"/>
                      <w:szCs w:val="21"/>
                      <w:lang w:val="en-US" w:eastAsia="zh-CN"/>
                    </w:rPr>
                    <w:t>/T</w:t>
                  </w:r>
                  <w:r>
                    <w:rPr>
                      <w:rFonts w:ascii="Times New Roman" w:hAnsi="Times New Roman" w:eastAsia="Times New Roman" w:cs="Times New Roman"/>
                      <w:color w:val="auto"/>
                      <w:spacing w:val="-1"/>
                      <w:sz w:val="21"/>
                      <w:szCs w:val="21"/>
                    </w:rPr>
                    <w:t>2945-2017</w:t>
                  </w:r>
                  <w:bookmarkEnd w:id="37"/>
                </w:p>
              </w:tc>
            </w:tr>
            <w:tr w14:paraId="37BF3D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77" w:type="pct"/>
                  <w:vAlign w:val="center"/>
                </w:tcPr>
                <w:p w14:paraId="329303C8">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2</w:t>
                  </w:r>
                </w:p>
              </w:tc>
              <w:tc>
                <w:tcPr>
                  <w:tcW w:w="817" w:type="pct"/>
                  <w:vAlign w:val="center"/>
                </w:tcPr>
                <w:p w14:paraId="281EE894">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ascii="宋体" w:hAnsi="宋体" w:eastAsia="宋体" w:cs="宋体"/>
                      <w:color w:val="auto"/>
                      <w:spacing w:val="-2"/>
                      <w:sz w:val="21"/>
                      <w:szCs w:val="21"/>
                    </w:rPr>
                    <w:t>硝酸钠</w:t>
                  </w:r>
                </w:p>
              </w:tc>
              <w:tc>
                <w:tcPr>
                  <w:tcW w:w="644" w:type="pct"/>
                  <w:shd w:val="clear" w:color="auto" w:fill="auto"/>
                  <w:vAlign w:val="center"/>
                </w:tcPr>
                <w:p w14:paraId="7239A986">
                  <w:pPr>
                    <w:keepNext/>
                    <w:keepLines w:val="0"/>
                    <w:pageBreakBefore w:val="0"/>
                    <w:widowControl/>
                    <w:suppressLineNumbers w:val="0"/>
                    <w:kinsoku/>
                    <w:wordWrap/>
                    <w:overflowPunct/>
                    <w:topLinePunct w:val="0"/>
                    <w:autoSpaceDE w:val="0"/>
                    <w:autoSpaceDN w:val="0"/>
                    <w:bidi w:val="0"/>
                    <w:jc w:val="center"/>
                    <w:textAlignment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798</w:t>
                  </w:r>
                </w:p>
              </w:tc>
              <w:tc>
                <w:tcPr>
                  <w:tcW w:w="729" w:type="pct"/>
                  <w:vAlign w:val="center"/>
                </w:tcPr>
                <w:p w14:paraId="4C877108">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2"/>
                      <w:sz w:val="21"/>
                      <w:szCs w:val="21"/>
                      <w:lang w:val="en-US" w:eastAsia="zh-CN"/>
                    </w:rPr>
                  </w:pPr>
                  <w:bookmarkStart w:id="38" w:name="OLE_LINK223"/>
                  <w:r>
                    <w:rPr>
                      <w:rFonts w:hint="eastAsia" w:cs="Times New Roman"/>
                      <w:color w:val="auto"/>
                      <w:spacing w:val="-2"/>
                      <w:sz w:val="21"/>
                      <w:szCs w:val="21"/>
                      <w:lang w:val="en-US" w:eastAsia="zh-CN"/>
                    </w:rPr>
                    <w:t>200</w:t>
                  </w:r>
                </w:p>
              </w:tc>
              <w:tc>
                <w:tcPr>
                  <w:tcW w:w="1039" w:type="pct"/>
                  <w:vAlign w:val="center"/>
                </w:tcPr>
                <w:p w14:paraId="060DA0A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固态颗粒，</w:t>
                  </w:r>
                  <w:bookmarkEnd w:id="38"/>
                  <w:bookmarkStart w:id="39" w:name="OLE_LINK222"/>
                  <w:r>
                    <w:rPr>
                      <w:rFonts w:hint="eastAsia" w:ascii="Times New Roman" w:hAnsi="Times New Roman" w:eastAsia="宋体" w:cs="Times New Roman"/>
                      <w:color w:val="auto"/>
                      <w:spacing w:val="-2"/>
                      <w:sz w:val="21"/>
                      <w:szCs w:val="21"/>
                      <w:highlight w:val="none"/>
                      <w:lang w:val="en-US" w:eastAsia="zh-CN"/>
                    </w:rPr>
                    <w:t>50kg袋装</w:t>
                  </w:r>
                  <w:bookmarkEnd w:id="39"/>
                </w:p>
              </w:tc>
              <w:tc>
                <w:tcPr>
                  <w:tcW w:w="521" w:type="pct"/>
                  <w:vAlign w:val="center"/>
                </w:tcPr>
                <w:p w14:paraId="277B88AF">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2"/>
                      <w:sz w:val="21"/>
                      <w:szCs w:val="21"/>
                      <w:lang w:val="en-US" w:eastAsia="zh-CN"/>
                    </w:rPr>
                  </w:pPr>
                  <w:r>
                    <w:rPr>
                      <w:rFonts w:hint="eastAsia" w:ascii="宋体" w:hAnsi="宋体" w:eastAsia="宋体" w:cs="宋体"/>
                      <w:color w:val="auto"/>
                      <w:kern w:val="0"/>
                      <w:sz w:val="21"/>
                      <w:szCs w:val="21"/>
                      <w:highlight w:val="none"/>
                      <w:lang w:val="en-US" w:eastAsia="zh-CN" w:bidi="ar"/>
                    </w:rPr>
                    <w:t>硝酸铵（硝酸钠）库</w:t>
                  </w:r>
                </w:p>
              </w:tc>
              <w:tc>
                <w:tcPr>
                  <w:tcW w:w="969" w:type="pct"/>
                  <w:vAlign w:val="center"/>
                </w:tcPr>
                <w:p w14:paraId="57336E59">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bookmarkStart w:id="40" w:name="OLE_LINK51"/>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1"/>
                      <w:sz w:val="21"/>
                      <w:szCs w:val="21"/>
                    </w:rPr>
                    <w:t>/</w:t>
                  </w:r>
                  <w:r>
                    <w:rPr>
                      <w:rFonts w:ascii="Times New Roman" w:hAnsi="Times New Roman" w:eastAsia="Times New Roman" w:cs="Times New Roman"/>
                      <w:color w:val="auto"/>
                      <w:sz w:val="21"/>
                      <w:szCs w:val="21"/>
                    </w:rPr>
                    <w:t>T</w:t>
                  </w:r>
                  <w:r>
                    <w:rPr>
                      <w:rFonts w:ascii="Times New Roman" w:hAnsi="Times New Roman" w:eastAsia="Times New Roman" w:cs="Times New Roman"/>
                      <w:color w:val="auto"/>
                      <w:spacing w:val="-1"/>
                      <w:sz w:val="21"/>
                      <w:szCs w:val="21"/>
                    </w:rPr>
                    <w:t>4553-201</w:t>
                  </w:r>
                  <w:r>
                    <w:rPr>
                      <w:rFonts w:ascii="Times New Roman" w:hAnsi="Times New Roman" w:eastAsia="Times New Roman" w:cs="Times New Roman"/>
                      <w:color w:val="auto"/>
                      <w:sz w:val="21"/>
                      <w:szCs w:val="21"/>
                    </w:rPr>
                    <w:t>6</w:t>
                  </w:r>
                  <w:bookmarkEnd w:id="40"/>
                </w:p>
              </w:tc>
            </w:tr>
            <w:tr w14:paraId="232CD6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277" w:type="pct"/>
                  <w:vAlign w:val="center"/>
                </w:tcPr>
                <w:p w14:paraId="648F7F17">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w:t>
                  </w:r>
                </w:p>
              </w:tc>
              <w:tc>
                <w:tcPr>
                  <w:tcW w:w="817" w:type="pct"/>
                  <w:vAlign w:val="center"/>
                </w:tcPr>
                <w:p w14:paraId="44775C9A">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ascii="宋体" w:hAnsi="宋体" w:eastAsia="宋体" w:cs="宋体"/>
                      <w:color w:val="auto"/>
                      <w:spacing w:val="-4"/>
                      <w:sz w:val="21"/>
                      <w:szCs w:val="21"/>
                    </w:rPr>
                    <w:t>复合油相</w:t>
                  </w:r>
                </w:p>
              </w:tc>
              <w:tc>
                <w:tcPr>
                  <w:tcW w:w="644" w:type="pct"/>
                  <w:shd w:val="clear" w:color="auto" w:fill="auto"/>
                  <w:vAlign w:val="center"/>
                </w:tcPr>
                <w:p w14:paraId="6BB00EDC">
                  <w:pPr>
                    <w:keepNext/>
                    <w:keepLines w:val="0"/>
                    <w:pageBreakBefore w:val="0"/>
                    <w:widowControl/>
                    <w:suppressLineNumbers w:val="0"/>
                    <w:kinsoku/>
                    <w:wordWrap/>
                    <w:overflowPunct/>
                    <w:topLinePunct w:val="0"/>
                    <w:autoSpaceDE w:val="0"/>
                    <w:autoSpaceDN w:val="0"/>
                    <w:bidi w:val="0"/>
                    <w:jc w:val="center"/>
                    <w:textAlignment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326</w:t>
                  </w:r>
                </w:p>
              </w:tc>
              <w:tc>
                <w:tcPr>
                  <w:tcW w:w="729" w:type="pct"/>
                  <w:vAlign w:val="center"/>
                </w:tcPr>
                <w:p w14:paraId="441EB27D">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7"/>
                      <w:sz w:val="21"/>
                      <w:szCs w:val="21"/>
                      <w:lang w:val="en-US" w:eastAsia="zh-CN"/>
                    </w:rPr>
                  </w:pPr>
                  <w:r>
                    <w:rPr>
                      <w:rFonts w:hint="eastAsia" w:cs="Times New Roman"/>
                      <w:color w:val="auto"/>
                      <w:spacing w:val="-7"/>
                      <w:sz w:val="21"/>
                      <w:szCs w:val="21"/>
                      <w:lang w:val="en-US" w:eastAsia="zh-CN"/>
                    </w:rPr>
                    <w:t>0</w:t>
                  </w:r>
                </w:p>
              </w:tc>
              <w:tc>
                <w:tcPr>
                  <w:tcW w:w="1039" w:type="pct"/>
                  <w:vAlign w:val="center"/>
                </w:tcPr>
                <w:p w14:paraId="4C369B1E">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7"/>
                      <w:sz w:val="21"/>
                      <w:szCs w:val="21"/>
                      <w:lang w:val="en-US" w:eastAsia="zh-CN"/>
                    </w:rPr>
                  </w:pPr>
                  <w:r>
                    <w:rPr>
                      <w:rFonts w:hint="eastAsia" w:ascii="Times New Roman" w:hAnsi="Times New Roman" w:eastAsia="宋体" w:cs="Times New Roman"/>
                      <w:color w:val="auto"/>
                      <w:spacing w:val="-7"/>
                      <w:sz w:val="21"/>
                      <w:szCs w:val="21"/>
                      <w:highlight w:val="none"/>
                      <w:lang w:val="en-US" w:eastAsia="zh-CN"/>
                    </w:rPr>
                    <w:t>/</w:t>
                  </w:r>
                </w:p>
              </w:tc>
              <w:tc>
                <w:tcPr>
                  <w:tcW w:w="521" w:type="pct"/>
                  <w:vAlign w:val="center"/>
                </w:tcPr>
                <w:p w14:paraId="75C6468D">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7"/>
                      <w:sz w:val="21"/>
                      <w:szCs w:val="21"/>
                      <w:highlight w:val="yellow"/>
                      <w:lang w:val="en-US" w:eastAsia="zh-CN"/>
                    </w:rPr>
                  </w:pPr>
                  <w:r>
                    <w:rPr>
                      <w:rFonts w:hint="eastAsia" w:ascii="Times New Roman" w:hAnsi="Times New Roman" w:eastAsia="宋体" w:cs="Times New Roman"/>
                      <w:color w:val="auto"/>
                      <w:spacing w:val="-7"/>
                      <w:sz w:val="21"/>
                      <w:szCs w:val="21"/>
                      <w:highlight w:val="none"/>
                      <w:lang w:val="en-US" w:eastAsia="zh-CN"/>
                    </w:rPr>
                    <w:t>不储存</w:t>
                  </w:r>
                  <w:r>
                    <w:rPr>
                      <w:rFonts w:hint="eastAsia" w:cs="Times New Roman"/>
                      <w:color w:val="auto"/>
                      <w:spacing w:val="-7"/>
                      <w:sz w:val="21"/>
                      <w:szCs w:val="21"/>
                      <w:highlight w:val="none"/>
                      <w:lang w:val="en-US" w:eastAsia="zh-CN"/>
                    </w:rPr>
                    <w:t>，外购油相溶液由运输槽车直接上料</w:t>
                  </w:r>
                </w:p>
              </w:tc>
              <w:tc>
                <w:tcPr>
                  <w:tcW w:w="969" w:type="pct"/>
                  <w:vAlign w:val="center"/>
                </w:tcPr>
                <w:p w14:paraId="5052837E">
                  <w:pPr>
                    <w:keepNext/>
                    <w:keepLines w:val="0"/>
                    <w:pageBreakBefore w:val="0"/>
                    <w:kinsoku/>
                    <w:wordWrap/>
                    <w:overflowPunct/>
                    <w:topLinePunct w:val="0"/>
                    <w:autoSpaceDE w:val="0"/>
                    <w:autoSpaceDN w:val="0"/>
                    <w:bidi w:val="0"/>
                    <w:spacing w:line="240" w:lineRule="auto"/>
                    <w:ind w:left="0"/>
                    <w:jc w:val="center"/>
                    <w:outlineLvl w:val="9"/>
                    <w:rPr>
                      <w:rFonts w:ascii="Arial"/>
                      <w:color w:val="auto"/>
                      <w:sz w:val="21"/>
                      <w:szCs w:val="21"/>
                    </w:rPr>
                  </w:pPr>
                  <w:r>
                    <w:rPr>
                      <w:rFonts w:hint="eastAsia" w:ascii="Times New Roman" w:hAnsi="Times New Roman" w:eastAsia="宋体" w:cs="Times New Roman"/>
                      <w:color w:val="auto"/>
                      <w:spacing w:val="-7"/>
                      <w:sz w:val="21"/>
                      <w:szCs w:val="21"/>
                      <w:highlight w:val="none"/>
                      <w:lang w:val="en-US" w:eastAsia="zh-CN"/>
                    </w:rPr>
                    <w:t>/</w:t>
                  </w:r>
                </w:p>
              </w:tc>
            </w:tr>
            <w:tr w14:paraId="5AA0BD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277" w:type="pct"/>
                  <w:vAlign w:val="center"/>
                </w:tcPr>
                <w:p w14:paraId="27CB2F4E">
                  <w:pPr>
                    <w:keepNext/>
                    <w:keepLines w:val="0"/>
                    <w:pageBreakBefore w:val="0"/>
                    <w:kinsoku/>
                    <w:wordWrap/>
                    <w:overflowPunct/>
                    <w:topLinePunct w:val="0"/>
                    <w:autoSpaceDE w:val="0"/>
                    <w:autoSpaceDN w:val="0"/>
                    <w:bidi w:val="0"/>
                    <w:spacing w:line="240" w:lineRule="auto"/>
                    <w:ind w:left="0" w:left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4</w:t>
                  </w:r>
                </w:p>
              </w:tc>
              <w:tc>
                <w:tcPr>
                  <w:tcW w:w="817" w:type="pct"/>
                  <w:vAlign w:val="center"/>
                </w:tcPr>
                <w:p w14:paraId="01E7A5AD">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ascii="宋体" w:hAnsi="宋体" w:eastAsia="宋体" w:cs="宋体"/>
                      <w:color w:val="auto"/>
                      <w:spacing w:val="-2"/>
                      <w:sz w:val="21"/>
                      <w:szCs w:val="21"/>
                    </w:rPr>
                    <w:t>珍</w:t>
                  </w:r>
                  <w:r>
                    <w:rPr>
                      <w:rFonts w:ascii="宋体" w:hAnsi="宋体" w:eastAsia="宋体" w:cs="宋体"/>
                      <w:color w:val="auto"/>
                      <w:spacing w:val="-1"/>
                      <w:sz w:val="21"/>
                      <w:szCs w:val="21"/>
                    </w:rPr>
                    <w:t>珠岩</w:t>
                  </w:r>
                </w:p>
              </w:tc>
              <w:tc>
                <w:tcPr>
                  <w:tcW w:w="644" w:type="pct"/>
                  <w:shd w:val="clear" w:color="auto" w:fill="auto"/>
                  <w:vAlign w:val="center"/>
                </w:tcPr>
                <w:p w14:paraId="44DD83CE">
                  <w:pPr>
                    <w:keepNext/>
                    <w:keepLines w:val="0"/>
                    <w:pageBreakBefore w:val="0"/>
                    <w:widowControl/>
                    <w:suppressLineNumbers w:val="0"/>
                    <w:kinsoku/>
                    <w:wordWrap/>
                    <w:overflowPunct/>
                    <w:topLinePunct w:val="0"/>
                    <w:autoSpaceDE w:val="0"/>
                    <w:autoSpaceDN w:val="0"/>
                    <w:bidi w:val="0"/>
                    <w:jc w:val="center"/>
                    <w:textAlignment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246.7</w:t>
                  </w:r>
                </w:p>
              </w:tc>
              <w:tc>
                <w:tcPr>
                  <w:tcW w:w="729" w:type="pct"/>
                  <w:vAlign w:val="center"/>
                </w:tcPr>
                <w:p w14:paraId="49B59617">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5"/>
                      <w:sz w:val="21"/>
                      <w:szCs w:val="21"/>
                      <w:lang w:val="en-US" w:eastAsia="zh-CN"/>
                    </w:rPr>
                  </w:pPr>
                  <w:r>
                    <w:rPr>
                      <w:rFonts w:hint="eastAsia" w:cs="Times New Roman"/>
                      <w:color w:val="auto"/>
                      <w:spacing w:val="-5"/>
                      <w:sz w:val="21"/>
                      <w:szCs w:val="21"/>
                      <w:lang w:val="en-US" w:eastAsia="zh-CN"/>
                    </w:rPr>
                    <w:t>50</w:t>
                  </w:r>
                </w:p>
              </w:tc>
              <w:tc>
                <w:tcPr>
                  <w:tcW w:w="1039" w:type="pct"/>
                  <w:vAlign w:val="center"/>
                </w:tcPr>
                <w:p w14:paraId="0E873797">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5"/>
                      <w:sz w:val="21"/>
                      <w:szCs w:val="21"/>
                      <w:lang w:val="en-US" w:eastAsia="zh-CN"/>
                    </w:rPr>
                  </w:pPr>
                  <w:r>
                    <w:rPr>
                      <w:rFonts w:hint="eastAsia" w:ascii="Times New Roman" w:hAnsi="Times New Roman" w:eastAsia="宋体" w:cs="Times New Roman"/>
                      <w:color w:val="auto"/>
                      <w:spacing w:val="-5"/>
                      <w:sz w:val="21"/>
                      <w:szCs w:val="21"/>
                      <w:lang w:val="en-US" w:eastAsia="zh-CN"/>
                    </w:rPr>
                    <w:t>固态颗粒，15kg袋装</w:t>
                  </w:r>
                </w:p>
              </w:tc>
              <w:tc>
                <w:tcPr>
                  <w:tcW w:w="521" w:type="pct"/>
                  <w:vAlign w:val="center"/>
                </w:tcPr>
                <w:p w14:paraId="45AD9B59">
                  <w:pPr>
                    <w:keepNext/>
                    <w:keepLines w:val="0"/>
                    <w:pageBreakBefore w:val="0"/>
                    <w:kinsoku/>
                    <w:wordWrap/>
                    <w:overflowPunct/>
                    <w:topLinePunct w:val="0"/>
                    <w:autoSpaceDE w:val="0"/>
                    <w:autoSpaceDN w:val="0"/>
                    <w:bidi w:val="0"/>
                    <w:spacing w:line="240" w:lineRule="auto"/>
                    <w:ind w:left="0"/>
                    <w:jc w:val="center"/>
                    <w:outlineLvl w:val="9"/>
                    <w:rPr>
                      <w:rFonts w:hint="eastAsia" w:ascii="Times New Roman" w:hAnsi="Times New Roman" w:eastAsia="宋体" w:cs="Times New Roman"/>
                      <w:color w:val="auto"/>
                      <w:spacing w:val="-5"/>
                      <w:sz w:val="21"/>
                      <w:szCs w:val="21"/>
                      <w:highlight w:val="none"/>
                      <w:lang w:val="en-US" w:eastAsia="zh-CN"/>
                    </w:rPr>
                  </w:pPr>
                  <w:r>
                    <w:rPr>
                      <w:rFonts w:hint="default" w:ascii="Times New Roman" w:hAnsi="Times New Roman" w:eastAsia="宋体" w:cs="Times New Roman"/>
                      <w:color w:val="auto"/>
                      <w:spacing w:val="2"/>
                      <w:sz w:val="21"/>
                      <w:szCs w:val="21"/>
                    </w:rPr>
                    <w:t>管壳输送工房及综合材料库</w:t>
                  </w:r>
                </w:p>
              </w:tc>
              <w:tc>
                <w:tcPr>
                  <w:tcW w:w="969" w:type="pct"/>
                  <w:vAlign w:val="center"/>
                </w:tcPr>
                <w:p w14:paraId="579D1229">
                  <w:pPr>
                    <w:keepNext/>
                    <w:keepLines w:val="0"/>
                    <w:pageBreakBefore w:val="0"/>
                    <w:kinsoku/>
                    <w:wordWrap/>
                    <w:overflowPunct/>
                    <w:topLinePunct w:val="0"/>
                    <w:autoSpaceDE w:val="0"/>
                    <w:autoSpaceDN w:val="0"/>
                    <w:bidi w:val="0"/>
                    <w:spacing w:line="240" w:lineRule="auto"/>
                    <w:ind w:left="0"/>
                    <w:jc w:val="center"/>
                    <w:outlineLvl w:val="9"/>
                    <w:rPr>
                      <w:rFonts w:ascii="Arial"/>
                      <w:color w:val="auto"/>
                      <w:sz w:val="21"/>
                      <w:szCs w:val="21"/>
                    </w:rPr>
                  </w:pPr>
                  <w:r>
                    <w:rPr>
                      <w:rFonts w:hint="eastAsia" w:ascii="Times New Roman" w:hAnsi="Times New Roman" w:eastAsia="宋体" w:cs="Times New Roman"/>
                      <w:color w:val="auto"/>
                      <w:spacing w:val="-7"/>
                      <w:sz w:val="21"/>
                      <w:szCs w:val="21"/>
                      <w:highlight w:val="none"/>
                      <w:lang w:val="en-US" w:eastAsia="zh-CN"/>
                    </w:rPr>
                    <w:t>/</w:t>
                  </w:r>
                </w:p>
              </w:tc>
            </w:tr>
            <w:tr w14:paraId="1C6705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277" w:type="pct"/>
                  <w:vAlign w:val="center"/>
                </w:tcPr>
                <w:p w14:paraId="3835400F">
                  <w:pPr>
                    <w:keepNext/>
                    <w:keepLines w:val="0"/>
                    <w:pageBreakBefore w:val="0"/>
                    <w:kinsoku/>
                    <w:wordWrap/>
                    <w:overflowPunct/>
                    <w:topLinePunct w:val="0"/>
                    <w:autoSpaceDE w:val="0"/>
                    <w:autoSpaceDN w:val="0"/>
                    <w:bidi w:val="0"/>
                    <w:spacing w:line="240" w:lineRule="auto"/>
                    <w:ind w:left="0" w:leftChars="0"/>
                    <w:jc w:val="center"/>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5</w:t>
                  </w:r>
                </w:p>
              </w:tc>
              <w:tc>
                <w:tcPr>
                  <w:tcW w:w="817" w:type="pct"/>
                  <w:vAlign w:val="center"/>
                </w:tcPr>
                <w:p w14:paraId="31218E1F">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壳体（个）</w:t>
                  </w:r>
                </w:p>
              </w:tc>
              <w:tc>
                <w:tcPr>
                  <w:tcW w:w="644" w:type="pct"/>
                  <w:vAlign w:val="center"/>
                </w:tcPr>
                <w:p w14:paraId="2B060BFE">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7000000</w:t>
                  </w:r>
                </w:p>
              </w:tc>
              <w:tc>
                <w:tcPr>
                  <w:tcW w:w="729" w:type="pct"/>
                  <w:vAlign w:val="center"/>
                </w:tcPr>
                <w:p w14:paraId="1C796240">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2"/>
                      <w:sz w:val="21"/>
                      <w:szCs w:val="21"/>
                      <w:lang w:val="en-US" w:eastAsia="zh-CN"/>
                    </w:rPr>
                  </w:pPr>
                  <w:r>
                    <w:rPr>
                      <w:rFonts w:hint="eastAsia" w:cs="Times New Roman"/>
                      <w:color w:val="auto"/>
                      <w:spacing w:val="-2"/>
                      <w:sz w:val="21"/>
                      <w:szCs w:val="21"/>
                      <w:lang w:val="en-US" w:eastAsia="zh-CN"/>
                    </w:rPr>
                    <w:t>1000000</w:t>
                  </w:r>
                </w:p>
              </w:tc>
              <w:tc>
                <w:tcPr>
                  <w:tcW w:w="1039" w:type="pct"/>
                  <w:vAlign w:val="center"/>
                </w:tcPr>
                <w:p w14:paraId="685D5243">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pacing w:val="-2"/>
                      <w:sz w:val="21"/>
                      <w:szCs w:val="21"/>
                    </w:rPr>
                  </w:pPr>
                  <w:r>
                    <w:rPr>
                      <w:rFonts w:hint="eastAsia" w:ascii="Times New Roman" w:hAnsi="Times New Roman" w:eastAsia="宋体" w:cs="Times New Roman"/>
                      <w:color w:val="auto"/>
                      <w:spacing w:val="-7"/>
                      <w:sz w:val="21"/>
                      <w:szCs w:val="21"/>
                      <w:highlight w:val="none"/>
                      <w:lang w:val="en-US" w:eastAsia="zh-CN"/>
                    </w:rPr>
                    <w:t>/</w:t>
                  </w:r>
                </w:p>
              </w:tc>
              <w:tc>
                <w:tcPr>
                  <w:tcW w:w="521" w:type="pct"/>
                  <w:vAlign w:val="center"/>
                </w:tcPr>
                <w:p w14:paraId="4CD55A84">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pacing w:val="-2"/>
                      <w:sz w:val="21"/>
                      <w:szCs w:val="21"/>
                      <w:highlight w:val="none"/>
                    </w:rPr>
                  </w:pPr>
                  <w:r>
                    <w:rPr>
                      <w:rFonts w:hint="default" w:ascii="Times New Roman" w:hAnsi="Times New Roman" w:eastAsia="宋体" w:cs="Times New Roman"/>
                      <w:color w:val="auto"/>
                      <w:spacing w:val="2"/>
                      <w:sz w:val="21"/>
                      <w:szCs w:val="21"/>
                    </w:rPr>
                    <w:t>管壳输送工房及综合材料库</w:t>
                  </w:r>
                </w:p>
              </w:tc>
              <w:tc>
                <w:tcPr>
                  <w:tcW w:w="969" w:type="pct"/>
                  <w:vAlign w:val="center"/>
                </w:tcPr>
                <w:p w14:paraId="7F19F427">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7"/>
                      <w:sz w:val="21"/>
                      <w:szCs w:val="21"/>
                      <w:highlight w:val="none"/>
                      <w:lang w:val="en-US" w:eastAsia="zh-CN"/>
                    </w:rPr>
                    <w:t>/</w:t>
                  </w:r>
                </w:p>
              </w:tc>
            </w:tr>
            <w:tr w14:paraId="267BAF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277" w:type="pct"/>
                  <w:vAlign w:val="center"/>
                </w:tcPr>
                <w:p w14:paraId="52801EC5">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817" w:type="pct"/>
                  <w:vAlign w:val="center"/>
                </w:tcPr>
                <w:p w14:paraId="6EF9C881">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ascii="宋体" w:hAnsi="宋体" w:eastAsia="宋体" w:cs="宋体"/>
                      <w:color w:val="auto"/>
                      <w:spacing w:val="20"/>
                      <w:sz w:val="21"/>
                      <w:szCs w:val="21"/>
                    </w:rPr>
                    <w:t>纸</w:t>
                  </w:r>
                  <w:r>
                    <w:rPr>
                      <w:rFonts w:ascii="宋体" w:hAnsi="宋体" w:eastAsia="宋体" w:cs="宋体"/>
                      <w:color w:val="auto"/>
                      <w:spacing w:val="18"/>
                      <w:sz w:val="21"/>
                      <w:szCs w:val="21"/>
                    </w:rPr>
                    <w:t>箱</w:t>
                  </w:r>
                  <w:r>
                    <w:rPr>
                      <w:rFonts w:hint="eastAsia" w:ascii="宋体" w:hAnsi="宋体" w:eastAsia="宋体" w:cs="宋体"/>
                      <w:color w:val="auto"/>
                      <w:spacing w:val="18"/>
                      <w:sz w:val="21"/>
                      <w:szCs w:val="21"/>
                      <w:lang w:eastAsia="zh-CN"/>
                    </w:rPr>
                    <w:t>（</w:t>
                  </w:r>
                  <w:r>
                    <w:rPr>
                      <w:rFonts w:ascii="宋体" w:hAnsi="宋体" w:eastAsia="宋体" w:cs="宋体"/>
                      <w:color w:val="auto"/>
                      <w:spacing w:val="18"/>
                      <w:sz w:val="21"/>
                      <w:szCs w:val="21"/>
                    </w:rPr>
                    <w:t>个</w:t>
                  </w:r>
                  <w:r>
                    <w:rPr>
                      <w:rFonts w:hint="eastAsia" w:ascii="宋体" w:hAnsi="宋体" w:eastAsia="宋体" w:cs="宋体"/>
                      <w:color w:val="auto"/>
                      <w:spacing w:val="18"/>
                      <w:sz w:val="21"/>
                      <w:szCs w:val="21"/>
                      <w:lang w:eastAsia="zh-CN"/>
                    </w:rPr>
                    <w:t>）</w:t>
                  </w:r>
                </w:p>
              </w:tc>
              <w:tc>
                <w:tcPr>
                  <w:tcW w:w="644" w:type="pct"/>
                  <w:vAlign w:val="center"/>
                </w:tcPr>
                <w:p w14:paraId="7B5A2D6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pacing w:val="-4"/>
                      <w:sz w:val="21"/>
                      <w:szCs w:val="21"/>
                      <w:lang w:val="en-US" w:eastAsia="zh-CN"/>
                    </w:rPr>
                    <w:t>294000</w:t>
                  </w:r>
                </w:p>
              </w:tc>
              <w:tc>
                <w:tcPr>
                  <w:tcW w:w="729" w:type="pct"/>
                  <w:vAlign w:val="center"/>
                </w:tcPr>
                <w:p w14:paraId="6D22A5F8">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7000</w:t>
                  </w:r>
                </w:p>
              </w:tc>
              <w:tc>
                <w:tcPr>
                  <w:tcW w:w="1039" w:type="pct"/>
                  <w:vAlign w:val="center"/>
                </w:tcPr>
                <w:p w14:paraId="387B10CA">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pacing w:val="-4"/>
                      <w:sz w:val="21"/>
                      <w:szCs w:val="21"/>
                    </w:rPr>
                  </w:pPr>
                  <w:r>
                    <w:rPr>
                      <w:rFonts w:hint="eastAsia" w:ascii="Times New Roman" w:hAnsi="Times New Roman" w:eastAsia="宋体" w:cs="Times New Roman"/>
                      <w:color w:val="auto"/>
                      <w:spacing w:val="-7"/>
                      <w:sz w:val="21"/>
                      <w:szCs w:val="21"/>
                      <w:highlight w:val="none"/>
                      <w:lang w:val="en-US" w:eastAsia="zh-CN"/>
                    </w:rPr>
                    <w:t>/</w:t>
                  </w:r>
                </w:p>
              </w:tc>
              <w:tc>
                <w:tcPr>
                  <w:tcW w:w="521" w:type="pct"/>
                  <w:vAlign w:val="center"/>
                </w:tcPr>
                <w:p w14:paraId="48CA3A8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spacing w:val="2"/>
                      <w:sz w:val="21"/>
                      <w:szCs w:val="21"/>
                    </w:rPr>
                    <w:t>管壳输送工房及综</w:t>
                  </w:r>
                  <w:r>
                    <w:rPr>
                      <w:sz w:val="21"/>
                    </w:rPr>
                    <mc:AlternateContent>
                      <mc:Choice Requires="wps">
                        <w:drawing>
                          <wp:anchor distT="0" distB="0" distL="114300" distR="114300" simplePos="0" relativeHeight="251822080" behindDoc="0" locked="0" layoutInCell="1" allowOverlap="1">
                            <wp:simplePos x="0" y="0"/>
                            <wp:positionH relativeFrom="column">
                              <wp:posOffset>-3397250</wp:posOffset>
                            </wp:positionH>
                            <wp:positionV relativeFrom="paragraph">
                              <wp:posOffset>-3175</wp:posOffset>
                            </wp:positionV>
                            <wp:extent cx="5038725" cy="8228965"/>
                            <wp:effectExtent l="4445" t="4445" r="5080" b="15240"/>
                            <wp:wrapNone/>
                            <wp:docPr id="224" name="矩形 224"/>
                            <wp:cNvGraphicFramePr/>
                            <a:graphic xmlns:a="http://schemas.openxmlformats.org/drawingml/2006/main">
                              <a:graphicData uri="http://schemas.microsoft.com/office/word/2010/wordprocessingShape">
                                <wps:wsp>
                                  <wps:cNvSpPr/>
                                  <wps:spPr>
                                    <a:xfrm>
                                      <a:off x="0" y="0"/>
                                      <a:ext cx="5038725" cy="8228965"/>
                                    </a:xfrm>
                                    <a:prstGeom prst="rect">
                                      <a:avLst/>
                                    </a:prstGeom>
                                    <a:solidFill>
                                      <a:schemeClr val="bg1"/>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7.5pt;margin-top:-0.25pt;height:647.95pt;width:396.75pt;z-index:251822080;v-text-anchor:middle;mso-width-relative:page;mso-height-relative:page;" fillcolor="#FFFFFF [3212]" filled="t" stroked="t" coordsize="21600,21600" o:gfxdata="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&#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enaVnaAAAACwEAAA8AAAAAAAAAAQAgAAAAIgAAAGRy&#10;cy9kb3ducmV2LnhtbFBLAQIUABQAAAAIAIdO4kAA7pTJdQIAAPoEAAAOAAAAAAAAAAEAIAAAACkB&#10;AABkcnMvZTJvRG9jLnhtbFBLBQYAAAAABgAGAFkBAAAQBgAAAAA=&#10;">
                            <v:fill on="t" focussize="0,0"/>
                            <v:stroke color="#000000 [3213]" joinstyle="round" endarrow="open"/>
                            <v:imagedata o:title=""/>
                            <o:lock v:ext="edit" aspectratio="f"/>
                          </v:rect>
                        </w:pict>
                      </mc:Fallback>
                    </mc:AlternateContent>
                  </w:r>
                  <w:r>
                    <w:rPr>
                      <w:rFonts w:hint="default" w:ascii="Times New Roman" w:hAnsi="Times New Roman" w:eastAsia="宋体" w:cs="Times New Roman"/>
                      <w:color w:val="auto"/>
                      <w:spacing w:val="2"/>
                      <w:sz w:val="21"/>
                      <w:szCs w:val="21"/>
                    </w:rPr>
                    <w:t>合材料库</w:t>
                  </w:r>
                </w:p>
              </w:tc>
              <w:tc>
                <w:tcPr>
                  <w:tcW w:w="969" w:type="pct"/>
                  <w:vAlign w:val="center"/>
                </w:tcPr>
                <w:p w14:paraId="07F52A8F">
                  <w:pPr>
                    <w:keepNext/>
                    <w:keepLines w:val="0"/>
                    <w:pageBreakBefore w:val="0"/>
                    <w:kinsoku/>
                    <w:wordWrap/>
                    <w:overflowPunct/>
                    <w:topLinePunct w:val="0"/>
                    <w:autoSpaceDE w:val="0"/>
                    <w:autoSpaceDN w:val="0"/>
                    <w:bidi w:val="0"/>
                    <w:spacing w:line="240" w:lineRule="auto"/>
                    <w:ind w:left="0"/>
                    <w:jc w:val="center"/>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1"/>
                      <w:sz w:val="21"/>
                      <w:szCs w:val="21"/>
                    </w:rPr>
                    <w:t>/</w:t>
                  </w:r>
                  <w:r>
                    <w:rPr>
                      <w:rFonts w:ascii="Times New Roman" w:hAnsi="Times New Roman" w:eastAsia="Times New Roman" w:cs="Times New Roman"/>
                      <w:color w:val="auto"/>
                      <w:sz w:val="21"/>
                      <w:szCs w:val="21"/>
                    </w:rPr>
                    <w:t>T</w:t>
                  </w:r>
                  <w:r>
                    <w:rPr>
                      <w:rFonts w:ascii="Times New Roman" w:hAnsi="Times New Roman" w:eastAsia="Times New Roman" w:cs="Times New Roman"/>
                      <w:color w:val="auto"/>
                      <w:spacing w:val="-1"/>
                      <w:sz w:val="21"/>
                      <w:szCs w:val="21"/>
                    </w:rPr>
                    <w:t>6543-200</w:t>
                  </w:r>
                  <w:r>
                    <w:rPr>
                      <w:rFonts w:ascii="Times New Roman" w:hAnsi="Times New Roman" w:eastAsia="Times New Roman" w:cs="Times New Roman"/>
                      <w:color w:val="auto"/>
                      <w:sz w:val="21"/>
                      <w:szCs w:val="21"/>
                    </w:rPr>
                    <w:t>8</w:t>
                  </w:r>
                </w:p>
              </w:tc>
            </w:tr>
            <w:tr w14:paraId="3B3ECC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277" w:type="pct"/>
                  <w:vAlign w:val="center"/>
                </w:tcPr>
                <w:p w14:paraId="49F1D202">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w:t>
                  </w:r>
                </w:p>
              </w:tc>
              <w:tc>
                <w:tcPr>
                  <w:tcW w:w="817" w:type="pct"/>
                  <w:vAlign w:val="center"/>
                </w:tcPr>
                <w:p w14:paraId="038C61A8">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color w:val="auto"/>
                      <w:spacing w:val="20"/>
                      <w:sz w:val="21"/>
                      <w:szCs w:val="21"/>
                      <w:lang w:val="en-US" w:eastAsia="zh-CN"/>
                    </w:rPr>
                  </w:pPr>
                  <w:r>
                    <w:rPr>
                      <w:rFonts w:hint="eastAsia" w:ascii="宋体" w:hAnsi="宋体" w:cs="宋体"/>
                      <w:color w:val="auto"/>
                      <w:spacing w:val="20"/>
                      <w:sz w:val="21"/>
                      <w:szCs w:val="21"/>
                      <w:lang w:val="en-US" w:eastAsia="zh-CN"/>
                    </w:rPr>
                    <w:t>油墨</w:t>
                  </w:r>
                </w:p>
              </w:tc>
              <w:tc>
                <w:tcPr>
                  <w:tcW w:w="644" w:type="pct"/>
                  <w:vAlign w:val="center"/>
                </w:tcPr>
                <w:p w14:paraId="3C7B71DE">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0.004</w:t>
                  </w:r>
                </w:p>
              </w:tc>
              <w:tc>
                <w:tcPr>
                  <w:tcW w:w="729" w:type="pct"/>
                  <w:vAlign w:val="center"/>
                </w:tcPr>
                <w:p w14:paraId="63223896">
                  <w:pPr>
                    <w:keepNext/>
                    <w:keepLines w:val="0"/>
                    <w:pageBreakBefore w:val="0"/>
                    <w:kinsoku/>
                    <w:wordWrap/>
                    <w:overflowPunct/>
                    <w:topLinePunct w:val="0"/>
                    <w:autoSpaceDE w:val="0"/>
                    <w:autoSpaceDN w:val="0"/>
                    <w:bidi w:val="0"/>
                    <w:spacing w:line="240" w:lineRule="auto"/>
                    <w:ind w:left="0"/>
                    <w:jc w:val="center"/>
                    <w:outlineLvl w:val="9"/>
                    <w:rPr>
                      <w:rFonts w:hint="default" w:cs="Times New Roman"/>
                      <w:color w:val="auto"/>
                      <w:spacing w:val="-4"/>
                      <w:sz w:val="21"/>
                      <w:szCs w:val="21"/>
                      <w:lang w:val="en-US" w:eastAsia="zh-CN"/>
                    </w:rPr>
                  </w:pPr>
                  <w:r>
                    <w:rPr>
                      <w:rFonts w:hint="eastAsia" w:cs="Times New Roman"/>
                      <w:color w:val="auto"/>
                      <w:spacing w:val="-4"/>
                      <w:sz w:val="21"/>
                      <w:szCs w:val="21"/>
                      <w:lang w:val="en-US" w:eastAsia="zh-CN"/>
                    </w:rPr>
                    <w:t>0.001</w:t>
                  </w:r>
                </w:p>
              </w:tc>
              <w:tc>
                <w:tcPr>
                  <w:tcW w:w="1039" w:type="pct"/>
                  <w:vAlign w:val="center"/>
                </w:tcPr>
                <w:p w14:paraId="08D68FA1">
                  <w:pPr>
                    <w:keepNext/>
                    <w:keepLines w:val="0"/>
                    <w:pageBreakBefore w:val="0"/>
                    <w:kinsoku/>
                    <w:wordWrap/>
                    <w:overflowPunct/>
                    <w:topLinePunct w:val="0"/>
                    <w:autoSpaceDE w:val="0"/>
                    <w:autoSpaceDN w:val="0"/>
                    <w:bidi w:val="0"/>
                    <w:spacing w:line="240" w:lineRule="auto"/>
                    <w:ind w:left="0" w:leftChars="0"/>
                    <w:jc w:val="center"/>
                    <w:outlineLvl w:val="9"/>
                    <w:rPr>
                      <w:rFonts w:hint="eastAsia" w:ascii="Times New Roman" w:hAnsi="Times New Roman" w:eastAsia="宋体" w:cs="Times New Roman"/>
                      <w:color w:val="auto"/>
                      <w:spacing w:val="-7"/>
                      <w:sz w:val="21"/>
                      <w:szCs w:val="21"/>
                      <w:highlight w:val="none"/>
                      <w:lang w:val="en-US" w:eastAsia="zh-CN"/>
                    </w:rPr>
                  </w:pPr>
                  <w:r>
                    <w:rPr>
                      <w:rFonts w:hint="eastAsia" w:cs="Times New Roman"/>
                      <w:color w:val="auto"/>
                      <w:spacing w:val="-4"/>
                      <w:sz w:val="21"/>
                      <w:szCs w:val="21"/>
                      <w:lang w:val="en-US" w:eastAsia="zh-CN"/>
                    </w:rPr>
                    <w:t>1kg/瓶</w:t>
                  </w:r>
                </w:p>
              </w:tc>
              <w:tc>
                <w:tcPr>
                  <w:tcW w:w="521" w:type="pct"/>
                  <w:vAlign w:val="center"/>
                </w:tcPr>
                <w:p w14:paraId="1F8728E8">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管壳输送工房及综合材料库</w:t>
                  </w:r>
                </w:p>
              </w:tc>
              <w:tc>
                <w:tcPr>
                  <w:tcW w:w="969" w:type="pct"/>
                  <w:vAlign w:val="center"/>
                </w:tcPr>
                <w:p w14:paraId="389978C8">
                  <w:pPr>
                    <w:keepNext/>
                    <w:keepLines w:val="0"/>
                    <w:pageBreakBefore w:val="0"/>
                    <w:kinsoku/>
                    <w:wordWrap/>
                    <w:overflowPunct/>
                    <w:topLinePunct w:val="0"/>
                    <w:autoSpaceDE w:val="0"/>
                    <w:autoSpaceDN w:val="0"/>
                    <w:bidi w:val="0"/>
                    <w:spacing w:line="240" w:lineRule="auto"/>
                    <w:ind w:left="0" w:leftChars="0"/>
                    <w:jc w:val="center"/>
                    <w:outlineLvl w:val="9"/>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7"/>
                      <w:sz w:val="21"/>
                      <w:szCs w:val="21"/>
                      <w:highlight w:val="none"/>
                      <w:lang w:val="en-US" w:eastAsia="zh-CN"/>
                    </w:rPr>
                    <w:t>/</w:t>
                  </w:r>
                </w:p>
              </w:tc>
            </w:tr>
            <w:tr w14:paraId="071577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277" w:type="pct"/>
                  <w:vAlign w:val="center"/>
                </w:tcPr>
                <w:p w14:paraId="748BE0FB">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w:t>
                  </w:r>
                </w:p>
              </w:tc>
              <w:tc>
                <w:tcPr>
                  <w:tcW w:w="817" w:type="pct"/>
                  <w:vAlign w:val="center"/>
                </w:tcPr>
                <w:p w14:paraId="7D35F1DF">
                  <w:pPr>
                    <w:keepNext/>
                    <w:keepLines w:val="0"/>
                    <w:pageBreakBefore w:val="0"/>
                    <w:kinsoku/>
                    <w:wordWrap/>
                    <w:overflowPunct/>
                    <w:topLinePunct w:val="0"/>
                    <w:autoSpaceDE w:val="0"/>
                    <w:autoSpaceDN w:val="0"/>
                    <w:bidi w:val="0"/>
                    <w:spacing w:line="240" w:lineRule="auto"/>
                    <w:ind w:left="0"/>
                    <w:jc w:val="center"/>
                    <w:outlineLvl w:val="9"/>
                    <w:rPr>
                      <w:rFonts w:hint="default" w:ascii="宋体" w:hAnsi="宋体" w:eastAsia="宋体" w:cs="宋体"/>
                      <w:color w:val="auto"/>
                      <w:spacing w:val="20"/>
                      <w:sz w:val="21"/>
                      <w:szCs w:val="21"/>
                      <w:lang w:val="en-US" w:eastAsia="zh-CN"/>
                    </w:rPr>
                  </w:pPr>
                  <w:r>
                    <w:rPr>
                      <w:rFonts w:hint="eastAsia" w:ascii="宋体" w:hAnsi="宋体" w:cs="宋体"/>
                      <w:color w:val="auto"/>
                      <w:spacing w:val="20"/>
                      <w:sz w:val="21"/>
                      <w:szCs w:val="21"/>
                      <w:lang w:val="en-US" w:eastAsia="zh-CN"/>
                    </w:rPr>
                    <w:t>油墨添加剂</w:t>
                  </w:r>
                </w:p>
              </w:tc>
              <w:tc>
                <w:tcPr>
                  <w:tcW w:w="644" w:type="pct"/>
                  <w:vAlign w:val="center"/>
                </w:tcPr>
                <w:p w14:paraId="623E77C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4"/>
                      <w:sz w:val="21"/>
                      <w:szCs w:val="21"/>
                      <w:lang w:val="en-US" w:eastAsia="zh-CN"/>
                    </w:rPr>
                  </w:pPr>
                  <w:r>
                    <w:rPr>
                      <w:rFonts w:hint="eastAsia" w:cs="Times New Roman"/>
                      <w:color w:val="auto"/>
                      <w:spacing w:val="-4"/>
                      <w:sz w:val="21"/>
                      <w:szCs w:val="21"/>
                      <w:lang w:val="en-US" w:eastAsia="zh-CN"/>
                    </w:rPr>
                    <w:t>0.008</w:t>
                  </w:r>
                </w:p>
              </w:tc>
              <w:tc>
                <w:tcPr>
                  <w:tcW w:w="729" w:type="pct"/>
                  <w:vAlign w:val="center"/>
                </w:tcPr>
                <w:p w14:paraId="1FE610BE">
                  <w:pPr>
                    <w:keepNext/>
                    <w:keepLines w:val="0"/>
                    <w:pageBreakBefore w:val="0"/>
                    <w:kinsoku/>
                    <w:wordWrap/>
                    <w:overflowPunct/>
                    <w:topLinePunct w:val="0"/>
                    <w:autoSpaceDE w:val="0"/>
                    <w:autoSpaceDN w:val="0"/>
                    <w:bidi w:val="0"/>
                    <w:spacing w:line="240" w:lineRule="auto"/>
                    <w:ind w:left="0"/>
                    <w:jc w:val="center"/>
                    <w:outlineLvl w:val="9"/>
                    <w:rPr>
                      <w:rFonts w:hint="default" w:cs="Times New Roman"/>
                      <w:color w:val="auto"/>
                      <w:spacing w:val="-4"/>
                      <w:sz w:val="21"/>
                      <w:szCs w:val="21"/>
                      <w:lang w:val="en-US" w:eastAsia="zh-CN"/>
                    </w:rPr>
                  </w:pPr>
                  <w:r>
                    <w:rPr>
                      <w:rFonts w:hint="eastAsia" w:cs="Times New Roman"/>
                      <w:color w:val="auto"/>
                      <w:spacing w:val="-4"/>
                      <w:sz w:val="21"/>
                      <w:szCs w:val="21"/>
                      <w:lang w:val="en-US" w:eastAsia="zh-CN"/>
                    </w:rPr>
                    <w:t>0.002</w:t>
                  </w:r>
                </w:p>
              </w:tc>
              <w:tc>
                <w:tcPr>
                  <w:tcW w:w="1039" w:type="pct"/>
                  <w:vAlign w:val="center"/>
                </w:tcPr>
                <w:p w14:paraId="2D01D96A">
                  <w:pPr>
                    <w:keepNext/>
                    <w:keepLines w:val="0"/>
                    <w:pageBreakBefore w:val="0"/>
                    <w:kinsoku/>
                    <w:wordWrap/>
                    <w:overflowPunct/>
                    <w:topLinePunct w:val="0"/>
                    <w:autoSpaceDE w:val="0"/>
                    <w:autoSpaceDN w:val="0"/>
                    <w:bidi w:val="0"/>
                    <w:spacing w:line="240" w:lineRule="auto"/>
                    <w:ind w:left="0" w:leftChars="0"/>
                    <w:jc w:val="center"/>
                    <w:outlineLvl w:val="9"/>
                    <w:rPr>
                      <w:rFonts w:hint="eastAsia" w:ascii="Times New Roman" w:hAnsi="Times New Roman" w:eastAsia="宋体" w:cs="Times New Roman"/>
                      <w:color w:val="auto"/>
                      <w:spacing w:val="-7"/>
                      <w:sz w:val="21"/>
                      <w:szCs w:val="21"/>
                      <w:highlight w:val="none"/>
                      <w:lang w:val="en-US" w:eastAsia="zh-CN"/>
                    </w:rPr>
                  </w:pPr>
                  <w:r>
                    <w:rPr>
                      <w:rFonts w:hint="eastAsia" w:cs="Times New Roman"/>
                      <w:color w:val="auto"/>
                      <w:spacing w:val="-4"/>
                      <w:sz w:val="21"/>
                      <w:szCs w:val="21"/>
                      <w:lang w:val="en-US" w:eastAsia="zh-CN"/>
                    </w:rPr>
                    <w:t>1kg/瓶</w:t>
                  </w:r>
                </w:p>
              </w:tc>
              <w:tc>
                <w:tcPr>
                  <w:tcW w:w="521" w:type="pct"/>
                  <w:vAlign w:val="center"/>
                </w:tcPr>
                <w:p w14:paraId="2601D60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管壳输送工房及综合材料库</w:t>
                  </w:r>
                </w:p>
              </w:tc>
              <w:tc>
                <w:tcPr>
                  <w:tcW w:w="969" w:type="pct"/>
                  <w:vAlign w:val="center"/>
                </w:tcPr>
                <w:p w14:paraId="3EE5678F">
                  <w:pPr>
                    <w:keepNext/>
                    <w:keepLines w:val="0"/>
                    <w:pageBreakBefore w:val="0"/>
                    <w:kinsoku/>
                    <w:wordWrap/>
                    <w:overflowPunct/>
                    <w:topLinePunct w:val="0"/>
                    <w:autoSpaceDE w:val="0"/>
                    <w:autoSpaceDN w:val="0"/>
                    <w:bidi w:val="0"/>
                    <w:spacing w:line="240" w:lineRule="auto"/>
                    <w:ind w:left="0" w:leftChars="0"/>
                    <w:jc w:val="center"/>
                    <w:outlineLvl w:val="9"/>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7"/>
                      <w:sz w:val="21"/>
                      <w:szCs w:val="21"/>
                      <w:highlight w:val="none"/>
                      <w:lang w:val="en-US" w:eastAsia="zh-CN"/>
                    </w:rPr>
                    <w:t>/</w:t>
                  </w:r>
                </w:p>
              </w:tc>
            </w:tr>
          </w:tbl>
          <w:p w14:paraId="4F344CA0">
            <w:pPr>
              <w:keepNext/>
              <w:keepLines w:val="0"/>
              <w:pageBreakBefore w:val="0"/>
              <w:kinsoku/>
              <w:wordWrap/>
              <w:overflowPunct/>
              <w:topLinePunct w:val="0"/>
              <w:bidi w:val="0"/>
              <w:spacing w:before="91" w:line="219" w:lineRule="auto"/>
              <w:ind w:left="9"/>
              <w:jc w:val="center"/>
              <w:outlineLvl w:val="9"/>
              <w:rPr>
                <w:rFonts w:hint="eastAsia" w:ascii="Times New Roman" w:hAnsi="Times New Roman" w:eastAsia="宋体" w:cs="Times New Roman"/>
                <w:b/>
                <w:bCs/>
                <w:color w:val="auto"/>
                <w:spacing w:val="-3"/>
                <w:sz w:val="24"/>
                <w:szCs w:val="24"/>
                <w:lang w:val="en-US" w:eastAsia="zh-CN"/>
              </w:rPr>
            </w:pPr>
          </w:p>
          <w:p w14:paraId="39B1CE94">
            <w:pPr>
              <w:keepNext/>
              <w:keepLines w:val="0"/>
              <w:pageBreakBefore w:val="0"/>
              <w:kinsoku/>
              <w:wordWrap/>
              <w:overflowPunct/>
              <w:topLinePunct w:val="0"/>
              <w:bidi w:val="0"/>
              <w:spacing w:before="91" w:line="219" w:lineRule="auto"/>
              <w:ind w:left="9"/>
              <w:jc w:val="center"/>
              <w:outlineLvl w:val="9"/>
              <w:rPr>
                <w:rFonts w:hint="default" w:ascii="宋体" w:hAnsi="宋体" w:eastAsia="宋体" w:cs="宋体"/>
                <w:b/>
                <w:bCs/>
                <w:color w:val="auto"/>
                <w:sz w:val="21"/>
                <w:szCs w:val="21"/>
                <w:lang w:val="en-US" w:eastAsia="zh-CN"/>
              </w:rPr>
            </w:pPr>
            <w:r>
              <w:rPr>
                <w:rFonts w:hint="default" w:ascii="Times New Roman" w:hAnsi="Times New Roman" w:eastAsia="宋体" w:cs="Times New Roman"/>
                <w:b/>
                <w:bCs/>
                <w:color w:val="auto"/>
                <w:spacing w:val="-3"/>
                <w:sz w:val="21"/>
                <w:szCs w:val="21"/>
                <w:lang w:val="en-US" w:eastAsia="zh-CN"/>
              </w:rPr>
              <w:t>表</w:t>
            </w:r>
            <w:r>
              <w:rPr>
                <w:rFonts w:hint="eastAsia" w:cs="Times New Roman"/>
                <w:b/>
                <w:bCs/>
                <w:color w:val="auto"/>
                <w:spacing w:val="-3"/>
                <w:sz w:val="21"/>
                <w:szCs w:val="21"/>
                <w:lang w:val="en-US" w:eastAsia="zh-CN"/>
              </w:rPr>
              <w:t>2-9</w:t>
            </w:r>
            <w:r>
              <w:rPr>
                <w:rFonts w:hint="default" w:ascii="Times New Roman" w:hAnsi="Times New Roman" w:eastAsia="宋体" w:cs="Times New Roman"/>
                <w:b/>
                <w:bCs/>
                <w:color w:val="auto"/>
                <w:spacing w:val="-3"/>
                <w:sz w:val="21"/>
                <w:szCs w:val="21"/>
                <w:lang w:val="en-US" w:eastAsia="zh-CN"/>
              </w:rPr>
              <w:t xml:space="preserve">  </w:t>
            </w:r>
            <w:r>
              <w:rPr>
                <w:rFonts w:hint="eastAsia" w:ascii="宋体" w:hAnsi="宋体" w:eastAsia="宋体" w:cs="宋体"/>
                <w:b/>
                <w:bCs/>
                <w:color w:val="auto"/>
                <w:spacing w:val="-3"/>
                <w:sz w:val="21"/>
                <w:szCs w:val="21"/>
                <w:lang w:val="en-US" w:eastAsia="zh-CN"/>
              </w:rPr>
              <w:t>扩建后</w:t>
            </w:r>
            <w:r>
              <w:rPr>
                <w:rFonts w:hint="eastAsia" w:ascii="宋体" w:hAnsi="宋体" w:cs="宋体"/>
                <w:b/>
                <w:bCs/>
                <w:color w:val="auto"/>
                <w:spacing w:val="-3"/>
                <w:sz w:val="21"/>
                <w:szCs w:val="21"/>
                <w:lang w:val="en-US" w:eastAsia="zh-CN"/>
              </w:rPr>
              <w:t>全厂</w:t>
            </w:r>
            <w:r>
              <w:rPr>
                <w:rFonts w:ascii="宋体" w:hAnsi="宋体" w:eastAsia="宋体" w:cs="宋体"/>
                <w:b/>
                <w:bCs/>
                <w:color w:val="auto"/>
                <w:spacing w:val="-3"/>
                <w:sz w:val="21"/>
                <w:szCs w:val="21"/>
              </w:rPr>
              <w:t>主要原辅材料</w:t>
            </w:r>
            <w:r>
              <w:rPr>
                <w:rFonts w:hint="eastAsia" w:ascii="宋体" w:hAnsi="宋体" w:eastAsia="宋体" w:cs="宋体"/>
                <w:b/>
                <w:bCs/>
                <w:color w:val="auto"/>
                <w:spacing w:val="-3"/>
                <w:sz w:val="21"/>
                <w:szCs w:val="21"/>
                <w:lang w:val="en-US" w:eastAsia="zh-CN"/>
              </w:rPr>
              <w:t>变化情况      单位：</w:t>
            </w:r>
            <w:r>
              <w:rPr>
                <w:rFonts w:ascii="Times New Roman" w:hAnsi="Times New Roman" w:eastAsia="Times New Roman" w:cs="Times New Roman"/>
                <w:b/>
                <w:bCs/>
                <w:color w:val="auto"/>
                <w:sz w:val="21"/>
                <w:szCs w:val="21"/>
              </w:rPr>
              <w:t>t</w:t>
            </w:r>
            <w:r>
              <w:rPr>
                <w:rFonts w:hint="eastAsia" w:ascii="Times New Roman" w:hAnsi="Times New Roman" w:eastAsia="宋体" w:cs="Times New Roman"/>
                <w:b/>
                <w:bCs/>
                <w:color w:val="auto"/>
                <w:sz w:val="21"/>
                <w:szCs w:val="21"/>
                <w:lang w:val="en-US" w:eastAsia="zh-CN"/>
              </w:rPr>
              <w:t>/a</w:t>
            </w:r>
          </w:p>
          <w:tbl>
            <w:tblPr>
              <w:tblStyle w:val="85"/>
              <w:tblpPr w:leftFromText="180" w:rightFromText="180" w:vertAnchor="text" w:horzAnchor="page" w:tblpXSpec="center" w:tblpY="5"/>
              <w:tblOverlap w:val="never"/>
              <w:tblW w:w="499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83"/>
              <w:gridCol w:w="1611"/>
              <w:gridCol w:w="1326"/>
              <w:gridCol w:w="1454"/>
              <w:gridCol w:w="1443"/>
              <w:gridCol w:w="1040"/>
              <w:gridCol w:w="1060"/>
            </w:tblGrid>
            <w:tr w14:paraId="40786E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jc w:val="center"/>
              </w:trPr>
              <w:tc>
                <w:tcPr>
                  <w:tcW w:w="230" w:type="pct"/>
                  <w:vMerge w:val="restart"/>
                  <w:vAlign w:val="center"/>
                </w:tcPr>
                <w:p w14:paraId="346D4273">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pacing w:val="-3"/>
                      <w:sz w:val="21"/>
                      <w:szCs w:val="21"/>
                    </w:rPr>
                    <w:t>序</w:t>
                  </w:r>
                  <w:r>
                    <w:rPr>
                      <w:rFonts w:hint="default" w:ascii="Times New Roman" w:hAnsi="Times New Roman" w:cs="Times New Roman" w:eastAsiaTheme="minorEastAsia"/>
                      <w:b/>
                      <w:bCs/>
                      <w:color w:val="auto"/>
                      <w:spacing w:val="-2"/>
                      <w:sz w:val="21"/>
                      <w:szCs w:val="21"/>
                    </w:rPr>
                    <w:t>号</w:t>
                  </w:r>
                </w:p>
              </w:tc>
              <w:tc>
                <w:tcPr>
                  <w:tcW w:w="968" w:type="pct"/>
                  <w:vMerge w:val="restart"/>
                  <w:vAlign w:val="center"/>
                </w:tcPr>
                <w:p w14:paraId="5BF32C9B">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pacing w:val="-2"/>
                      <w:sz w:val="21"/>
                      <w:szCs w:val="21"/>
                    </w:rPr>
                    <w:t>原、辅材料名</w:t>
                  </w:r>
                  <w:r>
                    <w:rPr>
                      <w:rFonts w:hint="default" w:ascii="Times New Roman" w:hAnsi="Times New Roman" w:cs="Times New Roman" w:eastAsiaTheme="minorEastAsia"/>
                      <w:b/>
                      <w:bCs/>
                      <w:color w:val="auto"/>
                      <w:spacing w:val="-1"/>
                      <w:sz w:val="21"/>
                      <w:szCs w:val="21"/>
                    </w:rPr>
                    <w:t>称</w:t>
                  </w:r>
                </w:p>
              </w:tc>
              <w:tc>
                <w:tcPr>
                  <w:tcW w:w="1671" w:type="pct"/>
                  <w:gridSpan w:val="2"/>
                  <w:vAlign w:val="center"/>
                </w:tcPr>
                <w:p w14:paraId="356C78EE">
                  <w:pPr>
                    <w:keepNext/>
                    <w:keepLines w:val="0"/>
                    <w:pageBreakBefore w:val="0"/>
                    <w:kinsoku/>
                    <w:wordWrap/>
                    <w:overflowPunct/>
                    <w:topLinePunct w:val="0"/>
                    <w:autoSpaceDE w:val="0"/>
                    <w:autoSpaceDN w:val="0"/>
                    <w:bidi w:val="0"/>
                    <w:jc w:val="center"/>
                    <w:outlineLvl w:val="9"/>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现有工程用量</w:t>
                  </w:r>
                </w:p>
              </w:tc>
              <w:tc>
                <w:tcPr>
                  <w:tcW w:w="867" w:type="pct"/>
                  <w:vMerge w:val="restart"/>
                  <w:vAlign w:val="center"/>
                </w:tcPr>
                <w:p w14:paraId="719C730B">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pacing w:val="22"/>
                      <w:sz w:val="21"/>
                      <w:szCs w:val="21"/>
                      <w:lang w:val="en-US" w:eastAsia="zh-CN"/>
                    </w:rPr>
                    <w:t>扩建工程用量</w:t>
                  </w:r>
                </w:p>
              </w:tc>
              <w:tc>
                <w:tcPr>
                  <w:tcW w:w="625" w:type="pct"/>
                  <w:vMerge w:val="restart"/>
                  <w:vAlign w:val="center"/>
                </w:tcPr>
                <w:p w14:paraId="74952AB6">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b/>
                      <w:bCs/>
                      <w:color w:val="auto"/>
                      <w:spacing w:val="22"/>
                      <w:sz w:val="21"/>
                      <w:szCs w:val="21"/>
                      <w:lang w:val="en-US" w:eastAsia="zh-CN"/>
                    </w:rPr>
                  </w:pPr>
                  <w:r>
                    <w:rPr>
                      <w:rFonts w:hint="default" w:ascii="Times New Roman" w:hAnsi="Times New Roman" w:cs="Times New Roman" w:eastAsiaTheme="minorEastAsia"/>
                      <w:b/>
                      <w:bCs/>
                      <w:color w:val="auto"/>
                      <w:spacing w:val="22"/>
                      <w:sz w:val="21"/>
                      <w:szCs w:val="21"/>
                      <w:lang w:val="en-US" w:eastAsia="zh-CN"/>
                    </w:rPr>
                    <w:t>扩建后全厂用量</w:t>
                  </w:r>
                </w:p>
              </w:tc>
              <w:tc>
                <w:tcPr>
                  <w:tcW w:w="637" w:type="pct"/>
                  <w:vMerge w:val="restart"/>
                  <w:vAlign w:val="center"/>
                </w:tcPr>
                <w:p w14:paraId="14D6FFC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变化量</w:t>
                  </w:r>
                </w:p>
              </w:tc>
            </w:tr>
            <w:tr w14:paraId="10262F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jc w:val="center"/>
              </w:trPr>
              <w:tc>
                <w:tcPr>
                  <w:tcW w:w="230" w:type="pct"/>
                  <w:vMerge w:val="continue"/>
                  <w:vAlign w:val="center"/>
                </w:tcPr>
                <w:p w14:paraId="705E281F">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p>
              </w:tc>
              <w:tc>
                <w:tcPr>
                  <w:tcW w:w="968" w:type="pct"/>
                  <w:vMerge w:val="continue"/>
                  <w:vAlign w:val="center"/>
                </w:tcPr>
                <w:p w14:paraId="7BE60006">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p>
              </w:tc>
              <w:tc>
                <w:tcPr>
                  <w:tcW w:w="797" w:type="pct"/>
                  <w:vAlign w:val="center"/>
                </w:tcPr>
                <w:p w14:paraId="5A226C5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年产2100</w:t>
                  </w:r>
                  <w:r>
                    <w:rPr>
                      <w:rFonts w:hint="eastAsia" w:cs="Times New Roman" w:eastAsiaTheme="minorEastAsia"/>
                      <w:b/>
                      <w:bCs/>
                      <w:color w:val="auto"/>
                      <w:sz w:val="21"/>
                      <w:szCs w:val="21"/>
                      <w:highlight w:val="none"/>
                      <w:lang w:val="en-US" w:eastAsia="zh-CN"/>
                    </w:rPr>
                    <w:t>0</w:t>
                  </w:r>
                  <w:r>
                    <w:rPr>
                      <w:rFonts w:hint="default" w:ascii="Times New Roman" w:hAnsi="Times New Roman" w:cs="Times New Roman" w:eastAsiaTheme="minorEastAsia"/>
                      <w:b/>
                      <w:bCs/>
                      <w:color w:val="auto"/>
                      <w:sz w:val="21"/>
                      <w:szCs w:val="21"/>
                      <w:highlight w:val="none"/>
                      <w:lang w:val="en-US" w:eastAsia="zh-CN"/>
                    </w:rPr>
                    <w:t>t乳化粒状铵油炸药</w:t>
                  </w:r>
                </w:p>
              </w:tc>
              <w:tc>
                <w:tcPr>
                  <w:tcW w:w="874" w:type="pct"/>
                  <w:vAlign w:val="center"/>
                </w:tcPr>
                <w:p w14:paraId="3A573B2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年产2000</w:t>
                  </w:r>
                  <w:r>
                    <w:rPr>
                      <w:rFonts w:hint="eastAsia" w:cs="Times New Roman" w:eastAsiaTheme="minorEastAsia"/>
                      <w:b/>
                      <w:bCs/>
                      <w:color w:val="auto"/>
                      <w:sz w:val="21"/>
                      <w:szCs w:val="21"/>
                      <w:highlight w:val="none"/>
                      <w:lang w:val="en-US" w:eastAsia="zh-CN"/>
                    </w:rPr>
                    <w:t>0</w:t>
                  </w:r>
                  <w:r>
                    <w:rPr>
                      <w:rFonts w:hint="default" w:ascii="Times New Roman" w:hAnsi="Times New Roman" w:cs="Times New Roman" w:eastAsiaTheme="minorEastAsia"/>
                      <w:b/>
                      <w:bCs/>
                      <w:color w:val="auto"/>
                      <w:sz w:val="21"/>
                      <w:szCs w:val="21"/>
                      <w:highlight w:val="none"/>
                      <w:lang w:val="en-US" w:eastAsia="zh-CN"/>
                    </w:rPr>
                    <w:t>t乳化炸药</w:t>
                  </w:r>
                </w:p>
              </w:tc>
              <w:tc>
                <w:tcPr>
                  <w:tcW w:w="867" w:type="pct"/>
                  <w:vMerge w:val="continue"/>
                  <w:vAlign w:val="center"/>
                </w:tcPr>
                <w:p w14:paraId="29136BE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p>
              </w:tc>
              <w:tc>
                <w:tcPr>
                  <w:tcW w:w="625" w:type="pct"/>
                  <w:vMerge w:val="continue"/>
                  <w:vAlign w:val="center"/>
                </w:tcPr>
                <w:p w14:paraId="0E0DAB0F">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p>
              </w:tc>
              <w:tc>
                <w:tcPr>
                  <w:tcW w:w="637" w:type="pct"/>
                  <w:vMerge w:val="continue"/>
                  <w:vAlign w:val="center"/>
                </w:tcPr>
                <w:p w14:paraId="128EBC0E">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p>
              </w:tc>
            </w:tr>
            <w:tr w14:paraId="1C031E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vAlign w:val="center"/>
                </w:tcPr>
                <w:p w14:paraId="05EEE782">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1</w:t>
                  </w:r>
                </w:p>
              </w:tc>
              <w:tc>
                <w:tcPr>
                  <w:tcW w:w="968" w:type="pct"/>
                  <w:vAlign w:val="center"/>
                </w:tcPr>
                <w:p w14:paraId="2DE4F53C">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pacing w:val="-4"/>
                      <w:sz w:val="21"/>
                      <w:szCs w:val="21"/>
                    </w:rPr>
                    <w:t>硝</w:t>
                  </w:r>
                  <w:r>
                    <w:rPr>
                      <w:rFonts w:hint="default" w:ascii="Times New Roman" w:hAnsi="Times New Roman" w:cs="Times New Roman" w:eastAsiaTheme="minorEastAsia"/>
                      <w:color w:val="auto"/>
                      <w:spacing w:val="-2"/>
                      <w:sz w:val="21"/>
                      <w:szCs w:val="21"/>
                    </w:rPr>
                    <w:t>酸铵</w:t>
                  </w:r>
                  <w:r>
                    <w:rPr>
                      <w:rFonts w:hint="default" w:ascii="Times New Roman" w:hAnsi="Times New Roman" w:cs="Times New Roman" w:eastAsiaTheme="minorEastAsia"/>
                      <w:color w:val="auto"/>
                      <w:spacing w:val="-2"/>
                      <w:sz w:val="21"/>
                      <w:szCs w:val="21"/>
                      <w:lang w:eastAsia="zh-CN"/>
                    </w:rPr>
                    <w:t>（</w:t>
                  </w:r>
                  <w:r>
                    <w:rPr>
                      <w:rFonts w:hint="default" w:ascii="Times New Roman" w:hAnsi="Times New Roman" w:cs="Times New Roman" w:eastAsiaTheme="minorEastAsia"/>
                      <w:color w:val="auto"/>
                      <w:spacing w:val="-2"/>
                      <w:sz w:val="21"/>
                      <w:szCs w:val="21"/>
                      <w:lang w:val="en-US" w:eastAsia="zh-CN"/>
                    </w:rPr>
                    <w:t>固</w:t>
                  </w:r>
                  <w:r>
                    <w:rPr>
                      <w:rFonts w:hint="default" w:ascii="Times New Roman" w:hAnsi="Times New Roman" w:cs="Times New Roman" w:eastAsiaTheme="minorEastAsia"/>
                      <w:color w:val="auto"/>
                      <w:spacing w:val="-2"/>
                      <w:sz w:val="21"/>
                      <w:szCs w:val="21"/>
                      <w:lang w:eastAsia="zh-CN"/>
                    </w:rPr>
                    <w:t>）</w:t>
                  </w:r>
                </w:p>
              </w:tc>
              <w:tc>
                <w:tcPr>
                  <w:tcW w:w="797" w:type="pct"/>
                  <w:shd w:val="clear" w:color="auto" w:fill="auto"/>
                  <w:vAlign w:val="center"/>
                </w:tcPr>
                <w:p w14:paraId="1EF7238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8"/>
                      <w:kern w:val="2"/>
                      <w:sz w:val="21"/>
                      <w:szCs w:val="21"/>
                      <w:lang w:val="en-US" w:eastAsia="zh-CN" w:bidi="ar-SA"/>
                    </w:rPr>
                  </w:pPr>
                  <w:r>
                    <w:rPr>
                      <w:rFonts w:hint="default" w:ascii="Times New Roman" w:hAnsi="Times New Roman" w:cs="Times New Roman" w:eastAsiaTheme="minorEastAsia"/>
                      <w:color w:val="auto"/>
                      <w:spacing w:val="-8"/>
                      <w:sz w:val="21"/>
                      <w:szCs w:val="21"/>
                      <w:lang w:val="en-US" w:eastAsia="zh-CN"/>
                    </w:rPr>
                    <w:t>10260</w:t>
                  </w:r>
                </w:p>
              </w:tc>
              <w:tc>
                <w:tcPr>
                  <w:tcW w:w="874" w:type="pct"/>
                  <w:shd w:val="clear" w:color="auto" w:fill="auto"/>
                  <w:vAlign w:val="center"/>
                </w:tcPr>
                <w:p w14:paraId="2791DBC0">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w:t>
                  </w:r>
                </w:p>
              </w:tc>
              <w:tc>
                <w:tcPr>
                  <w:tcW w:w="867" w:type="pct"/>
                  <w:shd w:val="clear" w:color="auto" w:fill="auto"/>
                  <w:vAlign w:val="center"/>
                </w:tcPr>
                <w:p w14:paraId="063F20D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0</w:t>
                  </w:r>
                </w:p>
              </w:tc>
              <w:tc>
                <w:tcPr>
                  <w:tcW w:w="625" w:type="pct"/>
                  <w:vAlign w:val="center"/>
                </w:tcPr>
                <w:p w14:paraId="0A5226A1">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10260</w:t>
                  </w:r>
                </w:p>
              </w:tc>
              <w:tc>
                <w:tcPr>
                  <w:tcW w:w="637" w:type="pct"/>
                  <w:vAlign w:val="center"/>
                </w:tcPr>
                <w:p w14:paraId="7FC4D1BC">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kern w:val="2"/>
                      <w:sz w:val="21"/>
                      <w:szCs w:val="21"/>
                      <w:lang w:val="en-US" w:eastAsia="zh-CN" w:bidi="ar-SA"/>
                    </w:rPr>
                    <w:t>0</w:t>
                  </w:r>
                </w:p>
              </w:tc>
            </w:tr>
            <w:tr w14:paraId="78307E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152BA8EF">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2</w:t>
                  </w:r>
                </w:p>
              </w:tc>
              <w:tc>
                <w:tcPr>
                  <w:tcW w:w="968" w:type="pct"/>
                  <w:vAlign w:val="center"/>
                </w:tcPr>
                <w:p w14:paraId="49F9DD0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硝酸铵溶液</w:t>
                  </w:r>
                </w:p>
              </w:tc>
              <w:tc>
                <w:tcPr>
                  <w:tcW w:w="797" w:type="pct"/>
                  <w:shd w:val="clear" w:color="auto" w:fill="auto"/>
                  <w:vAlign w:val="center"/>
                </w:tcPr>
                <w:p w14:paraId="19F5D413">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8"/>
                      <w:kern w:val="2"/>
                      <w:sz w:val="21"/>
                      <w:szCs w:val="21"/>
                      <w:lang w:val="en-US" w:eastAsia="zh-CN" w:bidi="ar-SA"/>
                    </w:rPr>
                  </w:pPr>
                  <w:r>
                    <w:rPr>
                      <w:rFonts w:hint="default" w:ascii="Times New Roman" w:hAnsi="Times New Roman" w:cs="Times New Roman" w:eastAsiaTheme="minorEastAsia"/>
                      <w:color w:val="auto"/>
                      <w:spacing w:val="-8"/>
                      <w:sz w:val="21"/>
                      <w:szCs w:val="21"/>
                      <w:lang w:val="en-US" w:eastAsia="zh-CN"/>
                    </w:rPr>
                    <w:t>6930</w:t>
                  </w:r>
                </w:p>
              </w:tc>
              <w:tc>
                <w:tcPr>
                  <w:tcW w:w="874" w:type="pct"/>
                  <w:shd w:val="clear" w:color="auto" w:fill="auto"/>
                  <w:vAlign w:val="center"/>
                </w:tcPr>
                <w:p w14:paraId="4918F306">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8"/>
                      <w:kern w:val="2"/>
                      <w:sz w:val="21"/>
                      <w:szCs w:val="21"/>
                      <w:lang w:val="en-US" w:eastAsia="zh-CN" w:bidi="ar-SA"/>
                    </w:rPr>
                  </w:pPr>
                  <w:r>
                    <w:rPr>
                      <w:rFonts w:hint="default" w:ascii="Times New Roman" w:hAnsi="Times New Roman" w:cs="Times New Roman" w:eastAsiaTheme="minorEastAsia"/>
                      <w:color w:val="auto"/>
                      <w:spacing w:val="-8"/>
                      <w:sz w:val="21"/>
                      <w:szCs w:val="21"/>
                    </w:rPr>
                    <w:t>1</w:t>
                  </w:r>
                  <w:r>
                    <w:rPr>
                      <w:rFonts w:hint="default" w:ascii="Times New Roman" w:hAnsi="Times New Roman" w:cs="Times New Roman" w:eastAsiaTheme="minorEastAsia"/>
                      <w:color w:val="auto"/>
                      <w:spacing w:val="-5"/>
                      <w:sz w:val="21"/>
                      <w:szCs w:val="21"/>
                    </w:rPr>
                    <w:t>5200</w:t>
                  </w:r>
                </w:p>
              </w:tc>
              <w:tc>
                <w:tcPr>
                  <w:tcW w:w="867" w:type="pct"/>
                  <w:shd w:val="clear" w:color="auto" w:fill="auto"/>
                  <w:vAlign w:val="center"/>
                </w:tcPr>
                <w:p w14:paraId="6FA29B2A">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8"/>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5320</w:t>
                  </w:r>
                </w:p>
              </w:tc>
              <w:tc>
                <w:tcPr>
                  <w:tcW w:w="625" w:type="pct"/>
                  <w:shd w:val="clear" w:color="auto" w:fill="auto"/>
                  <w:vAlign w:val="center"/>
                </w:tcPr>
                <w:p w14:paraId="039D50C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27450</w:t>
                  </w:r>
                </w:p>
              </w:tc>
              <w:tc>
                <w:tcPr>
                  <w:tcW w:w="637" w:type="pct"/>
                  <w:vAlign w:val="center"/>
                </w:tcPr>
                <w:p w14:paraId="78108B8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pacing w:val="-8"/>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5320</w:t>
                  </w:r>
                </w:p>
              </w:tc>
            </w:tr>
            <w:tr w14:paraId="770D53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7E296849">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3</w:t>
                  </w:r>
                </w:p>
              </w:tc>
              <w:tc>
                <w:tcPr>
                  <w:tcW w:w="968" w:type="pct"/>
                  <w:vAlign w:val="center"/>
                </w:tcPr>
                <w:p w14:paraId="7F4F85CD">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4"/>
                      <w:sz w:val="21"/>
                      <w:szCs w:val="21"/>
                    </w:rPr>
                    <w:t>复合油相</w:t>
                  </w:r>
                </w:p>
              </w:tc>
              <w:tc>
                <w:tcPr>
                  <w:tcW w:w="797" w:type="pct"/>
                  <w:shd w:val="clear" w:color="auto" w:fill="auto"/>
                  <w:vAlign w:val="center"/>
                </w:tcPr>
                <w:p w14:paraId="723056E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288</w:t>
                  </w:r>
                </w:p>
              </w:tc>
              <w:tc>
                <w:tcPr>
                  <w:tcW w:w="874" w:type="pct"/>
                  <w:shd w:val="clear" w:color="auto" w:fill="auto"/>
                  <w:vAlign w:val="center"/>
                </w:tcPr>
                <w:p w14:paraId="2C987602">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7"/>
                      <w:sz w:val="21"/>
                      <w:szCs w:val="21"/>
                    </w:rPr>
                    <w:t>1</w:t>
                  </w:r>
                  <w:r>
                    <w:rPr>
                      <w:rFonts w:hint="default" w:ascii="Times New Roman" w:hAnsi="Times New Roman" w:cs="Times New Roman" w:eastAsiaTheme="minorEastAsia"/>
                      <w:color w:val="auto"/>
                      <w:spacing w:val="-7"/>
                      <w:sz w:val="21"/>
                      <w:szCs w:val="21"/>
                      <w:lang w:val="en-US" w:eastAsia="zh-CN"/>
                    </w:rPr>
                    <w:t>4</w:t>
                  </w:r>
                  <w:r>
                    <w:rPr>
                      <w:rFonts w:hint="default" w:ascii="Times New Roman" w:hAnsi="Times New Roman" w:cs="Times New Roman" w:eastAsiaTheme="minorEastAsia"/>
                      <w:color w:val="auto"/>
                      <w:spacing w:val="-7"/>
                      <w:sz w:val="21"/>
                      <w:szCs w:val="21"/>
                    </w:rPr>
                    <w:t>00</w:t>
                  </w:r>
                </w:p>
              </w:tc>
              <w:tc>
                <w:tcPr>
                  <w:tcW w:w="867" w:type="pct"/>
                  <w:shd w:val="clear" w:color="auto" w:fill="auto"/>
                  <w:vAlign w:val="center"/>
                </w:tcPr>
                <w:p w14:paraId="27A2EC4C">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326</w:t>
                  </w:r>
                </w:p>
              </w:tc>
              <w:tc>
                <w:tcPr>
                  <w:tcW w:w="625" w:type="pct"/>
                  <w:shd w:val="clear" w:color="auto" w:fill="auto"/>
                  <w:vAlign w:val="center"/>
                </w:tcPr>
                <w:p w14:paraId="5EEDCCC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2014</w:t>
                  </w:r>
                </w:p>
              </w:tc>
              <w:tc>
                <w:tcPr>
                  <w:tcW w:w="637" w:type="pct"/>
                  <w:vAlign w:val="center"/>
                </w:tcPr>
                <w:p w14:paraId="48E2F70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pacing w:val="-7"/>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326</w:t>
                  </w:r>
                </w:p>
              </w:tc>
            </w:tr>
            <w:tr w14:paraId="7E1DF6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43F7B15E">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4</w:t>
                  </w:r>
                </w:p>
              </w:tc>
              <w:tc>
                <w:tcPr>
                  <w:tcW w:w="968" w:type="pct"/>
                  <w:vAlign w:val="center"/>
                </w:tcPr>
                <w:p w14:paraId="3120075A">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亚硝酸钠</w:t>
                  </w:r>
                </w:p>
              </w:tc>
              <w:tc>
                <w:tcPr>
                  <w:tcW w:w="797" w:type="pct"/>
                  <w:shd w:val="clear" w:color="auto" w:fill="auto"/>
                  <w:vAlign w:val="center"/>
                </w:tcPr>
                <w:p w14:paraId="4967EE3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270</w:t>
                  </w:r>
                </w:p>
              </w:tc>
              <w:tc>
                <w:tcPr>
                  <w:tcW w:w="874" w:type="pct"/>
                  <w:shd w:val="clear" w:color="auto" w:fill="auto"/>
                  <w:vAlign w:val="center"/>
                </w:tcPr>
                <w:p w14:paraId="4575DCB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602391C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44E82ACC">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270</w:t>
                  </w:r>
                </w:p>
              </w:tc>
              <w:tc>
                <w:tcPr>
                  <w:tcW w:w="637" w:type="pct"/>
                  <w:vAlign w:val="center"/>
                </w:tcPr>
                <w:p w14:paraId="7383EE1A">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7B5BDD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7CEC01F0">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5</w:t>
                  </w:r>
                </w:p>
              </w:tc>
              <w:tc>
                <w:tcPr>
                  <w:tcW w:w="968" w:type="pct"/>
                  <w:vAlign w:val="center"/>
                </w:tcPr>
                <w:p w14:paraId="081B139A">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基础油（润滑油）</w:t>
                  </w:r>
                </w:p>
              </w:tc>
              <w:tc>
                <w:tcPr>
                  <w:tcW w:w="797" w:type="pct"/>
                  <w:shd w:val="clear" w:color="auto" w:fill="auto"/>
                  <w:vAlign w:val="center"/>
                </w:tcPr>
                <w:p w14:paraId="0C0C260C">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720</w:t>
                  </w:r>
                </w:p>
              </w:tc>
              <w:tc>
                <w:tcPr>
                  <w:tcW w:w="874" w:type="pct"/>
                  <w:shd w:val="clear" w:color="auto" w:fill="auto"/>
                  <w:vAlign w:val="center"/>
                </w:tcPr>
                <w:p w14:paraId="080A96B2">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6AC8A970">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7F2137EB">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720</w:t>
                  </w:r>
                </w:p>
              </w:tc>
              <w:tc>
                <w:tcPr>
                  <w:tcW w:w="637" w:type="pct"/>
                  <w:vAlign w:val="center"/>
                </w:tcPr>
                <w:p w14:paraId="31932F0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44526D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3ED5D1BB">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6</w:t>
                  </w:r>
                </w:p>
              </w:tc>
              <w:tc>
                <w:tcPr>
                  <w:tcW w:w="968" w:type="pct"/>
                  <w:vAlign w:val="center"/>
                </w:tcPr>
                <w:p w14:paraId="00AAFC6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木粉</w:t>
                  </w:r>
                </w:p>
              </w:tc>
              <w:tc>
                <w:tcPr>
                  <w:tcW w:w="797" w:type="pct"/>
                  <w:shd w:val="clear" w:color="auto" w:fill="auto"/>
                  <w:vAlign w:val="center"/>
                </w:tcPr>
                <w:p w14:paraId="56AD116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600</w:t>
                  </w:r>
                </w:p>
              </w:tc>
              <w:tc>
                <w:tcPr>
                  <w:tcW w:w="874" w:type="pct"/>
                  <w:shd w:val="clear" w:color="auto" w:fill="auto"/>
                  <w:vAlign w:val="center"/>
                </w:tcPr>
                <w:p w14:paraId="450EFDF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4E972F0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793F9571">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600</w:t>
                  </w:r>
                </w:p>
              </w:tc>
              <w:tc>
                <w:tcPr>
                  <w:tcW w:w="637" w:type="pct"/>
                  <w:vAlign w:val="center"/>
                </w:tcPr>
                <w:p w14:paraId="7777A83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618F2D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46A4F340">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7</w:t>
                  </w:r>
                </w:p>
              </w:tc>
              <w:tc>
                <w:tcPr>
                  <w:tcW w:w="968" w:type="pct"/>
                  <w:vAlign w:val="center"/>
                </w:tcPr>
                <w:p w14:paraId="09567A78">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轻柴油</w:t>
                  </w:r>
                </w:p>
              </w:tc>
              <w:tc>
                <w:tcPr>
                  <w:tcW w:w="797" w:type="pct"/>
                  <w:shd w:val="clear" w:color="auto" w:fill="auto"/>
                  <w:vAlign w:val="center"/>
                </w:tcPr>
                <w:p w14:paraId="328A60B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162</w:t>
                  </w:r>
                </w:p>
              </w:tc>
              <w:tc>
                <w:tcPr>
                  <w:tcW w:w="874" w:type="pct"/>
                  <w:shd w:val="clear" w:color="auto" w:fill="auto"/>
                  <w:vAlign w:val="center"/>
                </w:tcPr>
                <w:p w14:paraId="0FB0561A">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0DEDFB78">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7AC38671">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162</w:t>
                  </w:r>
                </w:p>
              </w:tc>
              <w:tc>
                <w:tcPr>
                  <w:tcW w:w="637" w:type="pct"/>
                  <w:vAlign w:val="center"/>
                </w:tcPr>
                <w:p w14:paraId="6F3016F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0E1DD2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420035A3">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8</w:t>
                  </w:r>
                </w:p>
              </w:tc>
              <w:tc>
                <w:tcPr>
                  <w:tcW w:w="968" w:type="pct"/>
                  <w:vAlign w:val="center"/>
                </w:tcPr>
                <w:p w14:paraId="4502ED2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添加剂1</w:t>
                  </w:r>
                </w:p>
              </w:tc>
              <w:tc>
                <w:tcPr>
                  <w:tcW w:w="797" w:type="pct"/>
                  <w:shd w:val="clear" w:color="auto" w:fill="auto"/>
                  <w:vAlign w:val="center"/>
                </w:tcPr>
                <w:p w14:paraId="1704FCBC">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600</w:t>
                  </w:r>
                </w:p>
              </w:tc>
              <w:tc>
                <w:tcPr>
                  <w:tcW w:w="874" w:type="pct"/>
                  <w:shd w:val="clear" w:color="auto" w:fill="auto"/>
                  <w:vAlign w:val="center"/>
                </w:tcPr>
                <w:p w14:paraId="64BA209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50DCC86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50F7A167">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600</w:t>
                  </w:r>
                </w:p>
              </w:tc>
              <w:tc>
                <w:tcPr>
                  <w:tcW w:w="637" w:type="pct"/>
                  <w:vAlign w:val="center"/>
                </w:tcPr>
                <w:p w14:paraId="4181C4F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0BF3FF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1B471E6D">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9</w:t>
                  </w:r>
                </w:p>
              </w:tc>
              <w:tc>
                <w:tcPr>
                  <w:tcW w:w="968" w:type="pct"/>
                  <w:vAlign w:val="center"/>
                </w:tcPr>
                <w:p w14:paraId="4F9CC4C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添加剂2</w:t>
                  </w:r>
                </w:p>
              </w:tc>
              <w:tc>
                <w:tcPr>
                  <w:tcW w:w="797" w:type="pct"/>
                  <w:shd w:val="clear" w:color="auto" w:fill="auto"/>
                  <w:vAlign w:val="center"/>
                </w:tcPr>
                <w:p w14:paraId="2701A8DE">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1000</w:t>
                  </w:r>
                </w:p>
              </w:tc>
              <w:tc>
                <w:tcPr>
                  <w:tcW w:w="874" w:type="pct"/>
                  <w:shd w:val="clear" w:color="auto" w:fill="auto"/>
                  <w:vAlign w:val="center"/>
                </w:tcPr>
                <w:p w14:paraId="327EB619">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0974BED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61190C62">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1000</w:t>
                  </w:r>
                </w:p>
              </w:tc>
              <w:tc>
                <w:tcPr>
                  <w:tcW w:w="637" w:type="pct"/>
                  <w:vAlign w:val="center"/>
                </w:tcPr>
                <w:p w14:paraId="7F798F10">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702389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7989600A">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10</w:t>
                  </w:r>
                </w:p>
              </w:tc>
              <w:tc>
                <w:tcPr>
                  <w:tcW w:w="968" w:type="pct"/>
                  <w:vAlign w:val="center"/>
                </w:tcPr>
                <w:p w14:paraId="6E007B6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包装用编织袋</w:t>
                  </w:r>
                </w:p>
              </w:tc>
              <w:tc>
                <w:tcPr>
                  <w:tcW w:w="797" w:type="pct"/>
                  <w:shd w:val="clear" w:color="auto" w:fill="auto"/>
                  <w:vAlign w:val="center"/>
                </w:tcPr>
                <w:p w14:paraId="40A6EAA1">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480000</w:t>
                  </w:r>
                </w:p>
              </w:tc>
              <w:tc>
                <w:tcPr>
                  <w:tcW w:w="874" w:type="pct"/>
                  <w:shd w:val="clear" w:color="auto" w:fill="auto"/>
                  <w:vAlign w:val="center"/>
                </w:tcPr>
                <w:p w14:paraId="587C1E9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736F00A0">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79BD40C3">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480000</w:t>
                  </w:r>
                </w:p>
              </w:tc>
              <w:tc>
                <w:tcPr>
                  <w:tcW w:w="637" w:type="pct"/>
                  <w:vAlign w:val="center"/>
                </w:tcPr>
                <w:p w14:paraId="4CD238E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0853EC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17C8919C">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11</w:t>
                  </w:r>
                </w:p>
              </w:tc>
              <w:tc>
                <w:tcPr>
                  <w:tcW w:w="968" w:type="pct"/>
                  <w:vAlign w:val="center"/>
                </w:tcPr>
                <w:p w14:paraId="6F9E3C0F">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机油</w:t>
                  </w:r>
                </w:p>
              </w:tc>
              <w:tc>
                <w:tcPr>
                  <w:tcW w:w="797" w:type="pct"/>
                  <w:shd w:val="clear" w:color="auto" w:fill="auto"/>
                  <w:vAlign w:val="center"/>
                </w:tcPr>
                <w:p w14:paraId="3E71D1A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0.2</w:t>
                  </w:r>
                </w:p>
              </w:tc>
              <w:tc>
                <w:tcPr>
                  <w:tcW w:w="874" w:type="pct"/>
                  <w:shd w:val="clear" w:color="auto" w:fill="auto"/>
                  <w:vAlign w:val="center"/>
                </w:tcPr>
                <w:p w14:paraId="1805C18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67" w:type="pct"/>
                  <w:shd w:val="clear" w:color="auto" w:fill="auto"/>
                  <w:vAlign w:val="center"/>
                </w:tcPr>
                <w:p w14:paraId="1038A17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13B63D06">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0.2</w:t>
                  </w:r>
                </w:p>
              </w:tc>
              <w:tc>
                <w:tcPr>
                  <w:tcW w:w="637" w:type="pct"/>
                  <w:vAlign w:val="center"/>
                </w:tcPr>
                <w:p w14:paraId="671D58B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5B7B36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60693BFF">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i w:val="0"/>
                      <w:iCs w:val="0"/>
                      <w:color w:val="auto"/>
                      <w:kern w:val="0"/>
                      <w:sz w:val="21"/>
                      <w:szCs w:val="21"/>
                      <w:u w:val="none"/>
                      <w:lang w:val="en-US" w:eastAsia="zh-CN" w:bidi="ar"/>
                    </w:rPr>
                    <w:t>12</w:t>
                  </w:r>
                </w:p>
              </w:tc>
              <w:tc>
                <w:tcPr>
                  <w:tcW w:w="968" w:type="pct"/>
                  <w:shd w:val="clear" w:color="auto" w:fill="auto"/>
                  <w:vAlign w:val="center"/>
                </w:tcPr>
                <w:p w14:paraId="7BC0475C">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2"/>
                      <w:sz w:val="21"/>
                      <w:szCs w:val="21"/>
                    </w:rPr>
                    <w:t>硝酸钠</w:t>
                  </w:r>
                </w:p>
              </w:tc>
              <w:tc>
                <w:tcPr>
                  <w:tcW w:w="797" w:type="pct"/>
                  <w:shd w:val="clear" w:color="auto" w:fill="auto"/>
                  <w:vAlign w:val="center"/>
                </w:tcPr>
                <w:p w14:paraId="6A1CF819">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1C03AAE0">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2"/>
                      <w:sz w:val="21"/>
                      <w:szCs w:val="21"/>
                      <w:lang w:val="en-US" w:eastAsia="zh-CN"/>
                    </w:rPr>
                    <w:t>20</w:t>
                  </w:r>
                  <w:r>
                    <w:rPr>
                      <w:rFonts w:hint="default" w:ascii="Times New Roman" w:hAnsi="Times New Roman" w:cs="Times New Roman" w:eastAsiaTheme="minorEastAsia"/>
                      <w:color w:val="auto"/>
                      <w:spacing w:val="-1"/>
                      <w:sz w:val="21"/>
                      <w:szCs w:val="21"/>
                    </w:rPr>
                    <w:t>00</w:t>
                  </w:r>
                </w:p>
              </w:tc>
              <w:tc>
                <w:tcPr>
                  <w:tcW w:w="867" w:type="pct"/>
                  <w:shd w:val="clear" w:color="auto" w:fill="auto"/>
                  <w:vAlign w:val="center"/>
                </w:tcPr>
                <w:p w14:paraId="01C3A0F9">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798</w:t>
                  </w:r>
                </w:p>
              </w:tc>
              <w:tc>
                <w:tcPr>
                  <w:tcW w:w="625" w:type="pct"/>
                  <w:shd w:val="clear" w:color="auto" w:fill="auto"/>
                  <w:vAlign w:val="center"/>
                </w:tcPr>
                <w:p w14:paraId="49CEA79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宋体" w:hAnsi="宋体" w:eastAsia="宋体" w:cs="宋体"/>
                      <w:i w:val="0"/>
                      <w:iCs w:val="0"/>
                      <w:color w:val="auto"/>
                      <w:kern w:val="2"/>
                      <w:sz w:val="24"/>
                      <w:szCs w:val="24"/>
                      <w:u w:val="none"/>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2798</w:t>
                  </w:r>
                </w:p>
              </w:tc>
              <w:tc>
                <w:tcPr>
                  <w:tcW w:w="637" w:type="pct"/>
                  <w:vAlign w:val="center"/>
                </w:tcPr>
                <w:p w14:paraId="613C5512">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pacing w:val="-2"/>
                      <w:sz w:val="21"/>
                      <w:szCs w:val="21"/>
                      <w:lang w:val="en-US" w:eastAsia="zh-CN"/>
                    </w:rPr>
                    <w:t>+</w:t>
                  </w:r>
                  <w:r>
                    <w:rPr>
                      <w:rFonts w:hint="default" w:ascii="Times New Roman" w:hAnsi="Times New Roman" w:eastAsia="宋体" w:cs="Times New Roman"/>
                      <w:i w:val="0"/>
                      <w:iCs w:val="0"/>
                      <w:color w:val="auto"/>
                      <w:kern w:val="0"/>
                      <w:sz w:val="21"/>
                      <w:szCs w:val="21"/>
                      <w:u w:val="none"/>
                      <w:lang w:val="en-US" w:eastAsia="zh-CN" w:bidi="ar"/>
                    </w:rPr>
                    <w:t>798</w:t>
                  </w:r>
                </w:p>
              </w:tc>
            </w:tr>
            <w:tr w14:paraId="052429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301BF26B">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13</w:t>
                  </w:r>
                </w:p>
              </w:tc>
              <w:tc>
                <w:tcPr>
                  <w:tcW w:w="968" w:type="pct"/>
                  <w:vAlign w:val="center"/>
                </w:tcPr>
                <w:p w14:paraId="02028FBB">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3"/>
                      <w:sz w:val="21"/>
                      <w:szCs w:val="21"/>
                    </w:rPr>
                    <w:t>氯化钾</w:t>
                  </w:r>
                </w:p>
              </w:tc>
              <w:tc>
                <w:tcPr>
                  <w:tcW w:w="797" w:type="pct"/>
                  <w:shd w:val="clear" w:color="auto" w:fill="auto"/>
                  <w:vAlign w:val="center"/>
                </w:tcPr>
                <w:p w14:paraId="19F43CF8">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1D8D32AE">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1400</w:t>
                  </w:r>
                </w:p>
              </w:tc>
              <w:tc>
                <w:tcPr>
                  <w:tcW w:w="867" w:type="pct"/>
                  <w:shd w:val="clear" w:color="auto" w:fill="auto"/>
                  <w:vAlign w:val="center"/>
                </w:tcPr>
                <w:p w14:paraId="4714043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3AF0890C">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1400</w:t>
                  </w:r>
                </w:p>
              </w:tc>
              <w:tc>
                <w:tcPr>
                  <w:tcW w:w="637" w:type="pct"/>
                  <w:vAlign w:val="center"/>
                </w:tcPr>
                <w:p w14:paraId="15FDACF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1C5D6B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7562E66F">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bookmarkStart w:id="41" w:name="OLE_LINK215" w:colFirst="3" w:colLast="3"/>
                  <w:r>
                    <w:rPr>
                      <w:rFonts w:hint="default" w:ascii="Times New Roman" w:hAnsi="Times New Roman" w:cs="Times New Roman" w:eastAsiaTheme="minorEastAsia"/>
                      <w:i w:val="0"/>
                      <w:iCs w:val="0"/>
                      <w:color w:val="auto"/>
                      <w:kern w:val="0"/>
                      <w:sz w:val="21"/>
                      <w:szCs w:val="21"/>
                      <w:u w:val="none"/>
                      <w:lang w:val="en-US" w:eastAsia="zh-CN" w:bidi="ar"/>
                    </w:rPr>
                    <w:t>14</w:t>
                  </w:r>
                </w:p>
              </w:tc>
              <w:tc>
                <w:tcPr>
                  <w:tcW w:w="968" w:type="pct"/>
                  <w:vAlign w:val="center"/>
                </w:tcPr>
                <w:p w14:paraId="2BABAEA7">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pacing w:val="-2"/>
                      <w:sz w:val="21"/>
                      <w:szCs w:val="21"/>
                      <w:highlight w:val="none"/>
                    </w:rPr>
                    <w:t>发泡剂</w:t>
                  </w:r>
                </w:p>
              </w:tc>
              <w:tc>
                <w:tcPr>
                  <w:tcW w:w="797" w:type="pct"/>
                  <w:shd w:val="clear" w:color="auto" w:fill="auto"/>
                  <w:vAlign w:val="center"/>
                </w:tcPr>
                <w:p w14:paraId="0A12F32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65D705B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5"/>
                      <w:sz w:val="21"/>
                      <w:szCs w:val="21"/>
                      <w:lang w:val="en-US" w:eastAsia="zh-CN"/>
                    </w:rPr>
                    <w:t>6</w:t>
                  </w:r>
                  <w:r>
                    <w:rPr>
                      <w:rFonts w:hint="default" w:ascii="Times New Roman" w:hAnsi="Times New Roman" w:cs="Times New Roman" w:eastAsiaTheme="minorEastAsia"/>
                      <w:color w:val="auto"/>
                      <w:spacing w:val="-3"/>
                      <w:sz w:val="21"/>
                      <w:szCs w:val="21"/>
                    </w:rPr>
                    <w:t>0</w:t>
                  </w:r>
                </w:p>
              </w:tc>
              <w:tc>
                <w:tcPr>
                  <w:tcW w:w="867" w:type="pct"/>
                  <w:shd w:val="clear" w:color="auto" w:fill="auto"/>
                  <w:vAlign w:val="center"/>
                </w:tcPr>
                <w:p w14:paraId="3CB288EE">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293427AD">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60</w:t>
                  </w:r>
                </w:p>
              </w:tc>
              <w:tc>
                <w:tcPr>
                  <w:tcW w:w="637" w:type="pct"/>
                  <w:vAlign w:val="center"/>
                </w:tcPr>
                <w:p w14:paraId="34AE4B3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tr w14:paraId="67B28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3C1741B1">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15</w:t>
                  </w:r>
                </w:p>
              </w:tc>
              <w:tc>
                <w:tcPr>
                  <w:tcW w:w="968" w:type="pct"/>
                  <w:vAlign w:val="center"/>
                </w:tcPr>
                <w:p w14:paraId="44D2645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pacing w:val="-2"/>
                      <w:sz w:val="21"/>
                      <w:szCs w:val="21"/>
                      <w:highlight w:val="none"/>
                    </w:rPr>
                  </w:pPr>
                  <w:r>
                    <w:rPr>
                      <w:rFonts w:hint="default" w:ascii="Times New Roman" w:hAnsi="Times New Roman" w:cs="Times New Roman" w:eastAsiaTheme="minorEastAsia"/>
                      <w:color w:val="auto"/>
                      <w:spacing w:val="-1"/>
                      <w:sz w:val="21"/>
                      <w:szCs w:val="21"/>
                      <w:highlight w:val="none"/>
                    </w:rPr>
                    <w:t>促进剂</w:t>
                  </w:r>
                </w:p>
              </w:tc>
              <w:tc>
                <w:tcPr>
                  <w:tcW w:w="797" w:type="pct"/>
                  <w:shd w:val="clear" w:color="auto" w:fill="auto"/>
                  <w:vAlign w:val="center"/>
                </w:tcPr>
                <w:p w14:paraId="456706A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5A0CC06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eastAsiaTheme="minorEastAsia"/>
                      <w:color w:val="auto"/>
                      <w:spacing w:val="-5"/>
                      <w:sz w:val="21"/>
                      <w:szCs w:val="21"/>
                      <w:lang w:val="en-US" w:eastAsia="zh-CN"/>
                    </w:rPr>
                    <w:t>20</w:t>
                  </w:r>
                </w:p>
              </w:tc>
              <w:tc>
                <w:tcPr>
                  <w:tcW w:w="867" w:type="pct"/>
                  <w:shd w:val="clear" w:color="auto" w:fill="auto"/>
                  <w:vAlign w:val="center"/>
                </w:tcPr>
                <w:p w14:paraId="6600C8EE">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65D31E11">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20</w:t>
                  </w:r>
                </w:p>
              </w:tc>
              <w:tc>
                <w:tcPr>
                  <w:tcW w:w="637" w:type="pct"/>
                  <w:vAlign w:val="center"/>
                </w:tcPr>
                <w:p w14:paraId="2629792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r>
            <w:bookmarkEnd w:id="41"/>
            <w:tr w14:paraId="7A8AA0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793C83DE">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16</w:t>
                  </w:r>
                </w:p>
              </w:tc>
              <w:tc>
                <w:tcPr>
                  <w:tcW w:w="968" w:type="pct"/>
                  <w:vAlign w:val="center"/>
                </w:tcPr>
                <w:p w14:paraId="065BB5BE">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pacing w:val="-2"/>
                      <w:sz w:val="21"/>
                      <w:szCs w:val="21"/>
                    </w:rPr>
                    <w:t>膨胀珍</w:t>
                  </w:r>
                  <w:r>
                    <w:rPr>
                      <w:rFonts w:hint="default" w:ascii="Times New Roman" w:hAnsi="Times New Roman" w:cs="Times New Roman" w:eastAsiaTheme="minorEastAsia"/>
                      <w:color w:val="auto"/>
                      <w:spacing w:val="-1"/>
                      <w:sz w:val="21"/>
                      <w:szCs w:val="21"/>
                    </w:rPr>
                    <w:t>珠岩</w:t>
                  </w:r>
                </w:p>
              </w:tc>
              <w:tc>
                <w:tcPr>
                  <w:tcW w:w="797" w:type="pct"/>
                  <w:shd w:val="clear" w:color="auto" w:fill="auto"/>
                  <w:vAlign w:val="center"/>
                </w:tcPr>
                <w:p w14:paraId="3B74D98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526974A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cs="Times New Roman" w:eastAsiaTheme="minorEastAsia"/>
                      <w:color w:val="auto"/>
                      <w:spacing w:val="-5"/>
                      <w:sz w:val="21"/>
                      <w:szCs w:val="21"/>
                      <w:lang w:val="en-US" w:eastAsia="zh-CN"/>
                    </w:rPr>
                    <w:t>500</w:t>
                  </w:r>
                </w:p>
              </w:tc>
              <w:tc>
                <w:tcPr>
                  <w:tcW w:w="867" w:type="pct"/>
                  <w:shd w:val="clear" w:color="auto" w:fill="auto"/>
                  <w:vAlign w:val="center"/>
                </w:tcPr>
                <w:p w14:paraId="04DE9400">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5"/>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246.7</w:t>
                  </w:r>
                </w:p>
              </w:tc>
              <w:tc>
                <w:tcPr>
                  <w:tcW w:w="625" w:type="pct"/>
                  <w:shd w:val="clear" w:color="auto" w:fill="auto"/>
                  <w:vAlign w:val="center"/>
                </w:tcPr>
                <w:p w14:paraId="5D9FF5E6">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宋体" w:hAnsi="宋体" w:eastAsia="宋体" w:cs="宋体"/>
                      <w:i w:val="0"/>
                      <w:iCs w:val="0"/>
                      <w:color w:val="auto"/>
                      <w:kern w:val="2"/>
                      <w:sz w:val="24"/>
                      <w:szCs w:val="24"/>
                      <w:u w:val="none"/>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7</w:t>
                  </w:r>
                  <w:r>
                    <w:rPr>
                      <w:rFonts w:hint="eastAsia" w:cs="Times New Roman"/>
                      <w:i w:val="0"/>
                      <w:iCs w:val="0"/>
                      <w:color w:val="auto"/>
                      <w:kern w:val="0"/>
                      <w:sz w:val="21"/>
                      <w:szCs w:val="21"/>
                      <w:u w:val="none"/>
                      <w:lang w:val="en-US" w:eastAsia="zh-CN" w:bidi="ar"/>
                    </w:rPr>
                    <w:t>46.7</w:t>
                  </w:r>
                </w:p>
              </w:tc>
              <w:tc>
                <w:tcPr>
                  <w:tcW w:w="637" w:type="pct"/>
                  <w:vAlign w:val="center"/>
                </w:tcPr>
                <w:p w14:paraId="0FD8BDE1">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pacing w:val="-5"/>
                      <w:sz w:val="21"/>
                      <w:szCs w:val="21"/>
                      <w:lang w:val="en-US" w:eastAsia="zh-CN"/>
                    </w:rPr>
                    <w:t>+</w:t>
                  </w:r>
                  <w:r>
                    <w:rPr>
                      <w:rFonts w:hint="eastAsia" w:cs="Times New Roman"/>
                      <w:i w:val="0"/>
                      <w:iCs w:val="0"/>
                      <w:color w:val="auto"/>
                      <w:kern w:val="0"/>
                      <w:sz w:val="21"/>
                      <w:szCs w:val="21"/>
                      <w:u w:val="none"/>
                      <w:lang w:val="en-US" w:eastAsia="zh-CN" w:bidi="ar"/>
                    </w:rPr>
                    <w:t>246.7</w:t>
                  </w:r>
                </w:p>
              </w:tc>
            </w:tr>
            <w:tr w14:paraId="40E924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shd w:val="clear" w:color="auto" w:fill="auto"/>
                  <w:vAlign w:val="center"/>
                </w:tcPr>
                <w:p w14:paraId="2130C93A">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17</w:t>
                  </w:r>
                </w:p>
              </w:tc>
              <w:tc>
                <w:tcPr>
                  <w:tcW w:w="968" w:type="pct"/>
                  <w:vAlign w:val="center"/>
                </w:tcPr>
                <w:p w14:paraId="16C1FDC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4"/>
                      <w:sz w:val="21"/>
                      <w:szCs w:val="21"/>
                    </w:rPr>
                    <w:t>塑</w:t>
                  </w:r>
                  <w:r>
                    <w:rPr>
                      <w:rFonts w:hint="default" w:ascii="Times New Roman" w:hAnsi="Times New Roman" w:cs="Times New Roman" w:eastAsiaTheme="minorEastAsia"/>
                      <w:color w:val="auto"/>
                      <w:spacing w:val="-3"/>
                      <w:sz w:val="21"/>
                      <w:szCs w:val="21"/>
                    </w:rPr>
                    <w:t>料</w:t>
                  </w:r>
                  <w:r>
                    <w:rPr>
                      <w:rFonts w:hint="default" w:ascii="Times New Roman" w:hAnsi="Times New Roman" w:cs="Times New Roman" w:eastAsiaTheme="minorEastAsia"/>
                      <w:color w:val="auto"/>
                      <w:spacing w:val="-2"/>
                      <w:sz w:val="21"/>
                      <w:szCs w:val="21"/>
                    </w:rPr>
                    <w:t>薄膜</w:t>
                  </w:r>
                </w:p>
              </w:tc>
              <w:tc>
                <w:tcPr>
                  <w:tcW w:w="797" w:type="pct"/>
                  <w:shd w:val="clear" w:color="auto" w:fill="auto"/>
                  <w:vAlign w:val="center"/>
                </w:tcPr>
                <w:p w14:paraId="7BE27E8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2"/>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47466AC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2"/>
                      <w:kern w:val="2"/>
                      <w:sz w:val="21"/>
                      <w:szCs w:val="21"/>
                      <w:lang w:val="en-US" w:eastAsia="zh-CN" w:bidi="ar-SA"/>
                    </w:rPr>
                  </w:pPr>
                  <w:r>
                    <w:rPr>
                      <w:rFonts w:hint="default" w:ascii="Times New Roman" w:hAnsi="Times New Roman" w:cs="Times New Roman" w:eastAsiaTheme="minorEastAsia"/>
                      <w:color w:val="auto"/>
                      <w:spacing w:val="-2"/>
                      <w:sz w:val="21"/>
                      <w:szCs w:val="21"/>
                      <w:lang w:val="en-US" w:eastAsia="zh-CN"/>
                    </w:rPr>
                    <w:t>240</w:t>
                  </w:r>
                </w:p>
              </w:tc>
              <w:tc>
                <w:tcPr>
                  <w:tcW w:w="867" w:type="pct"/>
                  <w:shd w:val="clear" w:color="auto" w:fill="auto"/>
                  <w:vAlign w:val="center"/>
                </w:tcPr>
                <w:p w14:paraId="2B6EBC5E">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2"/>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2BDEF64F">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default" w:ascii="Times New Roman" w:hAnsi="Times New Roman" w:cs="Times New Roman" w:eastAsiaTheme="minorEastAsia"/>
                      <w:i w:val="0"/>
                      <w:iCs w:val="0"/>
                      <w:color w:val="auto"/>
                      <w:kern w:val="0"/>
                      <w:sz w:val="21"/>
                      <w:szCs w:val="21"/>
                      <w:u w:val="none"/>
                      <w:lang w:val="en-US" w:eastAsia="zh-CN" w:bidi="ar"/>
                    </w:rPr>
                    <w:t>240</w:t>
                  </w:r>
                </w:p>
              </w:tc>
              <w:tc>
                <w:tcPr>
                  <w:tcW w:w="637" w:type="pct"/>
                  <w:vAlign w:val="center"/>
                </w:tcPr>
                <w:p w14:paraId="56CAEA9E">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2"/>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r>
            <w:tr w14:paraId="276DC8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230" w:type="pct"/>
                  <w:vAlign w:val="center"/>
                </w:tcPr>
                <w:p w14:paraId="0BB7CD6D">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18</w:t>
                  </w:r>
                </w:p>
              </w:tc>
              <w:tc>
                <w:tcPr>
                  <w:tcW w:w="968" w:type="pct"/>
                  <w:vAlign w:val="center"/>
                </w:tcPr>
                <w:p w14:paraId="391404E1">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17"/>
                      <w:sz w:val="21"/>
                      <w:szCs w:val="21"/>
                    </w:rPr>
                    <w:t>纸</w:t>
                  </w:r>
                  <w:r>
                    <w:rPr>
                      <w:rFonts w:hint="default" w:ascii="Times New Roman" w:hAnsi="Times New Roman" w:cs="Times New Roman" w:eastAsiaTheme="minorEastAsia"/>
                      <w:color w:val="auto"/>
                      <w:spacing w:val="15"/>
                      <w:sz w:val="21"/>
                      <w:szCs w:val="21"/>
                    </w:rPr>
                    <w:t>塑袋</w:t>
                  </w:r>
                  <w:r>
                    <w:rPr>
                      <w:rFonts w:hint="default" w:ascii="Times New Roman" w:hAnsi="Times New Roman" w:cs="Times New Roman" w:eastAsiaTheme="minorEastAsia"/>
                      <w:color w:val="auto"/>
                      <w:spacing w:val="15"/>
                      <w:sz w:val="21"/>
                      <w:szCs w:val="21"/>
                      <w:lang w:eastAsia="zh-CN"/>
                    </w:rPr>
                    <w:t>（</w:t>
                  </w:r>
                  <w:r>
                    <w:rPr>
                      <w:rFonts w:hint="default" w:ascii="Times New Roman" w:hAnsi="Times New Roman" w:cs="Times New Roman" w:eastAsiaTheme="minorEastAsia"/>
                      <w:color w:val="auto"/>
                      <w:spacing w:val="15"/>
                      <w:sz w:val="21"/>
                      <w:szCs w:val="21"/>
                    </w:rPr>
                    <w:t>个</w:t>
                  </w:r>
                  <w:r>
                    <w:rPr>
                      <w:rFonts w:hint="default" w:ascii="Times New Roman" w:hAnsi="Times New Roman" w:cs="Times New Roman" w:eastAsiaTheme="minorEastAsia"/>
                      <w:color w:val="auto"/>
                      <w:spacing w:val="15"/>
                      <w:sz w:val="21"/>
                      <w:szCs w:val="21"/>
                      <w:lang w:eastAsia="zh-CN"/>
                    </w:rPr>
                    <w:t>）</w:t>
                  </w:r>
                </w:p>
              </w:tc>
              <w:tc>
                <w:tcPr>
                  <w:tcW w:w="797" w:type="pct"/>
                  <w:shd w:val="clear" w:color="auto" w:fill="auto"/>
                  <w:vAlign w:val="center"/>
                </w:tcPr>
                <w:p w14:paraId="76EC4DA3">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114ACEC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color w:val="auto"/>
                      <w:spacing w:val="-4"/>
                      <w:sz w:val="21"/>
                      <w:szCs w:val="21"/>
                      <w:lang w:val="en-US" w:eastAsia="zh-CN"/>
                    </w:rPr>
                    <w:t>840000</w:t>
                  </w:r>
                </w:p>
              </w:tc>
              <w:tc>
                <w:tcPr>
                  <w:tcW w:w="867" w:type="pct"/>
                  <w:shd w:val="clear" w:color="auto" w:fill="auto"/>
                  <w:vAlign w:val="center"/>
                </w:tcPr>
                <w:p w14:paraId="633EEC0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625" w:type="pct"/>
                  <w:vAlign w:val="center"/>
                </w:tcPr>
                <w:p w14:paraId="3BB2895C">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840000</w:t>
                  </w:r>
                </w:p>
              </w:tc>
              <w:tc>
                <w:tcPr>
                  <w:tcW w:w="637" w:type="pct"/>
                  <w:vAlign w:val="center"/>
                </w:tcPr>
                <w:p w14:paraId="2679F7F3">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2"/>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r>
            <w:tr w14:paraId="4E817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3" w:hRule="atLeast"/>
                <w:jc w:val="center"/>
              </w:trPr>
              <w:tc>
                <w:tcPr>
                  <w:tcW w:w="230" w:type="pct"/>
                  <w:vAlign w:val="center"/>
                </w:tcPr>
                <w:p w14:paraId="677AF672">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i w:val="0"/>
                      <w:iCs w:val="0"/>
                      <w:color w:val="auto"/>
                      <w:kern w:val="0"/>
                      <w:sz w:val="21"/>
                      <w:szCs w:val="21"/>
                      <w:u w:val="none"/>
                      <w:lang w:val="en-US" w:eastAsia="zh-CN" w:bidi="ar"/>
                    </w:rPr>
                    <w:t>19</w:t>
                  </w:r>
                </w:p>
              </w:tc>
              <w:tc>
                <w:tcPr>
                  <w:tcW w:w="968" w:type="pct"/>
                  <w:vAlign w:val="center"/>
                </w:tcPr>
                <w:p w14:paraId="5F7FA57A">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pacing w:val="20"/>
                      <w:sz w:val="21"/>
                      <w:szCs w:val="21"/>
                    </w:rPr>
                    <w:t>纸</w:t>
                  </w:r>
                  <w:r>
                    <w:rPr>
                      <w:rFonts w:hint="default" w:ascii="Times New Roman" w:hAnsi="Times New Roman" w:cs="Times New Roman" w:eastAsiaTheme="minorEastAsia"/>
                      <w:color w:val="auto"/>
                      <w:spacing w:val="18"/>
                      <w:sz w:val="21"/>
                      <w:szCs w:val="21"/>
                    </w:rPr>
                    <w:t>箱</w:t>
                  </w:r>
                  <w:r>
                    <w:rPr>
                      <w:rFonts w:hint="default" w:ascii="Times New Roman" w:hAnsi="Times New Roman" w:cs="Times New Roman" w:eastAsiaTheme="minorEastAsia"/>
                      <w:color w:val="auto"/>
                      <w:spacing w:val="18"/>
                      <w:sz w:val="21"/>
                      <w:szCs w:val="21"/>
                      <w:lang w:eastAsia="zh-CN"/>
                    </w:rPr>
                    <w:t>（</w:t>
                  </w:r>
                  <w:r>
                    <w:rPr>
                      <w:rFonts w:hint="default" w:ascii="Times New Roman" w:hAnsi="Times New Roman" w:cs="Times New Roman" w:eastAsiaTheme="minorEastAsia"/>
                      <w:color w:val="auto"/>
                      <w:spacing w:val="18"/>
                      <w:sz w:val="21"/>
                      <w:szCs w:val="21"/>
                    </w:rPr>
                    <w:t>个</w:t>
                  </w:r>
                  <w:r>
                    <w:rPr>
                      <w:rFonts w:hint="default" w:ascii="Times New Roman" w:hAnsi="Times New Roman" w:cs="Times New Roman" w:eastAsiaTheme="minorEastAsia"/>
                      <w:color w:val="auto"/>
                      <w:spacing w:val="18"/>
                      <w:sz w:val="21"/>
                      <w:szCs w:val="21"/>
                      <w:lang w:eastAsia="zh-CN"/>
                    </w:rPr>
                    <w:t>）</w:t>
                  </w:r>
                </w:p>
              </w:tc>
              <w:tc>
                <w:tcPr>
                  <w:tcW w:w="797" w:type="pct"/>
                  <w:shd w:val="clear" w:color="auto" w:fill="auto"/>
                  <w:vAlign w:val="center"/>
                </w:tcPr>
                <w:p w14:paraId="7B959769">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38006D51">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color w:val="auto"/>
                      <w:spacing w:val="-4"/>
                      <w:sz w:val="21"/>
                      <w:szCs w:val="21"/>
                      <w:lang w:val="en-US" w:eastAsia="zh-CN"/>
                    </w:rPr>
                    <w:t>840000</w:t>
                  </w:r>
                </w:p>
              </w:tc>
              <w:tc>
                <w:tcPr>
                  <w:tcW w:w="867" w:type="pct"/>
                  <w:shd w:val="clear" w:color="auto" w:fill="auto"/>
                  <w:vAlign w:val="center"/>
                </w:tcPr>
                <w:p w14:paraId="11116F0A">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color w:val="auto"/>
                      <w:spacing w:val="-4"/>
                      <w:sz w:val="21"/>
                      <w:szCs w:val="21"/>
                      <w:lang w:val="en-US" w:eastAsia="zh-CN"/>
                    </w:rPr>
                    <w:t>294000</w:t>
                  </w:r>
                </w:p>
              </w:tc>
              <w:tc>
                <w:tcPr>
                  <w:tcW w:w="625" w:type="pct"/>
                  <w:vAlign w:val="center"/>
                </w:tcPr>
                <w:p w14:paraId="79D389EF">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1134000</w:t>
                  </w:r>
                </w:p>
              </w:tc>
              <w:tc>
                <w:tcPr>
                  <w:tcW w:w="637" w:type="pct"/>
                  <w:vAlign w:val="center"/>
                </w:tcPr>
                <w:p w14:paraId="1D79073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pacing w:val="-4"/>
                      <w:sz w:val="21"/>
                      <w:szCs w:val="21"/>
                      <w:lang w:val="en-US" w:eastAsia="zh-CN"/>
                    </w:rPr>
                    <w:t>+</w:t>
                  </w:r>
                  <w:r>
                    <w:rPr>
                      <w:rFonts w:hint="default" w:ascii="Times New Roman" w:hAnsi="Times New Roman" w:cs="Times New Roman" w:eastAsiaTheme="minorEastAsia"/>
                      <w:color w:val="auto"/>
                      <w:spacing w:val="-4"/>
                      <w:sz w:val="21"/>
                      <w:szCs w:val="21"/>
                      <w:lang w:val="en-US" w:eastAsia="zh-CN"/>
                    </w:rPr>
                    <w:t>294000</w:t>
                  </w:r>
                </w:p>
              </w:tc>
            </w:tr>
            <w:tr w14:paraId="56D900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3" w:hRule="atLeast"/>
                <w:jc w:val="center"/>
              </w:trPr>
              <w:tc>
                <w:tcPr>
                  <w:tcW w:w="230" w:type="pct"/>
                  <w:vAlign w:val="center"/>
                </w:tcPr>
                <w:p w14:paraId="60D80FE5">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i w:val="0"/>
                      <w:iCs w:val="0"/>
                      <w:color w:val="auto"/>
                      <w:kern w:val="0"/>
                      <w:sz w:val="21"/>
                      <w:szCs w:val="21"/>
                      <w:u w:val="none"/>
                      <w:lang w:val="en-US" w:eastAsia="zh-CN" w:bidi="ar"/>
                    </w:rPr>
                    <w:t>20</w:t>
                  </w:r>
                </w:p>
              </w:tc>
              <w:tc>
                <w:tcPr>
                  <w:tcW w:w="968" w:type="pct"/>
                  <w:vAlign w:val="center"/>
                </w:tcPr>
                <w:p w14:paraId="6FFBFC8E">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20"/>
                      <w:sz w:val="21"/>
                      <w:szCs w:val="21"/>
                    </w:rPr>
                  </w:pPr>
                  <w:r>
                    <w:rPr>
                      <w:rFonts w:hint="default" w:ascii="Times New Roman" w:hAnsi="Times New Roman" w:cs="Times New Roman" w:eastAsiaTheme="minorEastAsia"/>
                      <w:color w:val="auto"/>
                      <w:sz w:val="21"/>
                      <w:szCs w:val="21"/>
                      <w:lang w:val="en-US" w:eastAsia="zh-CN"/>
                    </w:rPr>
                    <w:t>壳体（个）</w:t>
                  </w:r>
                </w:p>
              </w:tc>
              <w:tc>
                <w:tcPr>
                  <w:tcW w:w="797" w:type="pct"/>
                  <w:shd w:val="clear" w:color="auto" w:fill="auto"/>
                  <w:vAlign w:val="center"/>
                </w:tcPr>
                <w:p w14:paraId="5C5AAC8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sz w:val="21"/>
                      <w:szCs w:val="21"/>
                      <w:lang w:val="en-US" w:eastAsia="zh-CN"/>
                    </w:rPr>
                  </w:pPr>
                  <w:r>
                    <w:rPr>
                      <w:rFonts w:hint="default" w:ascii="Times New Roman" w:hAnsi="Times New Roman" w:cs="Times New Roman" w:eastAsiaTheme="minorEastAsia"/>
                      <w:color w:val="auto"/>
                      <w:spacing w:val="-7"/>
                      <w:sz w:val="21"/>
                      <w:szCs w:val="21"/>
                      <w:lang w:val="en-US" w:eastAsia="zh-CN"/>
                    </w:rPr>
                    <w:t>0</w:t>
                  </w:r>
                </w:p>
              </w:tc>
              <w:tc>
                <w:tcPr>
                  <w:tcW w:w="874" w:type="pct"/>
                  <w:shd w:val="clear" w:color="auto" w:fill="auto"/>
                  <w:vAlign w:val="center"/>
                </w:tcPr>
                <w:p w14:paraId="41E6F2A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sz w:val="21"/>
                      <w:szCs w:val="21"/>
                      <w:lang w:val="en-US" w:eastAsia="zh-CN"/>
                    </w:rPr>
                  </w:pPr>
                  <w:r>
                    <w:rPr>
                      <w:rFonts w:hint="default" w:ascii="Times New Roman" w:hAnsi="Times New Roman" w:cs="Times New Roman" w:eastAsiaTheme="minorEastAsia"/>
                      <w:color w:val="auto"/>
                      <w:spacing w:val="-4"/>
                      <w:sz w:val="21"/>
                      <w:szCs w:val="21"/>
                      <w:lang w:val="en-US" w:eastAsia="zh-CN"/>
                    </w:rPr>
                    <w:t>0</w:t>
                  </w:r>
                </w:p>
              </w:tc>
              <w:tc>
                <w:tcPr>
                  <w:tcW w:w="867" w:type="pct"/>
                  <w:shd w:val="clear" w:color="auto" w:fill="auto"/>
                  <w:vAlign w:val="center"/>
                </w:tcPr>
                <w:p w14:paraId="5D07B5B8">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7000000</w:t>
                  </w:r>
                </w:p>
              </w:tc>
              <w:tc>
                <w:tcPr>
                  <w:tcW w:w="625" w:type="pct"/>
                  <w:vAlign w:val="center"/>
                </w:tcPr>
                <w:p w14:paraId="5C637D66">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color w:val="auto"/>
                      <w:spacing w:val="-4"/>
                      <w:kern w:val="2"/>
                      <w:sz w:val="21"/>
                      <w:szCs w:val="21"/>
                      <w:lang w:val="en-US" w:eastAsia="zh-CN" w:bidi="ar-SA"/>
                    </w:rPr>
                  </w:pPr>
                  <w:r>
                    <w:rPr>
                      <w:rFonts w:hint="default" w:ascii="Times New Roman" w:hAnsi="Times New Roman" w:cs="Times New Roman" w:eastAsiaTheme="minorEastAsia"/>
                      <w:i w:val="0"/>
                      <w:iCs w:val="0"/>
                      <w:color w:val="auto"/>
                      <w:kern w:val="0"/>
                      <w:sz w:val="21"/>
                      <w:szCs w:val="21"/>
                      <w:u w:val="none"/>
                      <w:lang w:val="en-US" w:eastAsia="zh-CN" w:bidi="ar"/>
                    </w:rPr>
                    <w:t>7000000</w:t>
                  </w:r>
                </w:p>
              </w:tc>
              <w:tc>
                <w:tcPr>
                  <w:tcW w:w="637" w:type="pct"/>
                  <w:vAlign w:val="center"/>
                </w:tcPr>
                <w:p w14:paraId="1686A3D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sz w:val="21"/>
                      <w:szCs w:val="21"/>
                      <w:lang w:val="en-US" w:eastAsia="zh-CN"/>
                    </w:rPr>
                    <w:t>+</w:t>
                  </w:r>
                  <w:r>
                    <w:rPr>
                      <w:rFonts w:hint="default" w:ascii="Times New Roman" w:hAnsi="Times New Roman" w:cs="Times New Roman" w:eastAsiaTheme="minorEastAsia"/>
                      <w:color w:val="auto"/>
                      <w:sz w:val="21"/>
                      <w:szCs w:val="21"/>
                      <w:lang w:val="en-US" w:eastAsia="zh-CN"/>
                    </w:rPr>
                    <w:t>7000000</w:t>
                  </w:r>
                </w:p>
              </w:tc>
            </w:tr>
            <w:tr w14:paraId="6698D5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3" w:hRule="atLeast"/>
                <w:jc w:val="center"/>
              </w:trPr>
              <w:tc>
                <w:tcPr>
                  <w:tcW w:w="230" w:type="pct"/>
                  <w:vAlign w:val="center"/>
                </w:tcPr>
                <w:p w14:paraId="4AA4D81A">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s="Times New Roman" w:eastAsiaTheme="minorEastAsia"/>
                      <w:i w:val="0"/>
                      <w:iCs w:val="0"/>
                      <w:color w:val="auto"/>
                      <w:kern w:val="0"/>
                      <w:sz w:val="21"/>
                      <w:szCs w:val="21"/>
                      <w:u w:val="none"/>
                      <w:lang w:val="en-US" w:eastAsia="zh-CN" w:bidi="ar"/>
                    </w:rPr>
                    <w:t>21</w:t>
                  </w:r>
                </w:p>
              </w:tc>
              <w:tc>
                <w:tcPr>
                  <w:tcW w:w="968" w:type="pct"/>
                  <w:vAlign w:val="center"/>
                </w:tcPr>
                <w:p w14:paraId="1CB00592">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宋体" w:hAnsi="宋体" w:eastAsia="宋体" w:cs="宋体"/>
                      <w:color w:val="auto"/>
                      <w:spacing w:val="20"/>
                      <w:kern w:val="2"/>
                      <w:sz w:val="21"/>
                      <w:szCs w:val="21"/>
                      <w:lang w:val="en-US" w:eastAsia="zh-CN" w:bidi="ar-SA"/>
                    </w:rPr>
                  </w:pPr>
                  <w:r>
                    <w:rPr>
                      <w:rFonts w:hint="eastAsia" w:ascii="宋体" w:hAnsi="宋体" w:cs="宋体"/>
                      <w:color w:val="auto"/>
                      <w:spacing w:val="20"/>
                      <w:sz w:val="21"/>
                      <w:szCs w:val="21"/>
                      <w:lang w:val="en-US" w:eastAsia="zh-CN"/>
                    </w:rPr>
                    <w:t>油墨</w:t>
                  </w:r>
                </w:p>
              </w:tc>
              <w:tc>
                <w:tcPr>
                  <w:tcW w:w="797" w:type="pct"/>
                  <w:shd w:val="clear" w:color="auto" w:fill="auto"/>
                  <w:vAlign w:val="center"/>
                </w:tcPr>
                <w:p w14:paraId="1F3DD45C">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sz w:val="21"/>
                      <w:szCs w:val="21"/>
                      <w:lang w:val="en-US" w:eastAsia="zh-CN"/>
                    </w:rPr>
                  </w:pPr>
                  <w:r>
                    <w:rPr>
                      <w:rFonts w:hint="eastAsia" w:cs="Times New Roman" w:eastAsiaTheme="minorEastAsia"/>
                      <w:color w:val="auto"/>
                      <w:spacing w:val="-7"/>
                      <w:sz w:val="21"/>
                      <w:szCs w:val="21"/>
                      <w:lang w:val="en-US" w:eastAsia="zh-CN"/>
                    </w:rPr>
                    <w:t>0</w:t>
                  </w:r>
                </w:p>
              </w:tc>
              <w:tc>
                <w:tcPr>
                  <w:tcW w:w="874" w:type="pct"/>
                  <w:shd w:val="clear" w:color="auto" w:fill="auto"/>
                  <w:vAlign w:val="center"/>
                </w:tcPr>
                <w:p w14:paraId="151EFF2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sz w:val="21"/>
                      <w:szCs w:val="21"/>
                      <w:lang w:val="en-US" w:eastAsia="zh-CN"/>
                    </w:rPr>
                  </w:pPr>
                  <w:r>
                    <w:rPr>
                      <w:rFonts w:hint="eastAsia" w:cs="Times New Roman" w:eastAsiaTheme="minorEastAsia"/>
                      <w:color w:val="auto"/>
                      <w:spacing w:val="-4"/>
                      <w:sz w:val="21"/>
                      <w:szCs w:val="21"/>
                      <w:lang w:val="en-US" w:eastAsia="zh-CN"/>
                    </w:rPr>
                    <w:t>0</w:t>
                  </w:r>
                </w:p>
              </w:tc>
              <w:tc>
                <w:tcPr>
                  <w:tcW w:w="1443" w:type="dxa"/>
                  <w:shd w:val="clear" w:color="auto" w:fill="auto"/>
                  <w:vAlign w:val="center"/>
                </w:tcPr>
                <w:p w14:paraId="4918D3A8">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eastAsia" w:cs="Times New Roman"/>
                      <w:color w:val="auto"/>
                      <w:spacing w:val="-4"/>
                      <w:sz w:val="21"/>
                      <w:szCs w:val="21"/>
                      <w:lang w:val="en-US" w:eastAsia="zh-CN"/>
                    </w:rPr>
                    <w:t>0.004</w:t>
                  </w:r>
                </w:p>
              </w:tc>
              <w:tc>
                <w:tcPr>
                  <w:tcW w:w="1040" w:type="dxa"/>
                  <w:vAlign w:val="center"/>
                </w:tcPr>
                <w:p w14:paraId="121ECA0D">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s="Times New Roman"/>
                      <w:color w:val="auto"/>
                      <w:spacing w:val="-4"/>
                      <w:sz w:val="21"/>
                      <w:szCs w:val="21"/>
                      <w:lang w:val="en-US" w:eastAsia="zh-CN"/>
                    </w:rPr>
                    <w:t>0.004</w:t>
                  </w:r>
                </w:p>
              </w:tc>
              <w:tc>
                <w:tcPr>
                  <w:tcW w:w="1060" w:type="dxa"/>
                  <w:vAlign w:val="center"/>
                </w:tcPr>
                <w:p w14:paraId="5097A82D">
                  <w:pPr>
                    <w:keepNext/>
                    <w:keepLines w:val="0"/>
                    <w:pageBreakBefore w:val="0"/>
                    <w:kinsoku/>
                    <w:wordWrap/>
                    <w:overflowPunct/>
                    <w:topLinePunct w:val="0"/>
                    <w:autoSpaceDE w:val="0"/>
                    <w:autoSpaceDN w:val="0"/>
                    <w:bidi w:val="0"/>
                    <w:spacing w:line="240" w:lineRule="auto"/>
                    <w:ind w:left="0" w:leftChars="0"/>
                    <w:jc w:val="center"/>
                    <w:outlineLvl w:val="9"/>
                    <w:rPr>
                      <w:rFonts w:hint="eastAsia" w:ascii="Times New Roman" w:hAnsi="Times New Roman" w:cs="Times New Roman" w:eastAsiaTheme="minorEastAsia"/>
                      <w:color w:val="auto"/>
                      <w:sz w:val="21"/>
                      <w:szCs w:val="21"/>
                      <w:lang w:val="en-US" w:eastAsia="zh-CN"/>
                    </w:rPr>
                  </w:pPr>
                  <w:r>
                    <w:rPr>
                      <w:rFonts w:hint="eastAsia" w:cs="Times New Roman"/>
                      <w:color w:val="auto"/>
                      <w:spacing w:val="-4"/>
                      <w:sz w:val="21"/>
                      <w:szCs w:val="21"/>
                      <w:lang w:val="en-US" w:eastAsia="zh-CN"/>
                    </w:rPr>
                    <w:t>+0.004</w:t>
                  </w:r>
                </w:p>
              </w:tc>
            </w:tr>
            <w:tr w14:paraId="31F60B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3" w:hRule="atLeast"/>
                <w:jc w:val="center"/>
              </w:trPr>
              <w:tc>
                <w:tcPr>
                  <w:tcW w:w="0" w:type="auto"/>
                </w:tcPr>
                <w:p w14:paraId="1ED50C6B">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s="Times New Roman" w:eastAsiaTheme="minorEastAsia"/>
                      <w:i w:val="0"/>
                      <w:iCs w:val="0"/>
                      <w:color w:val="auto"/>
                      <w:kern w:val="0"/>
                      <w:sz w:val="21"/>
                      <w:szCs w:val="21"/>
                      <w:u w:val="none"/>
                      <w:lang w:val="en-US" w:eastAsia="zh-CN" w:bidi="ar"/>
                    </w:rPr>
                    <w:t>22</w:t>
                  </w:r>
                </w:p>
              </w:tc>
              <w:tc>
                <w:tcPr>
                  <w:tcW w:w="0" w:type="auto"/>
                  <w:vAlign w:val="center"/>
                </w:tcPr>
                <w:p w14:paraId="3CBBD785">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宋体" w:hAnsi="宋体" w:eastAsia="宋体" w:cs="宋体"/>
                      <w:color w:val="auto"/>
                      <w:spacing w:val="20"/>
                      <w:kern w:val="2"/>
                      <w:sz w:val="21"/>
                      <w:szCs w:val="21"/>
                      <w:lang w:val="en-US" w:eastAsia="zh-CN" w:bidi="ar-SA"/>
                    </w:rPr>
                  </w:pPr>
                  <w:r>
                    <w:rPr>
                      <w:rFonts w:hint="eastAsia" w:ascii="宋体" w:hAnsi="宋体" w:cs="宋体"/>
                      <w:color w:val="auto"/>
                      <w:spacing w:val="20"/>
                      <w:sz w:val="21"/>
                      <w:szCs w:val="21"/>
                      <w:lang w:val="en-US" w:eastAsia="zh-CN"/>
                    </w:rPr>
                    <w:t>油墨添加剂</w:t>
                  </w:r>
                </w:p>
              </w:tc>
              <w:tc>
                <w:tcPr>
                  <w:tcW w:w="0" w:type="auto"/>
                </w:tcPr>
                <w:p w14:paraId="57AF5F77">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7"/>
                      <w:sz w:val="21"/>
                      <w:szCs w:val="21"/>
                      <w:lang w:val="en-US" w:eastAsia="zh-CN"/>
                    </w:rPr>
                  </w:pPr>
                  <w:r>
                    <w:rPr>
                      <w:rFonts w:hint="eastAsia" w:cs="Times New Roman" w:eastAsiaTheme="minorEastAsia"/>
                      <w:color w:val="auto"/>
                      <w:spacing w:val="-7"/>
                      <w:sz w:val="21"/>
                      <w:szCs w:val="21"/>
                      <w:lang w:val="en-US" w:eastAsia="zh-CN"/>
                    </w:rPr>
                    <w:t>0</w:t>
                  </w:r>
                </w:p>
              </w:tc>
              <w:tc>
                <w:tcPr>
                  <w:tcW w:w="0" w:type="auto"/>
                </w:tcPr>
                <w:p w14:paraId="3D7DA8C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pacing w:val="-4"/>
                      <w:sz w:val="21"/>
                      <w:szCs w:val="21"/>
                      <w:lang w:val="en-US" w:eastAsia="zh-CN"/>
                    </w:rPr>
                  </w:pPr>
                  <w:r>
                    <w:rPr>
                      <w:rFonts w:hint="eastAsia" w:cs="Times New Roman" w:eastAsiaTheme="minorEastAsia"/>
                      <w:color w:val="auto"/>
                      <w:spacing w:val="-4"/>
                      <w:sz w:val="21"/>
                      <w:szCs w:val="21"/>
                      <w:lang w:val="en-US" w:eastAsia="zh-CN"/>
                    </w:rPr>
                    <w:t>0</w:t>
                  </w:r>
                </w:p>
              </w:tc>
              <w:tc>
                <w:tcPr>
                  <w:tcW w:w="1443" w:type="dxa"/>
                  <w:vAlign w:val="center"/>
                </w:tcPr>
                <w:p w14:paraId="41BD0226">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color w:val="auto"/>
                      <w:sz w:val="21"/>
                      <w:szCs w:val="21"/>
                      <w:lang w:val="en-US" w:eastAsia="zh-CN"/>
                    </w:rPr>
                  </w:pPr>
                  <w:r>
                    <w:rPr>
                      <w:rFonts w:hint="eastAsia" w:cs="Times New Roman"/>
                      <w:color w:val="auto"/>
                      <w:spacing w:val="-4"/>
                      <w:sz w:val="21"/>
                      <w:szCs w:val="21"/>
                      <w:lang w:val="en-US" w:eastAsia="zh-CN"/>
                    </w:rPr>
                    <w:t>0.008</w:t>
                  </w:r>
                </w:p>
              </w:tc>
              <w:tc>
                <w:tcPr>
                  <w:tcW w:w="1040" w:type="dxa"/>
                  <w:vAlign w:val="center"/>
                </w:tcPr>
                <w:p w14:paraId="5754AB63">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cs="Times New Roman" w:eastAsiaTheme="minorEastAsia"/>
                      <w:i w:val="0"/>
                      <w:iCs w:val="0"/>
                      <w:color w:val="auto"/>
                      <w:kern w:val="0"/>
                      <w:sz w:val="21"/>
                      <w:szCs w:val="21"/>
                      <w:u w:val="none"/>
                      <w:lang w:val="en-US" w:eastAsia="zh-CN" w:bidi="ar"/>
                    </w:rPr>
                  </w:pPr>
                  <w:r>
                    <w:rPr>
                      <w:rFonts w:hint="eastAsia" w:cs="Times New Roman"/>
                      <w:color w:val="auto"/>
                      <w:spacing w:val="-4"/>
                      <w:sz w:val="21"/>
                      <w:szCs w:val="21"/>
                      <w:lang w:val="en-US" w:eastAsia="zh-CN"/>
                    </w:rPr>
                    <w:t>0.008</w:t>
                  </w:r>
                </w:p>
              </w:tc>
              <w:tc>
                <w:tcPr>
                  <w:tcW w:w="1060" w:type="dxa"/>
                  <w:vAlign w:val="center"/>
                </w:tcPr>
                <w:p w14:paraId="74989197">
                  <w:pPr>
                    <w:keepNext/>
                    <w:keepLines w:val="0"/>
                    <w:pageBreakBefore w:val="0"/>
                    <w:kinsoku/>
                    <w:wordWrap/>
                    <w:overflowPunct/>
                    <w:topLinePunct w:val="0"/>
                    <w:autoSpaceDE w:val="0"/>
                    <w:autoSpaceDN w:val="0"/>
                    <w:bidi w:val="0"/>
                    <w:spacing w:line="240" w:lineRule="auto"/>
                    <w:ind w:left="0" w:leftChars="0"/>
                    <w:jc w:val="center"/>
                    <w:outlineLvl w:val="9"/>
                    <w:rPr>
                      <w:rFonts w:hint="eastAsia" w:ascii="Times New Roman" w:hAnsi="Times New Roman" w:cs="Times New Roman" w:eastAsiaTheme="minorEastAsia"/>
                      <w:color w:val="auto"/>
                      <w:sz w:val="21"/>
                      <w:szCs w:val="21"/>
                      <w:lang w:val="en-US" w:eastAsia="zh-CN"/>
                    </w:rPr>
                  </w:pPr>
                  <w:r>
                    <w:rPr>
                      <w:rFonts w:hint="eastAsia" w:cs="Times New Roman"/>
                      <w:color w:val="auto"/>
                      <w:spacing w:val="-4"/>
                      <w:sz w:val="21"/>
                      <w:szCs w:val="21"/>
                      <w:lang w:val="en-US" w:eastAsia="zh-CN"/>
                    </w:rPr>
                    <w:t>+0.008</w:t>
                  </w:r>
                </w:p>
              </w:tc>
            </w:tr>
          </w:tbl>
          <w:p w14:paraId="0AF95768">
            <w:pPr>
              <w:keepNext/>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cs="Times New Roman" w:eastAsiaTheme="minorEastAsia"/>
                <w:b/>
                <w:bCs/>
                <w:color w:val="auto"/>
                <w:sz w:val="24"/>
                <w:szCs w:val="24"/>
                <w:lang w:val="en-US" w:eastAsia="zh-CN"/>
              </w:rPr>
            </w:pPr>
            <w:r>
              <w:rPr>
                <w:rFonts w:hint="eastAsia" w:ascii="Times New Roman" w:hAnsi="Times New Roman" w:cs="Times New Roman"/>
                <w:color w:val="auto"/>
                <w:sz w:val="24"/>
                <w:szCs w:val="24"/>
                <w:lang w:val="en-US" w:eastAsia="zh-CN"/>
              </w:rPr>
              <w:t>本次改</w:t>
            </w:r>
            <w:r>
              <w:rPr>
                <w:rFonts w:hint="default" w:ascii="Times New Roman" w:hAnsi="Times New Roman" w:cs="Times New Roman" w:eastAsiaTheme="minorEastAsia"/>
                <w:color w:val="auto"/>
                <w:sz w:val="24"/>
                <w:szCs w:val="24"/>
                <w:lang w:val="en-US" w:eastAsia="zh-CN"/>
              </w:rPr>
              <w:t>扩建项目主要原辅材料的理化性质见表</w:t>
            </w:r>
            <w:r>
              <w:rPr>
                <w:rFonts w:hint="eastAsia" w:cs="Times New Roman"/>
                <w:color w:val="auto"/>
                <w:sz w:val="24"/>
                <w:szCs w:val="24"/>
                <w:lang w:val="en-US" w:eastAsia="zh-CN"/>
              </w:rPr>
              <w:t>2-10</w:t>
            </w:r>
            <w:r>
              <w:rPr>
                <w:rFonts w:hint="default" w:ascii="Times New Roman" w:hAnsi="Times New Roman" w:cs="Times New Roman" w:eastAsiaTheme="minorEastAsia"/>
                <w:color w:val="auto"/>
                <w:sz w:val="24"/>
                <w:szCs w:val="24"/>
                <w:lang w:val="en-US" w:eastAsia="zh-CN"/>
              </w:rPr>
              <w:t>。</w:t>
            </w:r>
          </w:p>
          <w:p w14:paraId="47306CF4">
            <w:pPr>
              <w:keepNext/>
              <w:keepLines w:val="0"/>
              <w:pageBreakBefore w:val="0"/>
              <w:kinsoku/>
              <w:wordWrap/>
              <w:overflowPunct/>
              <w:topLinePunct w:val="0"/>
              <w:bidi w:val="0"/>
              <w:spacing w:line="240" w:lineRule="auto"/>
              <w:jc w:val="center"/>
              <w:outlineLvl w:val="9"/>
              <w:rPr>
                <w:rFonts w:hint="default" w:ascii="Times New Roman" w:hAnsi="Times New Roman" w:cs="Times New Roman" w:eastAsiaTheme="minorEastAsia"/>
                <w:b/>
                <w:bCs/>
                <w:color w:val="auto"/>
                <w:sz w:val="21"/>
                <w:szCs w:val="21"/>
                <w:lang w:val="en-US" w:eastAsia="zh-CN"/>
              </w:rPr>
            </w:pPr>
            <w:r>
              <w:rPr>
                <w:sz w:val="21"/>
              </w:rPr>
              <mc:AlternateContent>
                <mc:Choice Requires="wps">
                  <w:drawing>
                    <wp:anchor distT="0" distB="0" distL="114300" distR="114300" simplePos="0" relativeHeight="251823104" behindDoc="0" locked="0" layoutInCell="1" allowOverlap="1">
                      <wp:simplePos x="0" y="0"/>
                      <wp:positionH relativeFrom="column">
                        <wp:posOffset>347980</wp:posOffset>
                      </wp:positionH>
                      <wp:positionV relativeFrom="paragraph">
                        <wp:posOffset>0</wp:posOffset>
                      </wp:positionV>
                      <wp:extent cx="5038725" cy="8228965"/>
                      <wp:effectExtent l="4445" t="4445" r="5080" b="15240"/>
                      <wp:wrapNone/>
                      <wp:docPr id="227" name="矩形 227"/>
                      <wp:cNvGraphicFramePr/>
                      <a:graphic xmlns:a="http://schemas.openxmlformats.org/drawingml/2006/main">
                        <a:graphicData uri="http://schemas.microsoft.com/office/word/2010/wordprocessingShape">
                          <wps:wsp>
                            <wps:cNvSpPr/>
                            <wps:spPr>
                              <a:xfrm>
                                <a:off x="0" y="0"/>
                                <a:ext cx="5038725" cy="8228965"/>
                              </a:xfrm>
                              <a:prstGeom prst="rect">
                                <a:avLst/>
                              </a:prstGeom>
                              <a:solidFill>
                                <a:schemeClr val="bg1"/>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pt;margin-top:0pt;height:647.95pt;width:396.75pt;z-index:251823104;v-text-anchor:middle;mso-width-relative:page;mso-height-relative:page;" fillcolor="#FFFFFF [3212]" filled="t" stroked="t" coordsize="21600,21600" o:gfxdata="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5dw0G2AAAAAgBAAAPAAAAAAAAAAEAIAAAACIAAABkcnMv&#10;ZG93bnJldi54bWxQSwECFAAUAAAACACHTuJAIHGM5HUCAAD6BAAADgAAAAAAAAABACAAAAAnAQAA&#10;ZHJzL2Uyb0RvYy54bWxQSwUGAAAAAAYABgBZAQAADgYAAAAA&#10;">
                      <v:fill on="t" focussize="0,0"/>
                      <v:stroke color="#000000 [3213]" joinstyle="round" endarrow="open"/>
                      <v:imagedata o:title=""/>
                      <o:lock v:ext="edit" aspectratio="f"/>
                    </v:rect>
                  </w:pict>
                </mc:Fallback>
              </mc:AlternateContent>
            </w:r>
            <w:r>
              <w:rPr>
                <w:rFonts w:hint="default" w:ascii="Times New Roman" w:hAnsi="Times New Roman" w:cs="Times New Roman" w:eastAsiaTheme="minorEastAsia"/>
                <w:b/>
                <w:bCs/>
                <w:color w:val="auto"/>
                <w:sz w:val="21"/>
                <w:szCs w:val="21"/>
                <w:lang w:val="en-US" w:eastAsia="zh-CN"/>
              </w:rPr>
              <w:t>表</w:t>
            </w:r>
            <w:r>
              <w:rPr>
                <w:rFonts w:hint="eastAsia" w:cs="Times New Roman"/>
                <w:b/>
                <w:bCs/>
                <w:color w:val="auto"/>
                <w:sz w:val="21"/>
                <w:szCs w:val="21"/>
                <w:lang w:val="en-US" w:eastAsia="zh-CN"/>
              </w:rPr>
              <w:t>2-10</w:t>
            </w:r>
            <w:r>
              <w:rPr>
                <w:rFonts w:hint="default" w:ascii="Times New Roman" w:hAnsi="Times New Roman" w:cs="Times New Roman" w:eastAsiaTheme="minorEastAsia"/>
                <w:b/>
                <w:bCs/>
                <w:color w:val="auto"/>
                <w:sz w:val="21"/>
                <w:szCs w:val="21"/>
                <w:lang w:val="en-US" w:eastAsia="zh-CN"/>
              </w:rPr>
              <w:t xml:space="preserve">  项目主要原辅材料及产品的理化性质一览表</w:t>
            </w:r>
          </w:p>
          <w:tbl>
            <w:tblPr>
              <w:tblStyle w:val="85"/>
              <w:tblW w:w="499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75"/>
              <w:gridCol w:w="7438"/>
            </w:tblGrid>
            <w:tr w14:paraId="022092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5000" w:type="pct"/>
                  <w:gridSpan w:val="2"/>
                  <w:vAlign w:val="center"/>
                </w:tcPr>
                <w:p w14:paraId="360ACA8F">
                  <w:pPr>
                    <w:keepNext/>
                    <w:keepLines w:val="0"/>
                    <w:pageBreakBefore w:val="0"/>
                    <w:kinsoku/>
                    <w:wordWrap/>
                    <w:overflowPunct/>
                    <w:topLinePunct w:val="0"/>
                    <w:autoSpaceDE w:val="0"/>
                    <w:autoSpaceDN w:val="0"/>
                    <w:bidi w:val="0"/>
                    <w:spacing w:before="68" w:line="228" w:lineRule="auto"/>
                    <w:ind w:left="2953"/>
                    <w:outlineLvl w:val="9"/>
                    <w:rPr>
                      <w:rFonts w:ascii="宋体" w:hAnsi="宋体" w:eastAsia="宋体" w:cs="宋体"/>
                      <w:color w:val="auto"/>
                      <w:sz w:val="21"/>
                      <w:szCs w:val="21"/>
                    </w:rPr>
                  </w:pPr>
                  <w:r>
                    <w:rPr>
                      <w:rFonts w:ascii="宋体" w:hAnsi="宋体" w:eastAsia="宋体" w:cs="宋体"/>
                      <w:b/>
                      <w:bCs/>
                      <w:color w:val="auto"/>
                      <w:spacing w:val="4"/>
                      <w:sz w:val="21"/>
                      <w:szCs w:val="21"/>
                    </w:rPr>
                    <w:t xml:space="preserve">一、硝酸铵 </w:t>
                  </w:r>
                  <w:r>
                    <w:rPr>
                      <w:rFonts w:hint="eastAsia" w:ascii="宋体" w:hAnsi="宋体" w:eastAsia="宋体" w:cs="宋体"/>
                      <w:b/>
                      <w:bCs/>
                      <w:color w:val="auto"/>
                      <w:spacing w:val="4"/>
                      <w:sz w:val="21"/>
                      <w:szCs w:val="21"/>
                      <w:lang w:eastAsia="zh-CN"/>
                    </w:rPr>
                    <w:t>（</w:t>
                  </w:r>
                  <w:r>
                    <w:rPr>
                      <w:rFonts w:ascii="宋体" w:hAnsi="宋体" w:eastAsia="宋体" w:cs="宋体"/>
                      <w:b/>
                      <w:bCs/>
                      <w:color w:val="auto"/>
                      <w:spacing w:val="4"/>
                      <w:sz w:val="21"/>
                      <w:szCs w:val="21"/>
                    </w:rPr>
                    <w:t>硝酸铵溶液</w:t>
                  </w:r>
                  <w:r>
                    <w:rPr>
                      <w:rFonts w:hint="default" w:ascii="Times New Roman" w:hAnsi="Times New Roman" w:eastAsia="宋体" w:cs="Times New Roman"/>
                      <w:b/>
                      <w:bCs/>
                      <w:color w:val="auto"/>
                      <w:spacing w:val="4"/>
                      <w:sz w:val="21"/>
                      <w:szCs w:val="21"/>
                      <w:lang w:val="en-US" w:eastAsia="zh-CN"/>
                    </w:rPr>
                    <w:t>92%</w:t>
                  </w:r>
                  <w:r>
                    <w:rPr>
                      <w:rFonts w:hint="eastAsia" w:ascii="Times New Roman" w:hAnsi="Times New Roman" w:eastAsia="宋体" w:cs="Times New Roman"/>
                      <w:b/>
                      <w:bCs/>
                      <w:color w:val="auto"/>
                      <w:spacing w:val="4"/>
                      <w:sz w:val="21"/>
                      <w:szCs w:val="21"/>
                      <w:lang w:val="en-US" w:eastAsia="zh-CN"/>
                    </w:rPr>
                    <w:t>）</w:t>
                  </w:r>
                </w:p>
              </w:tc>
            </w:tr>
            <w:tr w14:paraId="7D8FCF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26" w:type="pct"/>
                  <w:vAlign w:val="center"/>
                </w:tcPr>
                <w:p w14:paraId="1D2509B0">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z w:val="21"/>
                      <w:szCs w:val="21"/>
                    </w:rPr>
                  </w:pPr>
                  <w:r>
                    <w:rPr>
                      <w:rFonts w:ascii="宋体" w:hAnsi="宋体" w:eastAsia="宋体" w:cs="宋体"/>
                      <w:color w:val="auto"/>
                      <w:spacing w:val="4"/>
                      <w:sz w:val="21"/>
                      <w:szCs w:val="21"/>
                    </w:rPr>
                    <w:t>标识</w:t>
                  </w:r>
                </w:p>
              </w:tc>
              <w:tc>
                <w:tcPr>
                  <w:tcW w:w="4473" w:type="pct"/>
                  <w:vAlign w:val="center"/>
                </w:tcPr>
                <w:p w14:paraId="1DB54B66">
                  <w:pPr>
                    <w:keepNext/>
                    <w:keepLines w:val="0"/>
                    <w:pageBreakBefore w:val="0"/>
                    <w:kinsoku/>
                    <w:wordWrap/>
                    <w:overflowPunct/>
                    <w:topLinePunct w:val="0"/>
                    <w:autoSpaceDE w:val="0"/>
                    <w:autoSpaceDN w:val="0"/>
                    <w:bidi w:val="0"/>
                    <w:spacing w:line="240" w:lineRule="auto"/>
                    <w:ind w:left="0" w:right="0" w:firstLine="0"/>
                    <w:outlineLvl w:val="9"/>
                    <w:rPr>
                      <w:rFonts w:ascii="Times New Roman" w:hAnsi="Times New Roman" w:eastAsia="Times New Roman" w:cs="Times New Roman"/>
                      <w:color w:val="auto"/>
                      <w:sz w:val="21"/>
                      <w:szCs w:val="21"/>
                    </w:rPr>
                  </w:pPr>
                  <w:r>
                    <w:rPr>
                      <w:rFonts w:ascii="宋体" w:hAnsi="宋体" w:eastAsia="宋体" w:cs="宋体"/>
                      <w:color w:val="auto"/>
                      <w:spacing w:val="4"/>
                      <w:sz w:val="21"/>
                      <w:szCs w:val="21"/>
                    </w:rPr>
                    <w:t>中文名：硝酸铵溶液</w:t>
                  </w:r>
                  <w:r>
                    <w:rPr>
                      <w:rFonts w:ascii="宋体" w:hAnsi="宋体" w:eastAsia="宋体" w:cs="宋体"/>
                      <w:color w:val="auto"/>
                      <w:spacing w:val="2"/>
                      <w:sz w:val="21"/>
                      <w:szCs w:val="21"/>
                    </w:rPr>
                    <w:t>或硝酸铵水溶液  英文名：</w:t>
                  </w:r>
                  <w:r>
                    <w:rPr>
                      <w:rFonts w:ascii="Times New Roman" w:hAnsi="Times New Roman" w:eastAsia="Times New Roman" w:cs="Times New Roman"/>
                      <w:color w:val="auto"/>
                      <w:sz w:val="21"/>
                      <w:szCs w:val="21"/>
                    </w:rPr>
                    <w:t>ammonium</w:t>
                  </w:r>
                  <w:r>
                    <w:rPr>
                      <w:rFonts w:ascii="Times New Roman" w:hAnsi="Times New Roman" w:eastAsia="Times New Roman" w:cs="Times New Roman"/>
                      <w:color w:val="auto"/>
                      <w:spacing w:val="2"/>
                      <w:sz w:val="21"/>
                      <w:szCs w:val="21"/>
                    </w:rPr>
                    <w:t xml:space="preserve"> </w:t>
                  </w:r>
                  <w:r>
                    <w:rPr>
                      <w:rFonts w:ascii="Times New Roman" w:hAnsi="Times New Roman" w:eastAsia="Times New Roman" w:cs="Times New Roman"/>
                      <w:color w:val="auto"/>
                      <w:sz w:val="21"/>
                      <w:szCs w:val="21"/>
                    </w:rPr>
                    <w:t>nitrate</w:t>
                  </w:r>
                  <w:r>
                    <w:rPr>
                      <w:rFonts w:ascii="Times New Roman" w:hAnsi="Times New Roman" w:eastAsia="Times New Roman" w:cs="Times New Roman"/>
                      <w:color w:val="auto"/>
                      <w:spacing w:val="2"/>
                      <w:sz w:val="21"/>
                      <w:szCs w:val="21"/>
                    </w:rPr>
                    <w:t xml:space="preserve"> </w:t>
                  </w:r>
                  <w:r>
                    <w:rPr>
                      <w:rFonts w:ascii="宋体" w:hAnsi="宋体" w:eastAsia="宋体" w:cs="宋体"/>
                      <w:color w:val="auto"/>
                      <w:spacing w:val="2"/>
                      <w:sz w:val="21"/>
                      <w:szCs w:val="21"/>
                    </w:rPr>
                    <w:t>，</w:t>
                  </w:r>
                  <w:r>
                    <w:rPr>
                      <w:rFonts w:ascii="Times New Roman" w:hAnsi="Times New Roman" w:eastAsia="Times New Roman" w:cs="Times New Roman"/>
                      <w:color w:val="auto"/>
                      <w:sz w:val="21"/>
                      <w:szCs w:val="21"/>
                    </w:rPr>
                    <w:t xml:space="preserve">liquid </w:t>
                  </w:r>
                  <w:r>
                    <w:rPr>
                      <w:rFonts w:ascii="宋体" w:hAnsi="宋体" w:eastAsia="宋体" w:cs="宋体"/>
                      <w:color w:val="auto"/>
                      <w:spacing w:val="5"/>
                      <w:sz w:val="21"/>
                      <w:szCs w:val="21"/>
                    </w:rPr>
                    <w:t>分子式：</w:t>
                  </w:r>
                  <w:r>
                    <w:rPr>
                      <w:rFonts w:ascii="Times New Roman" w:hAnsi="Times New Roman" w:eastAsia="Times New Roman" w:cs="Times New Roman"/>
                      <w:color w:val="auto"/>
                      <w:sz w:val="21"/>
                      <w:szCs w:val="21"/>
                    </w:rPr>
                    <w:t>NH</w:t>
                  </w:r>
                  <w:r>
                    <w:rPr>
                      <w:rFonts w:ascii="Times New Roman" w:hAnsi="Times New Roman" w:eastAsia="Times New Roman" w:cs="Times New Roman"/>
                      <w:color w:val="auto"/>
                      <w:spacing w:val="5"/>
                      <w:position w:val="-1"/>
                      <w:sz w:val="21"/>
                      <w:szCs w:val="21"/>
                      <w:vertAlign w:val="subscript"/>
                    </w:rPr>
                    <w:t>4</w:t>
                  </w:r>
                  <w:r>
                    <w:rPr>
                      <w:rFonts w:ascii="Times New Roman" w:hAnsi="Times New Roman" w:eastAsia="Times New Roman" w:cs="Times New Roman"/>
                      <w:color w:val="auto"/>
                      <w:sz w:val="21"/>
                      <w:szCs w:val="21"/>
                    </w:rPr>
                    <w:t>NO</w:t>
                  </w:r>
                  <w:r>
                    <w:rPr>
                      <w:rFonts w:ascii="Times New Roman" w:hAnsi="Times New Roman" w:eastAsia="Times New Roman" w:cs="Times New Roman"/>
                      <w:color w:val="auto"/>
                      <w:spacing w:val="5"/>
                      <w:position w:val="-1"/>
                      <w:sz w:val="21"/>
                      <w:szCs w:val="21"/>
                      <w:vertAlign w:val="subscript"/>
                    </w:rPr>
                    <w:t>3</w:t>
                  </w:r>
                  <w:r>
                    <w:rPr>
                      <w:rFonts w:ascii="Times New Roman" w:hAnsi="Times New Roman" w:eastAsia="Times New Roman" w:cs="Times New Roman"/>
                      <w:color w:val="auto"/>
                      <w:spacing w:val="5"/>
                      <w:position w:val="-1"/>
                      <w:sz w:val="21"/>
                      <w:szCs w:val="21"/>
                    </w:rPr>
                    <w:t xml:space="preserve">  </w:t>
                  </w:r>
                  <w:r>
                    <w:rPr>
                      <w:rFonts w:ascii="宋体" w:hAnsi="宋体" w:eastAsia="宋体" w:cs="宋体"/>
                      <w:color w:val="auto"/>
                      <w:spacing w:val="5"/>
                      <w:sz w:val="21"/>
                      <w:szCs w:val="21"/>
                    </w:rPr>
                    <w:t>分子量：</w:t>
                  </w:r>
                  <w:r>
                    <w:rPr>
                      <w:rFonts w:ascii="Times New Roman" w:hAnsi="Times New Roman" w:eastAsia="Times New Roman" w:cs="Times New Roman"/>
                      <w:color w:val="auto"/>
                      <w:spacing w:val="5"/>
                      <w:sz w:val="21"/>
                      <w:szCs w:val="21"/>
                    </w:rPr>
                    <w:t xml:space="preserve">80.05  </w:t>
                  </w:r>
                  <w:r>
                    <w:rPr>
                      <w:rFonts w:ascii="宋体" w:hAnsi="宋体" w:eastAsia="宋体" w:cs="宋体"/>
                      <w:color w:val="auto"/>
                      <w:spacing w:val="5"/>
                      <w:sz w:val="21"/>
                      <w:szCs w:val="21"/>
                    </w:rPr>
                    <w:t>危险货物编号：</w:t>
                  </w:r>
                  <w:r>
                    <w:rPr>
                      <w:rFonts w:ascii="Times New Roman" w:hAnsi="Times New Roman" w:eastAsia="Times New Roman" w:cs="Times New Roman"/>
                      <w:color w:val="auto"/>
                      <w:spacing w:val="5"/>
                      <w:sz w:val="21"/>
                      <w:szCs w:val="21"/>
                    </w:rPr>
                    <w:t xml:space="preserve">51069  </w:t>
                  </w:r>
                  <w:r>
                    <w:rPr>
                      <w:rFonts w:ascii="Times New Roman" w:hAnsi="Times New Roman" w:eastAsia="Times New Roman" w:cs="Times New Roman"/>
                      <w:color w:val="auto"/>
                      <w:sz w:val="21"/>
                      <w:szCs w:val="21"/>
                    </w:rPr>
                    <w:t>UN</w:t>
                  </w:r>
                  <w:r>
                    <w:rPr>
                      <w:rFonts w:ascii="宋体" w:hAnsi="宋体" w:eastAsia="宋体" w:cs="宋体"/>
                      <w:color w:val="auto"/>
                      <w:spacing w:val="5"/>
                      <w:sz w:val="21"/>
                      <w:szCs w:val="21"/>
                    </w:rPr>
                    <w:t>编号：</w:t>
                  </w:r>
                  <w:r>
                    <w:rPr>
                      <w:rFonts w:ascii="Times New Roman" w:hAnsi="Times New Roman" w:eastAsia="Times New Roman" w:cs="Times New Roman"/>
                      <w:color w:val="auto"/>
                      <w:spacing w:val="5"/>
                      <w:sz w:val="21"/>
                      <w:szCs w:val="21"/>
                    </w:rPr>
                    <w:t>242</w:t>
                  </w:r>
                  <w:r>
                    <w:rPr>
                      <w:rFonts w:ascii="Times New Roman" w:hAnsi="Times New Roman" w:eastAsia="Times New Roman" w:cs="Times New Roman"/>
                      <w:color w:val="auto"/>
                      <w:spacing w:val="1"/>
                      <w:sz w:val="21"/>
                      <w:szCs w:val="21"/>
                    </w:rPr>
                    <w:t>6</w:t>
                  </w:r>
                </w:p>
              </w:tc>
            </w:tr>
            <w:tr w14:paraId="1B1C5A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0" w:hRule="atLeast"/>
              </w:trPr>
              <w:tc>
                <w:tcPr>
                  <w:tcW w:w="526" w:type="pct"/>
                  <w:vAlign w:val="center"/>
                </w:tcPr>
                <w:p w14:paraId="3D3351D8">
                  <w:pPr>
                    <w:keepNext/>
                    <w:keepLines w:val="0"/>
                    <w:pageBreakBefore w:val="0"/>
                    <w:kinsoku/>
                    <w:wordWrap/>
                    <w:overflowPunct/>
                    <w:topLinePunct w:val="0"/>
                    <w:autoSpaceDE w:val="0"/>
                    <w:autoSpaceDN w:val="0"/>
                    <w:bidi w:val="0"/>
                    <w:spacing w:line="240" w:lineRule="auto"/>
                    <w:ind w:left="0" w:right="0" w:firstLine="0"/>
                    <w:jc w:val="center"/>
                    <w:outlineLvl w:val="9"/>
                    <w:rPr>
                      <w:rFonts w:ascii="宋体" w:hAnsi="宋体" w:eastAsia="宋体" w:cs="宋体"/>
                      <w:color w:val="auto"/>
                      <w:sz w:val="21"/>
                      <w:szCs w:val="21"/>
                    </w:rPr>
                  </w:pPr>
                  <w:r>
                    <w:rPr>
                      <w:rFonts w:ascii="宋体" w:hAnsi="宋体" w:eastAsia="宋体" w:cs="宋体"/>
                      <w:color w:val="auto"/>
                      <w:spacing w:val="6"/>
                      <w:sz w:val="21"/>
                      <w:szCs w:val="21"/>
                    </w:rPr>
                    <w:t>理化特</w:t>
                  </w:r>
                  <w:r>
                    <w:rPr>
                      <w:rFonts w:ascii="宋体" w:hAnsi="宋体" w:eastAsia="宋体" w:cs="宋体"/>
                      <w:color w:val="auto"/>
                      <w:sz w:val="21"/>
                      <w:szCs w:val="21"/>
                    </w:rPr>
                    <w:t xml:space="preserve"> 性</w:t>
                  </w:r>
                </w:p>
              </w:tc>
              <w:tc>
                <w:tcPr>
                  <w:tcW w:w="4473" w:type="pct"/>
                  <w:vAlign w:val="center"/>
                </w:tcPr>
                <w:p w14:paraId="7845AD9C">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10"/>
                      <w:sz w:val="21"/>
                      <w:szCs w:val="21"/>
                    </w:rPr>
                    <w:t>含硝酸</w:t>
                  </w:r>
                  <w:r>
                    <w:rPr>
                      <w:rFonts w:ascii="宋体" w:hAnsi="宋体" w:eastAsia="宋体" w:cs="宋体"/>
                      <w:color w:val="auto"/>
                      <w:spacing w:val="8"/>
                      <w:sz w:val="21"/>
                      <w:szCs w:val="21"/>
                      <w:highlight w:val="none"/>
                    </w:rPr>
                    <w:t>铵</w:t>
                  </w:r>
                  <w:r>
                    <w:rPr>
                      <w:rFonts w:ascii="宋体" w:hAnsi="宋体" w:eastAsia="宋体" w:cs="宋体"/>
                      <w:color w:val="auto"/>
                      <w:spacing w:val="5"/>
                      <w:sz w:val="21"/>
                      <w:szCs w:val="21"/>
                      <w:highlight w:val="none"/>
                    </w:rPr>
                    <w:t>不超过</w:t>
                  </w:r>
                  <w:r>
                    <w:rPr>
                      <w:rFonts w:ascii="Times New Roman" w:hAnsi="Times New Roman" w:eastAsia="Times New Roman" w:cs="Times New Roman"/>
                      <w:color w:val="auto"/>
                      <w:spacing w:val="5"/>
                      <w:sz w:val="21"/>
                      <w:szCs w:val="21"/>
                      <w:highlight w:val="none"/>
                    </w:rPr>
                    <w:t>93%</w:t>
                  </w:r>
                  <w:r>
                    <w:rPr>
                      <w:rFonts w:ascii="宋体" w:hAnsi="宋体" w:eastAsia="宋体" w:cs="宋体"/>
                      <w:color w:val="auto"/>
                      <w:spacing w:val="5"/>
                      <w:sz w:val="21"/>
                      <w:szCs w:val="21"/>
                      <w:highlight w:val="none"/>
                    </w:rPr>
                    <w:t>和</w:t>
                  </w:r>
                  <w:r>
                    <w:rPr>
                      <w:rFonts w:ascii="宋体" w:hAnsi="宋体" w:eastAsia="宋体" w:cs="宋体"/>
                      <w:color w:val="auto"/>
                      <w:spacing w:val="5"/>
                      <w:sz w:val="21"/>
                      <w:szCs w:val="21"/>
                    </w:rPr>
                    <w:t xml:space="preserve">可燃物 </w:t>
                  </w:r>
                  <w:r>
                    <w:rPr>
                      <w:rFonts w:hint="eastAsia" w:ascii="宋体" w:hAnsi="宋体" w:eastAsia="宋体" w:cs="宋体"/>
                      <w:color w:val="auto"/>
                      <w:spacing w:val="5"/>
                      <w:sz w:val="21"/>
                      <w:szCs w:val="21"/>
                      <w:lang w:eastAsia="zh-CN"/>
                    </w:rPr>
                    <w:t>（</w:t>
                  </w:r>
                  <w:r>
                    <w:rPr>
                      <w:rFonts w:ascii="宋体" w:hAnsi="宋体" w:eastAsia="宋体" w:cs="宋体"/>
                      <w:color w:val="auto"/>
                      <w:spacing w:val="5"/>
                      <w:sz w:val="21"/>
                      <w:szCs w:val="21"/>
                    </w:rPr>
                    <w:t>包括以碳计算的有机物</w:t>
                  </w:r>
                  <w:r>
                    <w:rPr>
                      <w:rFonts w:hint="eastAsia" w:ascii="宋体" w:hAnsi="宋体" w:eastAsia="宋体" w:cs="宋体"/>
                      <w:color w:val="auto"/>
                      <w:spacing w:val="5"/>
                      <w:sz w:val="21"/>
                      <w:szCs w:val="21"/>
                      <w:lang w:eastAsia="zh-CN"/>
                    </w:rPr>
                    <w:t>）</w:t>
                  </w:r>
                  <w:r>
                    <w:rPr>
                      <w:rFonts w:ascii="宋体" w:hAnsi="宋体" w:eastAsia="宋体" w:cs="宋体"/>
                      <w:color w:val="auto"/>
                      <w:spacing w:val="5"/>
                      <w:sz w:val="21"/>
                      <w:szCs w:val="21"/>
                    </w:rPr>
                    <w:t>不超过</w:t>
                  </w:r>
                  <w:r>
                    <w:rPr>
                      <w:rFonts w:ascii="Times New Roman" w:hAnsi="Times New Roman" w:eastAsia="Times New Roman" w:cs="Times New Roman"/>
                      <w:color w:val="auto"/>
                      <w:spacing w:val="5"/>
                      <w:sz w:val="21"/>
                      <w:szCs w:val="21"/>
                    </w:rPr>
                    <w:t xml:space="preserve">0.2% </w:t>
                  </w:r>
                  <w:r>
                    <w:rPr>
                      <w:rFonts w:ascii="宋体" w:hAnsi="宋体" w:eastAsia="宋体" w:cs="宋体"/>
                      <w:color w:val="auto"/>
                      <w:spacing w:val="5"/>
                      <w:sz w:val="21"/>
                      <w:szCs w:val="21"/>
                    </w:rPr>
                    <w:t>，无其他添</w:t>
                  </w:r>
                  <w:r>
                    <w:rPr>
                      <w:rFonts w:ascii="宋体" w:hAnsi="宋体" w:eastAsia="宋体" w:cs="宋体"/>
                      <w:color w:val="auto"/>
                      <w:spacing w:val="9"/>
                      <w:sz w:val="21"/>
                      <w:szCs w:val="21"/>
                    </w:rPr>
                    <w:t>加</w:t>
                  </w:r>
                  <w:r>
                    <w:rPr>
                      <w:rFonts w:ascii="宋体" w:hAnsi="宋体" w:eastAsia="宋体" w:cs="宋体"/>
                      <w:color w:val="auto"/>
                      <w:spacing w:val="5"/>
                      <w:sz w:val="21"/>
                      <w:szCs w:val="21"/>
                    </w:rPr>
                    <w:t>物，含水至少</w:t>
                  </w:r>
                  <w:r>
                    <w:rPr>
                      <w:rFonts w:ascii="Times New Roman" w:hAnsi="Times New Roman" w:eastAsia="Times New Roman" w:cs="Times New Roman"/>
                      <w:color w:val="auto"/>
                      <w:spacing w:val="5"/>
                      <w:sz w:val="21"/>
                      <w:szCs w:val="21"/>
                    </w:rPr>
                    <w:t>7%</w:t>
                  </w:r>
                  <w:r>
                    <w:rPr>
                      <w:rFonts w:ascii="宋体" w:hAnsi="宋体" w:eastAsia="宋体" w:cs="宋体"/>
                      <w:color w:val="auto"/>
                      <w:spacing w:val="5"/>
                      <w:sz w:val="21"/>
                      <w:szCs w:val="21"/>
                    </w:rPr>
                    <w:t>，氯离子最大含量不得超过</w:t>
                  </w:r>
                  <w:r>
                    <w:rPr>
                      <w:rFonts w:ascii="Times New Roman" w:hAnsi="Times New Roman" w:eastAsia="Times New Roman" w:cs="Times New Roman"/>
                      <w:color w:val="auto"/>
                      <w:spacing w:val="5"/>
                      <w:sz w:val="21"/>
                      <w:szCs w:val="21"/>
                    </w:rPr>
                    <w:t>0.02%</w:t>
                  </w:r>
                  <w:r>
                    <w:rPr>
                      <w:rFonts w:ascii="宋体" w:hAnsi="宋体" w:eastAsia="宋体" w:cs="宋体"/>
                      <w:color w:val="auto"/>
                      <w:spacing w:val="5"/>
                      <w:sz w:val="21"/>
                      <w:szCs w:val="21"/>
                    </w:rPr>
                    <w:t>的热水溶液。</w:t>
                  </w:r>
                </w:p>
                <w:p w14:paraId="6E4B3F8E">
                  <w:pPr>
                    <w:keepNext/>
                    <w:keepLines w:val="0"/>
                    <w:pageBreakBefore w:val="0"/>
                    <w:kinsoku/>
                    <w:wordWrap/>
                    <w:overflowPunct/>
                    <w:topLinePunct w:val="0"/>
                    <w:autoSpaceDE w:val="0"/>
                    <w:autoSpaceDN w:val="0"/>
                    <w:bidi w:val="0"/>
                    <w:spacing w:line="240" w:lineRule="auto"/>
                    <w:ind w:left="0"/>
                    <w:outlineLvl w:val="9"/>
                    <w:rPr>
                      <w:rFonts w:hint="default" w:ascii="Times New Roman" w:hAnsi="Times New Roman" w:eastAsia="宋体" w:cs="Times New Roman"/>
                      <w:color w:val="auto"/>
                      <w:sz w:val="21"/>
                      <w:szCs w:val="21"/>
                      <w:highlight w:val="none"/>
                      <w:lang w:val="en-US" w:eastAsia="zh-CN"/>
                    </w:rPr>
                  </w:pPr>
                  <w:r>
                    <w:rPr>
                      <w:rFonts w:ascii="宋体" w:hAnsi="宋体" w:eastAsia="宋体" w:cs="宋体"/>
                      <w:color w:val="auto"/>
                      <w:spacing w:val="6"/>
                      <w:position w:val="7"/>
                      <w:sz w:val="21"/>
                      <w:szCs w:val="21"/>
                    </w:rPr>
                    <w:t>熔点：</w:t>
                  </w:r>
                  <w:r>
                    <w:rPr>
                      <w:rFonts w:ascii="Times New Roman" w:hAnsi="Times New Roman" w:eastAsia="Times New Roman" w:cs="Times New Roman"/>
                      <w:color w:val="auto"/>
                      <w:spacing w:val="6"/>
                      <w:position w:val="7"/>
                      <w:sz w:val="21"/>
                      <w:szCs w:val="21"/>
                    </w:rPr>
                    <w:t>169.6℃</w:t>
                  </w:r>
                  <w:r>
                    <w:rPr>
                      <w:rFonts w:ascii="宋体" w:hAnsi="宋体" w:eastAsia="宋体" w:cs="宋体"/>
                      <w:color w:val="auto"/>
                      <w:spacing w:val="6"/>
                      <w:position w:val="7"/>
                      <w:sz w:val="21"/>
                      <w:szCs w:val="21"/>
                    </w:rPr>
                    <w:t>；分解温度：</w:t>
                  </w:r>
                  <w:r>
                    <w:rPr>
                      <w:rFonts w:ascii="Times New Roman" w:hAnsi="Times New Roman" w:eastAsia="Times New Roman" w:cs="Times New Roman"/>
                      <w:color w:val="auto"/>
                      <w:spacing w:val="6"/>
                      <w:position w:val="7"/>
                      <w:sz w:val="21"/>
                      <w:szCs w:val="21"/>
                    </w:rPr>
                    <w:t>210℃</w:t>
                  </w:r>
                  <w:r>
                    <w:rPr>
                      <w:rFonts w:ascii="宋体" w:hAnsi="宋体" w:eastAsia="宋体" w:cs="宋体"/>
                      <w:color w:val="auto"/>
                      <w:spacing w:val="6"/>
                      <w:position w:val="7"/>
                      <w:sz w:val="21"/>
                      <w:szCs w:val="21"/>
                    </w:rPr>
                    <w:t>；相对密度</w:t>
                  </w:r>
                  <w:r>
                    <w:rPr>
                      <w:rFonts w:hint="eastAsia" w:ascii="宋体" w:hAnsi="宋体" w:eastAsia="宋体" w:cs="宋体"/>
                      <w:color w:val="auto"/>
                      <w:spacing w:val="6"/>
                      <w:position w:val="7"/>
                      <w:sz w:val="21"/>
                      <w:szCs w:val="21"/>
                      <w:lang w:eastAsia="zh-CN"/>
                    </w:rPr>
                    <w:t>（</w:t>
                  </w:r>
                  <w:r>
                    <w:rPr>
                      <w:rFonts w:hint="eastAsia" w:ascii="宋体" w:hAnsi="宋体" w:eastAsia="宋体" w:cs="宋体"/>
                      <w:color w:val="auto"/>
                      <w:spacing w:val="6"/>
                      <w:position w:val="7"/>
                      <w:sz w:val="21"/>
                      <w:szCs w:val="21"/>
                      <w:lang w:val="en-US" w:eastAsia="zh-CN"/>
                    </w:rPr>
                    <w:t>水=1</w:t>
                  </w:r>
                  <w:r>
                    <w:rPr>
                      <w:rFonts w:hint="eastAsia" w:ascii="宋体" w:hAnsi="宋体" w:eastAsia="宋体" w:cs="宋体"/>
                      <w:color w:val="auto"/>
                      <w:spacing w:val="6"/>
                      <w:position w:val="7"/>
                      <w:sz w:val="21"/>
                      <w:szCs w:val="21"/>
                      <w:lang w:eastAsia="zh-CN"/>
                    </w:rPr>
                    <w:t>）</w:t>
                  </w:r>
                  <w:r>
                    <w:rPr>
                      <w:rFonts w:ascii="宋体" w:hAnsi="宋体" w:eastAsia="宋体" w:cs="宋体"/>
                      <w:color w:val="auto"/>
                      <w:spacing w:val="6"/>
                      <w:position w:val="7"/>
                      <w:sz w:val="21"/>
                      <w:szCs w:val="21"/>
                    </w:rPr>
                    <w:t>：</w:t>
                  </w:r>
                  <w:r>
                    <w:rPr>
                      <w:rFonts w:hint="eastAsia" w:eastAsia="宋体" w:cs="Times New Roman"/>
                      <w:color w:val="auto"/>
                      <w:spacing w:val="6"/>
                      <w:position w:val="7"/>
                      <w:sz w:val="21"/>
                      <w:szCs w:val="21"/>
                      <w:highlight w:val="none"/>
                      <w:lang w:val="en-US" w:eastAsia="zh-CN"/>
                    </w:rPr>
                    <w:t>1.6</w:t>
                  </w:r>
                </w:p>
                <w:p w14:paraId="085DCDEC">
                  <w:pPr>
                    <w:keepNext/>
                    <w:keepLines w:val="0"/>
                    <w:pageBreakBefore w:val="0"/>
                    <w:kinsoku/>
                    <w:wordWrap/>
                    <w:overflowPunct/>
                    <w:topLinePunct w:val="0"/>
                    <w:autoSpaceDE w:val="0"/>
                    <w:autoSpaceDN w:val="0"/>
                    <w:bidi w:val="0"/>
                    <w:spacing w:line="240" w:lineRule="auto"/>
                    <w:ind w:left="0"/>
                    <w:outlineLvl w:val="9"/>
                    <w:rPr>
                      <w:rFonts w:ascii="宋体" w:hAnsi="宋体" w:eastAsia="宋体" w:cs="宋体"/>
                      <w:color w:val="auto"/>
                      <w:sz w:val="21"/>
                      <w:szCs w:val="21"/>
                    </w:rPr>
                  </w:pPr>
                  <w:r>
                    <w:rPr>
                      <w:rFonts w:ascii="宋体" w:hAnsi="宋体" w:eastAsia="宋体" w:cs="宋体"/>
                      <w:color w:val="auto"/>
                      <w:spacing w:val="15"/>
                      <w:sz w:val="21"/>
                      <w:szCs w:val="21"/>
                    </w:rPr>
                    <w:t>主</w:t>
                  </w:r>
                  <w:r>
                    <w:rPr>
                      <w:rFonts w:ascii="宋体" w:hAnsi="宋体" w:eastAsia="宋体" w:cs="宋体"/>
                      <w:color w:val="auto"/>
                      <w:spacing w:val="8"/>
                      <w:sz w:val="21"/>
                      <w:szCs w:val="21"/>
                    </w:rPr>
                    <w:t>要用途：用于炸药的氧化剂等。</w:t>
                  </w:r>
                </w:p>
              </w:tc>
            </w:tr>
            <w:tr w14:paraId="1A562D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10BEE6DD">
                  <w:pPr>
                    <w:keepNext/>
                    <w:keepLines w:val="0"/>
                    <w:pageBreakBefore w:val="0"/>
                    <w:kinsoku/>
                    <w:wordWrap/>
                    <w:overflowPunct/>
                    <w:topLinePunct w:val="0"/>
                    <w:autoSpaceDE w:val="0"/>
                    <w:autoSpaceDN w:val="0"/>
                    <w:bidi w:val="0"/>
                    <w:spacing w:line="240" w:lineRule="auto"/>
                    <w:ind w:left="0"/>
                    <w:jc w:val="center"/>
                    <w:outlineLvl w:val="9"/>
                    <w:rPr>
                      <w:rFonts w:hint="eastAsia" w:ascii="宋体" w:hAnsi="宋体" w:eastAsia="宋体" w:cs="宋体"/>
                      <w:color w:val="auto"/>
                      <w:sz w:val="21"/>
                      <w:szCs w:val="21"/>
                      <w:lang w:val="en-US" w:eastAsia="zh-CN"/>
                    </w:rPr>
                  </w:pPr>
                  <w:r>
                    <w:rPr>
                      <w:rFonts w:ascii="宋体" w:hAnsi="宋体" w:eastAsia="宋体" w:cs="宋体"/>
                      <w:color w:val="auto"/>
                      <w:spacing w:val="4"/>
                      <w:sz w:val="21"/>
                      <w:szCs w:val="21"/>
                    </w:rPr>
                    <w:t>危</w:t>
                  </w:r>
                  <w:r>
                    <w:rPr>
                      <w:rFonts w:ascii="宋体" w:hAnsi="宋体" w:eastAsia="宋体" w:cs="宋体"/>
                      <w:color w:val="auto"/>
                      <w:spacing w:val="3"/>
                      <w:sz w:val="21"/>
                      <w:szCs w:val="21"/>
                    </w:rPr>
                    <w:t>险</w:t>
                  </w:r>
                  <w:r>
                    <w:rPr>
                      <w:rFonts w:hint="eastAsia" w:ascii="宋体" w:hAnsi="宋体" w:eastAsia="宋体" w:cs="宋体"/>
                      <w:color w:val="auto"/>
                      <w:spacing w:val="3"/>
                      <w:sz w:val="21"/>
                      <w:szCs w:val="21"/>
                      <w:lang w:val="en-US" w:eastAsia="zh-CN"/>
                    </w:rPr>
                    <w:t>特性</w:t>
                  </w:r>
                </w:p>
              </w:tc>
              <w:tc>
                <w:tcPr>
                  <w:tcW w:w="4473" w:type="pct"/>
                  <w:vAlign w:val="center"/>
                </w:tcPr>
                <w:p w14:paraId="30DE670C">
                  <w:pPr>
                    <w:keepNext/>
                    <w:keepLines w:val="0"/>
                    <w:pageBreakBefore w:val="0"/>
                    <w:kinsoku/>
                    <w:wordWrap/>
                    <w:overflowPunct/>
                    <w:topLinePunct w:val="0"/>
                    <w:autoSpaceDE w:val="0"/>
                    <w:autoSpaceDN w:val="0"/>
                    <w:bidi w:val="0"/>
                    <w:spacing w:line="240" w:lineRule="auto"/>
                    <w:ind w:left="0"/>
                    <w:outlineLvl w:val="9"/>
                    <w:rPr>
                      <w:rFonts w:ascii="宋体" w:hAnsi="宋体" w:eastAsia="宋体" w:cs="宋体"/>
                      <w:color w:val="auto"/>
                      <w:sz w:val="21"/>
                      <w:szCs w:val="21"/>
                    </w:rPr>
                  </w:pPr>
                  <w:r>
                    <w:rPr>
                      <w:rFonts w:ascii="宋体" w:hAnsi="宋体" w:eastAsia="宋体" w:cs="宋体"/>
                      <w:color w:val="auto"/>
                      <w:spacing w:val="3"/>
                      <w:sz w:val="21"/>
                      <w:szCs w:val="21"/>
                    </w:rPr>
                    <w:t>强</w:t>
                  </w:r>
                  <w:r>
                    <w:rPr>
                      <w:rFonts w:ascii="宋体" w:hAnsi="宋体" w:eastAsia="宋体" w:cs="宋体"/>
                      <w:color w:val="auto"/>
                      <w:spacing w:val="2"/>
                      <w:sz w:val="21"/>
                      <w:szCs w:val="21"/>
                    </w:rPr>
                    <w:t>氧化剂。遇可燃物着火时，能助长火势。与可燃物粉末混合能发生激烈反应而爆</w:t>
                  </w:r>
                  <w:r>
                    <w:rPr>
                      <w:rFonts w:ascii="宋体" w:hAnsi="宋体" w:eastAsia="宋体" w:cs="宋体"/>
                      <w:color w:val="auto"/>
                      <w:spacing w:val="4"/>
                      <w:sz w:val="21"/>
                      <w:szCs w:val="21"/>
                    </w:rPr>
                    <w:t>炸。受强烈震动也会引爆。</w:t>
                  </w:r>
                  <w:r>
                    <w:rPr>
                      <w:rFonts w:ascii="宋体" w:hAnsi="宋体" w:eastAsia="宋体" w:cs="宋体"/>
                      <w:color w:val="auto"/>
                      <w:spacing w:val="3"/>
                      <w:sz w:val="21"/>
                      <w:szCs w:val="21"/>
                    </w:rPr>
                    <w:t>剧</w:t>
                  </w:r>
                  <w:r>
                    <w:rPr>
                      <w:rFonts w:ascii="宋体" w:hAnsi="宋体" w:eastAsia="宋体" w:cs="宋体"/>
                      <w:color w:val="auto"/>
                      <w:spacing w:val="2"/>
                      <w:sz w:val="21"/>
                      <w:szCs w:val="21"/>
                    </w:rPr>
                    <w:t>烈加热时可发生爆炸。与还原剂、有机物、易燃物如硫、</w:t>
                  </w:r>
                  <w:r>
                    <w:rPr>
                      <w:rFonts w:ascii="宋体" w:hAnsi="宋体" w:eastAsia="宋体" w:cs="宋体"/>
                      <w:color w:val="auto"/>
                      <w:spacing w:val="10"/>
                      <w:sz w:val="21"/>
                      <w:szCs w:val="21"/>
                    </w:rPr>
                    <w:t>磷或金属粉末等混合可形成爆炸性混合物</w:t>
                  </w:r>
                  <w:r>
                    <w:rPr>
                      <w:rFonts w:ascii="宋体" w:hAnsi="宋体" w:eastAsia="宋体" w:cs="宋体"/>
                      <w:color w:val="auto"/>
                      <w:spacing w:val="7"/>
                      <w:sz w:val="21"/>
                      <w:szCs w:val="21"/>
                    </w:rPr>
                    <w:t>。</w:t>
                  </w:r>
                </w:p>
              </w:tc>
            </w:tr>
            <w:tr w14:paraId="1C8079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0FD8ACD6">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4"/>
                      <w:sz w:val="21"/>
                      <w:szCs w:val="21"/>
                    </w:rPr>
                    <w:t>毒性危害</w:t>
                  </w:r>
                </w:p>
              </w:tc>
              <w:tc>
                <w:tcPr>
                  <w:tcW w:w="4473" w:type="pct"/>
                  <w:vAlign w:val="center"/>
                </w:tcPr>
                <w:p w14:paraId="2C214DA1">
                  <w:pPr>
                    <w:keepNext/>
                    <w:keepLines w:val="0"/>
                    <w:pageBreakBefore w:val="0"/>
                    <w:kinsoku/>
                    <w:wordWrap/>
                    <w:overflowPunct/>
                    <w:topLinePunct w:val="0"/>
                    <w:autoSpaceDE w:val="0"/>
                    <w:autoSpaceDN w:val="0"/>
                    <w:bidi w:val="0"/>
                    <w:spacing w:line="240" w:lineRule="auto"/>
                    <w:ind w:left="0"/>
                    <w:outlineLvl w:val="9"/>
                    <w:rPr>
                      <w:rFonts w:ascii="宋体" w:hAnsi="宋体" w:eastAsia="宋体" w:cs="宋体"/>
                      <w:color w:val="auto"/>
                      <w:sz w:val="21"/>
                      <w:szCs w:val="21"/>
                    </w:rPr>
                  </w:pPr>
                  <w:r>
                    <w:rPr>
                      <w:rFonts w:ascii="宋体" w:hAnsi="宋体" w:eastAsia="宋体" w:cs="宋体"/>
                      <w:color w:val="auto"/>
                      <w:spacing w:val="16"/>
                      <w:sz w:val="21"/>
                      <w:szCs w:val="21"/>
                    </w:rPr>
                    <w:t>侵</w:t>
                  </w:r>
                  <w:r>
                    <w:rPr>
                      <w:rFonts w:ascii="宋体" w:hAnsi="宋体" w:eastAsia="宋体" w:cs="宋体"/>
                      <w:color w:val="auto"/>
                      <w:spacing w:val="11"/>
                      <w:sz w:val="21"/>
                      <w:szCs w:val="21"/>
                    </w:rPr>
                    <w:t>入</w:t>
                  </w:r>
                  <w:r>
                    <w:rPr>
                      <w:rFonts w:ascii="宋体" w:hAnsi="宋体" w:eastAsia="宋体" w:cs="宋体"/>
                      <w:color w:val="auto"/>
                      <w:spacing w:val="8"/>
                      <w:sz w:val="21"/>
                      <w:szCs w:val="21"/>
                    </w:rPr>
                    <w:t>途径：吸入、食入、经皮吸收。</w:t>
                  </w:r>
                </w:p>
                <w:p w14:paraId="712B54AF">
                  <w:pPr>
                    <w:keepNext/>
                    <w:keepLines w:val="0"/>
                    <w:pageBreakBefore w:val="0"/>
                    <w:kinsoku/>
                    <w:wordWrap/>
                    <w:overflowPunct/>
                    <w:topLinePunct w:val="0"/>
                    <w:autoSpaceDE w:val="0"/>
                    <w:autoSpaceDN w:val="0"/>
                    <w:bidi w:val="0"/>
                    <w:spacing w:line="240" w:lineRule="auto"/>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5"/>
                      <w:sz w:val="21"/>
                      <w:szCs w:val="21"/>
                    </w:rPr>
                    <w:t>对呼吸道、眼及皮肤有刺激性。接触后可引起恶心、呕吐、头痛、虚弱、无力和虚脱</w:t>
                  </w:r>
                  <w:r>
                    <w:rPr>
                      <w:rFonts w:ascii="宋体" w:hAnsi="宋体" w:eastAsia="宋体" w:cs="宋体"/>
                      <w:color w:val="auto"/>
                      <w:sz w:val="21"/>
                      <w:szCs w:val="21"/>
                    </w:rPr>
                    <w:t xml:space="preserve"> </w:t>
                  </w:r>
                  <w:r>
                    <w:rPr>
                      <w:rFonts w:ascii="宋体" w:hAnsi="宋体" w:eastAsia="宋体" w:cs="宋体"/>
                      <w:color w:val="auto"/>
                      <w:spacing w:val="-4"/>
                      <w:sz w:val="21"/>
                      <w:szCs w:val="21"/>
                    </w:rPr>
                    <w:t>等。大量接触可引起</w:t>
                  </w:r>
                  <w:r>
                    <w:rPr>
                      <w:rFonts w:ascii="宋体" w:hAnsi="宋体" w:eastAsia="宋体" w:cs="宋体"/>
                      <w:color w:val="auto"/>
                      <w:spacing w:val="-3"/>
                      <w:sz w:val="21"/>
                      <w:szCs w:val="21"/>
                    </w:rPr>
                    <w:t>高</w:t>
                  </w:r>
                  <w:r>
                    <w:rPr>
                      <w:rFonts w:ascii="宋体" w:hAnsi="宋体" w:eastAsia="宋体" w:cs="宋体"/>
                      <w:color w:val="auto"/>
                      <w:spacing w:val="-2"/>
                      <w:sz w:val="21"/>
                      <w:szCs w:val="21"/>
                    </w:rPr>
                    <w:t>铁血红蛋白血症，影响血液的携氧能力，出现紫绀、头痛、头晕、</w:t>
                  </w:r>
                  <w:r>
                    <w:rPr>
                      <w:rFonts w:ascii="宋体" w:hAnsi="宋体" w:eastAsia="宋体" w:cs="宋体"/>
                      <w:color w:val="auto"/>
                      <w:sz w:val="21"/>
                      <w:szCs w:val="21"/>
                    </w:rPr>
                    <w:t xml:space="preserve"> </w:t>
                  </w:r>
                  <w:r>
                    <w:rPr>
                      <w:rFonts w:ascii="宋体" w:hAnsi="宋体" w:eastAsia="宋体" w:cs="宋体"/>
                      <w:color w:val="auto"/>
                      <w:spacing w:val="12"/>
                      <w:sz w:val="21"/>
                      <w:szCs w:val="21"/>
                    </w:rPr>
                    <w:t>虚</w:t>
                  </w:r>
                  <w:r>
                    <w:rPr>
                      <w:rFonts w:ascii="宋体" w:hAnsi="宋体" w:eastAsia="宋体" w:cs="宋体"/>
                      <w:color w:val="auto"/>
                      <w:spacing w:val="8"/>
                      <w:sz w:val="21"/>
                      <w:szCs w:val="21"/>
                    </w:rPr>
                    <w:t>脱</w:t>
                  </w:r>
                  <w:r>
                    <w:rPr>
                      <w:rFonts w:ascii="宋体" w:hAnsi="宋体" w:eastAsia="宋体" w:cs="宋体"/>
                      <w:color w:val="auto"/>
                      <w:spacing w:val="6"/>
                      <w:sz w:val="21"/>
                      <w:szCs w:val="21"/>
                    </w:rPr>
                    <w:t>，甚至死亡。口服引起剧烈腹痛、呕吐、血便、休克、全身抽搐、昏迷，甚至死</w:t>
                  </w:r>
                  <w:r>
                    <w:rPr>
                      <w:rFonts w:ascii="宋体" w:hAnsi="宋体" w:eastAsia="宋体" w:cs="宋体"/>
                      <w:color w:val="auto"/>
                      <w:spacing w:val="-1"/>
                      <w:sz w:val="21"/>
                      <w:szCs w:val="21"/>
                    </w:rPr>
                    <w:t>亡。</w:t>
                  </w:r>
                </w:p>
              </w:tc>
            </w:tr>
            <w:tr w14:paraId="68C1A7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4EB6D6FA">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3"/>
                      <w:sz w:val="21"/>
                      <w:szCs w:val="21"/>
                    </w:rPr>
                    <w:t>防</w:t>
                  </w:r>
                  <w:r>
                    <w:rPr>
                      <w:rFonts w:ascii="宋体" w:hAnsi="宋体" w:eastAsia="宋体" w:cs="宋体"/>
                      <w:color w:val="auto"/>
                      <w:spacing w:val="2"/>
                      <w:sz w:val="21"/>
                      <w:szCs w:val="21"/>
                    </w:rPr>
                    <w:t>护措</w:t>
                  </w:r>
                  <w:r>
                    <w:rPr>
                      <w:rFonts w:ascii="宋体" w:hAnsi="宋体" w:eastAsia="宋体" w:cs="宋体"/>
                      <w:color w:val="auto"/>
                      <w:spacing w:val="1"/>
                      <w:sz w:val="21"/>
                      <w:szCs w:val="21"/>
                    </w:rPr>
                    <w:t>施</w:t>
                  </w:r>
                </w:p>
              </w:tc>
              <w:tc>
                <w:tcPr>
                  <w:tcW w:w="4473" w:type="pct"/>
                  <w:vAlign w:val="center"/>
                </w:tcPr>
                <w:p w14:paraId="0C12A3BB">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14"/>
                      <w:sz w:val="21"/>
                      <w:szCs w:val="21"/>
                    </w:rPr>
                    <w:t>工</w:t>
                  </w:r>
                  <w:r>
                    <w:rPr>
                      <w:rFonts w:ascii="宋体" w:hAnsi="宋体" w:eastAsia="宋体" w:cs="宋体"/>
                      <w:color w:val="auto"/>
                      <w:spacing w:val="9"/>
                      <w:sz w:val="21"/>
                      <w:szCs w:val="21"/>
                    </w:rPr>
                    <w:t>程控制：生产过程密闭，加强通风。提供安全淋浴和洗眼设备。</w:t>
                  </w:r>
                </w:p>
                <w:p w14:paraId="636D9598">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9"/>
                      <w:sz w:val="21"/>
                      <w:szCs w:val="21"/>
                    </w:rPr>
                    <w:t>呼吸系统防护：可能接触其粉尘时，建议佩戴自吸过滤式防尘口罩</w:t>
                  </w:r>
                  <w:r>
                    <w:rPr>
                      <w:rFonts w:ascii="宋体" w:hAnsi="宋体" w:eastAsia="宋体" w:cs="宋体"/>
                      <w:color w:val="auto"/>
                      <w:spacing w:val="8"/>
                      <w:sz w:val="21"/>
                      <w:szCs w:val="21"/>
                    </w:rPr>
                    <w:t>。</w:t>
                  </w:r>
                </w:p>
                <w:p w14:paraId="7B8B62F6">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14"/>
                      <w:sz w:val="21"/>
                      <w:szCs w:val="21"/>
                    </w:rPr>
                    <w:t>眼</w:t>
                  </w:r>
                  <w:r>
                    <w:rPr>
                      <w:rFonts w:ascii="宋体" w:hAnsi="宋体" w:eastAsia="宋体" w:cs="宋体"/>
                      <w:color w:val="auto"/>
                      <w:spacing w:val="11"/>
                      <w:sz w:val="21"/>
                      <w:szCs w:val="21"/>
                    </w:rPr>
                    <w:t>睛</w:t>
                  </w:r>
                  <w:r>
                    <w:rPr>
                      <w:rFonts w:ascii="宋体" w:hAnsi="宋体" w:eastAsia="宋体" w:cs="宋体"/>
                      <w:color w:val="auto"/>
                      <w:spacing w:val="7"/>
                      <w:sz w:val="21"/>
                      <w:szCs w:val="21"/>
                    </w:rPr>
                    <w:t>防护：戴化学安全防护眼镜。</w:t>
                  </w:r>
                </w:p>
                <w:p w14:paraId="66870595">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8"/>
                      <w:sz w:val="21"/>
                      <w:szCs w:val="21"/>
                    </w:rPr>
                    <w:t>身体防护：穿聚乙烯防毒服</w:t>
                  </w:r>
                  <w:r>
                    <w:rPr>
                      <w:rFonts w:ascii="宋体" w:hAnsi="宋体" w:eastAsia="宋体" w:cs="宋体"/>
                      <w:color w:val="auto"/>
                      <w:spacing w:val="7"/>
                      <w:sz w:val="21"/>
                      <w:szCs w:val="21"/>
                    </w:rPr>
                    <w:t>。</w:t>
                  </w:r>
                </w:p>
                <w:p w14:paraId="0BE58395">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8"/>
                      <w:sz w:val="21"/>
                      <w:szCs w:val="21"/>
                    </w:rPr>
                    <w:t>手防护：戴橡胶手套。</w:t>
                  </w:r>
                </w:p>
                <w:p w14:paraId="6C3D394B">
                  <w:pPr>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8"/>
                      <w:sz w:val="21"/>
                      <w:szCs w:val="21"/>
                    </w:rPr>
                    <w:t>其它：工作现场禁止吸烟、进食和饮水。工作毕，淋浴更衣。保持良好的卫生</w:t>
                  </w:r>
                  <w:r>
                    <w:rPr>
                      <w:rFonts w:ascii="宋体" w:hAnsi="宋体" w:eastAsia="宋体" w:cs="宋体"/>
                      <w:color w:val="auto"/>
                      <w:spacing w:val="5"/>
                      <w:sz w:val="21"/>
                      <w:szCs w:val="21"/>
                    </w:rPr>
                    <w:t>习</w:t>
                  </w:r>
                  <w:r>
                    <w:rPr>
                      <w:rFonts w:ascii="宋体" w:hAnsi="宋体" w:eastAsia="宋体" w:cs="宋体"/>
                      <w:color w:val="auto"/>
                      <w:spacing w:val="1"/>
                      <w:sz w:val="21"/>
                      <w:szCs w:val="21"/>
                    </w:rPr>
                    <w:t>惯</w:t>
                  </w:r>
                  <w:r>
                    <w:rPr>
                      <w:rFonts w:ascii="宋体" w:hAnsi="宋体" w:eastAsia="宋体" w:cs="宋体"/>
                      <w:color w:val="auto"/>
                      <w:sz w:val="21"/>
                      <w:szCs w:val="21"/>
                    </w:rPr>
                    <w:t>。</w:t>
                  </w:r>
                </w:p>
              </w:tc>
            </w:tr>
            <w:tr w14:paraId="3C42FF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042AAC96">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6"/>
                      <w:sz w:val="21"/>
                      <w:szCs w:val="21"/>
                    </w:rPr>
                    <w:t>急</w:t>
                  </w:r>
                  <w:r>
                    <w:rPr>
                      <w:rFonts w:ascii="宋体" w:hAnsi="宋体" w:eastAsia="宋体" w:cs="宋体"/>
                      <w:color w:val="auto"/>
                      <w:spacing w:val="4"/>
                      <w:sz w:val="21"/>
                      <w:szCs w:val="21"/>
                    </w:rPr>
                    <w:t>救措</w:t>
                  </w:r>
                  <w:r>
                    <w:rPr>
                      <w:rFonts w:ascii="宋体" w:hAnsi="宋体" w:eastAsia="宋体" w:cs="宋体"/>
                      <w:color w:val="auto"/>
                      <w:spacing w:val="1"/>
                      <w:sz w:val="21"/>
                      <w:szCs w:val="21"/>
                    </w:rPr>
                    <w:t>施</w:t>
                  </w:r>
                </w:p>
              </w:tc>
              <w:tc>
                <w:tcPr>
                  <w:tcW w:w="4473" w:type="pct"/>
                  <w:vAlign w:val="center"/>
                </w:tcPr>
                <w:p w14:paraId="488F3B64">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12"/>
                      <w:sz w:val="21"/>
                      <w:szCs w:val="21"/>
                    </w:rPr>
                    <w:t>皮</w:t>
                  </w:r>
                  <w:r>
                    <w:rPr>
                      <w:rFonts w:ascii="宋体" w:hAnsi="宋体" w:eastAsia="宋体" w:cs="宋体"/>
                      <w:color w:val="auto"/>
                      <w:spacing w:val="9"/>
                      <w:sz w:val="21"/>
                      <w:szCs w:val="21"/>
                    </w:rPr>
                    <w:t>肤接触：立即脱去被污染的衣着，用大量流动清水冲洗。</w:t>
                  </w:r>
                </w:p>
                <w:p w14:paraId="765E26C9">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9"/>
                      <w:sz w:val="21"/>
                      <w:szCs w:val="21"/>
                    </w:rPr>
                    <w:t>眼睛接触：立即提起眼睑，用流动清水或生理盐水冲洗。就医</w:t>
                  </w:r>
                  <w:r>
                    <w:rPr>
                      <w:rFonts w:ascii="宋体" w:hAnsi="宋体" w:eastAsia="宋体" w:cs="宋体"/>
                      <w:color w:val="auto"/>
                      <w:spacing w:val="4"/>
                      <w:sz w:val="21"/>
                      <w:szCs w:val="21"/>
                    </w:rPr>
                    <w:t>。</w:t>
                  </w:r>
                </w:p>
                <w:p w14:paraId="34B1D28E">
                  <w:pPr>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14"/>
                      <w:sz w:val="21"/>
                      <w:szCs w:val="21"/>
                    </w:rPr>
                    <w:t>吸入：</w:t>
                  </w:r>
                  <w:r>
                    <w:rPr>
                      <w:rFonts w:ascii="宋体" w:hAnsi="宋体" w:eastAsia="宋体" w:cs="宋体"/>
                      <w:color w:val="auto"/>
                      <w:spacing w:val="11"/>
                      <w:sz w:val="21"/>
                      <w:szCs w:val="21"/>
                    </w:rPr>
                    <w:t>迅</w:t>
                  </w:r>
                  <w:r>
                    <w:rPr>
                      <w:rFonts w:ascii="宋体" w:hAnsi="宋体" w:eastAsia="宋体" w:cs="宋体"/>
                      <w:color w:val="auto"/>
                      <w:spacing w:val="7"/>
                      <w:sz w:val="21"/>
                      <w:szCs w:val="21"/>
                    </w:rPr>
                    <w:t>速脱离现场至空气新鲜处。保持呼吸道通畅。如呼吸困难，给输氧。如</w:t>
                  </w:r>
                  <w:r>
                    <w:rPr>
                      <w:rFonts w:ascii="宋体" w:hAnsi="宋体" w:eastAsia="宋体" w:cs="宋体"/>
                      <w:color w:val="auto"/>
                      <w:sz w:val="21"/>
                      <w:szCs w:val="21"/>
                    </w:rPr>
                    <w:t xml:space="preserve"> </w:t>
                  </w:r>
                  <w:r>
                    <w:rPr>
                      <w:rFonts w:ascii="宋体" w:hAnsi="宋体" w:eastAsia="宋体" w:cs="宋体"/>
                      <w:color w:val="auto"/>
                      <w:spacing w:val="9"/>
                      <w:sz w:val="21"/>
                      <w:szCs w:val="21"/>
                    </w:rPr>
                    <w:t>呼吸停止，立即进行人工呼吸。就医。食入：误服者用水漱口。就医</w:t>
                  </w:r>
                  <w:r>
                    <w:rPr>
                      <w:rFonts w:ascii="宋体" w:hAnsi="宋体" w:eastAsia="宋体" w:cs="宋体"/>
                      <w:color w:val="auto"/>
                      <w:spacing w:val="7"/>
                      <w:sz w:val="21"/>
                      <w:szCs w:val="21"/>
                    </w:rPr>
                    <w:t>。</w:t>
                  </w:r>
                </w:p>
              </w:tc>
            </w:tr>
            <w:tr w14:paraId="7FDBE5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328A5109">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4"/>
                      <w:sz w:val="21"/>
                      <w:szCs w:val="21"/>
                    </w:rPr>
                    <w:t>事故处理</w:t>
                  </w:r>
                </w:p>
              </w:tc>
              <w:tc>
                <w:tcPr>
                  <w:tcW w:w="4473" w:type="pct"/>
                  <w:vAlign w:val="center"/>
                </w:tcPr>
                <w:p w14:paraId="4B162169">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14"/>
                      <w:sz w:val="21"/>
                      <w:szCs w:val="21"/>
                    </w:rPr>
                    <w:t>泄漏处</w:t>
                  </w:r>
                  <w:r>
                    <w:rPr>
                      <w:rFonts w:ascii="宋体" w:hAnsi="宋体" w:eastAsia="宋体" w:cs="宋体"/>
                      <w:color w:val="auto"/>
                      <w:spacing w:val="11"/>
                      <w:sz w:val="21"/>
                      <w:szCs w:val="21"/>
                    </w:rPr>
                    <w:t>理</w:t>
                  </w:r>
                  <w:r>
                    <w:rPr>
                      <w:rFonts w:ascii="宋体" w:hAnsi="宋体" w:eastAsia="宋体" w:cs="宋体"/>
                      <w:color w:val="auto"/>
                      <w:spacing w:val="7"/>
                      <w:sz w:val="21"/>
                      <w:szCs w:val="21"/>
                    </w:rPr>
                    <w:t>：隔离泄漏污染区，限制出入。建议应急处理人员戴自给式呼吸器，穿</w:t>
                  </w:r>
                  <w:r>
                    <w:rPr>
                      <w:rFonts w:ascii="宋体" w:hAnsi="宋体" w:eastAsia="宋体" w:cs="宋体"/>
                      <w:color w:val="auto"/>
                      <w:sz w:val="21"/>
                      <w:szCs w:val="21"/>
                    </w:rPr>
                    <w:t xml:space="preserve"> </w:t>
                  </w:r>
                  <w:r>
                    <w:rPr>
                      <w:rFonts w:ascii="宋体" w:hAnsi="宋体" w:eastAsia="宋体" w:cs="宋体"/>
                      <w:color w:val="auto"/>
                      <w:spacing w:val="8"/>
                      <w:sz w:val="21"/>
                      <w:szCs w:val="21"/>
                    </w:rPr>
                    <w:t>一般作业工作服。不要直接接触泄漏物。勿使泄漏物与还原剂、有机物、易燃物或</w:t>
                  </w:r>
                  <w:r>
                    <w:rPr>
                      <w:rFonts w:ascii="宋体" w:hAnsi="宋体" w:eastAsia="宋体" w:cs="宋体"/>
                      <w:color w:val="auto"/>
                      <w:spacing w:val="5"/>
                      <w:sz w:val="21"/>
                      <w:szCs w:val="21"/>
                    </w:rPr>
                    <w:t>金</w:t>
                  </w:r>
                  <w:r>
                    <w:rPr>
                      <w:rFonts w:ascii="宋体" w:hAnsi="宋体" w:eastAsia="宋体" w:cs="宋体"/>
                      <w:color w:val="auto"/>
                      <w:spacing w:val="15"/>
                      <w:sz w:val="21"/>
                      <w:szCs w:val="21"/>
                    </w:rPr>
                    <w:t>属</w:t>
                  </w:r>
                  <w:r>
                    <w:rPr>
                      <w:rFonts w:ascii="宋体" w:hAnsi="宋体" w:eastAsia="宋体" w:cs="宋体"/>
                      <w:color w:val="auto"/>
                      <w:spacing w:val="8"/>
                      <w:sz w:val="21"/>
                      <w:szCs w:val="21"/>
                    </w:rPr>
                    <w:t>粉末接触。小量泄漏：小心扫起，收集于干燥、洁净、有盖的容器中。大量泄漏：收集回收或运至废物处理场所处置。泄漏物用水冲洗多次，经稀释的污水放入废水</w:t>
                  </w:r>
                  <w:r>
                    <w:rPr>
                      <w:rFonts w:ascii="宋体" w:hAnsi="宋体" w:eastAsia="宋体" w:cs="宋体"/>
                      <w:color w:val="auto"/>
                      <w:spacing w:val="5"/>
                      <w:sz w:val="21"/>
                      <w:szCs w:val="21"/>
                    </w:rPr>
                    <w:t>系</w:t>
                  </w:r>
                  <w:r>
                    <w:rPr>
                      <w:rFonts w:ascii="宋体" w:hAnsi="宋体" w:eastAsia="宋体" w:cs="宋体"/>
                      <w:color w:val="auto"/>
                      <w:sz w:val="21"/>
                      <w:szCs w:val="21"/>
                    </w:rPr>
                    <w:t xml:space="preserve"> </w:t>
                  </w:r>
                  <w:r>
                    <w:rPr>
                      <w:rFonts w:ascii="宋体" w:hAnsi="宋体" w:eastAsia="宋体" w:cs="宋体"/>
                      <w:color w:val="auto"/>
                      <w:spacing w:val="8"/>
                      <w:sz w:val="21"/>
                      <w:szCs w:val="21"/>
                    </w:rPr>
                    <w:t>统，对污染区冲洗后须用湿布擦净，以免干燥后遇有机物如纸张、木材、纤维等引</w:t>
                  </w:r>
                  <w:r>
                    <w:rPr>
                      <w:rFonts w:ascii="宋体" w:hAnsi="宋体" w:eastAsia="宋体" w:cs="宋体"/>
                      <w:color w:val="auto"/>
                      <w:spacing w:val="5"/>
                      <w:sz w:val="21"/>
                      <w:szCs w:val="21"/>
                    </w:rPr>
                    <w:t>起</w:t>
                  </w:r>
                  <w:r>
                    <w:rPr>
                      <w:rFonts w:ascii="宋体" w:hAnsi="宋体" w:eastAsia="宋体" w:cs="宋体"/>
                      <w:color w:val="auto"/>
                      <w:spacing w:val="3"/>
                      <w:sz w:val="21"/>
                      <w:szCs w:val="21"/>
                    </w:rPr>
                    <w:t>燃烧</w:t>
                  </w:r>
                  <w:r>
                    <w:rPr>
                      <w:rFonts w:ascii="宋体" w:hAnsi="宋体" w:eastAsia="宋体" w:cs="宋体"/>
                      <w:color w:val="auto"/>
                      <w:spacing w:val="2"/>
                      <w:sz w:val="21"/>
                      <w:szCs w:val="21"/>
                    </w:rPr>
                    <w:t>。</w:t>
                  </w:r>
                </w:p>
                <w:p w14:paraId="147BDBB2">
                  <w:pPr>
                    <w:keepNext/>
                    <w:keepLines w:val="0"/>
                    <w:pageBreakBefore w:val="0"/>
                    <w:kinsoku/>
                    <w:wordWrap/>
                    <w:overflowPunct/>
                    <w:topLinePunct w:val="0"/>
                    <w:autoSpaceDE w:val="0"/>
                    <w:autoSpaceDN w:val="0"/>
                    <w:bidi w:val="0"/>
                    <w:spacing w:line="240" w:lineRule="auto"/>
                    <w:ind w:left="0" w:right="0" w:firstLine="0"/>
                    <w:outlineLvl w:val="9"/>
                    <w:rPr>
                      <w:rFonts w:ascii="宋体" w:hAnsi="宋体" w:eastAsia="宋体" w:cs="宋体"/>
                      <w:color w:val="auto"/>
                      <w:sz w:val="21"/>
                      <w:szCs w:val="21"/>
                    </w:rPr>
                  </w:pPr>
                  <w:r>
                    <w:rPr>
                      <w:rFonts w:ascii="宋体" w:hAnsi="宋体" w:eastAsia="宋体" w:cs="宋体"/>
                      <w:color w:val="auto"/>
                      <w:spacing w:val="8"/>
                      <w:sz w:val="21"/>
                      <w:szCs w:val="21"/>
                    </w:rPr>
                    <w:t>消防措施：消防人员须佩戴防毒面具、穿全身消防服。切勿将水流直接射至熔</w:t>
                  </w:r>
                  <w:r>
                    <w:rPr>
                      <w:rFonts w:ascii="宋体" w:hAnsi="宋体" w:eastAsia="宋体" w:cs="宋体"/>
                      <w:color w:val="auto"/>
                      <w:spacing w:val="2"/>
                      <w:sz w:val="21"/>
                      <w:szCs w:val="21"/>
                    </w:rPr>
                    <w:t>融</w:t>
                  </w:r>
                </w:p>
                <w:p w14:paraId="68CD6A05">
                  <w:pPr>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10"/>
                      <w:sz w:val="21"/>
                      <w:szCs w:val="21"/>
                    </w:rPr>
                    <w:t>物</w:t>
                  </w:r>
                  <w:r>
                    <w:rPr>
                      <w:rFonts w:ascii="宋体" w:hAnsi="宋体" w:eastAsia="宋体" w:cs="宋体"/>
                      <w:color w:val="auto"/>
                      <w:spacing w:val="8"/>
                      <w:sz w:val="21"/>
                      <w:szCs w:val="21"/>
                    </w:rPr>
                    <w:t>，以免引起严重的流淌火灾或引起剧烈的沸溅。遇大火，消防人员须在有防护掩蔽</w:t>
                  </w:r>
                  <w:r>
                    <w:rPr>
                      <w:rFonts w:ascii="宋体" w:hAnsi="宋体" w:eastAsia="宋体" w:cs="宋体"/>
                      <w:color w:val="auto"/>
                      <w:spacing w:val="18"/>
                      <w:sz w:val="21"/>
                      <w:szCs w:val="21"/>
                    </w:rPr>
                    <w:t>处</w:t>
                  </w:r>
                  <w:r>
                    <w:rPr>
                      <w:rFonts w:ascii="宋体" w:hAnsi="宋体" w:eastAsia="宋体" w:cs="宋体"/>
                      <w:color w:val="auto"/>
                      <w:spacing w:val="12"/>
                      <w:sz w:val="21"/>
                      <w:szCs w:val="21"/>
                    </w:rPr>
                    <w:t>操</w:t>
                  </w:r>
                  <w:r>
                    <w:rPr>
                      <w:rFonts w:ascii="宋体" w:hAnsi="宋体" w:eastAsia="宋体" w:cs="宋体"/>
                      <w:color w:val="auto"/>
                      <w:spacing w:val="9"/>
                      <w:sz w:val="21"/>
                      <w:szCs w:val="21"/>
                    </w:rPr>
                    <w:t>作。灭火剂：水、雾状水。初期火灾失控时，立即组织人员撤离到安全地带。</w:t>
                  </w:r>
                </w:p>
              </w:tc>
            </w:tr>
            <w:tr w14:paraId="3F9875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2487E4FC">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4"/>
                      <w:sz w:val="21"/>
                      <w:szCs w:val="21"/>
                    </w:rPr>
                    <w:t>储运措施</w:t>
                  </w:r>
                </w:p>
              </w:tc>
              <w:tc>
                <w:tcPr>
                  <w:tcW w:w="4473" w:type="pct"/>
                  <w:vAlign w:val="center"/>
                </w:tcPr>
                <w:p w14:paraId="7EBF0D2B">
                  <w:pPr>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8"/>
                      <w:sz w:val="21"/>
                      <w:szCs w:val="21"/>
                    </w:rPr>
                    <w:t>储存于专用储罐内，设有温控、液位、消防雨淋等措施。与火种、热源隔离，</w:t>
                  </w:r>
                  <w:r>
                    <w:rPr>
                      <w:rFonts w:ascii="宋体" w:hAnsi="宋体" w:eastAsia="宋体" w:cs="宋体"/>
                      <w:color w:val="auto"/>
                      <w:spacing w:val="7"/>
                      <w:sz w:val="21"/>
                      <w:szCs w:val="21"/>
                    </w:rPr>
                    <w:t>避</w:t>
                  </w:r>
                  <w:r>
                    <w:rPr>
                      <w:rFonts w:ascii="宋体" w:hAnsi="宋体" w:eastAsia="宋体" w:cs="宋体"/>
                      <w:color w:val="auto"/>
                      <w:spacing w:val="20"/>
                      <w:sz w:val="21"/>
                      <w:szCs w:val="21"/>
                    </w:rPr>
                    <w:t>免阳</w:t>
                  </w:r>
                  <w:r>
                    <w:rPr>
                      <w:rFonts w:ascii="宋体" w:hAnsi="宋体" w:eastAsia="宋体" w:cs="宋体"/>
                      <w:color w:val="auto"/>
                      <w:spacing w:val="10"/>
                      <w:sz w:val="21"/>
                      <w:szCs w:val="21"/>
                    </w:rPr>
                    <w:t>光直射、受潮。硝酸铵必须单独储存，应与碱类、酸类、易燃、可燃物、还原</w:t>
                  </w:r>
                  <w:r>
                    <w:rPr>
                      <w:rFonts w:ascii="宋体" w:hAnsi="宋体" w:eastAsia="宋体" w:cs="宋体"/>
                      <w:color w:val="auto"/>
                      <w:spacing w:val="11"/>
                      <w:sz w:val="21"/>
                      <w:szCs w:val="21"/>
                    </w:rPr>
                    <w:t>剂、硫、磷等分开存放。采用专用槽车运输，运输时防止容器破损</w:t>
                  </w:r>
                  <w:r>
                    <w:rPr>
                      <w:rFonts w:ascii="宋体" w:hAnsi="宋体" w:eastAsia="宋体" w:cs="宋体"/>
                      <w:color w:val="auto"/>
                      <w:spacing w:val="8"/>
                      <w:sz w:val="21"/>
                      <w:szCs w:val="21"/>
                    </w:rPr>
                    <w:t>。</w:t>
                  </w:r>
                </w:p>
              </w:tc>
            </w:tr>
            <w:tr w14:paraId="31639C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000" w:type="pct"/>
                  <w:gridSpan w:val="2"/>
                  <w:vAlign w:val="center"/>
                </w:tcPr>
                <w:p w14:paraId="0FEAFBFF">
                  <w:pPr>
                    <w:keepNext/>
                    <w:keepLines w:val="0"/>
                    <w:pageBreakBefore w:val="0"/>
                    <w:kinsoku/>
                    <w:wordWrap/>
                    <w:overflowPunct/>
                    <w:topLinePunct w:val="0"/>
                    <w:autoSpaceDE w:val="0"/>
                    <w:autoSpaceDN w:val="0"/>
                    <w:bidi w:val="0"/>
                    <w:spacing w:before="70" w:line="227" w:lineRule="auto"/>
                    <w:jc w:val="center"/>
                    <w:outlineLvl w:val="9"/>
                    <w:rPr>
                      <w:rFonts w:ascii="宋体" w:hAnsi="宋体" w:eastAsia="宋体" w:cs="宋体"/>
                      <w:color w:val="auto"/>
                      <w:spacing w:val="3"/>
                      <w:sz w:val="21"/>
                      <w:szCs w:val="21"/>
                    </w:rPr>
                  </w:pPr>
                  <w:r>
                    <w:rPr>
                      <w:rFonts w:hint="eastAsia" w:ascii="宋体" w:hAnsi="宋体" w:eastAsia="宋体" w:cs="宋体"/>
                      <w:b/>
                      <w:bCs/>
                      <w:color w:val="auto"/>
                      <w:spacing w:val="8"/>
                      <w:sz w:val="21"/>
                      <w:szCs w:val="21"/>
                      <w:lang w:val="en-US" w:eastAsia="zh-CN"/>
                    </w:rPr>
                    <w:t>二</w:t>
                  </w:r>
                  <w:r>
                    <w:rPr>
                      <w:rFonts w:ascii="宋体" w:hAnsi="宋体" w:eastAsia="宋体" w:cs="宋体"/>
                      <w:b/>
                      <w:bCs/>
                      <w:color w:val="auto"/>
                      <w:spacing w:val="8"/>
                      <w:sz w:val="21"/>
                      <w:szCs w:val="21"/>
                    </w:rPr>
                    <w:t>、硝酸钠</w:t>
                  </w:r>
                </w:p>
              </w:tc>
            </w:tr>
            <w:tr w14:paraId="143A73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52038CA8">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pacing w:val="4"/>
                      <w:sz w:val="21"/>
                      <w:szCs w:val="21"/>
                      <w:lang w:val="en-US" w:eastAsia="zh-CN"/>
                    </w:rPr>
                  </w:pPr>
                  <w:r>
                    <w:rPr>
                      <w:rFonts w:ascii="宋体" w:hAnsi="宋体" w:eastAsia="宋体" w:cs="宋体"/>
                      <w:color w:val="auto"/>
                      <w:spacing w:val="4"/>
                      <w:sz w:val="21"/>
                      <w:szCs w:val="21"/>
                    </w:rPr>
                    <w:t>标识</w:t>
                  </w:r>
                </w:p>
              </w:tc>
              <w:tc>
                <w:tcPr>
                  <w:tcW w:w="4473" w:type="pct"/>
                  <w:vAlign w:val="center"/>
                </w:tcPr>
                <w:p w14:paraId="7031E2D4">
                  <w:pPr>
                    <w:keepNext/>
                    <w:keepLines w:val="0"/>
                    <w:pageBreakBefore w:val="0"/>
                    <w:kinsoku/>
                    <w:wordWrap/>
                    <w:overflowPunct/>
                    <w:topLinePunct w:val="0"/>
                    <w:autoSpaceDE w:val="0"/>
                    <w:autoSpaceDN w:val="0"/>
                    <w:bidi w:val="0"/>
                    <w:spacing w:line="240" w:lineRule="auto"/>
                    <w:ind w:left="0"/>
                    <w:outlineLvl w:val="9"/>
                    <w:rPr>
                      <w:rFonts w:ascii="Times New Roman" w:hAnsi="Times New Roman" w:eastAsia="Times New Roman" w:cs="Times New Roman"/>
                      <w:color w:val="auto"/>
                      <w:sz w:val="21"/>
                      <w:szCs w:val="21"/>
                    </w:rPr>
                  </w:pPr>
                  <w:r>
                    <w:rPr>
                      <w:rFonts w:ascii="宋体" w:hAnsi="宋体" w:eastAsia="宋体" w:cs="宋体"/>
                      <w:color w:val="auto"/>
                      <w:spacing w:val="14"/>
                      <w:position w:val="1"/>
                      <w:sz w:val="21"/>
                      <w:szCs w:val="21"/>
                    </w:rPr>
                    <w:t>英文标识：</w:t>
                  </w:r>
                  <w:r>
                    <w:rPr>
                      <w:rFonts w:ascii="Times New Roman" w:hAnsi="Times New Roman" w:eastAsia="Times New Roman" w:cs="Times New Roman"/>
                      <w:color w:val="auto"/>
                      <w:position w:val="1"/>
                      <w:sz w:val="21"/>
                      <w:szCs w:val="21"/>
                    </w:rPr>
                    <w:t>Sodium</w:t>
                  </w:r>
                  <w:r>
                    <w:rPr>
                      <w:rFonts w:ascii="Times New Roman" w:hAnsi="Times New Roman" w:eastAsia="Times New Roman" w:cs="Times New Roman"/>
                      <w:color w:val="auto"/>
                      <w:spacing w:val="14"/>
                      <w:position w:val="1"/>
                      <w:sz w:val="21"/>
                      <w:szCs w:val="21"/>
                    </w:rPr>
                    <w:t xml:space="preserve"> </w:t>
                  </w:r>
                  <w:r>
                    <w:rPr>
                      <w:rFonts w:ascii="Times New Roman" w:hAnsi="Times New Roman" w:eastAsia="Times New Roman" w:cs="Times New Roman"/>
                      <w:color w:val="auto"/>
                      <w:spacing w:val="12"/>
                      <w:position w:val="1"/>
                      <w:sz w:val="21"/>
                      <w:szCs w:val="21"/>
                    </w:rPr>
                    <w:t xml:space="preserve"> </w:t>
                  </w:r>
                  <w:r>
                    <w:rPr>
                      <w:rFonts w:ascii="Times New Roman" w:hAnsi="Times New Roman" w:eastAsia="Times New Roman" w:cs="Times New Roman"/>
                      <w:color w:val="auto"/>
                      <w:position w:val="1"/>
                      <w:sz w:val="21"/>
                      <w:szCs w:val="21"/>
                    </w:rPr>
                    <w:t>nitrate</w:t>
                  </w:r>
                </w:p>
                <w:p w14:paraId="64FE7088">
                  <w:pPr>
                    <w:keepNext/>
                    <w:keepLines w:val="0"/>
                    <w:pageBreakBefore w:val="0"/>
                    <w:kinsoku/>
                    <w:wordWrap/>
                    <w:overflowPunct/>
                    <w:topLinePunct w:val="0"/>
                    <w:autoSpaceDE w:val="0"/>
                    <w:autoSpaceDN w:val="0"/>
                    <w:bidi w:val="0"/>
                    <w:spacing w:line="240" w:lineRule="auto"/>
                    <w:ind w:left="0" w:leftChars="0"/>
                    <w:outlineLvl w:val="9"/>
                    <w:rPr>
                      <w:rFonts w:ascii="Times New Roman" w:hAnsi="Times New Roman" w:eastAsia="Times New Roman" w:cs="Times New Roman"/>
                      <w:color w:val="auto"/>
                      <w:kern w:val="2"/>
                      <w:sz w:val="21"/>
                      <w:szCs w:val="21"/>
                      <w:lang w:val="en-US" w:eastAsia="zh-CN" w:bidi="ar-SA"/>
                    </w:rPr>
                  </w:pPr>
                  <w:r>
                    <w:rPr>
                      <w:rFonts w:ascii="宋体" w:hAnsi="宋体" w:eastAsia="宋体" w:cs="宋体"/>
                      <w:color w:val="auto"/>
                      <w:spacing w:val="10"/>
                      <w:sz w:val="21"/>
                      <w:szCs w:val="21"/>
                    </w:rPr>
                    <w:t>分子</w:t>
                  </w:r>
                  <w:r>
                    <w:rPr>
                      <w:rFonts w:ascii="宋体" w:hAnsi="宋体" w:eastAsia="宋体" w:cs="宋体"/>
                      <w:color w:val="auto"/>
                      <w:spacing w:val="7"/>
                      <w:sz w:val="21"/>
                      <w:szCs w:val="21"/>
                    </w:rPr>
                    <w:t>式</w:t>
                  </w:r>
                  <w:r>
                    <w:rPr>
                      <w:rFonts w:ascii="宋体" w:hAnsi="宋体" w:eastAsia="宋体" w:cs="宋体"/>
                      <w:color w:val="auto"/>
                      <w:spacing w:val="5"/>
                      <w:sz w:val="21"/>
                      <w:szCs w:val="21"/>
                    </w:rPr>
                    <w:t>：</w:t>
                  </w:r>
                  <w:r>
                    <w:rPr>
                      <w:rFonts w:ascii="Times New Roman" w:hAnsi="Times New Roman" w:eastAsia="Times New Roman" w:cs="Times New Roman"/>
                      <w:color w:val="auto"/>
                      <w:sz w:val="21"/>
                      <w:szCs w:val="21"/>
                    </w:rPr>
                    <w:t>NaNO</w:t>
                  </w:r>
                  <w:r>
                    <w:rPr>
                      <w:rFonts w:ascii="Times New Roman" w:hAnsi="Times New Roman" w:eastAsia="Times New Roman" w:cs="Times New Roman"/>
                      <w:color w:val="auto"/>
                      <w:spacing w:val="5"/>
                      <w:sz w:val="21"/>
                      <w:szCs w:val="21"/>
                      <w:vertAlign w:val="subscript"/>
                    </w:rPr>
                    <w:t>3</w:t>
                  </w:r>
                  <w:r>
                    <w:rPr>
                      <w:rFonts w:ascii="Times New Roman" w:hAnsi="Times New Roman" w:eastAsia="Times New Roman" w:cs="Times New Roman"/>
                      <w:color w:val="auto"/>
                      <w:spacing w:val="5"/>
                      <w:sz w:val="21"/>
                      <w:szCs w:val="21"/>
                    </w:rPr>
                    <w:t xml:space="preserve">  </w:t>
                  </w:r>
                  <w:r>
                    <w:rPr>
                      <w:rFonts w:ascii="宋体" w:hAnsi="宋体" w:eastAsia="宋体" w:cs="宋体"/>
                      <w:color w:val="auto"/>
                      <w:spacing w:val="5"/>
                      <w:sz w:val="21"/>
                      <w:szCs w:val="21"/>
                    </w:rPr>
                    <w:t>分子量：</w:t>
                  </w:r>
                  <w:r>
                    <w:rPr>
                      <w:rFonts w:ascii="Times New Roman" w:hAnsi="Times New Roman" w:eastAsia="Times New Roman" w:cs="Times New Roman"/>
                      <w:color w:val="auto"/>
                      <w:spacing w:val="5"/>
                      <w:sz w:val="21"/>
                      <w:szCs w:val="21"/>
                    </w:rPr>
                    <w:t>84.99</w:t>
                  </w:r>
                </w:p>
              </w:tc>
            </w:tr>
            <w:tr w14:paraId="47E1B4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4983D9A3">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pacing w:val="4"/>
                      <w:sz w:val="21"/>
                      <w:szCs w:val="21"/>
                      <w:lang w:val="en-US" w:eastAsia="zh-CN"/>
                    </w:rPr>
                  </w:pPr>
                  <w:r>
                    <w:rPr>
                      <w:rFonts w:ascii="宋体" w:hAnsi="宋体" w:eastAsia="宋体" w:cs="宋体"/>
                      <w:color w:val="auto"/>
                      <w:spacing w:val="4"/>
                      <w:sz w:val="21"/>
                      <w:szCs w:val="21"/>
                    </w:rPr>
                    <w:t>理化特性</w:t>
                  </w:r>
                </w:p>
              </w:tc>
              <w:tc>
                <w:tcPr>
                  <w:tcW w:w="4473" w:type="pct"/>
                  <w:vAlign w:val="center"/>
                </w:tcPr>
                <w:p w14:paraId="3019AC72">
                  <w:pPr>
                    <w:keepNext/>
                    <w:keepLines w:val="0"/>
                    <w:pageBreakBefore w:val="0"/>
                    <w:kinsoku/>
                    <w:wordWrap/>
                    <w:overflowPunct/>
                    <w:topLinePunct w:val="0"/>
                    <w:autoSpaceDE w:val="0"/>
                    <w:autoSpaceDN w:val="0"/>
                    <w:bidi w:val="0"/>
                    <w:spacing w:line="240" w:lineRule="auto"/>
                    <w:ind w:right="48" w:rightChars="0"/>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1"/>
                      <w:sz w:val="21"/>
                      <w:szCs w:val="21"/>
                    </w:rPr>
                    <w:t>工业硝酸钠为白色或略带微黄色结晶，相对密度</w:t>
                  </w:r>
                  <w:r>
                    <w:rPr>
                      <w:rFonts w:ascii="Times New Roman" w:hAnsi="Times New Roman" w:eastAsia="Times New Roman" w:cs="Times New Roman"/>
                      <w:color w:val="auto"/>
                      <w:spacing w:val="1"/>
                      <w:sz w:val="21"/>
                      <w:szCs w:val="21"/>
                    </w:rPr>
                    <w:t>2.261</w:t>
                  </w:r>
                  <w:r>
                    <w:rPr>
                      <w:rFonts w:ascii="宋体" w:hAnsi="宋体" w:eastAsia="宋体" w:cs="宋体"/>
                      <w:color w:val="auto"/>
                      <w:spacing w:val="1"/>
                      <w:sz w:val="21"/>
                      <w:szCs w:val="21"/>
                    </w:rPr>
                    <w:t>熔点</w:t>
                  </w:r>
                  <w:r>
                    <w:rPr>
                      <w:rFonts w:ascii="Times New Roman" w:hAnsi="Times New Roman" w:eastAsia="Times New Roman" w:cs="Times New Roman"/>
                      <w:color w:val="auto"/>
                      <w:spacing w:val="1"/>
                      <w:sz w:val="21"/>
                      <w:szCs w:val="21"/>
                    </w:rPr>
                    <w:t>306</w:t>
                  </w:r>
                  <w:r>
                    <w:rPr>
                      <w:rFonts w:ascii="Times New Roman" w:hAnsi="Times New Roman" w:eastAsia="Times New Roman" w:cs="Times New Roman"/>
                      <w:color w:val="auto"/>
                      <w:sz w:val="21"/>
                      <w:szCs w:val="21"/>
                    </w:rPr>
                    <w:t>.8℃</w:t>
                  </w:r>
                  <w:r>
                    <w:rPr>
                      <w:rFonts w:ascii="宋体" w:hAnsi="宋体" w:eastAsia="宋体" w:cs="宋体"/>
                      <w:color w:val="auto"/>
                      <w:sz w:val="21"/>
                      <w:szCs w:val="21"/>
                    </w:rPr>
                    <w:t>，易溶于水和液</w:t>
                  </w:r>
                  <w:r>
                    <w:rPr>
                      <w:rFonts w:ascii="宋体" w:hAnsi="宋体" w:eastAsia="宋体" w:cs="宋体"/>
                      <w:color w:val="auto"/>
                      <w:spacing w:val="12"/>
                      <w:sz w:val="21"/>
                      <w:szCs w:val="21"/>
                    </w:rPr>
                    <w:t>氨，</w:t>
                  </w:r>
                  <w:r>
                    <w:rPr>
                      <w:rFonts w:ascii="宋体" w:hAnsi="宋体" w:eastAsia="宋体" w:cs="宋体"/>
                      <w:color w:val="auto"/>
                      <w:spacing w:val="9"/>
                      <w:sz w:val="21"/>
                      <w:szCs w:val="21"/>
                    </w:rPr>
                    <w:t>微</w:t>
                  </w:r>
                  <w:r>
                    <w:rPr>
                      <w:rFonts w:ascii="宋体" w:hAnsi="宋体" w:eastAsia="宋体" w:cs="宋体"/>
                      <w:color w:val="auto"/>
                      <w:spacing w:val="6"/>
                      <w:sz w:val="21"/>
                      <w:szCs w:val="21"/>
                    </w:rPr>
                    <w:t>溶于甘油和乙醇中，易潮解，在含有极少量氯化钠杂质时，硝酸钠</w:t>
                  </w:r>
                  <w:r>
                    <w:rPr>
                      <w:sz w:val="21"/>
                    </w:rPr>
                    <mc:AlternateContent>
                      <mc:Choice Requires="wps">
                        <w:drawing>
                          <wp:anchor distT="0" distB="0" distL="114300" distR="114300" simplePos="0" relativeHeight="251824128" behindDoc="0" locked="0" layoutInCell="1" allowOverlap="1">
                            <wp:simplePos x="0" y="0"/>
                            <wp:positionH relativeFrom="column">
                              <wp:posOffset>-191135</wp:posOffset>
                            </wp:positionH>
                            <wp:positionV relativeFrom="paragraph">
                              <wp:posOffset>133985</wp:posOffset>
                            </wp:positionV>
                            <wp:extent cx="5038725" cy="8228965"/>
                            <wp:effectExtent l="4445" t="4445" r="5080" b="15240"/>
                            <wp:wrapNone/>
                            <wp:docPr id="228" name="矩形 228"/>
                            <wp:cNvGraphicFramePr/>
                            <a:graphic xmlns:a="http://schemas.openxmlformats.org/drawingml/2006/main">
                              <a:graphicData uri="http://schemas.microsoft.com/office/word/2010/wordprocessingShape">
                                <wps:wsp>
                                  <wps:cNvSpPr/>
                                  <wps:spPr>
                                    <a:xfrm>
                                      <a:off x="0" y="0"/>
                                      <a:ext cx="5038725" cy="8228965"/>
                                    </a:xfrm>
                                    <a:prstGeom prst="rect">
                                      <a:avLst/>
                                    </a:prstGeom>
                                    <a:solidFill>
                                      <a:schemeClr val="bg1"/>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5pt;margin-top:10.55pt;height:647.95pt;width:396.75pt;z-index:251824128;v-text-anchor:middle;mso-width-relative:page;mso-height-relative:page;" fillcolor="#FFFFFF [3212]" filled="t" stroked="t" coordsize="21600,21600" o:gfxdata="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EzL2N2gAAAAsBAAAPAAAAAAAAAAEAIAAAACIAAABkcnMv&#10;ZG93bnJldi54bWxQSwECFAAUAAAACACHTuJAgJL2fXMCAAD6BAAADgAAAAAAAAABACAAAAApAQAA&#10;ZHJzL2Uyb0RvYy54bWxQSwUGAAAAAAYABgBZAQAADgYAAAAA&#10;">
                            <v:fill on="t" focussize="0,0"/>
                            <v:stroke color="#000000 [3213]" joinstyle="round" endarrow="open"/>
                            <v:imagedata o:title=""/>
                            <o:lock v:ext="edit" aspectratio="f"/>
                          </v:rect>
                        </w:pict>
                      </mc:Fallback>
                    </mc:AlternateContent>
                  </w:r>
                  <w:r>
                    <w:rPr>
                      <w:rFonts w:ascii="宋体" w:hAnsi="宋体" w:eastAsia="宋体" w:cs="宋体"/>
                      <w:color w:val="auto"/>
                      <w:spacing w:val="6"/>
                      <w:sz w:val="21"/>
                      <w:szCs w:val="21"/>
                    </w:rPr>
                    <w:t>潮解性就</w:t>
                  </w:r>
                  <w:r>
                    <w:rPr>
                      <w:rFonts w:ascii="宋体" w:hAnsi="宋体" w:eastAsia="宋体" w:cs="宋体"/>
                      <w:color w:val="auto"/>
                      <w:spacing w:val="2"/>
                      <w:sz w:val="21"/>
                      <w:szCs w:val="21"/>
                    </w:rPr>
                    <w:t>大为增加，加热到</w:t>
                  </w:r>
                  <w:r>
                    <w:rPr>
                      <w:rFonts w:ascii="Times New Roman" w:hAnsi="Times New Roman" w:eastAsia="Times New Roman" w:cs="Times New Roman"/>
                      <w:color w:val="auto"/>
                      <w:spacing w:val="2"/>
                      <w:sz w:val="21"/>
                      <w:szCs w:val="21"/>
                    </w:rPr>
                    <w:t>380℃</w:t>
                  </w:r>
                  <w:r>
                    <w:rPr>
                      <w:rFonts w:ascii="宋体" w:hAnsi="宋体" w:eastAsia="宋体" w:cs="宋体"/>
                      <w:color w:val="auto"/>
                      <w:spacing w:val="2"/>
                      <w:sz w:val="21"/>
                      <w:szCs w:val="21"/>
                    </w:rPr>
                    <w:t>时开始分解，</w:t>
                  </w:r>
                  <w:r>
                    <w:rPr>
                      <w:rFonts w:ascii="宋体" w:hAnsi="宋体" w:eastAsia="宋体" w:cs="宋体"/>
                      <w:color w:val="auto"/>
                      <w:spacing w:val="1"/>
                      <w:sz w:val="21"/>
                      <w:szCs w:val="21"/>
                    </w:rPr>
                    <w:t>其味咸有凉觉。</w:t>
                  </w:r>
                </w:p>
              </w:tc>
            </w:tr>
            <w:tr w14:paraId="32D381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0D35B3CD">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pacing w:val="4"/>
                      <w:sz w:val="21"/>
                      <w:szCs w:val="21"/>
                    </w:rPr>
                  </w:pPr>
                  <w:r>
                    <w:rPr>
                      <w:rFonts w:ascii="宋体" w:hAnsi="宋体" w:eastAsia="宋体" w:cs="宋体"/>
                      <w:color w:val="auto"/>
                      <w:spacing w:val="4"/>
                      <w:sz w:val="21"/>
                      <w:szCs w:val="21"/>
                    </w:rPr>
                    <w:t>危险有害</w:t>
                  </w:r>
                </w:p>
                <w:p w14:paraId="6099E669">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pacing w:val="4"/>
                      <w:sz w:val="21"/>
                      <w:szCs w:val="21"/>
                      <w:lang w:val="en-US" w:eastAsia="zh-CN"/>
                    </w:rPr>
                  </w:pPr>
                  <w:r>
                    <w:rPr>
                      <w:rFonts w:ascii="宋体" w:hAnsi="宋体" w:eastAsia="宋体" w:cs="宋体"/>
                      <w:color w:val="auto"/>
                      <w:spacing w:val="4"/>
                      <w:sz w:val="21"/>
                      <w:szCs w:val="21"/>
                    </w:rPr>
                    <w:t>特性</w:t>
                  </w:r>
                </w:p>
              </w:tc>
              <w:tc>
                <w:tcPr>
                  <w:tcW w:w="4473" w:type="pct"/>
                  <w:vAlign w:val="center"/>
                </w:tcPr>
                <w:p w14:paraId="28A10FEC">
                  <w:pPr>
                    <w:keepNext/>
                    <w:keepLines w:val="0"/>
                    <w:pageBreakBefore w:val="0"/>
                    <w:kinsoku/>
                    <w:wordWrap/>
                    <w:overflowPunct/>
                    <w:topLinePunct w:val="0"/>
                    <w:autoSpaceDE w:val="0"/>
                    <w:autoSpaceDN w:val="0"/>
                    <w:bidi w:val="0"/>
                    <w:spacing w:line="240" w:lineRule="auto"/>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4"/>
                      <w:sz w:val="21"/>
                      <w:szCs w:val="21"/>
                    </w:rPr>
                    <w:t>无机氧化剂，与有机物还原剂、易</w:t>
                  </w:r>
                  <w:r>
                    <w:rPr>
                      <w:rFonts w:ascii="宋体" w:hAnsi="宋体" w:eastAsia="宋体" w:cs="宋体"/>
                      <w:color w:val="auto"/>
                      <w:spacing w:val="-2"/>
                      <w:sz w:val="21"/>
                      <w:szCs w:val="21"/>
                    </w:rPr>
                    <w:t>燃物如：硫、磷或金属粉末等混合能燃烧和爆炸，</w:t>
                  </w:r>
                  <w:r>
                    <w:rPr>
                      <w:rFonts w:ascii="宋体" w:hAnsi="宋体" w:eastAsia="宋体" w:cs="宋体"/>
                      <w:color w:val="auto"/>
                      <w:sz w:val="21"/>
                      <w:szCs w:val="21"/>
                    </w:rPr>
                    <w:t xml:space="preserve"> </w:t>
                  </w:r>
                  <w:r>
                    <w:rPr>
                      <w:rFonts w:ascii="宋体" w:hAnsi="宋体" w:eastAsia="宋体" w:cs="宋体"/>
                      <w:color w:val="auto"/>
                      <w:spacing w:val="12"/>
                      <w:sz w:val="21"/>
                      <w:szCs w:val="21"/>
                    </w:rPr>
                    <w:t>与铵盐</w:t>
                  </w:r>
                  <w:r>
                    <w:rPr>
                      <w:rFonts w:ascii="宋体" w:hAnsi="宋体" w:eastAsia="宋体" w:cs="宋体"/>
                      <w:color w:val="auto"/>
                      <w:spacing w:val="9"/>
                      <w:sz w:val="21"/>
                      <w:szCs w:val="21"/>
                    </w:rPr>
                    <w:t>、</w:t>
                  </w:r>
                  <w:r>
                    <w:rPr>
                      <w:rFonts w:ascii="宋体" w:hAnsi="宋体" w:eastAsia="宋体" w:cs="宋体"/>
                      <w:color w:val="auto"/>
                      <w:spacing w:val="6"/>
                      <w:sz w:val="21"/>
                      <w:szCs w:val="21"/>
                    </w:rPr>
                    <w:t>氰化物的混合物也会爆炸，并放出有毒和刺激性的氧化氮气体，加热或遇酸</w:t>
                  </w:r>
                  <w:r>
                    <w:rPr>
                      <w:rFonts w:ascii="宋体" w:hAnsi="宋体" w:eastAsia="宋体" w:cs="宋体"/>
                      <w:color w:val="auto"/>
                      <w:sz w:val="21"/>
                      <w:szCs w:val="21"/>
                    </w:rPr>
                    <w:t xml:space="preserve"> </w:t>
                  </w:r>
                  <w:r>
                    <w:rPr>
                      <w:rFonts w:ascii="宋体" w:hAnsi="宋体" w:eastAsia="宋体" w:cs="宋体"/>
                      <w:color w:val="auto"/>
                      <w:spacing w:val="7"/>
                      <w:sz w:val="21"/>
                      <w:szCs w:val="21"/>
                    </w:rPr>
                    <w:t>能产生剧毒的氮氧化物气体</w:t>
                  </w:r>
                  <w:r>
                    <w:rPr>
                      <w:rFonts w:ascii="宋体" w:hAnsi="宋体" w:eastAsia="宋体" w:cs="宋体"/>
                      <w:color w:val="auto"/>
                      <w:spacing w:val="4"/>
                      <w:sz w:val="21"/>
                      <w:szCs w:val="21"/>
                    </w:rPr>
                    <w:t>。</w:t>
                  </w:r>
                </w:p>
              </w:tc>
            </w:tr>
            <w:tr w14:paraId="13DC85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39719A69">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pacing w:val="4"/>
                      <w:sz w:val="21"/>
                      <w:szCs w:val="21"/>
                      <w:lang w:val="en-US" w:eastAsia="zh-CN"/>
                    </w:rPr>
                  </w:pPr>
                  <w:r>
                    <w:rPr>
                      <w:rFonts w:ascii="宋体" w:hAnsi="宋体" w:eastAsia="宋体" w:cs="宋体"/>
                      <w:color w:val="auto"/>
                      <w:spacing w:val="4"/>
                      <w:sz w:val="21"/>
                      <w:szCs w:val="21"/>
                    </w:rPr>
                    <w:t>用途</w:t>
                  </w:r>
                </w:p>
              </w:tc>
              <w:tc>
                <w:tcPr>
                  <w:tcW w:w="4473" w:type="pct"/>
                  <w:vAlign w:val="center"/>
                </w:tcPr>
                <w:p w14:paraId="5AA3E0A6">
                  <w:pPr>
                    <w:keepNext/>
                    <w:keepLines w:val="0"/>
                    <w:pageBreakBefore w:val="0"/>
                    <w:kinsoku/>
                    <w:wordWrap/>
                    <w:overflowPunct/>
                    <w:topLinePunct w:val="0"/>
                    <w:autoSpaceDE w:val="0"/>
                    <w:autoSpaceDN w:val="0"/>
                    <w:bidi w:val="0"/>
                    <w:spacing w:line="240" w:lineRule="auto"/>
                    <w:ind w:left="0" w:leftChars="0"/>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8"/>
                      <w:sz w:val="21"/>
                      <w:szCs w:val="21"/>
                    </w:rPr>
                    <w:t>制造工业炸药的原料</w:t>
                  </w:r>
                  <w:r>
                    <w:rPr>
                      <w:rFonts w:ascii="宋体" w:hAnsi="宋体" w:eastAsia="宋体" w:cs="宋体"/>
                      <w:color w:val="auto"/>
                      <w:spacing w:val="7"/>
                      <w:sz w:val="21"/>
                      <w:szCs w:val="21"/>
                    </w:rPr>
                    <w:t>。</w:t>
                  </w:r>
                </w:p>
              </w:tc>
            </w:tr>
            <w:tr w14:paraId="058452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Align w:val="center"/>
                </w:tcPr>
                <w:p w14:paraId="4CEBBB16">
                  <w:pPr>
                    <w:keepNext/>
                    <w:keepLines w:val="0"/>
                    <w:pageBreakBefore w:val="0"/>
                    <w:kinsoku/>
                    <w:wordWrap/>
                    <w:overflowPunct/>
                    <w:topLinePunct w:val="0"/>
                    <w:autoSpaceDE w:val="0"/>
                    <w:autoSpaceDN w:val="0"/>
                    <w:bidi w:val="0"/>
                    <w:spacing w:line="240" w:lineRule="auto"/>
                    <w:ind w:left="0"/>
                    <w:jc w:val="center"/>
                    <w:outlineLvl w:val="9"/>
                    <w:rPr>
                      <w:rFonts w:ascii="宋体" w:hAnsi="宋体" w:eastAsia="宋体" w:cs="宋体"/>
                      <w:color w:val="auto"/>
                      <w:spacing w:val="4"/>
                      <w:sz w:val="21"/>
                      <w:szCs w:val="21"/>
                      <w:lang w:val="en-US" w:eastAsia="zh-CN"/>
                    </w:rPr>
                  </w:pPr>
                  <w:r>
                    <w:rPr>
                      <w:rFonts w:ascii="宋体" w:hAnsi="宋体" w:eastAsia="宋体" w:cs="宋体"/>
                      <w:color w:val="auto"/>
                      <w:spacing w:val="4"/>
                      <w:sz w:val="21"/>
                      <w:szCs w:val="21"/>
                    </w:rPr>
                    <w:t>储运措施</w:t>
                  </w:r>
                </w:p>
              </w:tc>
              <w:tc>
                <w:tcPr>
                  <w:tcW w:w="4473" w:type="pct"/>
                  <w:vAlign w:val="center"/>
                </w:tcPr>
                <w:p w14:paraId="395CDA66">
                  <w:pPr>
                    <w:keepNext/>
                    <w:keepLines w:val="0"/>
                    <w:pageBreakBefore w:val="0"/>
                    <w:kinsoku/>
                    <w:wordWrap/>
                    <w:overflowPunct/>
                    <w:topLinePunct w:val="0"/>
                    <w:autoSpaceDE w:val="0"/>
                    <w:autoSpaceDN w:val="0"/>
                    <w:bidi w:val="0"/>
                    <w:spacing w:line="240" w:lineRule="auto"/>
                    <w:ind w:right="5" w:rightChars="0"/>
                    <w:outlineLvl w:val="9"/>
                    <w:rPr>
                      <w:rFonts w:ascii="宋体" w:hAnsi="宋体" w:eastAsia="宋体" w:cs="宋体"/>
                      <w:color w:val="auto"/>
                      <w:kern w:val="2"/>
                      <w:sz w:val="21"/>
                      <w:szCs w:val="21"/>
                      <w:lang w:val="en-US" w:eastAsia="zh-CN" w:bidi="ar-SA"/>
                    </w:rPr>
                  </w:pPr>
                  <w:r>
                    <w:rPr>
                      <w:rFonts w:ascii="宋体" w:hAnsi="宋体" w:eastAsia="宋体" w:cs="宋体"/>
                      <w:color w:val="auto"/>
                      <w:spacing w:val="-6"/>
                      <w:sz w:val="21"/>
                      <w:szCs w:val="21"/>
                    </w:rPr>
                    <w:t>储存的</w:t>
                  </w:r>
                  <w:r>
                    <w:rPr>
                      <w:rFonts w:ascii="宋体" w:hAnsi="宋体" w:eastAsia="宋体" w:cs="宋体"/>
                      <w:color w:val="auto"/>
                      <w:spacing w:val="-4"/>
                      <w:sz w:val="21"/>
                      <w:szCs w:val="21"/>
                    </w:rPr>
                    <w:t>库</w:t>
                  </w:r>
                  <w:r>
                    <w:rPr>
                      <w:rFonts w:ascii="宋体" w:hAnsi="宋体" w:eastAsia="宋体" w:cs="宋体"/>
                      <w:color w:val="auto"/>
                      <w:spacing w:val="-3"/>
                      <w:sz w:val="21"/>
                      <w:szCs w:val="21"/>
                    </w:rPr>
                    <w:t>房应保持通风、干燥、并避免与酸类物质、易燃易爆物及其它有机物同仓共</w:t>
                  </w:r>
                  <w:r>
                    <w:rPr>
                      <w:rFonts w:ascii="宋体" w:hAnsi="宋体" w:eastAsia="宋体" w:cs="宋体"/>
                      <w:color w:val="auto"/>
                      <w:sz w:val="21"/>
                      <w:szCs w:val="21"/>
                    </w:rPr>
                    <w:t xml:space="preserve"> </w:t>
                  </w:r>
                  <w:r>
                    <w:rPr>
                      <w:rFonts w:ascii="宋体" w:hAnsi="宋体" w:eastAsia="宋体" w:cs="宋体"/>
                      <w:color w:val="auto"/>
                      <w:spacing w:val="8"/>
                      <w:sz w:val="21"/>
                      <w:szCs w:val="21"/>
                    </w:rPr>
                    <w:t>储。搬</w:t>
                  </w:r>
                  <w:r>
                    <w:rPr>
                      <w:rFonts w:ascii="宋体" w:hAnsi="宋体" w:eastAsia="宋体" w:cs="宋体"/>
                      <w:color w:val="auto"/>
                      <w:spacing w:val="7"/>
                      <w:sz w:val="21"/>
                      <w:szCs w:val="21"/>
                    </w:rPr>
                    <w:t>运</w:t>
                  </w:r>
                  <w:r>
                    <w:rPr>
                      <w:rFonts w:ascii="宋体" w:hAnsi="宋体" w:eastAsia="宋体" w:cs="宋体"/>
                      <w:color w:val="auto"/>
                      <w:spacing w:val="4"/>
                      <w:sz w:val="21"/>
                      <w:szCs w:val="21"/>
                    </w:rPr>
                    <w:t>时小心轻放，严防震动、</w:t>
                  </w:r>
                  <w:r>
                    <w:rPr>
                      <w:rFonts w:hint="eastAsia" w:ascii="宋体" w:hAnsi="宋体" w:eastAsia="宋体" w:cs="宋体"/>
                      <w:color w:val="auto"/>
                      <w:spacing w:val="4"/>
                      <w:sz w:val="21"/>
                      <w:szCs w:val="21"/>
                      <w:lang w:eastAsia="zh-CN"/>
                    </w:rPr>
                    <w:t>摩擦</w:t>
                  </w:r>
                  <w:r>
                    <w:rPr>
                      <w:rFonts w:ascii="宋体" w:hAnsi="宋体" w:eastAsia="宋体" w:cs="宋体"/>
                      <w:color w:val="auto"/>
                      <w:spacing w:val="4"/>
                      <w:sz w:val="21"/>
                      <w:szCs w:val="21"/>
                    </w:rPr>
                    <w:t>和容器破损。</w:t>
                  </w:r>
                </w:p>
              </w:tc>
            </w:tr>
            <w:tr w14:paraId="2BB8C6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000" w:type="pct"/>
                  <w:gridSpan w:val="2"/>
                  <w:vAlign w:val="center"/>
                </w:tcPr>
                <w:p w14:paraId="2D02D743">
                  <w:pPr>
                    <w:keepNext/>
                    <w:keepLines w:val="0"/>
                    <w:pageBreakBefore w:val="0"/>
                    <w:kinsoku/>
                    <w:wordWrap/>
                    <w:overflowPunct/>
                    <w:topLinePunct w:val="0"/>
                    <w:autoSpaceDE w:val="0"/>
                    <w:autoSpaceDN w:val="0"/>
                    <w:bidi w:val="0"/>
                    <w:spacing w:before="70" w:line="227" w:lineRule="auto"/>
                    <w:jc w:val="center"/>
                    <w:outlineLvl w:val="9"/>
                    <w:rPr>
                      <w:rFonts w:hint="default" w:ascii="宋体" w:hAnsi="宋体" w:eastAsia="宋体" w:cs="宋体"/>
                      <w:color w:val="auto"/>
                      <w:spacing w:val="3"/>
                      <w:sz w:val="21"/>
                      <w:szCs w:val="21"/>
                      <w:lang w:val="en-US" w:eastAsia="zh-CN"/>
                    </w:rPr>
                  </w:pPr>
                  <w:r>
                    <w:rPr>
                      <w:rFonts w:hint="eastAsia" w:ascii="宋体" w:hAnsi="宋体" w:eastAsia="宋体" w:cs="宋体"/>
                      <w:b/>
                      <w:bCs/>
                      <w:color w:val="auto"/>
                      <w:spacing w:val="3"/>
                      <w:sz w:val="21"/>
                      <w:szCs w:val="21"/>
                      <w:highlight w:val="none"/>
                      <w:lang w:val="en-US" w:eastAsia="zh-CN"/>
                    </w:rPr>
                    <w:t>三、复合油相</w:t>
                  </w:r>
                </w:p>
              </w:tc>
            </w:tr>
            <w:tr w14:paraId="4DCF76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600C6D68">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kern w:val="2"/>
                      <w:sz w:val="21"/>
                      <w:szCs w:val="21"/>
                      <w:lang w:val="en-US" w:eastAsia="en-US" w:bidi="ar-SA"/>
                    </w:rPr>
                  </w:pPr>
                  <w:r>
                    <w:rPr>
                      <w:color w:val="auto"/>
                      <w:spacing w:val="3"/>
                      <w:sz w:val="21"/>
                      <w:szCs w:val="21"/>
                    </w:rPr>
                    <w:t>名称</w:t>
                  </w:r>
                  <w:r>
                    <w:rPr>
                      <w:color w:val="auto"/>
                      <w:spacing w:val="2"/>
                      <w:sz w:val="21"/>
                      <w:szCs w:val="21"/>
                    </w:rPr>
                    <w:t>定义</w:t>
                  </w:r>
                </w:p>
              </w:tc>
              <w:tc>
                <w:tcPr>
                  <w:tcW w:w="4473" w:type="pct"/>
                  <w:shd w:val="clear" w:color="auto" w:fill="auto"/>
                  <w:vAlign w:val="center"/>
                </w:tcPr>
                <w:p w14:paraId="2ED74BA8">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ascii="宋体" w:hAnsi="宋体" w:eastAsia="宋体" w:cs="宋体"/>
                      <w:color w:val="auto"/>
                      <w:kern w:val="2"/>
                      <w:sz w:val="21"/>
                      <w:szCs w:val="21"/>
                      <w:lang w:val="en-US" w:eastAsia="en-US" w:bidi="ar-SA"/>
                    </w:rPr>
                  </w:pPr>
                  <w:r>
                    <w:rPr>
                      <w:color w:val="auto"/>
                      <w:spacing w:val="9"/>
                      <w:sz w:val="21"/>
                      <w:szCs w:val="21"/>
                    </w:rPr>
                    <w:t>复合油相是由石蜡、凡士林、机油和乳化剂</w:t>
                  </w:r>
                  <w:r>
                    <w:rPr>
                      <w:rFonts w:hint="eastAsia"/>
                      <w:color w:val="auto"/>
                      <w:spacing w:val="9"/>
                      <w:sz w:val="21"/>
                      <w:szCs w:val="21"/>
                      <w:lang w:val="en-US" w:eastAsia="zh-CN"/>
                    </w:rPr>
                    <w:t>等主要成分</w:t>
                  </w:r>
                  <w:r>
                    <w:rPr>
                      <w:color w:val="auto"/>
                      <w:spacing w:val="9"/>
                      <w:sz w:val="21"/>
                      <w:szCs w:val="21"/>
                    </w:rPr>
                    <w:t>组</w:t>
                  </w:r>
                  <w:r>
                    <w:rPr>
                      <w:color w:val="auto"/>
                      <w:spacing w:val="3"/>
                      <w:sz w:val="21"/>
                      <w:szCs w:val="21"/>
                    </w:rPr>
                    <w:t>成。目前尚无行业统一标准。</w:t>
                  </w:r>
                </w:p>
              </w:tc>
            </w:tr>
            <w:tr w14:paraId="62CC34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4B842A4C">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kern w:val="2"/>
                      <w:sz w:val="21"/>
                      <w:szCs w:val="21"/>
                      <w:lang w:val="en-US" w:eastAsia="en-US" w:bidi="ar-SA"/>
                    </w:rPr>
                  </w:pPr>
                  <w:r>
                    <w:rPr>
                      <w:color w:val="auto"/>
                      <w:spacing w:val="3"/>
                      <w:sz w:val="21"/>
                      <w:szCs w:val="21"/>
                    </w:rPr>
                    <w:t>理化</w:t>
                  </w:r>
                  <w:r>
                    <w:rPr>
                      <w:color w:val="auto"/>
                      <w:spacing w:val="4"/>
                      <w:sz w:val="21"/>
                      <w:szCs w:val="21"/>
                    </w:rPr>
                    <w:t>特性</w:t>
                  </w:r>
                </w:p>
              </w:tc>
              <w:tc>
                <w:tcPr>
                  <w:tcW w:w="4473" w:type="pct"/>
                  <w:shd w:val="clear" w:color="auto" w:fill="auto"/>
                  <w:vAlign w:val="center"/>
                </w:tcPr>
                <w:p w14:paraId="16BB596A">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eastAsia" w:ascii="Times New Roman" w:hAnsi="Times New Roman" w:eastAsia="宋体" w:cs="Times New Roman"/>
                      <w:color w:val="auto"/>
                      <w:kern w:val="2"/>
                      <w:sz w:val="21"/>
                      <w:szCs w:val="21"/>
                      <w:lang w:val="en-US" w:eastAsia="zh-CN" w:bidi="ar-SA"/>
                    </w:rPr>
                  </w:pPr>
                  <w:r>
                    <w:rPr>
                      <w:color w:val="auto"/>
                      <w:spacing w:val="3"/>
                      <w:sz w:val="21"/>
                      <w:szCs w:val="21"/>
                    </w:rPr>
                    <w:t>滴点≥</w:t>
                  </w:r>
                  <w:r>
                    <w:rPr>
                      <w:rFonts w:ascii="Times New Roman" w:hAnsi="Times New Roman" w:eastAsia="Times New Roman" w:cs="Times New Roman"/>
                      <w:color w:val="auto"/>
                      <w:spacing w:val="3"/>
                      <w:sz w:val="21"/>
                      <w:szCs w:val="21"/>
                    </w:rPr>
                    <w:t>58-60</w:t>
                  </w:r>
                  <w:r>
                    <w:rPr>
                      <w:color w:val="auto"/>
                      <w:spacing w:val="3"/>
                      <w:sz w:val="21"/>
                      <w:szCs w:val="21"/>
                    </w:rPr>
                    <w:t>℃</w:t>
                  </w:r>
                  <w:r>
                    <w:rPr>
                      <w:rFonts w:hint="eastAsia"/>
                      <w:color w:val="auto"/>
                      <w:spacing w:val="3"/>
                      <w:sz w:val="21"/>
                      <w:szCs w:val="21"/>
                      <w:lang w:val="en-US" w:eastAsia="zh-CN"/>
                    </w:rPr>
                    <w:t>；</w:t>
                  </w:r>
                  <w:r>
                    <w:rPr>
                      <w:color w:val="auto"/>
                      <w:spacing w:val="3"/>
                      <w:sz w:val="21"/>
                      <w:szCs w:val="21"/>
                    </w:rPr>
                    <w:t>含油量为</w:t>
                  </w:r>
                  <w:r>
                    <w:rPr>
                      <w:color w:val="auto"/>
                      <w:spacing w:val="-23"/>
                      <w:sz w:val="21"/>
                      <w:szCs w:val="21"/>
                    </w:rPr>
                    <w:t xml:space="preserve"> </w:t>
                  </w:r>
                  <w:r>
                    <w:rPr>
                      <w:rFonts w:ascii="Times New Roman" w:hAnsi="Times New Roman" w:eastAsia="Times New Roman" w:cs="Times New Roman"/>
                      <w:color w:val="auto"/>
                      <w:spacing w:val="3"/>
                      <w:sz w:val="21"/>
                      <w:szCs w:val="21"/>
                    </w:rPr>
                    <w:t>15%-</w:t>
                  </w:r>
                  <w:r>
                    <w:rPr>
                      <w:rFonts w:hint="eastAsia" w:ascii="Times New Roman" w:hAnsi="Times New Roman" w:eastAsia="宋体" w:cs="Times New Roman"/>
                      <w:color w:val="auto"/>
                      <w:spacing w:val="3"/>
                      <w:sz w:val="21"/>
                      <w:szCs w:val="21"/>
                      <w:lang w:val="en-US" w:eastAsia="zh-CN"/>
                    </w:rPr>
                    <w:t>4</w:t>
                  </w:r>
                  <w:r>
                    <w:rPr>
                      <w:rFonts w:ascii="Times New Roman" w:hAnsi="Times New Roman" w:eastAsia="Times New Roman" w:cs="Times New Roman"/>
                      <w:color w:val="auto"/>
                      <w:spacing w:val="3"/>
                      <w:sz w:val="21"/>
                      <w:szCs w:val="21"/>
                    </w:rPr>
                    <w:t>0%</w:t>
                  </w:r>
                  <w:r>
                    <w:rPr>
                      <w:color w:val="auto"/>
                      <w:spacing w:val="3"/>
                      <w:sz w:val="21"/>
                      <w:szCs w:val="21"/>
                    </w:rPr>
                    <w:t>；粘度（</w:t>
                  </w:r>
                  <w:r>
                    <w:rPr>
                      <w:rFonts w:ascii="Times New Roman" w:hAnsi="Times New Roman" w:eastAsia="Times New Roman" w:cs="Times New Roman"/>
                      <w:color w:val="auto"/>
                      <w:spacing w:val="3"/>
                      <w:sz w:val="21"/>
                      <w:szCs w:val="21"/>
                    </w:rPr>
                    <w:t>100</w:t>
                  </w:r>
                  <w:r>
                    <w:rPr>
                      <w:color w:val="auto"/>
                      <w:spacing w:val="3"/>
                      <w:sz w:val="21"/>
                      <w:szCs w:val="21"/>
                    </w:rPr>
                    <w:t>℃</w:t>
                  </w:r>
                  <w:r>
                    <w:rPr>
                      <w:rFonts w:hint="eastAsia"/>
                      <w:color w:val="auto"/>
                      <w:spacing w:val="3"/>
                      <w:sz w:val="21"/>
                      <w:szCs w:val="21"/>
                      <w:lang w:eastAsia="zh-CN"/>
                    </w:rPr>
                    <w:t>）</w:t>
                  </w:r>
                  <w:r>
                    <w:rPr>
                      <w:color w:val="auto"/>
                      <w:spacing w:val="3"/>
                      <w:sz w:val="21"/>
                      <w:szCs w:val="21"/>
                    </w:rPr>
                    <w:t>为</w:t>
                  </w:r>
                  <w:r>
                    <w:rPr>
                      <w:color w:val="auto"/>
                      <w:spacing w:val="-37"/>
                      <w:sz w:val="21"/>
                      <w:szCs w:val="21"/>
                    </w:rPr>
                    <w:t xml:space="preserve"> </w:t>
                  </w:r>
                  <w:r>
                    <w:rPr>
                      <w:rFonts w:ascii="Times New Roman" w:hAnsi="Times New Roman" w:eastAsia="Times New Roman" w:cs="Times New Roman"/>
                      <w:color w:val="auto"/>
                      <w:spacing w:val="3"/>
                      <w:sz w:val="21"/>
                      <w:szCs w:val="21"/>
                    </w:rPr>
                    <w:t>7-9</w:t>
                  </w:r>
                  <w:r>
                    <w:rPr>
                      <w:rFonts w:ascii="Times New Roman" w:hAnsi="Times New Roman" w:eastAsia="Times New Roman" w:cs="Times New Roman"/>
                      <w:color w:val="auto"/>
                      <w:sz w:val="21"/>
                      <w:szCs w:val="21"/>
                    </w:rPr>
                    <w:t>mm</w:t>
                  </w:r>
                  <w:r>
                    <w:rPr>
                      <w:rFonts w:hint="default" w:ascii="Times New Roman" w:hAnsi="Times New Roman" w:cs="Times New Roman"/>
                      <w:color w:val="auto"/>
                      <w:spacing w:val="9"/>
                      <w:sz w:val="21"/>
                      <w:szCs w:val="21"/>
                      <w:vertAlign w:val="superscript"/>
                    </w:rPr>
                    <w:t>2</w:t>
                  </w:r>
                  <w:r>
                    <w:rPr>
                      <w:rFonts w:ascii="Times New Roman" w:hAnsi="Times New Roman" w:eastAsia="Times New Roman" w:cs="Times New Roman"/>
                      <w:color w:val="auto"/>
                      <w:spacing w:val="3"/>
                      <w:sz w:val="21"/>
                      <w:szCs w:val="21"/>
                    </w:rPr>
                    <w:t>/s</w:t>
                  </w:r>
                  <w:r>
                    <w:rPr>
                      <w:color w:val="auto"/>
                      <w:spacing w:val="3"/>
                      <w:sz w:val="21"/>
                      <w:szCs w:val="21"/>
                    </w:rPr>
                    <w:t>；氧平衡：</w:t>
                  </w:r>
                  <w:r>
                    <w:rPr>
                      <w:color w:val="auto"/>
                      <w:sz w:val="21"/>
                      <w:szCs w:val="21"/>
                    </w:rPr>
                    <w:t xml:space="preserve"> </w:t>
                  </w:r>
                  <w:r>
                    <w:rPr>
                      <w:rFonts w:ascii="Times New Roman" w:hAnsi="Times New Roman" w:eastAsia="Times New Roman" w:cs="Times New Roman"/>
                      <w:color w:val="auto"/>
                      <w:spacing w:val="4"/>
                      <w:sz w:val="21"/>
                      <w:szCs w:val="21"/>
                    </w:rPr>
                    <w:t>-3.38g/g</w:t>
                  </w:r>
                  <w:r>
                    <w:rPr>
                      <w:color w:val="auto"/>
                      <w:spacing w:val="4"/>
                      <w:sz w:val="21"/>
                      <w:szCs w:val="21"/>
                    </w:rPr>
                    <w:t>；分子量约为</w:t>
                  </w:r>
                  <w:r>
                    <w:rPr>
                      <w:color w:val="auto"/>
                      <w:spacing w:val="-27"/>
                      <w:sz w:val="21"/>
                      <w:szCs w:val="21"/>
                    </w:rPr>
                    <w:t xml:space="preserve"> </w:t>
                  </w:r>
                  <w:r>
                    <w:rPr>
                      <w:rFonts w:ascii="Times New Roman" w:hAnsi="Times New Roman" w:eastAsia="Times New Roman" w:cs="Times New Roman"/>
                      <w:color w:val="auto"/>
                      <w:spacing w:val="4"/>
                      <w:sz w:val="21"/>
                      <w:szCs w:val="21"/>
                    </w:rPr>
                    <w:t>500</w:t>
                  </w:r>
                  <w:r>
                    <w:rPr>
                      <w:color w:val="auto"/>
                      <w:spacing w:val="4"/>
                      <w:sz w:val="21"/>
                      <w:szCs w:val="21"/>
                    </w:rPr>
                    <w:t>；闪点（开口）</w:t>
                  </w:r>
                  <w:r>
                    <w:rPr>
                      <w:color w:val="auto"/>
                      <w:spacing w:val="-58"/>
                      <w:sz w:val="21"/>
                      <w:szCs w:val="21"/>
                    </w:rPr>
                    <w:t xml:space="preserve"> </w:t>
                  </w:r>
                  <w:r>
                    <w:rPr>
                      <w:color w:val="auto"/>
                      <w:spacing w:val="4"/>
                      <w:sz w:val="21"/>
                      <w:szCs w:val="21"/>
                    </w:rPr>
                    <w:t>≥</w:t>
                  </w:r>
                  <w:r>
                    <w:rPr>
                      <w:rFonts w:ascii="Times New Roman" w:hAnsi="Times New Roman" w:eastAsia="Times New Roman" w:cs="Times New Roman"/>
                      <w:color w:val="auto"/>
                      <w:spacing w:val="4"/>
                      <w:sz w:val="21"/>
                      <w:szCs w:val="21"/>
                    </w:rPr>
                    <w:t>200</w:t>
                  </w:r>
                  <w:r>
                    <w:rPr>
                      <w:color w:val="auto"/>
                      <w:spacing w:val="4"/>
                      <w:sz w:val="21"/>
                      <w:szCs w:val="21"/>
                    </w:rPr>
                    <w:t>℃</w:t>
                  </w:r>
                  <w:r>
                    <w:rPr>
                      <w:rFonts w:hint="eastAsia"/>
                      <w:color w:val="auto"/>
                      <w:spacing w:val="4"/>
                      <w:sz w:val="21"/>
                      <w:szCs w:val="21"/>
                      <w:lang w:val="en-US" w:eastAsia="zh-CN"/>
                    </w:rPr>
                    <w:t>；</w:t>
                  </w:r>
                  <w:r>
                    <w:rPr>
                      <w:color w:val="auto"/>
                      <w:spacing w:val="4"/>
                      <w:sz w:val="21"/>
                      <w:szCs w:val="21"/>
                    </w:rPr>
                    <w:t>密度：</w:t>
                  </w:r>
                  <w:r>
                    <w:rPr>
                      <w:rFonts w:ascii="Times New Roman" w:hAnsi="Times New Roman" w:eastAsia="Times New Roman" w:cs="Times New Roman"/>
                      <w:color w:val="auto"/>
                      <w:spacing w:val="4"/>
                      <w:sz w:val="21"/>
                      <w:szCs w:val="21"/>
                    </w:rPr>
                    <w:t>0.85g/</w:t>
                  </w:r>
                  <w:r>
                    <w:rPr>
                      <w:rFonts w:ascii="Times New Roman" w:hAnsi="Times New Roman" w:eastAsia="Times New Roman" w:cs="Times New Roman"/>
                      <w:color w:val="auto"/>
                      <w:sz w:val="21"/>
                      <w:szCs w:val="21"/>
                    </w:rPr>
                    <w:t>cm</w:t>
                  </w:r>
                  <w:r>
                    <w:rPr>
                      <w:rFonts w:hint="default" w:ascii="Times New Roman" w:hAnsi="Times New Roman" w:cs="Times New Roman"/>
                      <w:color w:val="auto"/>
                      <w:spacing w:val="9"/>
                      <w:sz w:val="21"/>
                      <w:szCs w:val="21"/>
                      <w:vertAlign w:val="superscript"/>
                    </w:rPr>
                    <w:t>3</w:t>
                  </w:r>
                  <w:r>
                    <w:rPr>
                      <w:rFonts w:hint="eastAsia" w:ascii="Times New Roman" w:hAnsi="Times New Roman" w:cs="Times New Roman"/>
                      <w:color w:val="auto"/>
                      <w:spacing w:val="9"/>
                      <w:sz w:val="21"/>
                      <w:szCs w:val="21"/>
                      <w:vertAlign w:val="baseline"/>
                      <w:lang w:eastAsia="zh-CN"/>
                    </w:rPr>
                    <w:t>；</w:t>
                  </w:r>
                  <w:r>
                    <w:rPr>
                      <w:rFonts w:hint="eastAsia"/>
                      <w:color w:val="auto"/>
                      <w:spacing w:val="3"/>
                      <w:sz w:val="21"/>
                      <w:szCs w:val="21"/>
                      <w:lang w:val="en-US" w:eastAsia="zh-CN"/>
                    </w:rPr>
                    <w:t>熔点：</w:t>
                  </w:r>
                  <w:r>
                    <w:rPr>
                      <w:color w:val="auto"/>
                      <w:spacing w:val="3"/>
                      <w:sz w:val="21"/>
                      <w:szCs w:val="21"/>
                    </w:rPr>
                    <w:t>50～70℃</w:t>
                  </w:r>
                  <w:r>
                    <w:rPr>
                      <w:rFonts w:hint="eastAsia"/>
                      <w:color w:val="auto"/>
                      <w:spacing w:val="3"/>
                      <w:sz w:val="21"/>
                      <w:szCs w:val="21"/>
                      <w:lang w:eastAsia="zh-CN"/>
                    </w:rPr>
                    <w:t>；</w:t>
                  </w:r>
                  <w:r>
                    <w:rPr>
                      <w:rFonts w:hint="eastAsia"/>
                      <w:color w:val="auto"/>
                      <w:spacing w:val="3"/>
                      <w:sz w:val="21"/>
                      <w:szCs w:val="21"/>
                      <w:lang w:val="en-US" w:eastAsia="zh-CN"/>
                    </w:rPr>
                    <w:t>沸点：</w:t>
                  </w:r>
                  <w:r>
                    <w:rPr>
                      <w:color w:val="auto"/>
                      <w:spacing w:val="3"/>
                      <w:sz w:val="21"/>
                      <w:szCs w:val="21"/>
                    </w:rPr>
                    <w:t>300～500℃</w:t>
                  </w:r>
                </w:p>
              </w:tc>
            </w:tr>
            <w:tr w14:paraId="009195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68DE5C2A">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kern w:val="2"/>
                      <w:sz w:val="21"/>
                      <w:szCs w:val="21"/>
                      <w:lang w:val="en-US" w:eastAsia="en-US" w:bidi="ar-SA"/>
                    </w:rPr>
                  </w:pPr>
                  <w:r>
                    <w:rPr>
                      <w:color w:val="auto"/>
                      <w:spacing w:val="3"/>
                      <w:sz w:val="21"/>
                      <w:szCs w:val="21"/>
                    </w:rPr>
                    <w:t>危险</w:t>
                  </w:r>
                  <w:r>
                    <w:rPr>
                      <w:color w:val="auto"/>
                      <w:spacing w:val="4"/>
                      <w:sz w:val="21"/>
                      <w:szCs w:val="21"/>
                    </w:rPr>
                    <w:t>特性</w:t>
                  </w:r>
                </w:p>
              </w:tc>
              <w:tc>
                <w:tcPr>
                  <w:tcW w:w="4473" w:type="pct"/>
                  <w:shd w:val="clear" w:color="auto" w:fill="auto"/>
                  <w:vAlign w:val="center"/>
                </w:tcPr>
                <w:p w14:paraId="7B4C54B5">
                  <w:pPr>
                    <w:pStyle w:val="115"/>
                    <w:keepNext/>
                    <w:keepLines w:val="0"/>
                    <w:pageBreakBefore w:val="0"/>
                    <w:kinsoku/>
                    <w:wordWrap/>
                    <w:overflowPunct/>
                    <w:topLinePunct w:val="0"/>
                    <w:autoSpaceDE w:val="0"/>
                    <w:autoSpaceDN w:val="0"/>
                    <w:bidi w:val="0"/>
                    <w:spacing w:line="240" w:lineRule="auto"/>
                    <w:ind w:left="0" w:leftChars="0" w:right="0" w:firstLine="0"/>
                    <w:outlineLvl w:val="9"/>
                    <w:rPr>
                      <w:rFonts w:ascii="宋体" w:hAnsi="宋体" w:eastAsia="宋体" w:cs="宋体"/>
                      <w:color w:val="auto"/>
                      <w:kern w:val="2"/>
                      <w:sz w:val="21"/>
                      <w:szCs w:val="21"/>
                      <w:lang w:val="en-US" w:eastAsia="en-US" w:bidi="ar-SA"/>
                    </w:rPr>
                  </w:pPr>
                  <w:r>
                    <w:rPr>
                      <w:color w:val="auto"/>
                      <w:spacing w:val="9"/>
                      <w:sz w:val="21"/>
                      <w:szCs w:val="21"/>
                    </w:rPr>
                    <w:t>复合油相是可燃物，当环境温度过高及周围有明火时，容易发生燃烧事故。</w:t>
                  </w:r>
                </w:p>
              </w:tc>
            </w:tr>
            <w:tr w14:paraId="09E6A8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69DD8E89">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kern w:val="2"/>
                      <w:sz w:val="21"/>
                      <w:szCs w:val="21"/>
                      <w:lang w:val="en-US" w:eastAsia="en-US" w:bidi="ar-SA"/>
                    </w:rPr>
                  </w:pPr>
                  <w:r>
                    <w:rPr>
                      <w:color w:val="auto"/>
                      <w:spacing w:val="4"/>
                      <w:sz w:val="21"/>
                      <w:szCs w:val="21"/>
                    </w:rPr>
                    <w:t>健康</w:t>
                  </w:r>
                  <w:r>
                    <w:rPr>
                      <w:color w:val="auto"/>
                      <w:spacing w:val="3"/>
                      <w:sz w:val="21"/>
                      <w:szCs w:val="21"/>
                    </w:rPr>
                    <w:t>危害</w:t>
                  </w:r>
                </w:p>
              </w:tc>
              <w:tc>
                <w:tcPr>
                  <w:tcW w:w="4473" w:type="pct"/>
                  <w:shd w:val="clear" w:color="auto" w:fill="auto"/>
                  <w:vAlign w:val="center"/>
                </w:tcPr>
                <w:p w14:paraId="51680763">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both"/>
                    <w:outlineLvl w:val="9"/>
                    <w:rPr>
                      <w:rFonts w:ascii="宋体" w:hAnsi="宋体" w:eastAsia="宋体" w:cs="宋体"/>
                      <w:color w:val="auto"/>
                      <w:kern w:val="2"/>
                      <w:sz w:val="21"/>
                      <w:szCs w:val="21"/>
                      <w:lang w:val="en-US" w:eastAsia="en-US" w:bidi="ar-SA"/>
                    </w:rPr>
                  </w:pPr>
                  <w:r>
                    <w:rPr>
                      <w:color w:val="auto"/>
                      <w:spacing w:val="8"/>
                      <w:sz w:val="21"/>
                      <w:szCs w:val="21"/>
                    </w:rPr>
                    <w:t>复合油相</w:t>
                  </w:r>
                  <w:r>
                    <w:rPr>
                      <w:rFonts w:hint="eastAsia"/>
                      <w:color w:val="auto"/>
                      <w:spacing w:val="8"/>
                      <w:sz w:val="21"/>
                      <w:szCs w:val="21"/>
                      <w:lang w:val="en-US" w:eastAsia="zh-CN"/>
                    </w:rPr>
                    <w:t>高温会少量挥发产生挥发性有机气体</w:t>
                  </w:r>
                  <w:r>
                    <w:rPr>
                      <w:color w:val="auto"/>
                      <w:spacing w:val="8"/>
                      <w:sz w:val="21"/>
                      <w:szCs w:val="21"/>
                    </w:rPr>
                    <w:t>，</w:t>
                  </w:r>
                  <w:r>
                    <w:rPr>
                      <w:rFonts w:hint="eastAsia"/>
                      <w:color w:val="auto"/>
                      <w:spacing w:val="8"/>
                      <w:sz w:val="21"/>
                      <w:szCs w:val="21"/>
                      <w:lang w:val="en-US" w:eastAsia="zh-CN"/>
                    </w:rPr>
                    <w:t>会造成</w:t>
                  </w:r>
                  <w:r>
                    <w:rPr>
                      <w:color w:val="auto"/>
                      <w:spacing w:val="8"/>
                      <w:sz w:val="21"/>
                      <w:szCs w:val="21"/>
                    </w:rPr>
                    <w:t>如头晕、头痛</w:t>
                  </w:r>
                  <w:r>
                    <w:rPr>
                      <w:rFonts w:hint="eastAsia"/>
                      <w:color w:val="auto"/>
                      <w:spacing w:val="8"/>
                      <w:sz w:val="21"/>
                      <w:szCs w:val="21"/>
                      <w:lang w:val="en-US" w:eastAsia="zh-CN"/>
                    </w:rPr>
                    <w:t>等健康危害</w:t>
                  </w:r>
                  <w:r>
                    <w:rPr>
                      <w:color w:val="auto"/>
                      <w:spacing w:val="9"/>
                      <w:sz w:val="21"/>
                      <w:szCs w:val="21"/>
                    </w:rPr>
                    <w:t>。</w:t>
                  </w:r>
                </w:p>
              </w:tc>
            </w:tr>
            <w:tr w14:paraId="5BC843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7CBCCE48">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ascii="宋体" w:hAnsi="宋体" w:eastAsia="宋体" w:cs="宋体"/>
                      <w:color w:val="auto"/>
                      <w:kern w:val="2"/>
                      <w:sz w:val="21"/>
                      <w:szCs w:val="21"/>
                      <w:lang w:val="en-US" w:eastAsia="en-US" w:bidi="ar-SA"/>
                    </w:rPr>
                  </w:pPr>
                  <w:r>
                    <w:rPr>
                      <w:color w:val="auto"/>
                      <w:spacing w:val="4"/>
                      <w:sz w:val="21"/>
                      <w:szCs w:val="21"/>
                    </w:rPr>
                    <w:t>事故</w:t>
                  </w:r>
                  <w:r>
                    <w:rPr>
                      <w:color w:val="auto"/>
                      <w:spacing w:val="2"/>
                      <w:sz w:val="21"/>
                      <w:szCs w:val="21"/>
                    </w:rPr>
                    <w:t>处理</w:t>
                  </w:r>
                </w:p>
              </w:tc>
              <w:tc>
                <w:tcPr>
                  <w:tcW w:w="4473" w:type="pct"/>
                  <w:shd w:val="clear" w:color="auto" w:fill="auto"/>
                  <w:vAlign w:val="center"/>
                </w:tcPr>
                <w:p w14:paraId="0E8A2DC2">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ascii="宋体" w:hAnsi="宋体" w:eastAsia="宋体" w:cs="宋体"/>
                      <w:color w:val="auto"/>
                      <w:kern w:val="2"/>
                      <w:sz w:val="21"/>
                      <w:szCs w:val="21"/>
                      <w:lang w:val="en-US" w:eastAsia="en-US" w:bidi="ar-SA"/>
                    </w:rPr>
                  </w:pPr>
                  <w:r>
                    <w:rPr>
                      <w:color w:val="auto"/>
                      <w:spacing w:val="7"/>
                      <w:sz w:val="21"/>
                      <w:szCs w:val="21"/>
                    </w:rPr>
                    <w:t>一旦复合油相发生燃烧宜采用二氧化碳、干粉灭火器来</w:t>
                  </w:r>
                  <w:r>
                    <w:rPr>
                      <w:color w:val="auto"/>
                      <w:spacing w:val="6"/>
                      <w:sz w:val="21"/>
                      <w:szCs w:val="21"/>
                    </w:rPr>
                    <w:t>灭火。出现人员中毒，</w:t>
                  </w:r>
                  <w:r>
                    <w:rPr>
                      <w:color w:val="auto"/>
                      <w:sz w:val="21"/>
                      <w:szCs w:val="21"/>
                    </w:rPr>
                    <w:t xml:space="preserve"> </w:t>
                  </w:r>
                  <w:r>
                    <w:rPr>
                      <w:color w:val="auto"/>
                      <w:spacing w:val="7"/>
                      <w:sz w:val="21"/>
                      <w:szCs w:val="21"/>
                    </w:rPr>
                    <w:t>宜将人员转移至通风处。</w:t>
                  </w:r>
                </w:p>
              </w:tc>
            </w:tr>
            <w:tr w14:paraId="645B9E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36B4E505">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ascii="宋体" w:hAnsi="宋体" w:eastAsia="宋体" w:cs="宋体"/>
                      <w:color w:val="auto"/>
                      <w:kern w:val="2"/>
                      <w:sz w:val="21"/>
                      <w:szCs w:val="21"/>
                      <w:lang w:val="en-US" w:eastAsia="en-US" w:bidi="ar-SA"/>
                    </w:rPr>
                  </w:pPr>
                  <w:r>
                    <w:rPr>
                      <w:color w:val="auto"/>
                      <w:spacing w:val="5"/>
                      <w:sz w:val="21"/>
                      <w:szCs w:val="21"/>
                    </w:rPr>
                    <w:t>储运</w:t>
                  </w:r>
                  <w:r>
                    <w:rPr>
                      <w:color w:val="auto"/>
                      <w:spacing w:val="4"/>
                      <w:sz w:val="21"/>
                      <w:szCs w:val="21"/>
                    </w:rPr>
                    <w:t>注意</w:t>
                  </w:r>
                  <w:r>
                    <w:rPr>
                      <w:color w:val="auto"/>
                      <w:sz w:val="21"/>
                      <w:szCs w:val="21"/>
                    </w:rPr>
                    <w:t xml:space="preserve"> </w:t>
                  </w:r>
                  <w:r>
                    <w:rPr>
                      <w:color w:val="auto"/>
                      <w:spacing w:val="4"/>
                      <w:sz w:val="21"/>
                      <w:szCs w:val="21"/>
                    </w:rPr>
                    <w:t>事项</w:t>
                  </w:r>
                </w:p>
              </w:tc>
              <w:tc>
                <w:tcPr>
                  <w:tcW w:w="4473" w:type="pct"/>
                  <w:shd w:val="clear" w:color="auto" w:fill="auto"/>
                  <w:vAlign w:val="center"/>
                </w:tcPr>
                <w:p w14:paraId="33758CE4">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ascii="宋体" w:hAnsi="宋体" w:eastAsia="宋体" w:cs="宋体"/>
                      <w:color w:val="auto"/>
                      <w:kern w:val="2"/>
                      <w:sz w:val="21"/>
                      <w:szCs w:val="21"/>
                      <w:lang w:val="en-US" w:eastAsia="en-US" w:bidi="ar-SA"/>
                    </w:rPr>
                  </w:pPr>
                  <w:r>
                    <w:rPr>
                      <w:color w:val="auto"/>
                      <w:spacing w:val="9"/>
                      <w:sz w:val="21"/>
                      <w:szCs w:val="21"/>
                    </w:rPr>
                    <w:t>复合油相不应与氧化剂共同储存，宜单独存放。储存处应通风换气，确保储</w:t>
                  </w:r>
                  <w:r>
                    <w:rPr>
                      <w:color w:val="auto"/>
                      <w:spacing w:val="16"/>
                      <w:sz w:val="21"/>
                      <w:szCs w:val="21"/>
                    </w:rPr>
                    <w:t xml:space="preserve"> </w:t>
                  </w:r>
                  <w:r>
                    <w:rPr>
                      <w:color w:val="auto"/>
                      <w:spacing w:val="8"/>
                      <w:sz w:val="21"/>
                      <w:szCs w:val="21"/>
                    </w:rPr>
                    <w:t>存环境温度不高于滴点温度。</w:t>
                  </w:r>
                </w:p>
              </w:tc>
            </w:tr>
            <w:tr w14:paraId="6A1768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000" w:type="pct"/>
                  <w:gridSpan w:val="2"/>
                  <w:shd w:val="clear" w:color="auto" w:fill="auto"/>
                  <w:vAlign w:val="center"/>
                </w:tcPr>
                <w:p w14:paraId="2035FFFB">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eastAsia="宋体"/>
                      <w:color w:val="auto"/>
                      <w:spacing w:val="9"/>
                      <w:sz w:val="21"/>
                      <w:szCs w:val="21"/>
                      <w:lang w:val="en-US" w:eastAsia="zh-CN"/>
                    </w:rPr>
                  </w:pPr>
                  <w:r>
                    <w:rPr>
                      <w:rFonts w:hint="eastAsia"/>
                      <w:color w:val="auto"/>
                      <w:spacing w:val="9"/>
                      <w:sz w:val="21"/>
                      <w:szCs w:val="21"/>
                      <w:lang w:val="en-US" w:eastAsia="zh-CN"/>
                    </w:rPr>
                    <w:t>油墨</w:t>
                  </w:r>
                </w:p>
              </w:tc>
            </w:tr>
            <w:tr w14:paraId="48FE51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3A324942">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hint="default" w:ascii="Times New Roman" w:hAnsi="Times New Roman" w:eastAsia="宋体" w:cs="Times New Roman"/>
                      <w:color w:val="auto"/>
                      <w:spacing w:val="5"/>
                      <w:sz w:val="21"/>
                      <w:szCs w:val="21"/>
                      <w:lang w:val="en-US" w:eastAsia="zh-CN"/>
                    </w:rPr>
                  </w:pPr>
                  <w:r>
                    <w:rPr>
                      <w:rFonts w:hint="default" w:ascii="Times New Roman" w:hAnsi="Times New Roman" w:eastAsia="宋体" w:cs="Times New Roman"/>
                      <w:color w:val="auto"/>
                      <w:spacing w:val="5"/>
                      <w:sz w:val="21"/>
                      <w:szCs w:val="21"/>
                      <w:lang w:val="en-US" w:eastAsia="zh-CN"/>
                    </w:rPr>
                    <w:t>理化特性</w:t>
                  </w:r>
                </w:p>
              </w:tc>
              <w:tc>
                <w:tcPr>
                  <w:tcW w:w="4473" w:type="pct"/>
                  <w:shd w:val="clear" w:color="auto" w:fill="auto"/>
                  <w:vAlign w:val="center"/>
                </w:tcPr>
                <w:p w14:paraId="4784A968">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z w:val="21"/>
                      <w:szCs w:val="21"/>
                    </w:rPr>
                    <w:t>主要成分为</w:t>
                  </w:r>
                  <w:bookmarkStart w:id="42" w:name="OLE_LINK6"/>
                  <w:r>
                    <w:rPr>
                      <w:rFonts w:hint="default" w:ascii="Times New Roman" w:hAnsi="Times New Roman" w:eastAsia="宋体" w:cs="Times New Roman"/>
                      <w:color w:val="auto"/>
                      <w:sz w:val="21"/>
                      <w:szCs w:val="21"/>
                    </w:rPr>
                    <w:t>2－丁酮</w:t>
                  </w:r>
                  <w:bookmarkEnd w:id="42"/>
                  <w:r>
                    <w:rPr>
                      <w:rFonts w:hint="default" w:ascii="Times New Roman" w:hAnsi="Times New Roman" w:eastAsia="宋体" w:cs="Times New Roman"/>
                      <w:color w:val="auto"/>
                      <w:sz w:val="21"/>
                      <w:szCs w:val="21"/>
                    </w:rPr>
                    <w:t>占比39%~70%；树脂占比1%~15%；染料占比1%~5%；其他占比10%。液体，有似丙酮气味，熔点-85.9℃，沸点79.6℃，溶于水、乙醇、乙醚，可混溶于油类。</w:t>
                  </w:r>
                </w:p>
              </w:tc>
            </w:tr>
            <w:tr w14:paraId="2335F0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1B21C0D8">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3"/>
                      <w:sz w:val="21"/>
                      <w:szCs w:val="21"/>
                    </w:rPr>
                    <w:t>危险</w:t>
                  </w:r>
                  <w:r>
                    <w:rPr>
                      <w:rFonts w:hint="default" w:ascii="Times New Roman" w:hAnsi="Times New Roman" w:eastAsia="宋体" w:cs="Times New Roman"/>
                      <w:color w:val="auto"/>
                      <w:spacing w:val="4"/>
                      <w:sz w:val="21"/>
                      <w:szCs w:val="21"/>
                    </w:rPr>
                    <w:t>特性</w:t>
                  </w:r>
                </w:p>
              </w:tc>
              <w:tc>
                <w:tcPr>
                  <w:tcW w:w="4473" w:type="pct"/>
                  <w:shd w:val="clear" w:color="auto" w:fill="auto"/>
                  <w:vAlign w:val="center"/>
                </w:tcPr>
                <w:p w14:paraId="500C5C33">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lang w:val="en-US" w:eastAsia="zh-CN"/>
                    </w:rPr>
                    <w:t>易燃，遇明火、高热或与氧化剂接触，有引起燃烧爆炸的危险。其蒸气比空气重，能在较低处扩散到相当远的地方，遇火源会着火回燃。</w:t>
                  </w:r>
                </w:p>
              </w:tc>
            </w:tr>
            <w:tr w14:paraId="50BC5B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4FE789D4">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4"/>
                      <w:sz w:val="21"/>
                      <w:szCs w:val="21"/>
                    </w:rPr>
                    <w:t>健康</w:t>
                  </w:r>
                  <w:r>
                    <w:rPr>
                      <w:rFonts w:hint="default" w:ascii="Times New Roman" w:hAnsi="Times New Roman" w:eastAsia="宋体" w:cs="Times New Roman"/>
                      <w:color w:val="auto"/>
                      <w:spacing w:val="3"/>
                      <w:sz w:val="21"/>
                      <w:szCs w:val="21"/>
                    </w:rPr>
                    <w:t>危害</w:t>
                  </w:r>
                </w:p>
              </w:tc>
              <w:tc>
                <w:tcPr>
                  <w:tcW w:w="4473" w:type="pct"/>
                  <w:shd w:val="clear" w:color="auto" w:fill="auto"/>
                  <w:vAlign w:val="center"/>
                </w:tcPr>
                <w:p w14:paraId="14AC3C01">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对眼睛有刺激性。接触皮肤可导致皮肤干涩。</w:t>
                  </w:r>
                </w:p>
              </w:tc>
            </w:tr>
            <w:tr w14:paraId="53B11C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Merge w:val="restart"/>
                  <w:shd w:val="clear" w:color="auto" w:fill="auto"/>
                  <w:vAlign w:val="center"/>
                </w:tcPr>
                <w:p w14:paraId="1574CC5F">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操作处置与储存</w:t>
                  </w:r>
                </w:p>
              </w:tc>
              <w:tc>
                <w:tcPr>
                  <w:tcW w:w="4473" w:type="pct"/>
                  <w:shd w:val="clear" w:color="auto" w:fill="auto"/>
                  <w:vAlign w:val="center"/>
                </w:tcPr>
                <w:p w14:paraId="6679AFE7">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操作注意事项</w:t>
                  </w:r>
                  <w:r>
                    <w:rPr>
                      <w:rFonts w:hint="eastAsia" w:ascii="Times New Roman" w:hAnsi="Times New Roman" w:cs="Times New Roman"/>
                      <w:color w:val="auto"/>
                      <w:spacing w:val="9"/>
                      <w:sz w:val="21"/>
                      <w:szCs w:val="21"/>
                      <w:lang w:eastAsia="zh-CN"/>
                    </w:rPr>
                    <w:t>：</w:t>
                  </w:r>
                </w:p>
                <w:p w14:paraId="480C0908">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密闭操作，全面通风。</w:t>
                  </w:r>
                </w:p>
                <w:p w14:paraId="7AC51CD1">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操作人员必须经过专门培训，严格遵守操作规程。建议操作人员佩戴自吸过滤式防毒面具</w:t>
                  </w:r>
                  <w:r>
                    <w:rPr>
                      <w:rFonts w:hint="eastAsia" w:ascii="Times New Roman" w:hAnsi="Times New Roman" w:cs="Times New Roman"/>
                      <w:color w:val="auto"/>
                      <w:spacing w:val="9"/>
                      <w:sz w:val="21"/>
                      <w:szCs w:val="21"/>
                      <w:lang w:eastAsia="zh-CN"/>
                    </w:rPr>
                    <w:t>（</w:t>
                  </w:r>
                  <w:r>
                    <w:rPr>
                      <w:rFonts w:hint="default" w:ascii="Times New Roman" w:hAnsi="Times New Roman" w:eastAsia="宋体" w:cs="Times New Roman"/>
                      <w:color w:val="auto"/>
                      <w:spacing w:val="9"/>
                      <w:sz w:val="21"/>
                      <w:szCs w:val="21"/>
                    </w:rPr>
                    <w:t>半面罩</w:t>
                  </w:r>
                  <w:r>
                    <w:rPr>
                      <w:rFonts w:hint="eastAsia" w:ascii="Times New Roman" w:hAnsi="Times New Roman" w:cs="Times New Roman"/>
                      <w:color w:val="auto"/>
                      <w:spacing w:val="9"/>
                      <w:sz w:val="21"/>
                      <w:szCs w:val="21"/>
                      <w:lang w:eastAsia="zh-CN"/>
                    </w:rPr>
                    <w:t>）</w:t>
                  </w:r>
                  <w:r>
                    <w:rPr>
                      <w:rFonts w:hint="default" w:ascii="Times New Roman" w:hAnsi="Times New Roman" w:eastAsia="宋体" w:cs="Times New Roman"/>
                      <w:color w:val="auto"/>
                      <w:spacing w:val="9"/>
                      <w:sz w:val="21"/>
                      <w:szCs w:val="21"/>
                    </w:rPr>
                    <w:t>，戴化学安全防护眼镜，穿防静电工作服，戴橡胶耐油手套。远离火种，工作场所严禁吸烟。使用防爆型的通风系统和设备，避免与氧化剂、还原剂、碱类接触。灌装时应控制流速，且有接地装置，防止静电积聚。搬运时要轻装轻卸，防止包装及容器损坏。配备相应品种和数量的消防器材及泄漏应急处理设备。倒空的容器可能残留有害物。</w:t>
                  </w:r>
                </w:p>
              </w:tc>
            </w:tr>
            <w:tr w14:paraId="3335C8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Merge w:val="continue"/>
                  <w:shd w:val="clear" w:color="auto" w:fill="auto"/>
                  <w:vAlign w:val="center"/>
                </w:tcPr>
                <w:p w14:paraId="7060800B">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hint="default" w:ascii="Times New Roman" w:hAnsi="Times New Roman" w:eastAsia="宋体" w:cs="Times New Roman"/>
                      <w:color w:val="auto"/>
                      <w:spacing w:val="5"/>
                      <w:sz w:val="21"/>
                      <w:szCs w:val="21"/>
                    </w:rPr>
                  </w:pPr>
                </w:p>
              </w:tc>
              <w:tc>
                <w:tcPr>
                  <w:tcW w:w="4473" w:type="pct"/>
                  <w:shd w:val="clear" w:color="auto" w:fill="auto"/>
                  <w:vAlign w:val="center"/>
                </w:tcPr>
                <w:p w14:paraId="2FB51B29">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储存注意事项</w:t>
                  </w:r>
                  <w:r>
                    <w:rPr>
                      <w:rFonts w:hint="eastAsia" w:ascii="Times New Roman" w:hAnsi="Times New Roman" w:cs="Times New Roman"/>
                      <w:color w:val="auto"/>
                      <w:spacing w:val="9"/>
                      <w:sz w:val="21"/>
                      <w:szCs w:val="21"/>
                      <w:lang w:eastAsia="zh-CN"/>
                    </w:rPr>
                    <w:t>：</w:t>
                  </w:r>
                </w:p>
                <w:p w14:paraId="7347A189">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储存于阴凉、通风的库房，远离火种，常温保存，保持容器密封。应与氧化剂、还原剂、碱类分开存放，切忌混储。采用防爆型照明、通风设施，禁止使用易产生火花的机械设备和工具，储区应备有泄漏应急处理设备和合适的收容材料。</w:t>
                  </w:r>
                </w:p>
              </w:tc>
            </w:tr>
            <w:tr w14:paraId="384633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000" w:type="pct"/>
                  <w:gridSpan w:val="2"/>
                  <w:shd w:val="clear" w:color="auto" w:fill="auto"/>
                  <w:vAlign w:val="center"/>
                </w:tcPr>
                <w:p w14:paraId="34CAF991">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spacing w:val="9"/>
                      <w:sz w:val="21"/>
                      <w:szCs w:val="21"/>
                    </w:rPr>
                  </w:pPr>
                  <w:r>
                    <w:rPr>
                      <w:rFonts w:ascii="宋体" w:hAnsi="宋体" w:eastAsia="宋体" w:cs="宋体"/>
                      <w:color w:val="auto"/>
                      <w:sz w:val="21"/>
                      <w:szCs w:val="21"/>
                    </w:rPr>
                    <w:t>油墨添加剂</w:t>
                  </w:r>
                </w:p>
              </w:tc>
            </w:tr>
            <w:tr w14:paraId="3BC30B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6F70E8C2">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lang w:val="en-US" w:eastAsia="zh-CN"/>
                    </w:rPr>
                    <w:t>理化特性</w:t>
                  </w:r>
                </w:p>
              </w:tc>
              <w:tc>
                <w:tcPr>
                  <w:tcW w:w="4473" w:type="pct"/>
                  <w:shd w:val="clear" w:color="auto" w:fill="auto"/>
                  <w:vAlign w:val="center"/>
                </w:tcPr>
                <w:p w14:paraId="241445E6">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ascii="宋体" w:hAnsi="宋体" w:eastAsia="宋体" w:cs="宋体"/>
                      <w:color w:val="auto"/>
                      <w:sz w:val="21"/>
                      <w:szCs w:val="21"/>
                    </w:rPr>
                    <w:t>主要成分为甲基-乙基酮占比 92-96%，乙醇占比 1-3%，乙酸乙酯占比 1-5%无色液体，有强烈气味，熔点-85℃，沸点＞75℃，部分溶解且有沉淀物，不属于危险化学品。</w:t>
                  </w:r>
                </w:p>
              </w:tc>
            </w:tr>
            <w:tr w14:paraId="66EC99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1B295832">
                  <w:pPr>
                    <w:pStyle w:val="115"/>
                    <w:keepNext/>
                    <w:keepLines w:val="0"/>
                    <w:pageBreakBefore w:val="0"/>
                    <w:kinsoku/>
                    <w:wordWrap/>
                    <w:overflowPunct/>
                    <w:topLinePunct w:val="0"/>
                    <w:autoSpaceDE w:val="0"/>
                    <w:autoSpaceDN w:val="0"/>
                    <w:bidi w:val="0"/>
                    <w:spacing w:line="240" w:lineRule="auto"/>
                    <w:ind w:left="0" w:leftChars="0" w:right="0" w:rightChars="0" w:firstLine="0"/>
                    <w:jc w:val="center"/>
                    <w:outlineLvl w:val="9"/>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3"/>
                      <w:sz w:val="21"/>
                      <w:szCs w:val="21"/>
                    </w:rPr>
                    <w:t>危险</w:t>
                  </w:r>
                  <w:r>
                    <w:rPr>
                      <w:rFonts w:hint="default" w:ascii="Times New Roman" w:hAnsi="Times New Roman" w:eastAsia="宋体" w:cs="Times New Roman"/>
                      <w:color w:val="auto"/>
                      <w:spacing w:val="4"/>
                      <w:sz w:val="21"/>
                      <w:szCs w:val="21"/>
                    </w:rPr>
                    <w:t>特性</w:t>
                  </w:r>
                </w:p>
              </w:tc>
              <w:tc>
                <w:tcPr>
                  <w:tcW w:w="4473" w:type="pct"/>
                  <w:shd w:val="clear" w:color="auto" w:fill="auto"/>
                  <w:vAlign w:val="center"/>
                </w:tcPr>
                <w:p w14:paraId="2460FE9E">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易燃，遇明火、高热或与氧化剂接触，有引起燃烧爆炸的危险。其蒸气比空气重，能在较低处扩散到相当远的地方，遇火源会着火回燃。</w:t>
                  </w:r>
                </w:p>
              </w:tc>
            </w:tr>
            <w:tr w14:paraId="010037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shd w:val="clear" w:color="auto" w:fill="auto"/>
                  <w:vAlign w:val="center"/>
                </w:tcPr>
                <w:p w14:paraId="45C70BD4">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spacing w:val="5"/>
                      <w:kern w:val="2"/>
                      <w:sz w:val="21"/>
                      <w:szCs w:val="21"/>
                      <w:lang w:val="en-US" w:eastAsia="en-US" w:bidi="ar-SA"/>
                    </w:rPr>
                  </w:pPr>
                  <w:r>
                    <w:rPr>
                      <w:sz w:val="21"/>
                    </w:rPr>
                    <mc:AlternateContent>
                      <mc:Choice Requires="wps">
                        <w:drawing>
                          <wp:anchor distT="0" distB="0" distL="114300" distR="114300" simplePos="0" relativeHeight="251825152" behindDoc="0" locked="0" layoutInCell="1" allowOverlap="1">
                            <wp:simplePos x="0" y="0"/>
                            <wp:positionH relativeFrom="column">
                              <wp:posOffset>107315</wp:posOffset>
                            </wp:positionH>
                            <wp:positionV relativeFrom="paragraph">
                              <wp:posOffset>43815</wp:posOffset>
                            </wp:positionV>
                            <wp:extent cx="5038725" cy="4399280"/>
                            <wp:effectExtent l="4445" t="4445" r="5080" b="15875"/>
                            <wp:wrapNone/>
                            <wp:docPr id="229" name="矩形 229"/>
                            <wp:cNvGraphicFramePr/>
                            <a:graphic xmlns:a="http://schemas.openxmlformats.org/drawingml/2006/main">
                              <a:graphicData uri="http://schemas.microsoft.com/office/word/2010/wordprocessingShape">
                                <wps:wsp>
                                  <wps:cNvSpPr/>
                                  <wps:spPr>
                                    <a:xfrm>
                                      <a:off x="0" y="0"/>
                                      <a:ext cx="5038725" cy="4399280"/>
                                    </a:xfrm>
                                    <a:prstGeom prst="rect">
                                      <a:avLst/>
                                    </a:prstGeom>
                                    <a:solidFill>
                                      <a:schemeClr val="bg1"/>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45pt;margin-top:3.45pt;height:346.4pt;width:396.75pt;z-index:251825152;v-text-anchor:middle;mso-width-relative:page;mso-height-relative:page;" fillcolor="#FFFFFF [3212]" filled="t" stroked="t" coordsize="21600,21600" o:gfxdata="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SBUOe1gAAAAgBAAAPAAAAAAAAAAEAIAAAACIAAABkcnMv&#10;ZG93bnJldi54bWxQSwECFAAUAAAACACHTuJAYyqs2HcCAAD6BAAADgAAAAAAAAABACAAAAAlAQAA&#10;ZHJzL2Uyb0RvYy54bWxQSwUGAAAAAAYABgBZAQAADgYAAAAA&#10;">
                            <v:fill on="t" focussize="0,0"/>
                            <v:stroke color="#000000 [3213]" joinstyle="round" endarrow="open"/>
                            <v:imagedata o:title=""/>
                            <o:lock v:ext="edit" aspectratio="f"/>
                          </v:rect>
                        </w:pict>
                      </mc:Fallback>
                    </mc:AlternateContent>
                  </w:r>
                  <w:r>
                    <w:rPr>
                      <w:rFonts w:hint="default" w:ascii="Times New Roman" w:hAnsi="Times New Roman" w:eastAsia="宋体" w:cs="Times New Roman"/>
                      <w:color w:val="auto"/>
                      <w:spacing w:val="4"/>
                      <w:sz w:val="21"/>
                      <w:szCs w:val="21"/>
                    </w:rPr>
                    <w:t>健康</w:t>
                  </w:r>
                  <w:r>
                    <w:rPr>
                      <w:rFonts w:hint="default" w:ascii="Times New Roman" w:hAnsi="Times New Roman" w:eastAsia="宋体" w:cs="Times New Roman"/>
                      <w:color w:val="auto"/>
                      <w:spacing w:val="3"/>
                      <w:sz w:val="21"/>
                      <w:szCs w:val="21"/>
                    </w:rPr>
                    <w:t>危害</w:t>
                  </w:r>
                </w:p>
              </w:tc>
              <w:tc>
                <w:tcPr>
                  <w:tcW w:w="4473" w:type="pct"/>
                  <w:shd w:val="clear" w:color="auto" w:fill="auto"/>
                  <w:vAlign w:val="center"/>
                </w:tcPr>
                <w:p w14:paraId="6D8B86D8">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对眼睛有刺激性。接触皮肤可导致皮肤干涩。</w:t>
                  </w:r>
                </w:p>
              </w:tc>
            </w:tr>
            <w:tr w14:paraId="34F2FA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Merge w:val="restart"/>
                  <w:vAlign w:val="center"/>
                </w:tcPr>
                <w:p w14:paraId="44AD176B">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spacing w:val="5"/>
                      <w:kern w:val="2"/>
                      <w:sz w:val="21"/>
                      <w:szCs w:val="21"/>
                      <w:lang w:val="en-US" w:eastAsia="en-US" w:bidi="ar-SA"/>
                    </w:rPr>
                  </w:pPr>
                  <w:r>
                    <w:rPr>
                      <w:rFonts w:hint="default" w:ascii="Times New Roman" w:hAnsi="Times New Roman" w:eastAsia="宋体" w:cs="Times New Roman"/>
                      <w:color w:val="auto"/>
                      <w:spacing w:val="5"/>
                      <w:sz w:val="21"/>
                      <w:szCs w:val="21"/>
                    </w:rPr>
                    <w:t>操作处置与储存</w:t>
                  </w:r>
                </w:p>
              </w:tc>
              <w:tc>
                <w:tcPr>
                  <w:tcW w:w="0" w:type="auto"/>
                </w:tcPr>
                <w:p w14:paraId="6503F980">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操作注意事项</w:t>
                  </w:r>
                  <w:r>
                    <w:rPr>
                      <w:rFonts w:hint="eastAsia" w:ascii="Times New Roman" w:hAnsi="Times New Roman" w:cs="Times New Roman"/>
                      <w:color w:val="auto"/>
                      <w:spacing w:val="9"/>
                      <w:sz w:val="21"/>
                      <w:szCs w:val="21"/>
                      <w:lang w:eastAsia="zh-CN"/>
                    </w:rPr>
                    <w:t>：</w:t>
                  </w:r>
                </w:p>
                <w:p w14:paraId="3B98D759">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密闭操作，全面通风。操作人员必须经过专门培训，严格遵守操作规程。建议操作人员佩戴自吸过滤式防毒面具</w:t>
                  </w:r>
                  <w:r>
                    <w:rPr>
                      <w:rFonts w:hint="eastAsia" w:ascii="Times New Roman" w:hAnsi="Times New Roman" w:cs="Times New Roman"/>
                      <w:color w:val="auto"/>
                      <w:spacing w:val="9"/>
                      <w:sz w:val="21"/>
                      <w:szCs w:val="21"/>
                      <w:lang w:eastAsia="zh-CN"/>
                    </w:rPr>
                    <w:t>（</w:t>
                  </w:r>
                  <w:r>
                    <w:rPr>
                      <w:rFonts w:hint="default" w:ascii="Times New Roman" w:hAnsi="Times New Roman" w:eastAsia="宋体" w:cs="Times New Roman"/>
                      <w:color w:val="auto"/>
                      <w:spacing w:val="9"/>
                      <w:sz w:val="21"/>
                      <w:szCs w:val="21"/>
                    </w:rPr>
                    <w:t>半面罩</w:t>
                  </w:r>
                  <w:r>
                    <w:rPr>
                      <w:rFonts w:hint="eastAsia" w:ascii="Times New Roman" w:hAnsi="Times New Roman" w:cs="Times New Roman"/>
                      <w:color w:val="auto"/>
                      <w:spacing w:val="9"/>
                      <w:sz w:val="21"/>
                      <w:szCs w:val="21"/>
                      <w:lang w:eastAsia="zh-CN"/>
                    </w:rPr>
                    <w:t>）</w:t>
                  </w:r>
                  <w:r>
                    <w:rPr>
                      <w:rFonts w:hint="default" w:ascii="Times New Roman" w:hAnsi="Times New Roman" w:eastAsia="宋体" w:cs="Times New Roman"/>
                      <w:color w:val="auto"/>
                      <w:spacing w:val="9"/>
                      <w:sz w:val="21"/>
                      <w:szCs w:val="21"/>
                    </w:rPr>
                    <w:t>，戴化学安全防护眼镜，穿防静电工作服，戴橡胶耐油手套。远离火种，工作场所严禁吸烟。使用防爆型的通风系统和设备，避免与氧化剂、还原剂、碱类接触。灌装时应控制流速，且有接地装置，防止静电积聚。搬运时要轻装轻卸，防止包装及容器损坏。配备相应品种和数量的消防器材及泄漏应急处理设备。倒空的容器可能残留有害物。</w:t>
                  </w:r>
                </w:p>
              </w:tc>
            </w:tr>
            <w:tr w14:paraId="0B8E26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6" w:type="pct"/>
                  <w:vMerge w:val="continue"/>
                  <w:vAlign w:val="center"/>
                </w:tcPr>
                <w:p w14:paraId="0586D432">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spacing w:val="5"/>
                      <w:sz w:val="21"/>
                      <w:szCs w:val="21"/>
                    </w:rPr>
                  </w:pPr>
                </w:p>
              </w:tc>
              <w:tc>
                <w:tcPr>
                  <w:tcW w:w="0" w:type="auto"/>
                </w:tcPr>
                <w:p w14:paraId="1E7757CA">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储存注意事项</w:t>
                  </w:r>
                  <w:r>
                    <w:rPr>
                      <w:rFonts w:hint="eastAsia" w:ascii="Times New Roman" w:hAnsi="Times New Roman" w:cs="Times New Roman"/>
                      <w:color w:val="auto"/>
                      <w:spacing w:val="9"/>
                      <w:sz w:val="21"/>
                      <w:szCs w:val="21"/>
                      <w:lang w:eastAsia="zh-CN"/>
                    </w:rPr>
                    <w:t>：</w:t>
                  </w:r>
                </w:p>
                <w:p w14:paraId="6FF549B3">
                  <w:pPr>
                    <w:pStyle w:val="115"/>
                    <w:keepNext/>
                    <w:keepLines w:val="0"/>
                    <w:pageBreakBefore w:val="0"/>
                    <w:kinsoku/>
                    <w:wordWrap/>
                    <w:overflowPunct/>
                    <w:topLinePunct w:val="0"/>
                    <w:autoSpaceDE w:val="0"/>
                    <w:autoSpaceDN w:val="0"/>
                    <w:bidi w:val="0"/>
                    <w:spacing w:line="240" w:lineRule="auto"/>
                    <w:ind w:left="0" w:leftChars="0" w:right="0" w:rightChars="0" w:firstLine="0" w:firstLineChars="0"/>
                    <w:outlineLvl w:val="9"/>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储存于阴凉、通风的库房，远离火种，常温保存，保持容器密封。应与氧化剂、还原剂、碱类分开存放，切忌混储。采用防爆型照明、通风设施，禁止使用易产生火花的机械设备和工具，储区应备有泄漏应急处理设备和合适的收容材料。</w:t>
                  </w:r>
                </w:p>
              </w:tc>
            </w:tr>
          </w:tbl>
          <w:p w14:paraId="6FE2313E">
            <w:pPr>
              <w:keepNext/>
              <w:keepLines w:val="0"/>
              <w:pageBreakBefore w:val="0"/>
              <w:kinsoku/>
              <w:wordWrap/>
              <w:overflowPunct/>
              <w:topLinePunct w:val="0"/>
              <w:bidi w:val="0"/>
              <w:spacing w:line="360" w:lineRule="auto"/>
              <w:ind w:firstLine="480" w:firstLineChars="200"/>
              <w:outlineLvl w:val="9"/>
              <w:rPr>
                <w:rFonts w:hint="eastAsia"/>
                <w:color w:val="auto"/>
                <w:sz w:val="24"/>
              </w:rPr>
            </w:pPr>
          </w:p>
          <w:p w14:paraId="7873CE7D">
            <w:pPr>
              <w:keepNext/>
              <w:keepLines w:val="0"/>
              <w:pageBreakBefore w:val="0"/>
              <w:kinsoku/>
              <w:wordWrap/>
              <w:overflowPunct/>
              <w:topLinePunct w:val="0"/>
              <w:bidi w:val="0"/>
              <w:spacing w:line="360" w:lineRule="auto"/>
              <w:ind w:firstLine="480" w:firstLineChars="200"/>
              <w:outlineLvl w:val="9"/>
              <w:rPr>
                <w:rFonts w:hint="eastAsia"/>
                <w:color w:val="auto"/>
                <w:sz w:val="24"/>
                <w:highlight w:val="none"/>
                <w:lang w:val="en-US" w:eastAsia="zh-CN"/>
              </w:rPr>
            </w:pPr>
            <w:r>
              <w:rPr>
                <w:rFonts w:hint="eastAsia"/>
                <w:color w:val="auto"/>
                <w:sz w:val="24"/>
                <w:lang w:val="en-US" w:eastAsia="zh-CN"/>
              </w:rPr>
              <w:t>喷码油墨VOCs成分检测结果见</w:t>
            </w:r>
            <w:r>
              <w:rPr>
                <w:rFonts w:hint="eastAsia"/>
                <w:color w:val="auto"/>
                <w:sz w:val="24"/>
                <w:highlight w:val="none"/>
                <w:lang w:val="en-US" w:eastAsia="zh-CN"/>
              </w:rPr>
              <w:t>表2-11。</w:t>
            </w:r>
          </w:p>
          <w:p w14:paraId="5C212E51">
            <w:pPr>
              <w:keepNext/>
              <w:keepLines w:val="0"/>
              <w:pageBreakBefore w:val="0"/>
              <w:kinsoku/>
              <w:wordWrap/>
              <w:overflowPunct/>
              <w:topLinePunct w:val="0"/>
              <w:bidi w:val="0"/>
              <w:jc w:val="center"/>
              <w:outlineLvl w:val="9"/>
              <w:rPr>
                <w:rFonts w:hint="default"/>
                <w:b/>
                <w:bCs/>
                <w:color w:val="auto"/>
                <w:szCs w:val="21"/>
                <w:lang w:val="en-US" w:eastAsia="zh-CN"/>
              </w:rPr>
            </w:pPr>
            <w:r>
              <w:rPr>
                <w:rFonts w:hint="eastAsia"/>
                <w:b/>
                <w:bCs/>
                <w:color w:val="auto"/>
                <w:szCs w:val="21"/>
                <w:highlight w:val="none"/>
                <w:lang w:val="en-US" w:eastAsia="zh-CN"/>
              </w:rPr>
              <w:t>表 2-11</w:t>
            </w:r>
            <w:r>
              <w:rPr>
                <w:rFonts w:hint="eastAsia"/>
                <w:b/>
                <w:bCs/>
                <w:color w:val="auto"/>
                <w:szCs w:val="21"/>
                <w:highlight w:val="none"/>
              </w:rPr>
              <w:t xml:space="preserve">  </w:t>
            </w:r>
            <w:r>
              <w:rPr>
                <w:rFonts w:hint="eastAsia"/>
                <w:b/>
                <w:bCs/>
                <w:color w:val="auto"/>
                <w:szCs w:val="21"/>
                <w:lang w:val="en-US" w:eastAsia="zh-CN"/>
              </w:rPr>
              <w:t>油墨VOCs检测报告</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1386"/>
              <w:gridCol w:w="1386"/>
              <w:gridCol w:w="1386"/>
              <w:gridCol w:w="1387"/>
              <w:gridCol w:w="1387"/>
            </w:tblGrid>
            <w:tr w14:paraId="46332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14:paraId="3E3A1B94">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名称</w:t>
                  </w:r>
                </w:p>
              </w:tc>
              <w:tc>
                <w:tcPr>
                  <w:tcW w:w="833" w:type="pct"/>
                  <w:vAlign w:val="center"/>
                </w:tcPr>
                <w:p w14:paraId="5D69FEA1">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测定项目</w:t>
                  </w:r>
                </w:p>
              </w:tc>
              <w:tc>
                <w:tcPr>
                  <w:tcW w:w="833" w:type="pct"/>
                  <w:vAlign w:val="center"/>
                </w:tcPr>
                <w:p w14:paraId="44846BC2">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检测结果</w:t>
                  </w:r>
                </w:p>
              </w:tc>
              <w:tc>
                <w:tcPr>
                  <w:tcW w:w="833" w:type="pct"/>
                  <w:vAlign w:val="center"/>
                </w:tcPr>
                <w:p w14:paraId="47015A00">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执行标准</w:t>
                  </w:r>
                </w:p>
              </w:tc>
              <w:tc>
                <w:tcPr>
                  <w:tcW w:w="833" w:type="pct"/>
                  <w:vAlign w:val="center"/>
                </w:tcPr>
                <w:p w14:paraId="3DB01E81">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标准限值</w:t>
                  </w:r>
                </w:p>
              </w:tc>
              <w:tc>
                <w:tcPr>
                  <w:tcW w:w="833" w:type="pct"/>
                  <w:vAlign w:val="center"/>
                </w:tcPr>
                <w:p w14:paraId="51A9FCB5">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达标情况</w:t>
                  </w:r>
                </w:p>
              </w:tc>
            </w:tr>
            <w:tr w14:paraId="5D3C5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14:paraId="5659F241">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喷码油墨</w:t>
                  </w:r>
                </w:p>
              </w:tc>
              <w:tc>
                <w:tcPr>
                  <w:tcW w:w="833" w:type="pct"/>
                  <w:vAlign w:val="center"/>
                </w:tcPr>
                <w:p w14:paraId="3B7F49B8">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挥发性有机化合物（VOCs）</w:t>
                  </w:r>
                </w:p>
              </w:tc>
              <w:tc>
                <w:tcPr>
                  <w:tcW w:w="833" w:type="pct"/>
                  <w:vAlign w:val="center"/>
                </w:tcPr>
                <w:p w14:paraId="6F869A34">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71.9%</w:t>
                  </w:r>
                </w:p>
              </w:tc>
              <w:tc>
                <w:tcPr>
                  <w:tcW w:w="833" w:type="pct"/>
                  <w:vAlign w:val="center"/>
                </w:tcPr>
                <w:p w14:paraId="1C6041E7">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油墨中可挥发性有机化合物（</w:t>
                  </w:r>
                  <w:r>
                    <w:rPr>
                      <w:rFonts w:hint="eastAsia" w:cs="Times New Roman"/>
                      <w:color w:val="auto"/>
                      <w:sz w:val="21"/>
                      <w:szCs w:val="21"/>
                      <w:lang w:val="en-US" w:eastAsia="zh-CN"/>
                    </w:rPr>
                    <w:t>VOC</w:t>
                  </w:r>
                  <w:r>
                    <w:rPr>
                      <w:rFonts w:hint="eastAsia" w:ascii="Times New Roman" w:hAnsi="Times New Roman" w:eastAsia="宋体" w:cs="Times New Roman"/>
                      <w:color w:val="auto"/>
                      <w:sz w:val="21"/>
                      <w:szCs w:val="21"/>
                      <w:lang w:val="en-US" w:eastAsia="zh-CN"/>
                    </w:rPr>
                    <w:t>s）含量的限值</w:t>
                  </w:r>
                  <w:r>
                    <w:rPr>
                      <w:rFonts w:hint="eastAsia" w:cs="Times New Roman"/>
                      <w:color w:val="auto"/>
                      <w:sz w:val="21"/>
                      <w:szCs w:val="21"/>
                      <w:lang w:val="en-US" w:eastAsia="zh-CN"/>
                    </w:rPr>
                    <w:t>》</w:t>
                  </w:r>
                </w:p>
              </w:tc>
              <w:tc>
                <w:tcPr>
                  <w:tcW w:w="833" w:type="pct"/>
                  <w:vAlign w:val="center"/>
                </w:tcPr>
                <w:p w14:paraId="1B2EE084">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95%</w:t>
                  </w:r>
                </w:p>
              </w:tc>
              <w:tc>
                <w:tcPr>
                  <w:tcW w:w="833" w:type="pct"/>
                  <w:vAlign w:val="center"/>
                </w:tcPr>
                <w:p w14:paraId="71B1DEB9">
                  <w:pPr>
                    <w:keepNext/>
                    <w:keepLines w:val="0"/>
                    <w:pageBreakBefore w:val="0"/>
                    <w:kinsoku/>
                    <w:wordWrap/>
                    <w:overflowPunct/>
                    <w:topLinePunct w:val="0"/>
                    <w:bidi w:val="0"/>
                    <w:spacing w:line="240" w:lineRule="auto"/>
                    <w:jc w:val="center"/>
                    <w:outlineLvl w:val="9"/>
                    <w:rPr>
                      <w:rFonts w:hint="default"/>
                      <w:color w:val="auto"/>
                      <w:sz w:val="21"/>
                      <w:szCs w:val="21"/>
                      <w:vertAlign w:val="baseline"/>
                      <w:lang w:val="en-US" w:eastAsia="zh-CN"/>
                    </w:rPr>
                  </w:pPr>
                  <w:r>
                    <w:rPr>
                      <w:rFonts w:hint="eastAsia"/>
                      <w:color w:val="auto"/>
                      <w:sz w:val="21"/>
                      <w:szCs w:val="21"/>
                      <w:vertAlign w:val="baseline"/>
                      <w:lang w:val="en-US" w:eastAsia="zh-CN"/>
                    </w:rPr>
                    <w:t>达标</w:t>
                  </w:r>
                </w:p>
              </w:tc>
            </w:tr>
          </w:tbl>
          <w:p w14:paraId="0F69D1CD">
            <w:pPr>
              <w:keepNext/>
              <w:keepLines w:val="0"/>
              <w:pageBreakBefore w:val="0"/>
              <w:kinsoku/>
              <w:wordWrap/>
              <w:overflowPunct/>
              <w:topLinePunct w:val="0"/>
              <w:bidi w:val="0"/>
              <w:spacing w:line="360" w:lineRule="auto"/>
              <w:ind w:firstLine="480" w:firstLineChars="200"/>
              <w:outlineLvl w:val="9"/>
              <w:rPr>
                <w:rFonts w:hint="default"/>
                <w:color w:val="auto"/>
                <w:sz w:val="24"/>
                <w:lang w:val="en-US" w:eastAsia="zh-CN"/>
              </w:rPr>
            </w:pPr>
          </w:p>
          <w:p w14:paraId="33E77153">
            <w:pPr>
              <w:keepNext/>
              <w:keepLines w:val="0"/>
              <w:pageBreakBefore w:val="0"/>
              <w:kinsoku/>
              <w:wordWrap/>
              <w:overflowPunct/>
              <w:topLinePunct w:val="0"/>
              <w:bidi w:val="0"/>
              <w:spacing w:line="360" w:lineRule="auto"/>
              <w:ind w:firstLine="480" w:firstLineChars="200"/>
              <w:outlineLvl w:val="9"/>
              <w:rPr>
                <w:color w:val="auto"/>
                <w:sz w:val="24"/>
              </w:rPr>
            </w:pPr>
            <w:r>
              <w:rPr>
                <w:rFonts w:hint="eastAsia"/>
                <w:color w:val="auto"/>
                <w:sz w:val="24"/>
              </w:rPr>
              <w:t>能源消耗情况见表</w:t>
            </w:r>
            <w:r>
              <w:rPr>
                <w:rFonts w:hint="eastAsia"/>
                <w:color w:val="auto"/>
                <w:sz w:val="24"/>
                <w:lang w:val="en-US" w:eastAsia="zh-CN"/>
              </w:rPr>
              <w:t>2-12</w:t>
            </w:r>
            <w:r>
              <w:rPr>
                <w:rFonts w:hint="eastAsia"/>
                <w:color w:val="auto"/>
                <w:sz w:val="24"/>
              </w:rPr>
              <w:t>。</w:t>
            </w:r>
          </w:p>
          <w:p w14:paraId="163F2527">
            <w:pPr>
              <w:keepNext/>
              <w:keepLines w:val="0"/>
              <w:pageBreakBefore w:val="0"/>
              <w:kinsoku/>
              <w:wordWrap/>
              <w:overflowPunct/>
              <w:topLinePunct w:val="0"/>
              <w:bidi w:val="0"/>
              <w:jc w:val="center"/>
              <w:outlineLvl w:val="9"/>
              <w:rPr>
                <w:b/>
                <w:bCs/>
                <w:color w:val="auto"/>
                <w:szCs w:val="21"/>
              </w:rPr>
            </w:pPr>
            <w:r>
              <w:rPr>
                <w:rFonts w:hint="eastAsia"/>
                <w:b/>
                <w:bCs/>
                <w:color w:val="auto"/>
                <w:szCs w:val="21"/>
              </w:rPr>
              <w:t>表2-</w:t>
            </w:r>
            <w:r>
              <w:rPr>
                <w:rFonts w:hint="eastAsia"/>
                <w:b/>
                <w:bCs/>
                <w:color w:val="auto"/>
                <w:szCs w:val="21"/>
                <w:lang w:val="en-US" w:eastAsia="zh-CN"/>
              </w:rPr>
              <w:t>12</w:t>
            </w:r>
            <w:r>
              <w:rPr>
                <w:rFonts w:hint="eastAsia"/>
                <w:b/>
                <w:bCs/>
                <w:color w:val="auto"/>
                <w:szCs w:val="21"/>
              </w:rPr>
              <w:t xml:space="preserve">  能源消耗一览表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3"/>
              <w:gridCol w:w="1333"/>
              <w:gridCol w:w="3057"/>
              <w:gridCol w:w="2594"/>
            </w:tblGrid>
            <w:tr w14:paraId="33377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1" w:type="pct"/>
                  <w:vAlign w:val="center"/>
                </w:tcPr>
                <w:p w14:paraId="112939B5">
                  <w:pPr>
                    <w:keepNext/>
                    <w:keepLines w:val="0"/>
                    <w:pageBreakBefore w:val="0"/>
                    <w:kinsoku/>
                    <w:wordWrap/>
                    <w:overflowPunct/>
                    <w:topLinePunct w:val="0"/>
                    <w:bidi w:val="0"/>
                    <w:jc w:val="center"/>
                    <w:outlineLvl w:val="9"/>
                    <w:rPr>
                      <w:b/>
                      <w:bCs/>
                      <w:color w:val="auto"/>
                      <w:sz w:val="21"/>
                      <w:szCs w:val="21"/>
                    </w:rPr>
                  </w:pPr>
                  <w:r>
                    <w:rPr>
                      <w:rFonts w:hint="eastAsia"/>
                      <w:b/>
                      <w:bCs/>
                      <w:color w:val="auto"/>
                      <w:sz w:val="21"/>
                      <w:szCs w:val="21"/>
                    </w:rPr>
                    <w:t>序号</w:t>
                  </w:r>
                </w:p>
              </w:tc>
              <w:tc>
                <w:tcPr>
                  <w:tcW w:w="801" w:type="pct"/>
                  <w:vAlign w:val="center"/>
                </w:tcPr>
                <w:p w14:paraId="5F412BEB">
                  <w:pPr>
                    <w:keepNext/>
                    <w:keepLines w:val="0"/>
                    <w:pageBreakBefore w:val="0"/>
                    <w:kinsoku/>
                    <w:wordWrap/>
                    <w:overflowPunct/>
                    <w:topLinePunct w:val="0"/>
                    <w:bidi w:val="0"/>
                    <w:jc w:val="center"/>
                    <w:outlineLvl w:val="9"/>
                    <w:rPr>
                      <w:b/>
                      <w:bCs/>
                      <w:color w:val="auto"/>
                      <w:sz w:val="21"/>
                      <w:szCs w:val="21"/>
                    </w:rPr>
                  </w:pPr>
                  <w:r>
                    <w:rPr>
                      <w:rFonts w:hint="eastAsia"/>
                      <w:b/>
                      <w:bCs/>
                      <w:color w:val="auto"/>
                      <w:sz w:val="21"/>
                      <w:szCs w:val="21"/>
                    </w:rPr>
                    <w:t>能源</w:t>
                  </w:r>
                </w:p>
              </w:tc>
              <w:tc>
                <w:tcPr>
                  <w:tcW w:w="1837" w:type="pct"/>
                  <w:vAlign w:val="center"/>
                </w:tcPr>
                <w:p w14:paraId="5D6E0C4C">
                  <w:pPr>
                    <w:keepNext/>
                    <w:keepLines w:val="0"/>
                    <w:pageBreakBefore w:val="0"/>
                    <w:kinsoku/>
                    <w:wordWrap/>
                    <w:overflowPunct/>
                    <w:topLinePunct w:val="0"/>
                    <w:bidi w:val="0"/>
                    <w:jc w:val="center"/>
                    <w:outlineLvl w:val="9"/>
                    <w:rPr>
                      <w:b/>
                      <w:bCs/>
                      <w:color w:val="auto"/>
                      <w:sz w:val="21"/>
                      <w:szCs w:val="21"/>
                    </w:rPr>
                  </w:pPr>
                  <w:r>
                    <w:rPr>
                      <w:rFonts w:hint="eastAsia"/>
                      <w:b/>
                      <w:bCs/>
                      <w:color w:val="auto"/>
                      <w:sz w:val="21"/>
                      <w:szCs w:val="21"/>
                    </w:rPr>
                    <w:t>消耗量</w:t>
                  </w:r>
                </w:p>
              </w:tc>
              <w:tc>
                <w:tcPr>
                  <w:tcW w:w="1559" w:type="pct"/>
                  <w:vAlign w:val="center"/>
                </w:tcPr>
                <w:p w14:paraId="1B763BFE">
                  <w:pPr>
                    <w:keepNext/>
                    <w:keepLines w:val="0"/>
                    <w:pageBreakBefore w:val="0"/>
                    <w:kinsoku/>
                    <w:wordWrap/>
                    <w:overflowPunct/>
                    <w:topLinePunct w:val="0"/>
                    <w:bidi w:val="0"/>
                    <w:jc w:val="center"/>
                    <w:outlineLvl w:val="9"/>
                    <w:rPr>
                      <w:b/>
                      <w:bCs/>
                      <w:color w:val="auto"/>
                      <w:sz w:val="21"/>
                      <w:szCs w:val="21"/>
                    </w:rPr>
                  </w:pPr>
                  <w:r>
                    <w:rPr>
                      <w:rFonts w:hint="eastAsia"/>
                      <w:b/>
                      <w:bCs/>
                      <w:color w:val="auto"/>
                      <w:sz w:val="21"/>
                      <w:szCs w:val="21"/>
                    </w:rPr>
                    <w:t>来源</w:t>
                  </w:r>
                </w:p>
              </w:tc>
            </w:tr>
            <w:tr w14:paraId="13AC7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1" w:type="pct"/>
                  <w:vAlign w:val="center"/>
                </w:tcPr>
                <w:p w14:paraId="7847BAE2">
                  <w:pPr>
                    <w:keepNext/>
                    <w:keepLines w:val="0"/>
                    <w:pageBreakBefore w:val="0"/>
                    <w:kinsoku/>
                    <w:wordWrap/>
                    <w:overflowPunct/>
                    <w:topLinePunct w:val="0"/>
                    <w:bidi w:val="0"/>
                    <w:jc w:val="center"/>
                    <w:outlineLvl w:val="9"/>
                    <w:rPr>
                      <w:color w:val="auto"/>
                      <w:sz w:val="21"/>
                      <w:szCs w:val="21"/>
                    </w:rPr>
                  </w:pPr>
                  <w:r>
                    <w:rPr>
                      <w:rFonts w:hint="eastAsia"/>
                      <w:color w:val="auto"/>
                      <w:sz w:val="21"/>
                      <w:szCs w:val="21"/>
                    </w:rPr>
                    <w:t>1</w:t>
                  </w:r>
                </w:p>
              </w:tc>
              <w:tc>
                <w:tcPr>
                  <w:tcW w:w="801" w:type="pct"/>
                  <w:vAlign w:val="center"/>
                </w:tcPr>
                <w:p w14:paraId="2B9A333F">
                  <w:pPr>
                    <w:keepNext/>
                    <w:keepLines w:val="0"/>
                    <w:pageBreakBefore w:val="0"/>
                    <w:kinsoku/>
                    <w:wordWrap/>
                    <w:overflowPunct/>
                    <w:topLinePunct w:val="0"/>
                    <w:bidi w:val="0"/>
                    <w:jc w:val="center"/>
                    <w:outlineLvl w:val="9"/>
                    <w:rPr>
                      <w:color w:val="auto"/>
                      <w:sz w:val="21"/>
                      <w:szCs w:val="21"/>
                    </w:rPr>
                  </w:pPr>
                  <w:r>
                    <w:rPr>
                      <w:rFonts w:hint="eastAsia"/>
                      <w:color w:val="auto"/>
                      <w:sz w:val="21"/>
                      <w:szCs w:val="21"/>
                    </w:rPr>
                    <w:t>水</w:t>
                  </w:r>
                </w:p>
              </w:tc>
              <w:tc>
                <w:tcPr>
                  <w:tcW w:w="1837" w:type="pct"/>
                  <w:vAlign w:val="center"/>
                </w:tcPr>
                <w:p w14:paraId="7878D149">
                  <w:pPr>
                    <w:keepNext/>
                    <w:keepLines w:val="0"/>
                    <w:pageBreakBefore w:val="0"/>
                    <w:kinsoku/>
                    <w:wordWrap/>
                    <w:overflowPunct/>
                    <w:topLinePunct w:val="0"/>
                    <w:bidi w:val="0"/>
                    <w:jc w:val="center"/>
                    <w:outlineLvl w:val="9"/>
                    <w:rPr>
                      <w:rFonts w:hint="default"/>
                      <w:color w:val="auto"/>
                      <w:sz w:val="21"/>
                      <w:szCs w:val="21"/>
                      <w:highlight w:val="yellow"/>
                      <w:lang w:val="en-US"/>
                    </w:rPr>
                  </w:pPr>
                  <w:r>
                    <w:rPr>
                      <w:rFonts w:hint="eastAsia" w:cs="Times New Roman"/>
                      <w:color w:val="auto"/>
                      <w:sz w:val="21"/>
                      <w:szCs w:val="21"/>
                      <w:lang w:val="en-US" w:eastAsia="zh-CN"/>
                    </w:rPr>
                    <w:t>4901.86m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/a</w:t>
                  </w:r>
                </w:p>
              </w:tc>
              <w:tc>
                <w:tcPr>
                  <w:tcW w:w="1559" w:type="pct"/>
                  <w:vAlign w:val="center"/>
                </w:tcPr>
                <w:p w14:paraId="788C53DF">
                  <w:pPr>
                    <w:keepNext/>
                    <w:keepLines w:val="0"/>
                    <w:pageBreakBefore w:val="0"/>
                    <w:kinsoku/>
                    <w:wordWrap/>
                    <w:overflowPunct/>
                    <w:topLinePunct w:val="0"/>
                    <w:bidi w:val="0"/>
                    <w:jc w:val="center"/>
                    <w:outlineLvl w:val="9"/>
                    <w:rPr>
                      <w:rFonts w:hint="default" w:eastAsia="宋体"/>
                      <w:color w:val="auto"/>
                      <w:sz w:val="21"/>
                      <w:szCs w:val="21"/>
                      <w:lang w:val="en-US" w:eastAsia="zh-CN"/>
                    </w:rPr>
                  </w:pPr>
                  <w:r>
                    <w:rPr>
                      <w:rFonts w:hint="default" w:ascii="Times New Roman" w:hAnsi="Times New Roman" w:cs="Times New Roman" w:eastAsiaTheme="minorEastAsia"/>
                      <w:color w:val="auto"/>
                      <w:sz w:val="21"/>
                      <w:szCs w:val="21"/>
                      <w:lang w:val="en-US" w:eastAsia="zh-CN"/>
                    </w:rPr>
                    <w:t>辽宁红山现有深井</w:t>
                  </w:r>
                </w:p>
              </w:tc>
            </w:tr>
            <w:tr w14:paraId="3139B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1" w:type="pct"/>
                  <w:vAlign w:val="center"/>
                </w:tcPr>
                <w:p w14:paraId="7193AAA3">
                  <w:pPr>
                    <w:keepNext/>
                    <w:keepLines w:val="0"/>
                    <w:pageBreakBefore w:val="0"/>
                    <w:kinsoku/>
                    <w:wordWrap/>
                    <w:overflowPunct/>
                    <w:topLinePunct w:val="0"/>
                    <w:bidi w:val="0"/>
                    <w:jc w:val="center"/>
                    <w:outlineLvl w:val="9"/>
                    <w:rPr>
                      <w:color w:val="auto"/>
                      <w:sz w:val="21"/>
                      <w:szCs w:val="21"/>
                    </w:rPr>
                  </w:pPr>
                  <w:r>
                    <w:rPr>
                      <w:rFonts w:hint="eastAsia"/>
                      <w:color w:val="auto"/>
                      <w:sz w:val="21"/>
                      <w:szCs w:val="21"/>
                    </w:rPr>
                    <w:t>2</w:t>
                  </w:r>
                </w:p>
              </w:tc>
              <w:tc>
                <w:tcPr>
                  <w:tcW w:w="801" w:type="pct"/>
                  <w:vAlign w:val="center"/>
                </w:tcPr>
                <w:p w14:paraId="2729F0DB">
                  <w:pPr>
                    <w:keepNext/>
                    <w:keepLines w:val="0"/>
                    <w:pageBreakBefore w:val="0"/>
                    <w:kinsoku/>
                    <w:wordWrap/>
                    <w:overflowPunct/>
                    <w:topLinePunct w:val="0"/>
                    <w:bidi w:val="0"/>
                    <w:jc w:val="center"/>
                    <w:outlineLvl w:val="9"/>
                    <w:rPr>
                      <w:color w:val="auto"/>
                      <w:sz w:val="21"/>
                      <w:szCs w:val="21"/>
                    </w:rPr>
                  </w:pPr>
                  <w:r>
                    <w:rPr>
                      <w:rFonts w:hint="eastAsia"/>
                      <w:color w:val="auto"/>
                      <w:sz w:val="21"/>
                      <w:szCs w:val="21"/>
                    </w:rPr>
                    <w:t>电</w:t>
                  </w:r>
                </w:p>
              </w:tc>
              <w:tc>
                <w:tcPr>
                  <w:tcW w:w="1837" w:type="pct"/>
                  <w:vAlign w:val="center"/>
                </w:tcPr>
                <w:p w14:paraId="68FB23DE">
                  <w:pPr>
                    <w:keepNext/>
                    <w:keepLines w:val="0"/>
                    <w:pageBreakBefore w:val="0"/>
                    <w:kinsoku/>
                    <w:wordWrap/>
                    <w:overflowPunct/>
                    <w:topLinePunct w:val="0"/>
                    <w:bidi w:val="0"/>
                    <w:jc w:val="center"/>
                    <w:outlineLvl w:val="9"/>
                    <w:rPr>
                      <w:rFonts w:hint="default" w:eastAsia="宋体"/>
                      <w:color w:val="auto"/>
                      <w:sz w:val="21"/>
                      <w:szCs w:val="21"/>
                      <w:highlight w:val="yellow"/>
                      <w:lang w:val="en-US" w:eastAsia="zh-CN"/>
                    </w:rPr>
                  </w:pPr>
                  <w:r>
                    <w:rPr>
                      <w:rFonts w:hint="eastAsia"/>
                      <w:color w:val="auto"/>
                      <w:sz w:val="21"/>
                      <w:szCs w:val="21"/>
                      <w:highlight w:val="none"/>
                      <w:lang w:val="en-US" w:eastAsia="zh-CN"/>
                    </w:rPr>
                    <w:t>770625kW</w:t>
                  </w:r>
                  <w:r>
                    <w:rPr>
                      <w:rFonts w:hint="eastAsia" w:ascii="微软雅黑" w:hAnsi="微软雅黑" w:eastAsia="微软雅黑" w:cs="微软雅黑"/>
                      <w:color w:val="auto"/>
                      <w:sz w:val="21"/>
                      <w:szCs w:val="21"/>
                      <w:highlight w:val="none"/>
                      <w:lang w:val="en-US" w:eastAsia="zh-CN"/>
                    </w:rPr>
                    <w:t>·</w:t>
                  </w:r>
                  <w:r>
                    <w:rPr>
                      <w:rFonts w:hint="eastAsia"/>
                      <w:color w:val="auto"/>
                      <w:sz w:val="21"/>
                      <w:szCs w:val="21"/>
                      <w:highlight w:val="none"/>
                      <w:lang w:val="en-US" w:eastAsia="zh-CN"/>
                    </w:rPr>
                    <w:t>h/a</w:t>
                  </w:r>
                </w:p>
              </w:tc>
              <w:tc>
                <w:tcPr>
                  <w:tcW w:w="1559" w:type="pct"/>
                  <w:vAlign w:val="center"/>
                </w:tcPr>
                <w:p w14:paraId="6E4B37A5">
                  <w:pPr>
                    <w:keepNext/>
                    <w:keepLines w:val="0"/>
                    <w:pageBreakBefore w:val="0"/>
                    <w:kinsoku/>
                    <w:wordWrap/>
                    <w:overflowPunct/>
                    <w:topLinePunct w:val="0"/>
                    <w:bidi w:val="0"/>
                    <w:jc w:val="center"/>
                    <w:outlineLvl w:val="9"/>
                    <w:rPr>
                      <w:color w:val="auto"/>
                      <w:sz w:val="21"/>
                      <w:szCs w:val="21"/>
                    </w:rPr>
                  </w:pPr>
                  <w:r>
                    <w:rPr>
                      <w:rFonts w:hint="eastAsia"/>
                      <w:color w:val="auto"/>
                      <w:sz w:val="21"/>
                      <w:szCs w:val="21"/>
                    </w:rPr>
                    <w:t>市政电网供给</w:t>
                  </w:r>
                </w:p>
              </w:tc>
            </w:tr>
          </w:tbl>
          <w:p w14:paraId="2ADC4BFE">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rPr>
              <w:t>6、劳动定员及工作制度</w:t>
            </w:r>
          </w:p>
          <w:p w14:paraId="25019C40">
            <w:pPr>
              <w:keepNext/>
              <w:keepLines w:val="0"/>
              <w:pageBreakBefore w:val="0"/>
              <w:kinsoku/>
              <w:wordWrap/>
              <w:overflowPunct/>
              <w:topLinePunct w:val="0"/>
              <w:bidi w:val="0"/>
              <w:spacing w:line="360" w:lineRule="auto"/>
              <w:ind w:firstLine="480" w:firstLineChars="200"/>
              <w:outlineLvl w:val="9"/>
              <w:rPr>
                <w:rFonts w:hint="default"/>
                <w:color w:val="auto"/>
                <w:sz w:val="24"/>
                <w:szCs w:val="24"/>
                <w:lang w:val="en-US" w:eastAsia="zh-CN"/>
              </w:rPr>
            </w:pPr>
            <w:r>
              <w:rPr>
                <w:rFonts w:hint="eastAsia"/>
                <w:color w:val="auto"/>
                <w:sz w:val="24"/>
                <w:lang w:val="en-US" w:eastAsia="zh-CN"/>
              </w:rPr>
              <w:t>现有项目劳动定员220人，</w:t>
            </w:r>
            <w:r>
              <w:rPr>
                <w:color w:val="auto"/>
                <w:sz w:val="24"/>
              </w:rPr>
              <w:t>本项目劳动定员</w:t>
            </w:r>
            <w:r>
              <w:rPr>
                <w:rFonts w:hint="eastAsia"/>
                <w:color w:val="auto"/>
                <w:sz w:val="24"/>
                <w:lang w:val="en-US" w:eastAsia="zh-CN"/>
              </w:rPr>
              <w:t>11</w:t>
            </w:r>
            <w:r>
              <w:rPr>
                <w:color w:val="auto"/>
                <w:sz w:val="24"/>
              </w:rPr>
              <w:t>人，</w:t>
            </w:r>
            <w:r>
              <w:rPr>
                <w:rFonts w:hint="eastAsia"/>
                <w:color w:val="auto"/>
                <w:sz w:val="24"/>
                <w:lang w:val="en-US" w:eastAsia="zh-CN"/>
              </w:rPr>
              <w:t>由现有厂区内人员调配</w:t>
            </w:r>
            <w:r>
              <w:rPr>
                <w:rFonts w:hint="eastAsia"/>
                <w:smallCaps w:val="0"/>
                <w:color w:val="auto"/>
                <w:w w:val="100"/>
                <w:sz w:val="24"/>
                <w:szCs w:val="24"/>
                <w:highlight w:val="none"/>
                <w:lang w:eastAsia="zh-CN"/>
              </w:rPr>
              <w:t>，</w:t>
            </w:r>
            <w:r>
              <w:rPr>
                <w:rFonts w:hint="eastAsia"/>
                <w:color w:val="auto"/>
                <w:sz w:val="24"/>
              </w:rPr>
              <w:t>年工作</w:t>
            </w:r>
            <w:r>
              <w:rPr>
                <w:rFonts w:hint="eastAsia"/>
                <w:color w:val="auto"/>
                <w:sz w:val="24"/>
                <w:lang w:val="en-US" w:eastAsia="zh-CN"/>
              </w:rPr>
              <w:t>250</w:t>
            </w:r>
            <w:r>
              <w:rPr>
                <w:rFonts w:hint="eastAsia"/>
                <w:color w:val="auto"/>
                <w:sz w:val="24"/>
              </w:rPr>
              <w:t>天，实行一班制，每天</w:t>
            </w:r>
            <w:r>
              <w:rPr>
                <w:rFonts w:hint="eastAsia"/>
                <w:color w:val="auto"/>
                <w:sz w:val="24"/>
                <w:lang w:val="en-US" w:eastAsia="zh-CN"/>
              </w:rPr>
              <w:t>有效</w:t>
            </w:r>
            <w:r>
              <w:rPr>
                <w:rFonts w:hint="eastAsia"/>
                <w:color w:val="auto"/>
                <w:sz w:val="24"/>
              </w:rPr>
              <w:t>工作</w:t>
            </w:r>
            <w:r>
              <w:rPr>
                <w:rFonts w:hint="eastAsia"/>
                <w:color w:val="auto"/>
                <w:sz w:val="24"/>
                <w:lang w:val="en-US" w:eastAsia="zh-CN"/>
              </w:rPr>
              <w:t>时间为7.5</w:t>
            </w:r>
            <w:r>
              <w:rPr>
                <w:rFonts w:hint="eastAsia"/>
                <w:color w:val="auto"/>
                <w:sz w:val="24"/>
              </w:rPr>
              <w:t>小时。</w:t>
            </w:r>
          </w:p>
          <w:p w14:paraId="4A81E7A4">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rPr>
              <w:t>7</w:t>
            </w:r>
            <w:r>
              <w:rPr>
                <w:b/>
                <w:bCs/>
                <w:color w:val="auto"/>
                <w:sz w:val="24"/>
              </w:rPr>
              <w:t>、公用工程</w:t>
            </w:r>
          </w:p>
          <w:p w14:paraId="15FB4338">
            <w:pPr>
              <w:keepNext/>
              <w:keepLines w:val="0"/>
              <w:pageBreakBefore w:val="0"/>
              <w:kinsoku/>
              <w:wordWrap/>
              <w:overflowPunct/>
              <w:topLinePunct w:val="0"/>
              <w:bidi w:val="0"/>
              <w:spacing w:line="360" w:lineRule="auto"/>
              <w:ind w:firstLine="480" w:firstLineChars="200"/>
              <w:outlineLvl w:val="9"/>
              <w:rPr>
                <w:color w:val="auto"/>
                <w:sz w:val="24"/>
              </w:rPr>
            </w:pPr>
            <w:r>
              <w:rPr>
                <w:color w:val="auto"/>
                <w:sz w:val="24"/>
              </w:rPr>
              <w:t>（1）供水</w:t>
            </w:r>
          </w:p>
          <w:p w14:paraId="543B795F">
            <w:pPr>
              <w:pStyle w:val="115"/>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color w:val="auto"/>
                <w:sz w:val="24"/>
                <w:szCs w:val="24"/>
                <w:lang w:val="en-US" w:eastAsia="zh-CN"/>
              </w:rPr>
              <w:t>本项目用水主要为生产用水和生活用水，</w:t>
            </w:r>
            <w:r>
              <w:rPr>
                <w:rFonts w:hint="default" w:ascii="Times New Roman" w:hAnsi="Times New Roman" w:cs="Times New Roman" w:eastAsiaTheme="minorEastAsia"/>
                <w:color w:val="auto"/>
                <w:sz w:val="24"/>
                <w:szCs w:val="24"/>
                <w:lang w:val="en-US" w:eastAsia="zh-CN"/>
              </w:rPr>
              <w:t>水源为辽宁红山现有深井水</w:t>
            </w:r>
            <w:r>
              <w:rPr>
                <w:rFonts w:hint="eastAsia" w:ascii="Times New Roman" w:hAnsi="Times New Roman" w:cs="Times New Roman"/>
                <w:color w:val="auto"/>
                <w:sz w:val="24"/>
                <w:szCs w:val="24"/>
                <w:lang w:val="en-US" w:eastAsia="zh-CN"/>
              </w:rPr>
              <w:t>。</w:t>
            </w:r>
          </w:p>
          <w:p w14:paraId="64C6AD4E">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①生活用水</w:t>
            </w:r>
          </w:p>
          <w:p w14:paraId="05191C1C">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本项目不新增劳动定员，因此不新增生活用水。</w:t>
            </w:r>
          </w:p>
          <w:p w14:paraId="5C0BDCB0">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②生产用水</w:t>
            </w:r>
          </w:p>
          <w:p w14:paraId="0121CE58">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本项目生产用水主要为生产设备用水、车间地面清洗用水、设备冲洗废水、循环冷却系统定期补充水</w:t>
            </w:r>
            <w:r>
              <w:rPr>
                <w:rFonts w:hint="eastAsia" w:cs="Times New Roman"/>
                <w:color w:val="auto"/>
                <w:sz w:val="24"/>
                <w:szCs w:val="24"/>
                <w:lang w:val="en-US" w:eastAsia="zh-CN"/>
              </w:rPr>
              <w:t>、道路洒扫用水</w:t>
            </w:r>
            <w:r>
              <w:rPr>
                <w:rFonts w:hint="default" w:ascii="Times New Roman" w:hAnsi="Times New Roman" w:cs="Times New Roman"/>
                <w:color w:val="auto"/>
                <w:sz w:val="24"/>
                <w:szCs w:val="24"/>
                <w:lang w:val="en-US" w:eastAsia="zh-CN"/>
              </w:rPr>
              <w:t>。</w:t>
            </w:r>
          </w:p>
          <w:p w14:paraId="1EB8BDC3">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本项目生产过程需进行水相制备，使用新鲜水。根据企业提供的设计资料，</w:t>
            </w:r>
            <w:r>
              <w:rPr>
                <w:rFonts w:hint="default" w:ascii="Times New Roman" w:hAnsi="Times New Roman" w:cs="Times New Roman"/>
                <w:color w:val="auto"/>
                <w:sz w:val="24"/>
                <w:szCs w:val="24"/>
                <w:highlight w:val="none"/>
                <w:lang w:val="en-US" w:eastAsia="zh-CN"/>
              </w:rPr>
              <w:t>水相制备用水量为</w:t>
            </w:r>
            <w:r>
              <w:rPr>
                <w:rFonts w:hint="default" w:ascii="Times New Roman" w:hAnsi="Times New Roman" w:cs="Times New Roman"/>
                <w:color w:val="auto"/>
                <w:sz w:val="24"/>
                <w:szCs w:val="24"/>
                <w:lang w:val="en-US" w:eastAsia="zh-CN"/>
              </w:rPr>
              <w:t>9m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/d，2250m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w:t>
            </w:r>
          </w:p>
          <w:p w14:paraId="37792531">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highlight w:val="none"/>
                <w:vertAlign w:val="superscript"/>
                <w:lang w:val="en-US" w:eastAsia="zh-CN"/>
              </w:rPr>
            </w:pPr>
            <w:r>
              <w:rPr>
                <w:rFonts w:hint="eastAsia" w:cs="Times New Roman"/>
                <w:color w:val="auto"/>
                <w:sz w:val="24"/>
                <w:szCs w:val="24"/>
                <w:lang w:val="en-US" w:eastAsia="zh-CN"/>
              </w:rPr>
              <w:t>本项目水油相制备工房、</w:t>
            </w:r>
            <w:r>
              <w:rPr>
                <w:rFonts w:hint="default" w:cs="Times New Roman"/>
                <w:color w:val="auto"/>
                <w:sz w:val="24"/>
                <w:szCs w:val="24"/>
                <w:lang w:val="en-US" w:eastAsia="zh-CN"/>
              </w:rPr>
              <w:t>乳化炸药震源药柱生产工房</w:t>
            </w:r>
            <w:r>
              <w:rPr>
                <w:rFonts w:hint="eastAsia" w:cs="Times New Roman"/>
                <w:color w:val="auto"/>
                <w:sz w:val="24"/>
                <w:szCs w:val="24"/>
                <w:lang w:val="en-US" w:eastAsia="zh-CN"/>
              </w:rPr>
              <w:t>会有冲洗废水，</w:t>
            </w:r>
            <w:r>
              <w:rPr>
                <w:rFonts w:hint="eastAsia" w:cs="Times New Roman"/>
                <w:color w:val="auto"/>
                <w:sz w:val="24"/>
                <w:szCs w:val="24"/>
                <w:highlight w:val="none"/>
                <w:lang w:val="en-US" w:eastAsia="zh-CN"/>
              </w:rPr>
              <w:t>车间</w:t>
            </w:r>
            <w:r>
              <w:rPr>
                <w:rFonts w:hint="default" w:ascii="Times New Roman" w:hAnsi="Times New Roman" w:cs="Times New Roman"/>
                <w:color w:val="auto"/>
                <w:sz w:val="24"/>
                <w:szCs w:val="24"/>
                <w:highlight w:val="none"/>
                <w:lang w:val="en-US" w:eastAsia="zh-CN"/>
              </w:rPr>
              <w:t>每</w:t>
            </w:r>
            <w:r>
              <w:rPr>
                <w:rFonts w:hint="eastAsia" w:cs="Times New Roman"/>
                <w:color w:val="auto"/>
                <w:sz w:val="24"/>
                <w:szCs w:val="24"/>
                <w:highlight w:val="none"/>
                <w:lang w:val="en-US" w:eastAsia="zh-CN"/>
              </w:rPr>
              <w:t>周</w:t>
            </w:r>
            <w:r>
              <w:rPr>
                <w:rFonts w:hint="default" w:ascii="Times New Roman" w:hAnsi="Times New Roman" w:cs="Times New Roman"/>
                <w:color w:val="auto"/>
                <w:sz w:val="24"/>
                <w:szCs w:val="24"/>
                <w:highlight w:val="none"/>
                <w:lang w:val="en-US" w:eastAsia="zh-CN"/>
              </w:rPr>
              <w:t>冲洗一次，车间地面清洗用水为2L/m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，车间冲洗面积为2497.31m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，则车间地面清洗用水量为</w:t>
            </w:r>
            <w:r>
              <w:rPr>
                <w:rFonts w:hint="eastAsia" w:cs="Times New Roman"/>
                <w:color w:val="auto"/>
                <w:sz w:val="24"/>
                <w:szCs w:val="24"/>
                <w:highlight w:val="none"/>
                <w:lang w:val="en-US" w:eastAsia="zh-CN"/>
              </w:rPr>
              <w:t>249.8</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/a。</w:t>
            </w:r>
          </w:p>
          <w:p w14:paraId="5EB59D9B">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本项目设备操作流程和原辅料固定，设备无需日常冲洗，冷却钢带和输送皮带仅做固态废料清理，计入不合格品固废。</w:t>
            </w:r>
            <w:r>
              <w:rPr>
                <w:rFonts w:hint="eastAsia" w:cs="Times New Roman"/>
                <w:color w:val="auto"/>
                <w:sz w:val="24"/>
                <w:szCs w:val="24"/>
                <w:lang w:val="en-US" w:eastAsia="zh-CN"/>
              </w:rPr>
              <w:t>本项目</w:t>
            </w:r>
            <w:r>
              <w:rPr>
                <w:rFonts w:hint="default" w:ascii="Times New Roman" w:hAnsi="Times New Roman" w:cs="Times New Roman"/>
                <w:color w:val="auto"/>
                <w:sz w:val="24"/>
                <w:szCs w:val="24"/>
                <w:lang w:val="en-US" w:eastAsia="zh-CN"/>
              </w:rPr>
              <w:t>仅过滤器需要进行冲洗，水相过滤器采用冷水冲洗，油相过滤器采用热水冲洗，用水量约为0.02m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/d，年生产250天，则</w:t>
            </w:r>
            <w:r>
              <w:rPr>
                <w:rFonts w:hint="eastAsia" w:ascii="Times New Roman" w:hAnsi="Times New Roman" w:cs="Times New Roman"/>
                <w:color w:val="auto"/>
                <w:sz w:val="24"/>
                <w:szCs w:val="24"/>
                <w:lang w:val="en-US" w:eastAsia="zh-CN"/>
              </w:rPr>
              <w:t>设备</w:t>
            </w:r>
            <w:r>
              <w:rPr>
                <w:rFonts w:hint="default" w:ascii="Times New Roman" w:hAnsi="Times New Roman" w:cs="Times New Roman"/>
                <w:color w:val="auto"/>
                <w:sz w:val="24"/>
                <w:szCs w:val="24"/>
                <w:lang w:val="en-US" w:eastAsia="zh-CN"/>
              </w:rPr>
              <w:t>冲洗用水量为5m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w:t>
            </w:r>
          </w:p>
          <w:p w14:paraId="22091811">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本项目冷却工序采用循环冷却水间接冷却，</w:t>
            </w:r>
            <w:r>
              <w:rPr>
                <w:rFonts w:hint="eastAsia" w:cs="Times New Roman"/>
                <w:color w:val="auto"/>
                <w:sz w:val="24"/>
                <w:szCs w:val="24"/>
                <w:highlight w:val="none"/>
                <w:lang w:val="en-US" w:eastAsia="zh-CN"/>
              </w:rPr>
              <w:t>循环水量为200m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循环冷却水系统需定期补水，补水量为5m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/a。</w:t>
            </w:r>
          </w:p>
          <w:p w14:paraId="3F668130">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eastAsia" w:ascii="Times New Roman" w:hAnsi="Times New Roman" w:eastAsia="宋体" w:cs="Times New Roman"/>
                <w:color w:val="auto"/>
                <w:kern w:val="0"/>
                <w:sz w:val="24"/>
                <w:szCs w:val="24"/>
                <w:highlight w:val="none"/>
                <w:lang w:val="en-US" w:eastAsia="zh-CN" w:bidi="ar-SA"/>
              </w:rPr>
              <w:t>根据《辽宁省行业用水定额》（DB21/T 1237-2020）中</w:t>
            </w:r>
            <w:r>
              <w:rPr>
                <w:rFonts w:hint="eastAsia" w:ascii="Times New Roman" w:hAnsi="Times New Roman" w:cs="Times New Roman"/>
                <w:color w:val="auto"/>
                <w:sz w:val="24"/>
                <w:szCs w:val="24"/>
                <w:lang w:val="en-US" w:eastAsia="zh-CN"/>
              </w:rPr>
              <w:t>N7820环境卫生管理用水定额：道路场地浇洒通用值为1.4L/m</w:t>
            </w:r>
            <w:r>
              <w:rPr>
                <w:rFonts w:hint="eastAsia" w:ascii="Times New Roman" w:hAnsi="Times New Roman" w:cs="Times New Roman"/>
                <w:color w:val="auto"/>
                <w:sz w:val="24"/>
                <w:szCs w:val="24"/>
                <w:vertAlign w:val="superscript"/>
                <w:lang w:val="en-US" w:eastAsia="zh-CN"/>
              </w:rPr>
              <w:t>2</w:t>
            </w:r>
            <w:r>
              <w:rPr>
                <w:rFonts w:hint="eastAsia" w:ascii="宋体" w:hAnsi="宋体" w:eastAsia="宋体" w:cs="宋体"/>
                <w:color w:val="auto"/>
                <w:kern w:val="0"/>
                <w:sz w:val="24"/>
                <w:szCs w:val="24"/>
                <w:highlight w:val="none"/>
                <w:vertAlign w:val="baseline"/>
                <w:lang w:val="en-US" w:eastAsia="zh-CN" w:bidi="ar-SA"/>
              </w:rPr>
              <w:t>·</w:t>
            </w:r>
            <w:r>
              <w:rPr>
                <w:rFonts w:hint="eastAsia" w:ascii="Times New Roman" w:hAnsi="Times New Roman" w:cs="Times New Roman"/>
                <w:color w:val="auto"/>
                <w:sz w:val="24"/>
                <w:szCs w:val="24"/>
                <w:lang w:val="en-US" w:eastAsia="zh-CN"/>
              </w:rPr>
              <w:t>d，</w:t>
            </w:r>
            <w:r>
              <w:rPr>
                <w:rFonts w:hint="eastAsia" w:cs="Times New Roman"/>
                <w:color w:val="auto"/>
                <w:sz w:val="24"/>
                <w:szCs w:val="24"/>
                <w:lang w:val="en-US" w:eastAsia="zh-CN"/>
              </w:rPr>
              <w:t>根据设计文件</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本项目道路洒扫面积为</w:t>
            </w:r>
            <w:r>
              <w:rPr>
                <w:rFonts w:hint="eastAsia" w:cs="Times New Roman"/>
                <w:color w:val="auto"/>
                <w:sz w:val="24"/>
                <w:szCs w:val="24"/>
                <w:highlight w:val="none"/>
                <w:lang w:val="en-US" w:eastAsia="zh-CN"/>
              </w:rPr>
              <w:t>7830</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，则道路洒扫用水量以8个月计为</w:t>
            </w:r>
            <w:r>
              <w:rPr>
                <w:rFonts w:hint="eastAsia" w:cs="Times New Roman"/>
                <w:color w:val="auto"/>
                <w:sz w:val="24"/>
                <w:szCs w:val="24"/>
                <w:highlight w:val="none"/>
                <w:lang w:val="en-US" w:eastAsia="zh-CN"/>
              </w:rPr>
              <w:t>2630.88</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highlight w:val="none"/>
                <w:lang w:val="en-US" w:eastAsia="zh-CN"/>
              </w:rPr>
              <w:t>其中回用水量为</w:t>
            </w:r>
            <w:r>
              <w:rPr>
                <w:rFonts w:hint="eastAsia" w:cs="Times New Roman"/>
                <w:color w:val="auto"/>
                <w:sz w:val="24"/>
                <w:szCs w:val="24"/>
                <w:lang w:val="en-US" w:eastAsia="zh-CN"/>
              </w:rPr>
              <w:t>229.82</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lang w:val="en-US" w:eastAsia="zh-CN"/>
              </w:rPr>
              <w:t>，则新鲜水用水量为2401.06</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highlight w:val="none"/>
                <w:lang w:val="en-US" w:eastAsia="zh-CN"/>
              </w:rPr>
              <w:t>。</w:t>
            </w:r>
          </w:p>
          <w:p w14:paraId="30543FFF">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综上，本项目</w:t>
            </w:r>
            <w:r>
              <w:rPr>
                <w:rFonts w:hint="eastAsia" w:cs="Times New Roman"/>
                <w:color w:val="auto"/>
                <w:sz w:val="24"/>
                <w:szCs w:val="24"/>
                <w:lang w:val="en-US" w:eastAsia="zh-CN"/>
              </w:rPr>
              <w:t>新鲜水</w:t>
            </w:r>
            <w:r>
              <w:rPr>
                <w:rFonts w:hint="default" w:ascii="Times New Roman" w:hAnsi="Times New Roman" w:cs="Times New Roman"/>
                <w:color w:val="auto"/>
                <w:sz w:val="24"/>
                <w:szCs w:val="24"/>
                <w:lang w:val="en-US" w:eastAsia="zh-CN"/>
              </w:rPr>
              <w:t>用量为</w:t>
            </w:r>
            <w:r>
              <w:rPr>
                <w:rFonts w:hint="eastAsia" w:cs="Times New Roman"/>
                <w:color w:val="auto"/>
                <w:sz w:val="24"/>
                <w:szCs w:val="24"/>
                <w:lang w:val="en-US" w:eastAsia="zh-CN"/>
              </w:rPr>
              <w:t>4901.86</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w:t>
            </w:r>
          </w:p>
          <w:p w14:paraId="144C1855">
            <w:pPr>
              <w:pStyle w:val="115"/>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本项目依托</w:t>
            </w:r>
            <w:r>
              <w:rPr>
                <w:rFonts w:hint="default" w:ascii="Times New Roman" w:hAnsi="Times New Roman" w:cs="Times New Roman" w:eastAsiaTheme="minorEastAsia"/>
                <w:color w:val="auto"/>
                <w:sz w:val="24"/>
                <w:szCs w:val="24"/>
                <w:lang w:val="en-US" w:eastAsia="zh-CN"/>
              </w:rPr>
              <w:t>辽宁红山现有深井水</w:t>
            </w:r>
            <w:r>
              <w:rPr>
                <w:rFonts w:hint="eastAsia" w:ascii="Times New Roman" w:hAnsi="Times New Roman" w:cs="Times New Roman" w:eastAsiaTheme="minorEastAsia"/>
                <w:color w:val="auto"/>
                <w:sz w:val="24"/>
                <w:szCs w:val="24"/>
                <w:lang w:val="en-US" w:eastAsia="zh-CN"/>
              </w:rPr>
              <w:t>，</w:t>
            </w:r>
            <w:r>
              <w:rPr>
                <w:rFonts w:hint="eastAsia" w:ascii="Times New Roman" w:hAnsi="Times New Roman" w:cs="Times New Roman"/>
                <w:color w:val="auto"/>
                <w:sz w:val="24"/>
                <w:szCs w:val="24"/>
                <w:lang w:val="en-US" w:eastAsia="zh-CN"/>
              </w:rPr>
              <w:t>已办理取水证，年许可供水量为20.01万立方米。</w:t>
            </w:r>
            <w:r>
              <w:rPr>
                <w:rFonts w:hint="eastAsia" w:cs="Times New Roman"/>
                <w:color w:val="auto"/>
                <w:sz w:val="24"/>
                <w:szCs w:val="24"/>
                <w:lang w:val="en-US" w:eastAsia="zh-CN"/>
              </w:rPr>
              <w:t>现有项目</w:t>
            </w:r>
            <w:r>
              <w:rPr>
                <w:rFonts w:hint="eastAsia" w:ascii="Times New Roman" w:hAnsi="Times New Roman" w:cs="Times New Roman"/>
                <w:color w:val="auto"/>
                <w:sz w:val="24"/>
                <w:szCs w:val="24"/>
                <w:lang w:val="en-US" w:eastAsia="zh-CN"/>
              </w:rPr>
              <w:t>用水量为7201m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/a，扩建后全厂用水量为</w:t>
            </w:r>
            <w:r>
              <w:rPr>
                <w:rFonts w:hint="eastAsia" w:cs="Times New Roman"/>
                <w:color w:val="auto"/>
                <w:sz w:val="24"/>
                <w:szCs w:val="24"/>
                <w:lang w:val="en-US" w:eastAsia="zh-CN"/>
              </w:rPr>
              <w:t>12102.86</w:t>
            </w:r>
            <w:r>
              <w:rPr>
                <w:rFonts w:hint="eastAsia" w:ascii="Times New Roman" w:hAnsi="Times New Roman" w:cs="Times New Roman"/>
                <w:color w:val="auto"/>
                <w:sz w:val="24"/>
                <w:szCs w:val="24"/>
                <w:lang w:val="en-US" w:eastAsia="zh-CN"/>
              </w:rPr>
              <w:t>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/a，远小于许可取水量，因此</w:t>
            </w:r>
            <w:r>
              <w:rPr>
                <w:rFonts w:hint="eastAsia" w:ascii="Times New Roman" w:hAnsi="Times New Roman" w:cs="Times New Roman" w:eastAsiaTheme="minorEastAsia"/>
                <w:color w:val="auto"/>
                <w:sz w:val="24"/>
                <w:szCs w:val="24"/>
                <w:lang w:val="en-US" w:eastAsia="zh-CN"/>
              </w:rPr>
              <w:t>本项目</w:t>
            </w:r>
            <w:r>
              <w:rPr>
                <w:rFonts w:hint="eastAsia" w:ascii="Times New Roman" w:hAnsi="Times New Roman" w:cs="Times New Roman"/>
                <w:color w:val="auto"/>
                <w:sz w:val="24"/>
                <w:szCs w:val="24"/>
                <w:lang w:val="en-US" w:eastAsia="zh-CN"/>
              </w:rPr>
              <w:t>依托</w:t>
            </w:r>
            <w:r>
              <w:rPr>
                <w:rFonts w:hint="default" w:ascii="Times New Roman" w:hAnsi="Times New Roman" w:cs="Times New Roman" w:eastAsiaTheme="minorEastAsia"/>
                <w:color w:val="auto"/>
                <w:sz w:val="24"/>
                <w:szCs w:val="24"/>
                <w:lang w:val="en-US" w:eastAsia="zh-CN"/>
              </w:rPr>
              <w:t>水源能够满足</w:t>
            </w:r>
            <w:r>
              <w:rPr>
                <w:rFonts w:hint="eastAsia" w:ascii="Times New Roman" w:hAnsi="Times New Roman" w:cs="Times New Roman"/>
                <w:color w:val="auto"/>
                <w:sz w:val="24"/>
                <w:szCs w:val="24"/>
                <w:lang w:val="en-US" w:eastAsia="zh-CN"/>
              </w:rPr>
              <w:t>本项目</w:t>
            </w:r>
            <w:r>
              <w:rPr>
                <w:rFonts w:hint="default" w:ascii="Times New Roman" w:hAnsi="Times New Roman" w:cs="Times New Roman" w:eastAsiaTheme="minorEastAsia"/>
                <w:color w:val="auto"/>
                <w:sz w:val="24"/>
                <w:szCs w:val="24"/>
                <w:lang w:val="en-US" w:eastAsia="zh-CN"/>
              </w:rPr>
              <w:t>用水的要求。</w:t>
            </w:r>
          </w:p>
          <w:p w14:paraId="01E3D704">
            <w:pPr>
              <w:pStyle w:val="115"/>
              <w:keepNext/>
              <w:keepLines w:val="0"/>
              <w:pageBreakBefore w:val="0"/>
              <w:kinsoku/>
              <w:wordWrap/>
              <w:overflowPunct/>
              <w:topLinePunct w:val="0"/>
              <w:bidi w:val="0"/>
              <w:spacing w:line="360" w:lineRule="auto"/>
              <w:ind w:firstLine="480" w:firstLineChars="200"/>
              <w:outlineLvl w:val="9"/>
              <w:rPr>
                <w:rFonts w:ascii="Times New Roman" w:hAnsi="Times New Roman" w:cs="Times New Roman"/>
                <w:color w:val="auto"/>
                <w:lang w:eastAsia="zh-CN"/>
              </w:rPr>
            </w:pPr>
            <w:r>
              <w:rPr>
                <w:rFonts w:hint="eastAsia" w:ascii="Times New Roman" w:hAnsi="Times New Roman" w:cs="Times New Roman"/>
                <w:color w:val="auto"/>
                <w:lang w:eastAsia="zh-CN"/>
              </w:rPr>
              <w:t>（2）排水</w:t>
            </w:r>
          </w:p>
          <w:p w14:paraId="71F11ABA">
            <w:pPr>
              <w:keepNext/>
              <w:keepLines w:val="0"/>
              <w:pageBreakBefore w:val="0"/>
              <w:kinsoku/>
              <w:wordWrap/>
              <w:overflowPunct/>
              <w:topLinePunct w:val="0"/>
              <w:bidi w:val="0"/>
              <w:spacing w:line="360" w:lineRule="auto"/>
              <w:ind w:firstLine="480"/>
              <w:rPr>
                <w:rFonts w:hint="eastAsia"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本项目排水实行雨污分流，污污分流；</w:t>
            </w:r>
            <w:r>
              <w:rPr>
                <w:rFonts w:hint="eastAsia" w:ascii="Times New Roman" w:hAnsi="Times New Roman" w:cs="Times New Roman"/>
                <w:color w:val="auto"/>
                <w:sz w:val="24"/>
                <w:szCs w:val="24"/>
                <w:lang w:val="en-US" w:eastAsia="zh-CN"/>
              </w:rPr>
              <w:t>初期雨水经</w:t>
            </w:r>
            <w:r>
              <w:rPr>
                <w:rFonts w:hint="eastAsia" w:cs="Times New Roman"/>
                <w:color w:val="auto"/>
                <w:sz w:val="24"/>
                <w:szCs w:val="24"/>
                <w:lang w:val="en-US" w:eastAsia="zh-CN"/>
              </w:rPr>
              <w:t>新建</w:t>
            </w:r>
            <w:r>
              <w:rPr>
                <w:rFonts w:hint="eastAsia" w:ascii="Times New Roman" w:hAnsi="Times New Roman" w:cs="Times New Roman"/>
                <w:color w:val="auto"/>
                <w:sz w:val="24"/>
                <w:szCs w:val="24"/>
                <w:lang w:val="en-US" w:eastAsia="zh-CN"/>
              </w:rPr>
              <w:t>初期雨水收集池收集后进入</w:t>
            </w:r>
            <w:r>
              <w:rPr>
                <w:rFonts w:hint="eastAsia" w:ascii="Times New Roman" w:hAnsi="Times New Roman" w:eastAsia="宋体" w:cs="Times New Roman"/>
                <w:color w:val="auto"/>
                <w:sz w:val="24"/>
                <w:szCs w:val="24"/>
                <w:lang w:val="en-US" w:eastAsia="zh-CN"/>
              </w:rPr>
              <w:t>辽宁红山一体化污水处理站</w:t>
            </w:r>
            <w:r>
              <w:rPr>
                <w:rFonts w:hint="eastAsia" w:cs="Times New Roman"/>
                <w:color w:val="auto"/>
                <w:sz w:val="24"/>
                <w:szCs w:val="24"/>
                <w:lang w:val="en-US" w:eastAsia="zh-CN"/>
              </w:rPr>
              <w:t>处理后回用于厂区道路洒扫</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后期</w:t>
            </w:r>
            <w:r>
              <w:rPr>
                <w:rFonts w:hint="eastAsia" w:ascii="Times New Roman" w:hAnsi="Times New Roman" w:cs="Times New Roman"/>
                <w:color w:val="auto"/>
                <w:sz w:val="24"/>
                <w:szCs w:val="24"/>
                <w:lang w:val="en-US" w:eastAsia="zh-CN"/>
              </w:rPr>
              <w:t>雨水经</w:t>
            </w:r>
            <w:r>
              <w:rPr>
                <w:rFonts w:hint="eastAsia" w:cs="Times New Roman"/>
                <w:color w:val="auto"/>
                <w:sz w:val="24"/>
                <w:szCs w:val="24"/>
                <w:lang w:val="en-US" w:eastAsia="zh-CN"/>
              </w:rPr>
              <w:t>排</w:t>
            </w:r>
            <w:r>
              <w:rPr>
                <w:rFonts w:hint="eastAsia" w:ascii="Times New Roman" w:hAnsi="Times New Roman" w:cs="Times New Roman"/>
                <w:color w:val="auto"/>
                <w:sz w:val="24"/>
                <w:szCs w:val="24"/>
                <w:lang w:val="en-US" w:eastAsia="zh-CN"/>
              </w:rPr>
              <w:t>水沟汇合，由厂区雨排口排入市政雨水管网。</w:t>
            </w:r>
          </w:p>
          <w:p w14:paraId="7ECD7E03">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b w:val="0"/>
                <w:bCs w:val="0"/>
                <w:color w:val="auto"/>
                <w:sz w:val="24"/>
                <w:szCs w:val="24"/>
                <w:lang w:val="en-US" w:eastAsia="zh-CN"/>
              </w:rPr>
            </w:pPr>
            <w:r>
              <w:rPr>
                <w:rFonts w:hint="eastAsia" w:cs="Times New Roman"/>
                <w:b w:val="0"/>
                <w:bCs w:val="0"/>
                <w:color w:val="auto"/>
                <w:sz w:val="24"/>
                <w:szCs w:val="24"/>
                <w:lang w:val="en-US" w:eastAsia="zh-CN"/>
              </w:rPr>
              <w:t>1）污水排水系统</w:t>
            </w:r>
          </w:p>
          <w:p w14:paraId="708F78A6">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①生活排水</w:t>
            </w:r>
          </w:p>
          <w:p w14:paraId="0F60BD29">
            <w:pPr>
              <w:keepNext/>
              <w:keepLines w:val="0"/>
              <w:pageBreakBefore w:val="0"/>
              <w:kinsoku/>
              <w:wordWrap/>
              <w:overflowPunct/>
              <w:topLinePunct w:val="0"/>
              <w:bidi w:val="0"/>
              <w:spacing w:line="360" w:lineRule="auto"/>
              <w:ind w:firstLine="48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本项目不新增劳动定员，故不增加生活污水排放。</w:t>
            </w:r>
          </w:p>
          <w:p w14:paraId="2CFB6967">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②生产排水</w:t>
            </w:r>
          </w:p>
          <w:p w14:paraId="4BA5B947">
            <w:pPr>
              <w:keepNext/>
              <w:keepLines w:val="0"/>
              <w:pageBreakBefore w:val="0"/>
              <w:kinsoku/>
              <w:wordWrap/>
              <w:overflowPunct/>
              <w:topLinePunct w:val="0"/>
              <w:bidi w:val="0"/>
              <w:spacing w:line="360" w:lineRule="auto"/>
              <w:ind w:firstLine="480"/>
              <w:outlineLvl w:val="9"/>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本项目水相制备新鲜水用量为2250m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/a，硝酸铵溶液带入水量为425.6m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/a，用水一部分</w:t>
            </w:r>
            <w:r>
              <w:rPr>
                <w:rFonts w:hint="eastAsia" w:ascii="Times New Roman" w:hAnsi="Times New Roman" w:cs="Times New Roman"/>
                <w:color w:val="auto"/>
                <w:sz w:val="24"/>
                <w:szCs w:val="24"/>
                <w:highlight w:val="none"/>
                <w:lang w:val="en-US" w:eastAsia="zh-CN"/>
              </w:rPr>
              <w:t>进入产品</w:t>
            </w:r>
            <w:r>
              <w:rPr>
                <w:rFonts w:hint="eastAsia" w:cs="Times New Roman"/>
                <w:color w:val="auto"/>
                <w:sz w:val="24"/>
                <w:szCs w:val="24"/>
                <w:highlight w:val="none"/>
                <w:lang w:val="en-US" w:eastAsia="zh-CN"/>
              </w:rPr>
              <w:t>、一部分</w:t>
            </w:r>
            <w:r>
              <w:rPr>
                <w:rFonts w:hint="eastAsia" w:ascii="Times New Roman" w:hAnsi="Times New Roman" w:cs="Times New Roman"/>
                <w:color w:val="auto"/>
                <w:sz w:val="24"/>
                <w:szCs w:val="24"/>
                <w:highlight w:val="none"/>
                <w:lang w:val="en-US" w:eastAsia="zh-CN"/>
              </w:rPr>
              <w:t>蒸发</w:t>
            </w:r>
            <w:r>
              <w:rPr>
                <w:rFonts w:hint="eastAsia" w:cs="Times New Roman"/>
                <w:color w:val="auto"/>
                <w:sz w:val="24"/>
                <w:szCs w:val="24"/>
                <w:highlight w:val="none"/>
                <w:lang w:val="en-US" w:eastAsia="zh-CN"/>
              </w:rPr>
              <w:t>损耗，</w:t>
            </w:r>
            <w:r>
              <w:rPr>
                <w:rFonts w:hint="eastAsia" w:ascii="Times New Roman" w:hAnsi="Times New Roman" w:cs="Times New Roman"/>
                <w:color w:val="auto"/>
                <w:sz w:val="24"/>
                <w:szCs w:val="24"/>
                <w:highlight w:val="none"/>
                <w:lang w:val="en-US" w:eastAsia="zh-CN"/>
              </w:rPr>
              <w:t>不产生废水排放。</w:t>
            </w:r>
            <w:r>
              <w:rPr>
                <w:rFonts w:hint="eastAsia" w:ascii="Times New Roman" w:hAnsi="Times New Roman" w:cs="Times New Roman"/>
                <w:b w:val="0"/>
                <w:bCs w:val="0"/>
                <w:color w:val="auto"/>
                <w:sz w:val="24"/>
                <w:szCs w:val="24"/>
                <w:highlight w:val="none"/>
                <w:lang w:val="en-US" w:eastAsia="zh-CN"/>
              </w:rPr>
              <w:t>本项目</w:t>
            </w:r>
            <w:r>
              <w:rPr>
                <w:color w:val="auto"/>
                <w:spacing w:val="1"/>
                <w:sz w:val="24"/>
                <w:szCs w:val="24"/>
                <w:highlight w:val="none"/>
              </w:rPr>
              <w:t>乳化炸药震源药柱</w:t>
            </w:r>
            <w:r>
              <w:rPr>
                <w:rFonts w:hint="eastAsia" w:ascii="Times New Roman" w:hAnsi="Times New Roman" w:cs="Times New Roman"/>
                <w:b w:val="0"/>
                <w:bCs w:val="0"/>
                <w:color w:val="auto"/>
                <w:sz w:val="24"/>
                <w:szCs w:val="24"/>
                <w:highlight w:val="none"/>
                <w:lang w:val="en-US" w:eastAsia="zh-CN"/>
              </w:rPr>
              <w:t>设计含水率为</w:t>
            </w:r>
            <w:r>
              <w:rPr>
                <w:rFonts w:hint="eastAsia" w:cs="Times New Roman"/>
                <w:b w:val="0"/>
                <w:bCs w:val="0"/>
                <w:color w:val="auto"/>
                <w:sz w:val="24"/>
                <w:szCs w:val="24"/>
                <w:highlight w:val="none"/>
                <w:lang w:val="en-US" w:eastAsia="zh-CN"/>
              </w:rPr>
              <w:t>9%～12%</w:t>
            </w:r>
            <w:r>
              <w:rPr>
                <w:rFonts w:hint="eastAsia" w:ascii="Times New Roman" w:hAnsi="Times New Roman" w:cs="Times New Roman"/>
                <w:b w:val="0"/>
                <w:bCs w:val="0"/>
                <w:color w:val="auto"/>
                <w:sz w:val="24"/>
                <w:szCs w:val="24"/>
                <w:highlight w:val="none"/>
                <w:lang w:val="en-US" w:eastAsia="zh-CN"/>
              </w:rPr>
              <w:t>，本次水平衡以产品平均含水量10</w:t>
            </w:r>
            <w:r>
              <w:rPr>
                <w:rFonts w:hint="eastAsia" w:cs="Times New Roman"/>
                <w:b w:val="0"/>
                <w:bCs w:val="0"/>
                <w:color w:val="auto"/>
                <w:sz w:val="24"/>
                <w:szCs w:val="24"/>
                <w:highlight w:val="none"/>
                <w:lang w:val="en-US" w:eastAsia="zh-CN"/>
              </w:rPr>
              <w:t>.5</w:t>
            </w:r>
            <w:r>
              <w:rPr>
                <w:rFonts w:hint="eastAsia" w:ascii="Times New Roman" w:hAnsi="Times New Roman" w:cs="Times New Roman"/>
                <w:b w:val="0"/>
                <w:bCs w:val="0"/>
                <w:color w:val="auto"/>
                <w:sz w:val="24"/>
                <w:szCs w:val="24"/>
                <w:highlight w:val="none"/>
                <w:lang w:val="en-US" w:eastAsia="zh-CN"/>
              </w:rPr>
              <w:t>%计</w:t>
            </w:r>
            <w:r>
              <w:rPr>
                <w:rFonts w:hint="eastAsia" w:cs="Times New Roman"/>
                <w:b w:val="0"/>
                <w:bCs w:val="0"/>
                <w:color w:val="auto"/>
                <w:sz w:val="24"/>
                <w:szCs w:val="24"/>
                <w:highlight w:val="none"/>
                <w:lang w:val="en-US" w:eastAsia="zh-CN"/>
              </w:rPr>
              <w:t>，则进入产品的水量为735</w:t>
            </w:r>
            <w:r>
              <w:rPr>
                <w:rFonts w:hint="eastAsia" w:cs="Times New Roman"/>
                <w:color w:val="auto"/>
                <w:sz w:val="24"/>
                <w:szCs w:val="24"/>
                <w:highlight w:val="none"/>
                <w:lang w:val="en-US" w:eastAsia="zh-CN"/>
              </w:rPr>
              <w:t>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/a。</w:t>
            </w:r>
          </w:p>
          <w:p w14:paraId="3B977A31">
            <w:pPr>
              <w:keepNext/>
              <w:keepLines w:val="0"/>
              <w:pageBreakBefore w:val="0"/>
              <w:kinsoku/>
              <w:wordWrap/>
              <w:overflowPunct/>
              <w:topLinePunct w:val="0"/>
              <w:bidi w:val="0"/>
              <w:spacing w:line="360" w:lineRule="auto"/>
              <w:ind w:firstLine="480" w:firstLineChars="200"/>
              <w:outlineLvl w:val="9"/>
              <w:rPr>
                <w:rFonts w:hint="eastAsia" w:cs="Times New Roman"/>
                <w:color w:val="auto"/>
                <w:sz w:val="24"/>
                <w:szCs w:val="24"/>
                <w:lang w:val="en-US" w:eastAsia="zh-CN"/>
              </w:rPr>
            </w:pPr>
            <w:r>
              <w:rPr>
                <w:rFonts w:hint="eastAsia" w:cs="Times New Roman"/>
                <w:color w:val="auto"/>
                <w:sz w:val="24"/>
                <w:szCs w:val="24"/>
                <w:lang w:val="en-US" w:eastAsia="zh-CN"/>
              </w:rPr>
              <w:t>车间地面清洗用水排放量按90%计，则车间地面清洗废水排放量为224.82m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w:t>
            </w:r>
          </w:p>
          <w:p w14:paraId="5CEC3C9F">
            <w:pPr>
              <w:keepNext/>
              <w:keepLines w:val="0"/>
              <w:pageBreakBefore w:val="0"/>
              <w:kinsoku/>
              <w:wordWrap/>
              <w:overflowPunct/>
              <w:topLinePunct w:val="0"/>
              <w:bidi w:val="0"/>
              <w:spacing w:line="360" w:lineRule="auto"/>
              <w:ind w:firstLine="48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本项目过滤器冲洗水损耗量忽略不计，全部排放，排放量为5m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/a。</w:t>
            </w:r>
          </w:p>
          <w:p w14:paraId="1056A2CC">
            <w:pPr>
              <w:keepNext/>
              <w:keepLines w:val="0"/>
              <w:pageBreakBefore w:val="0"/>
              <w:kinsoku/>
              <w:wordWrap/>
              <w:overflowPunct/>
              <w:topLinePunct w:val="0"/>
              <w:bidi w:val="0"/>
              <w:spacing w:line="360" w:lineRule="auto"/>
              <w:ind w:firstLine="48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本项目冷却水循环使用不外排。</w:t>
            </w:r>
          </w:p>
          <w:p w14:paraId="03917D42">
            <w:pPr>
              <w:keepNext/>
              <w:keepLines w:val="0"/>
              <w:pageBreakBefore w:val="0"/>
              <w:kinsoku/>
              <w:wordWrap/>
              <w:overflowPunct/>
              <w:topLinePunct w:val="0"/>
              <w:bidi w:val="0"/>
              <w:spacing w:line="360" w:lineRule="auto"/>
              <w:ind w:firstLine="480"/>
              <w:outlineLvl w:val="9"/>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本项目道路洒扫用水全部蒸发，不外排。</w:t>
            </w:r>
          </w:p>
          <w:p w14:paraId="583502A9">
            <w:pPr>
              <w:keepNext/>
              <w:keepLines w:val="0"/>
              <w:pageBreakBefore w:val="0"/>
              <w:kinsoku/>
              <w:wordWrap/>
              <w:overflowPunct/>
              <w:topLinePunct w:val="0"/>
              <w:bidi w:val="0"/>
              <w:spacing w:line="360" w:lineRule="auto"/>
              <w:ind w:firstLine="480"/>
              <w:outlineLvl w:val="9"/>
              <w:rPr>
                <w:rFonts w:hint="eastAsia" w:cs="Times New Roman"/>
                <w:color w:val="auto"/>
                <w:sz w:val="24"/>
                <w:szCs w:val="24"/>
                <w:lang w:val="en-US" w:eastAsia="zh-CN"/>
              </w:rPr>
            </w:pPr>
            <w:r>
              <w:rPr>
                <w:rFonts w:hint="eastAsia" w:ascii="Times New Roman" w:hAnsi="Times New Roman" w:cs="Times New Roman"/>
                <w:color w:val="auto"/>
                <w:sz w:val="24"/>
                <w:szCs w:val="24"/>
                <w:lang w:val="en-US" w:eastAsia="zh-CN"/>
              </w:rPr>
              <w:t>综上，</w:t>
            </w:r>
            <w:r>
              <w:rPr>
                <w:rFonts w:hint="eastAsia" w:cs="Times New Roman"/>
                <w:color w:val="auto"/>
                <w:sz w:val="24"/>
                <w:szCs w:val="24"/>
                <w:lang w:val="en-US" w:eastAsia="zh-CN"/>
              </w:rPr>
              <w:t>本项目</w:t>
            </w:r>
            <w:r>
              <w:rPr>
                <w:rFonts w:hint="eastAsia" w:ascii="Times New Roman" w:hAnsi="Times New Roman" w:cs="Times New Roman"/>
                <w:color w:val="auto"/>
                <w:sz w:val="24"/>
                <w:szCs w:val="24"/>
                <w:lang w:val="en-US" w:eastAsia="zh-CN"/>
              </w:rPr>
              <w:t>废水排放量为</w:t>
            </w:r>
            <w:r>
              <w:rPr>
                <w:rFonts w:hint="eastAsia" w:cs="Times New Roman"/>
                <w:color w:val="auto"/>
                <w:sz w:val="24"/>
                <w:szCs w:val="24"/>
                <w:highlight w:val="none"/>
                <w:lang w:val="en-US" w:eastAsia="zh-CN"/>
              </w:rPr>
              <w:t>229.82</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lang w:val="en-US" w:eastAsia="zh-CN"/>
              </w:rPr>
              <w:t>，处理后全部回用于厂区道路洒扫，不外排。</w:t>
            </w:r>
          </w:p>
          <w:p w14:paraId="31385920">
            <w:pPr>
              <w:keepNext/>
              <w:keepLines w:val="0"/>
              <w:pageBreakBefore w:val="0"/>
              <w:kinsoku/>
              <w:wordWrap/>
              <w:overflowPunct/>
              <w:topLinePunct w:val="0"/>
              <w:autoSpaceDE/>
              <w:autoSpaceDN/>
              <w:bidi w:val="0"/>
              <w:adjustRightInd/>
              <w:spacing w:line="360" w:lineRule="auto"/>
              <w:ind w:right="0" w:firstLine="480" w:firstLineChars="200"/>
              <w:textAlignment w:val="auto"/>
              <w:outlineLvl w:val="9"/>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2）雨水排水系统</w:t>
            </w:r>
          </w:p>
          <w:p w14:paraId="742E530A">
            <w:pPr>
              <w:pStyle w:val="18"/>
              <w:keepNext/>
              <w:keepLines w:val="0"/>
              <w:pageBreakBefore w:val="0"/>
              <w:tabs>
                <w:tab w:val="left" w:pos="660"/>
              </w:tabs>
              <w:kinsoku/>
              <w:wordWrap/>
              <w:overflowPunct/>
              <w:topLinePunct w:val="0"/>
              <w:autoSpaceDE/>
              <w:autoSpaceDN/>
              <w:bidi w:val="0"/>
              <w:adjustRightInd/>
              <w:spacing w:before="0" w:after="0" w:line="360" w:lineRule="auto"/>
              <w:ind w:right="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本项目生产车间、罐区等在降雨初期产生的雨水中会有少量附着的污染物，需对初期雨水进行集中处理。在生产车间、罐区周围设置排水沟，初期雨水收集后进入辽宁红山一体化污水处理站</w:t>
            </w:r>
            <w:r>
              <w:rPr>
                <w:rFonts w:hint="eastAsia" w:cs="Times New Roman"/>
                <w:color w:val="auto"/>
                <w:sz w:val="24"/>
                <w:szCs w:val="24"/>
                <w:lang w:val="en-US" w:eastAsia="zh-CN"/>
              </w:rPr>
              <w:t>处理后回用于厂区道路洒扫</w:t>
            </w:r>
            <w:r>
              <w:rPr>
                <w:rFonts w:hint="eastAsia" w:ascii="Times New Roman" w:hAnsi="Times New Roman" w:eastAsia="宋体" w:cs="Times New Roman"/>
                <w:color w:val="auto"/>
                <w:sz w:val="24"/>
                <w:szCs w:val="24"/>
                <w:lang w:val="en-US" w:eastAsia="zh-CN"/>
              </w:rPr>
              <w:t>。初期雨水量的计算按下式计算确定：</w:t>
            </w:r>
          </w:p>
          <w:p w14:paraId="26AB24A5">
            <w:pPr>
              <w:pStyle w:val="18"/>
              <w:keepNext/>
              <w:keepLines w:val="0"/>
              <w:pageBreakBefore w:val="0"/>
              <w:tabs>
                <w:tab w:val="left" w:pos="660"/>
              </w:tabs>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雨</w:t>
            </w:r>
            <w:r>
              <w:rPr>
                <w:rFonts w:hint="default" w:ascii="Times New Roman" w:hAnsi="Times New Roman" w:eastAsia="宋体" w:cs="Times New Roman"/>
                <w:color w:val="auto"/>
                <w:sz w:val="24"/>
                <w:szCs w:val="24"/>
                <w:lang w:val="en-US" w:eastAsia="zh-CN"/>
              </w:rPr>
              <w:t>＝10qF</w:t>
            </w:r>
          </w:p>
          <w:p w14:paraId="7679C8A6">
            <w:pPr>
              <w:pStyle w:val="18"/>
              <w:keepNext/>
              <w:keepLines w:val="0"/>
              <w:pageBreakBefore w:val="0"/>
              <w:tabs>
                <w:tab w:val="left" w:pos="660"/>
              </w:tabs>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q—降雨强度</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 xml:space="preserve">mm，按平均日降雨量计算 </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q=qa/n，qa为当地多年平均降雨量，</w:t>
            </w:r>
            <w:r>
              <w:rPr>
                <w:rFonts w:hint="eastAsia" w:ascii="Times New Roman" w:hAnsi="Times New Roman" w:eastAsia="宋体" w:cs="Times New Roman"/>
                <w:color w:val="auto"/>
                <w:sz w:val="24"/>
                <w:szCs w:val="24"/>
                <w:lang w:val="en-US" w:eastAsia="zh-CN"/>
              </w:rPr>
              <w:t>喀左县</w:t>
            </w:r>
            <w:r>
              <w:rPr>
                <w:rFonts w:hint="default" w:ascii="Times New Roman" w:hAnsi="Times New Roman" w:eastAsia="宋体" w:cs="Times New Roman"/>
                <w:color w:val="auto"/>
                <w:sz w:val="24"/>
                <w:szCs w:val="24"/>
                <w:lang w:val="en-US" w:eastAsia="zh-CN"/>
              </w:rPr>
              <w:t>年</w:t>
            </w:r>
            <w:r>
              <w:rPr>
                <w:rFonts w:hint="eastAsia" w:ascii="Times New Roman" w:hAnsi="Times New Roman" w:eastAsia="宋体" w:cs="Times New Roman"/>
                <w:color w:val="auto"/>
                <w:sz w:val="24"/>
                <w:szCs w:val="24"/>
                <w:lang w:val="en-US" w:eastAsia="zh-CN"/>
              </w:rPr>
              <w:t>均</w:t>
            </w:r>
            <w:r>
              <w:rPr>
                <w:rFonts w:hint="default" w:ascii="Times New Roman" w:hAnsi="Times New Roman" w:eastAsia="宋体" w:cs="Times New Roman"/>
                <w:color w:val="auto"/>
                <w:sz w:val="24"/>
                <w:szCs w:val="24"/>
                <w:lang w:val="en-US" w:eastAsia="zh-CN"/>
              </w:rPr>
              <w:t>降雨量为</w:t>
            </w:r>
            <w:r>
              <w:rPr>
                <w:rFonts w:hint="eastAsia" w:ascii="Times New Roman" w:hAnsi="Times New Roman" w:eastAsia="宋体" w:cs="Times New Roman"/>
                <w:color w:val="auto"/>
                <w:sz w:val="24"/>
                <w:szCs w:val="24"/>
                <w:lang w:val="en-US" w:eastAsia="zh-CN"/>
              </w:rPr>
              <w:t>491.5</w:t>
            </w:r>
            <w:r>
              <w:rPr>
                <w:rFonts w:hint="default" w:ascii="Times New Roman" w:hAnsi="Times New Roman" w:eastAsia="宋体" w:cs="Times New Roman"/>
                <w:color w:val="auto"/>
                <w:sz w:val="24"/>
                <w:szCs w:val="24"/>
                <w:lang w:val="en-US" w:eastAsia="zh-CN"/>
              </w:rPr>
              <w:t>mm，n为年平均降雨日数，为60天</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，则本项目降雨强度为</w:t>
            </w:r>
            <w:r>
              <w:rPr>
                <w:rFonts w:hint="eastAsia" w:ascii="Times New Roman" w:hAnsi="Times New Roman" w:eastAsia="宋体" w:cs="Times New Roman"/>
                <w:color w:val="auto"/>
                <w:sz w:val="24"/>
                <w:szCs w:val="24"/>
                <w:lang w:val="en-US" w:eastAsia="zh-CN"/>
              </w:rPr>
              <w:t>8.2</w:t>
            </w:r>
            <w:r>
              <w:rPr>
                <w:rFonts w:hint="default" w:ascii="Times New Roman" w:hAnsi="Times New Roman" w:eastAsia="宋体" w:cs="Times New Roman"/>
                <w:color w:val="auto"/>
                <w:sz w:val="24"/>
                <w:szCs w:val="24"/>
                <w:lang w:val="en-US" w:eastAsia="zh-CN"/>
              </w:rPr>
              <w:t>mm。</w:t>
            </w:r>
          </w:p>
          <w:p w14:paraId="0AB6B903">
            <w:pPr>
              <w:pStyle w:val="18"/>
              <w:keepNext/>
              <w:keepLines w:val="0"/>
              <w:pageBreakBefore w:val="0"/>
              <w:tabs>
                <w:tab w:val="left" w:pos="660"/>
              </w:tabs>
              <w:kinsoku/>
              <w:wordWrap/>
              <w:overflowPunct/>
              <w:topLinePunct w:val="0"/>
              <w:autoSpaceDE/>
              <w:autoSpaceDN/>
              <w:bidi w:val="0"/>
              <w:adjustRightInd/>
              <w:spacing w:before="0" w:after="0" w:line="360" w:lineRule="auto"/>
              <w:ind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F—必须进入事故废水收集系统的雨水汇水面积</w:t>
            </w:r>
            <w:r>
              <w:rPr>
                <w:rFonts w:hint="eastAsia" w:ascii="Times New Roman" w:hAnsi="Times New Roman" w:eastAsia="宋体" w:cs="Times New Roman"/>
                <w:color w:val="auto"/>
                <w:sz w:val="24"/>
                <w:szCs w:val="24"/>
                <w:lang w:val="en-US" w:eastAsia="zh-CN"/>
              </w:rPr>
              <w:t>，hm</w:t>
            </w:r>
            <w:r>
              <w:rPr>
                <w:rFonts w:hint="eastAsia"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；收集</w:t>
            </w:r>
            <w:r>
              <w:rPr>
                <w:rFonts w:hint="eastAsia" w:ascii="Times New Roman" w:hAnsi="Times New Roman" w:eastAsia="宋体" w:cs="Times New Roman"/>
                <w:color w:val="auto"/>
                <w:sz w:val="24"/>
                <w:szCs w:val="24"/>
                <w:lang w:val="en-US" w:eastAsia="zh-CN"/>
              </w:rPr>
              <w:t>初期</w:t>
            </w:r>
            <w:r>
              <w:rPr>
                <w:rFonts w:hint="default" w:ascii="Times New Roman" w:hAnsi="Times New Roman" w:eastAsia="宋体" w:cs="Times New Roman"/>
                <w:color w:val="auto"/>
                <w:sz w:val="24"/>
                <w:szCs w:val="24"/>
                <w:lang w:val="en-US" w:eastAsia="zh-CN"/>
              </w:rPr>
              <w:t>雨水面积为生产区和贮存区</w:t>
            </w:r>
            <w:r>
              <w:rPr>
                <w:rFonts w:hint="eastAsia" w:ascii="Times New Roman" w:hAnsi="Times New Roman" w:eastAsia="宋体" w:cs="Times New Roman"/>
                <w:color w:val="auto"/>
                <w:sz w:val="24"/>
                <w:szCs w:val="24"/>
                <w:lang w:val="en-US" w:eastAsia="zh-CN"/>
              </w:rPr>
              <w:t>可能污染的区域及</w:t>
            </w:r>
            <w:r>
              <w:rPr>
                <w:rFonts w:hint="default" w:ascii="Times New Roman" w:hAnsi="Times New Roman" w:eastAsia="宋体" w:cs="Times New Roman"/>
                <w:color w:val="auto"/>
                <w:sz w:val="24"/>
                <w:szCs w:val="24"/>
                <w:lang w:val="en-US" w:eastAsia="zh-CN"/>
              </w:rPr>
              <w:t>道路等，汇水面积为</w:t>
            </w:r>
            <w:r>
              <w:rPr>
                <w:rFonts w:hint="eastAsia" w:ascii="Times New Roman" w:hAnsi="Times New Roman" w:eastAsia="宋体" w:cs="Times New Roman"/>
                <w:color w:val="auto"/>
                <w:sz w:val="24"/>
                <w:szCs w:val="24"/>
                <w:highlight w:val="none"/>
                <w:lang w:val="en-US" w:eastAsia="zh-CN"/>
              </w:rPr>
              <w:t>新增占地面积</w:t>
            </w:r>
            <w:r>
              <w:rPr>
                <w:rFonts w:hint="eastAsia"/>
                <w:color w:val="auto"/>
                <w:sz w:val="24"/>
                <w:highlight w:val="none"/>
                <w:lang w:val="en-US" w:eastAsia="zh-CN"/>
              </w:rPr>
              <w:t>3.6196h</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w:t>
            </w:r>
          </w:p>
          <w:p w14:paraId="5866F068">
            <w:pPr>
              <w:keepNext/>
              <w:keepLines w:val="0"/>
              <w:pageBreakBefore w:val="0"/>
              <w:kinsoku/>
              <w:wordWrap/>
              <w:overflowPunct/>
              <w:topLinePunct w:val="0"/>
              <w:autoSpaceDE/>
              <w:autoSpaceDN/>
              <w:bidi w:val="0"/>
              <w:adjustRightInd/>
              <w:spacing w:line="360" w:lineRule="auto"/>
              <w:ind w:right="0" w:firstLine="480"/>
              <w:textAlignment w:val="auto"/>
              <w:rPr>
                <w:rFonts w:hint="default"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经计算，初期雨水量为</w:t>
            </w: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雨</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8.2</w:t>
            </w:r>
            <w:r>
              <w:rPr>
                <w:rFonts w:hint="default" w:ascii="Times New Roman" w:hAnsi="Times New Roman" w:eastAsia="宋体" w:cs="Times New Roman"/>
                <w:color w:val="auto"/>
                <w:sz w:val="24"/>
                <w:szCs w:val="24"/>
                <w:lang w:val="en-US" w:eastAsia="zh-CN"/>
              </w:rPr>
              <w:t>×</w:t>
            </w:r>
            <w:r>
              <w:rPr>
                <w:rFonts w:hint="eastAsia"/>
                <w:color w:val="auto"/>
                <w:sz w:val="24"/>
                <w:lang w:val="en-US" w:eastAsia="zh-CN"/>
              </w:rPr>
              <w:t>3.6196=296.8</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s New Roman" w:hAnsi="Times New Roman" w:cs="Times New Roman"/>
                <w:color w:val="auto"/>
                <w:sz w:val="24"/>
                <w:szCs w:val="24"/>
                <w:lang w:val="en-US" w:eastAsia="zh-CN"/>
              </w:rPr>
              <w:t>初期雨水经初期雨水收集池</w:t>
            </w:r>
            <w:r>
              <w:rPr>
                <w:rFonts w:hint="eastAsia" w:cs="Times New Roman"/>
                <w:color w:val="auto"/>
                <w:sz w:val="24"/>
                <w:szCs w:val="24"/>
                <w:lang w:val="en-US" w:eastAsia="zh-CN"/>
              </w:rPr>
              <w:t>（有效容积300m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收集后</w:t>
            </w:r>
            <w:r>
              <w:rPr>
                <w:rFonts w:hint="eastAsia" w:cs="Times New Roman"/>
                <w:color w:val="auto"/>
                <w:sz w:val="24"/>
                <w:szCs w:val="24"/>
                <w:lang w:val="en-US" w:eastAsia="zh-CN"/>
              </w:rPr>
              <w:t>进入</w:t>
            </w:r>
            <w:r>
              <w:rPr>
                <w:rFonts w:hint="eastAsia" w:ascii="Times New Roman" w:hAnsi="Times New Roman" w:eastAsia="宋体" w:cs="Times New Roman"/>
                <w:color w:val="auto"/>
                <w:sz w:val="24"/>
                <w:szCs w:val="24"/>
                <w:lang w:val="en-US" w:eastAsia="zh-CN"/>
              </w:rPr>
              <w:t>辽宁红山一体化污水处理站</w:t>
            </w:r>
            <w:r>
              <w:rPr>
                <w:rFonts w:hint="eastAsia" w:cs="Times New Roman"/>
                <w:color w:val="auto"/>
                <w:sz w:val="24"/>
                <w:szCs w:val="24"/>
                <w:lang w:val="en-US" w:eastAsia="zh-CN"/>
              </w:rPr>
              <w:t>处理后回用于厂区道路洒扫</w:t>
            </w:r>
            <w:r>
              <w:rPr>
                <w:rFonts w:hint="eastAsia" w:ascii="Times New Roman" w:hAnsi="Times New Roman" w:cs="Times New Roman"/>
                <w:color w:val="auto"/>
                <w:sz w:val="24"/>
                <w:szCs w:val="24"/>
                <w:lang w:val="en-US" w:eastAsia="zh-CN"/>
              </w:rPr>
              <w:t>。</w:t>
            </w:r>
          </w:p>
          <w:p w14:paraId="4F1F363A">
            <w:pPr>
              <w:pStyle w:val="115"/>
              <w:keepNext/>
              <w:keepLines w:val="0"/>
              <w:pageBreakBefore w:val="0"/>
              <w:kinsoku/>
              <w:wordWrap/>
              <w:overflowPunct/>
              <w:topLinePunct w:val="0"/>
              <w:bidi w:val="0"/>
              <w:spacing w:line="360" w:lineRule="auto"/>
              <w:outlineLvl w:val="9"/>
              <w:rPr>
                <w:rFonts w:hint="eastAsia" w:ascii="Times New Roman" w:hAnsi="Times New Roman" w:cs="Times New Roman"/>
                <w:color w:val="auto"/>
                <w:lang w:eastAsia="zh-CN"/>
              </w:rPr>
            </w:pPr>
            <w:r>
              <w:rPr>
                <w:color w:val="auto"/>
                <w:sz w:val="24"/>
              </w:rPr>
              <mc:AlternateContent>
                <mc:Choice Requires="wps">
                  <w:drawing>
                    <wp:anchor distT="0" distB="0" distL="114300" distR="114300" simplePos="0" relativeHeight="251763712" behindDoc="0" locked="0" layoutInCell="1" allowOverlap="1">
                      <wp:simplePos x="0" y="0"/>
                      <wp:positionH relativeFrom="column">
                        <wp:posOffset>2644775</wp:posOffset>
                      </wp:positionH>
                      <wp:positionV relativeFrom="paragraph">
                        <wp:posOffset>2607945</wp:posOffset>
                      </wp:positionV>
                      <wp:extent cx="693420" cy="0"/>
                      <wp:effectExtent l="0" t="7620" r="0" b="8255"/>
                      <wp:wrapNone/>
                      <wp:docPr id="231" name="直接连接符 231"/>
                      <wp:cNvGraphicFramePr/>
                      <a:graphic xmlns:a="http://schemas.openxmlformats.org/drawingml/2006/main">
                        <a:graphicData uri="http://schemas.microsoft.com/office/word/2010/wordprocessingShape">
                          <wps:wsp>
                            <wps:cNvCnPr/>
                            <wps:spPr>
                              <a:xfrm flipH="1">
                                <a:off x="0" y="0"/>
                                <a:ext cx="693420" cy="0"/>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08.25pt;margin-top:205.35pt;height:0pt;width:54.6pt;z-index:251763712;mso-width-relative:page;mso-height-relative:page;" filled="f" stroked="t" coordsize="21600,21600" o:gfxdata="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v3iK9YAAAALAQAA&#10;DwAAAAAAAAABACAAAAAiAAAAZHJzL2Rvd25yZXYueG1sUEsBAhQAFAAAAAgAh07iQO7DuXfiAQAA&#10;qAMAAA4AAAAAAAAAAQAgAAAAJQEAAGRycy9lMm9Eb2MueG1sUEsFBgAAAAAGAAYAWQEAAHkFAAAA&#10;AA==&#10;">
                      <v:fill on="f" focussize="0,0"/>
                      <v:stroke weight="1.25pt" color="#000000 [3213]" joinstyle="round"/>
                      <v:imagedata o:title=""/>
                      <o:lock v:ext="edit" aspectratio="f"/>
                    </v:line>
                  </w:pict>
                </mc:Fallback>
              </mc:AlternateContent>
            </w:r>
            <w:r>
              <w:rPr>
                <w:color w:val="auto"/>
                <w:sz w:val="24"/>
              </w:rPr>
              <mc:AlternateContent>
                <mc:Choice Requires="wps">
                  <w:drawing>
                    <wp:anchor distT="0" distB="0" distL="114300" distR="114300" simplePos="0" relativeHeight="251761664" behindDoc="0" locked="0" layoutInCell="1" allowOverlap="1">
                      <wp:simplePos x="0" y="0"/>
                      <wp:positionH relativeFrom="column">
                        <wp:posOffset>2759075</wp:posOffset>
                      </wp:positionH>
                      <wp:positionV relativeFrom="paragraph">
                        <wp:posOffset>1915795</wp:posOffset>
                      </wp:positionV>
                      <wp:extent cx="571500" cy="635"/>
                      <wp:effectExtent l="0" t="0" r="0" b="0"/>
                      <wp:wrapNone/>
                      <wp:docPr id="216" name="直接连接符 216"/>
                      <wp:cNvGraphicFramePr/>
                      <a:graphic xmlns:a="http://schemas.openxmlformats.org/drawingml/2006/main">
                        <a:graphicData uri="http://schemas.microsoft.com/office/word/2010/wordprocessingShape">
                          <wps:wsp>
                            <wps:cNvCnPr/>
                            <wps:spPr>
                              <a:xfrm flipH="1">
                                <a:off x="0" y="0"/>
                                <a:ext cx="571500" cy="635"/>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17.25pt;margin-top:150.85pt;height:0.05pt;width:45pt;z-index:251761664;mso-width-relative:page;mso-height-relative:page;" filled="f" stroked="t" coordsize="21600,21600" o:gfxdata="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6ATYB9gAAAAL&#10;AQAADwAAAAAAAAABACAAAAAiAAAAZHJzL2Rvd25yZXYueG1sUEsBAhQAFAAAAAgAh07iQBQfR//j&#10;AQAAqgMAAA4AAAAAAAAAAQAgAAAAJwEAAGRycy9lMm9Eb2MueG1sUEsFBgAAAAAGAAYAWQEAAHwF&#10;AAAAAA==&#10;">
                      <v:fill on="f" focussize="0,0"/>
                      <v:stroke weight="1.25pt" color="#000000 [3213]" joinstyle="round"/>
                      <v:imagedata o:title=""/>
                      <o:lock v:ext="edit" aspectratio="f"/>
                    </v:line>
                  </w:pict>
                </mc:Fallback>
              </mc:AlternateContent>
            </w:r>
            <w:r>
              <w:rPr>
                <w:color w:val="auto"/>
                <w:sz w:val="24"/>
              </w:rPr>
              <mc:AlternateContent>
                <mc:Choice Requires="wps">
                  <w:drawing>
                    <wp:anchor distT="0" distB="0" distL="114300" distR="114300" simplePos="0" relativeHeight="251767808" behindDoc="0" locked="0" layoutInCell="1" allowOverlap="1">
                      <wp:simplePos x="0" y="0"/>
                      <wp:positionH relativeFrom="column">
                        <wp:posOffset>3043555</wp:posOffset>
                      </wp:positionH>
                      <wp:positionV relativeFrom="paragraph">
                        <wp:posOffset>923925</wp:posOffset>
                      </wp:positionV>
                      <wp:extent cx="871220" cy="1270"/>
                      <wp:effectExtent l="0" t="36830" r="5080" b="38100"/>
                      <wp:wrapNone/>
                      <wp:docPr id="257" name="直接连接符 257"/>
                      <wp:cNvGraphicFramePr/>
                      <a:graphic xmlns:a="http://schemas.openxmlformats.org/drawingml/2006/main">
                        <a:graphicData uri="http://schemas.microsoft.com/office/word/2010/wordprocessingShape">
                          <wps:wsp>
                            <wps:cNvCnPr/>
                            <wps:spPr>
                              <a:xfrm flipH="1" flipV="1">
                                <a:off x="0" y="0"/>
                                <a:ext cx="871220" cy="1270"/>
                              </a:xfrm>
                              <a:prstGeom prst="line">
                                <a:avLst/>
                              </a:prstGeom>
                              <a:ln w="15875">
                                <a:solidFill>
                                  <a:schemeClr val="tx1"/>
                                </a:solidFill>
                                <a:head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39.65pt;margin-top:72.75pt;height:0.1pt;width:68.6pt;z-index:251767808;mso-width-relative:page;mso-height-relative:page;" filled="f" stroked="t" coordsize="21600,21600" o:gfxdata="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zPaxtgAAAALAQAADwAAAAAAAAABACAAAAAiAAAAZHJzL2Rvd25yZXYu&#10;eG1sUEsBAhQAFAAAAAgAh07iQEk4pqn7AQAA0QMAAA4AAAAAAAAAAQAgAAAAJwEAAGRycy9lMm9E&#10;b2MueG1sUEsFBgAAAAAGAAYAWQEAAJQFAAAAAA==&#10;">
                      <v:fill on="f" focussize="0,0"/>
                      <v:stroke weight="1.25pt" color="#000000 [3213]" joinstyle="round" startarrow="block"/>
                      <v:imagedata o:title=""/>
                      <o:lock v:ext="edit" aspectratio="f"/>
                    </v:line>
                  </w:pict>
                </mc:Fallback>
              </mc:AlternateContent>
            </w:r>
            <w:r>
              <w:rPr>
                <w:color w:val="auto"/>
                <w:sz w:val="24"/>
              </w:rPr>
              <mc:AlternateContent>
                <mc:Choice Requires="wps">
                  <w:drawing>
                    <wp:anchor distT="0" distB="0" distL="114300" distR="114300" simplePos="0" relativeHeight="251766784" behindDoc="0" locked="0" layoutInCell="1" allowOverlap="1">
                      <wp:simplePos x="0" y="0"/>
                      <wp:positionH relativeFrom="column">
                        <wp:posOffset>3046730</wp:posOffset>
                      </wp:positionH>
                      <wp:positionV relativeFrom="paragraph">
                        <wp:posOffset>544195</wp:posOffset>
                      </wp:positionV>
                      <wp:extent cx="1270" cy="741045"/>
                      <wp:effectExtent l="7620" t="0" r="10160" b="1905"/>
                      <wp:wrapNone/>
                      <wp:docPr id="256" name="直接连接符 256"/>
                      <wp:cNvGraphicFramePr/>
                      <a:graphic xmlns:a="http://schemas.openxmlformats.org/drawingml/2006/main">
                        <a:graphicData uri="http://schemas.microsoft.com/office/word/2010/wordprocessingShape">
                          <wps:wsp>
                            <wps:cNvCnPr/>
                            <wps:spPr>
                              <a:xfrm flipH="1">
                                <a:off x="4324985" y="4575810"/>
                                <a:ext cx="1270" cy="741045"/>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39.9pt;margin-top:42.85pt;height:58.35pt;width:0.1pt;z-index:251766784;mso-width-relative:page;mso-height-relative:page;" filled="f" stroked="t" coordsize="21600,21600" o:gfxdata="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y1VW/tgAAAAKAQAADwAAAAAAAAABACAAAAAiAAAAZHJzL2Rvd25yZXYueG1sUEsBAhQA&#10;FAAAAAgAh07iQOR+FBTyAQAAtwMAAA4AAAAAAAAAAQAgAAAAJwEAAGRycy9lMm9Eb2MueG1sUEsF&#10;BgAAAAAGAAYAWQEAAIsFAAAAAA==&#10;">
                      <v:fill on="f" focussize="0,0"/>
                      <v:stroke weight="1.25pt" color="#000000 [3213]" joinstyle="round"/>
                      <v:imagedata o:title=""/>
                      <o:lock v:ext="edit" aspectratio="f"/>
                    </v:line>
                  </w:pict>
                </mc:Fallback>
              </mc:AlternateContent>
            </w:r>
            <w:r>
              <w:rPr>
                <w:color w:val="auto"/>
                <w:sz w:val="24"/>
              </w:rPr>
              <mc:AlternateContent>
                <mc:Choice Requires="wps">
                  <w:drawing>
                    <wp:anchor distT="0" distB="0" distL="114300" distR="114300" simplePos="0" relativeHeight="251765760" behindDoc="0" locked="0" layoutInCell="1" allowOverlap="1">
                      <wp:simplePos x="0" y="0"/>
                      <wp:positionH relativeFrom="column">
                        <wp:posOffset>2476500</wp:posOffset>
                      </wp:positionH>
                      <wp:positionV relativeFrom="paragraph">
                        <wp:posOffset>548640</wp:posOffset>
                      </wp:positionV>
                      <wp:extent cx="571500" cy="635"/>
                      <wp:effectExtent l="0" t="38100" r="0" b="37465"/>
                      <wp:wrapNone/>
                      <wp:docPr id="255" name="直接连接符 255"/>
                      <wp:cNvGraphicFramePr/>
                      <a:graphic xmlns:a="http://schemas.openxmlformats.org/drawingml/2006/main">
                        <a:graphicData uri="http://schemas.microsoft.com/office/word/2010/wordprocessingShape">
                          <wps:wsp>
                            <wps:cNvCnPr/>
                            <wps:spPr>
                              <a:xfrm flipH="1">
                                <a:off x="0" y="0"/>
                                <a:ext cx="571500" cy="635"/>
                              </a:xfrm>
                              <a:prstGeom prst="line">
                                <a:avLst/>
                              </a:prstGeom>
                              <a:ln w="15875">
                                <a:solidFill>
                                  <a:schemeClr val="tx1"/>
                                </a:solidFill>
                                <a:head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5pt;margin-top:43.2pt;height:0.05pt;width:45pt;z-index:251765760;mso-width-relative:page;mso-height-relative:page;" filled="f" stroked="t" coordsize="21600,21600" o:gfxdata="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nO+df1wAAAAkBAAAPAAAAAAAAAAEAIAAAACIAAABkcnMvZG93bnJldi54bWxQSwEC&#10;FAAUAAAACACHTuJAexWDY/UBAADGAwAADgAAAAAAAAABACAAAAAmAQAAZHJzL2Uyb0RvYy54bWxQ&#10;SwUGAAAAAAYABgBZAQAAjQUAAAAA&#10;">
                      <v:fill on="f" focussize="0,0"/>
                      <v:stroke weight="1.25pt" color="#000000 [3213]" joinstyle="round" startarrow="block"/>
                      <v:imagedata o:title=""/>
                      <o:lock v:ext="edit" aspectratio="f"/>
                    </v:line>
                  </w:pict>
                </mc:Fallback>
              </mc:AlternateContent>
            </w:r>
            <w:r>
              <w:rPr>
                <w:color w:val="auto"/>
                <w:sz w:val="24"/>
              </w:rPr>
              <mc:AlternateContent>
                <mc:Choice Requires="wps">
                  <w:drawing>
                    <wp:anchor distT="0" distB="0" distL="114300" distR="114300" simplePos="0" relativeHeight="251764736" behindDoc="0" locked="0" layoutInCell="1" allowOverlap="1">
                      <wp:simplePos x="0" y="0"/>
                      <wp:positionH relativeFrom="column">
                        <wp:posOffset>755015</wp:posOffset>
                      </wp:positionH>
                      <wp:positionV relativeFrom="paragraph">
                        <wp:posOffset>548640</wp:posOffset>
                      </wp:positionV>
                      <wp:extent cx="571500" cy="635"/>
                      <wp:effectExtent l="0" t="38100" r="0" b="37465"/>
                      <wp:wrapNone/>
                      <wp:docPr id="253" name="直接连接符 253"/>
                      <wp:cNvGraphicFramePr/>
                      <a:graphic xmlns:a="http://schemas.openxmlformats.org/drawingml/2006/main">
                        <a:graphicData uri="http://schemas.microsoft.com/office/word/2010/wordprocessingShape">
                          <wps:wsp>
                            <wps:cNvCnPr/>
                            <wps:spPr>
                              <a:xfrm flipH="1">
                                <a:off x="0" y="0"/>
                                <a:ext cx="571500" cy="635"/>
                              </a:xfrm>
                              <a:prstGeom prst="line">
                                <a:avLst/>
                              </a:prstGeom>
                              <a:ln w="15875">
                                <a:solidFill>
                                  <a:schemeClr val="tx1"/>
                                </a:solidFill>
                                <a:head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59.45pt;margin-top:43.2pt;height:0.05pt;width:45pt;z-index:251764736;mso-width-relative:page;mso-height-relative:page;" filled="f" stroked="t" coordsize="21600,21600" o:gfxdata="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L7ev/WAAAACQEAAA8AAAAAAAAAAQAgAAAAIgAAAGRycy9kb3ducmV2LnhtbFBLAQIU&#10;ABQAAAAIAIdO4kBY8W1T9QEAAMYDAAAOAAAAAAAAAAEAIAAAACUBAABkcnMvZTJvRG9jLnhtbFBL&#10;BQYAAAAABgAGAFkBAACMBQAAAAA=&#10;">
                      <v:fill on="f" focussize="0,0"/>
                      <v:stroke weight="1.25pt" color="#000000 [3213]" joinstyle="round" startarrow="block"/>
                      <v:imagedata o:title=""/>
                      <o:lock v:ext="edit" aspectratio="f"/>
                    </v:line>
                  </w:pict>
                </mc:Fallback>
              </mc:AlternateContent>
            </w:r>
            <w:r>
              <w:rPr>
                <w:color w:val="auto"/>
                <w:sz w:val="24"/>
              </w:rPr>
              <mc:AlternateContent>
                <mc:Choice Requires="wpg">
                  <w:drawing>
                    <wp:anchor distT="0" distB="0" distL="114300" distR="114300" simplePos="0" relativeHeight="251763712" behindDoc="0" locked="0" layoutInCell="1" allowOverlap="1">
                      <wp:simplePos x="0" y="0"/>
                      <wp:positionH relativeFrom="column">
                        <wp:posOffset>901065</wp:posOffset>
                      </wp:positionH>
                      <wp:positionV relativeFrom="paragraph">
                        <wp:posOffset>1270000</wp:posOffset>
                      </wp:positionV>
                      <wp:extent cx="574040" cy="692150"/>
                      <wp:effectExtent l="0" t="38100" r="16510" b="50800"/>
                      <wp:wrapNone/>
                      <wp:docPr id="552" name="组合 552"/>
                      <wp:cNvGraphicFramePr/>
                      <a:graphic xmlns:a="http://schemas.openxmlformats.org/drawingml/2006/main">
                        <a:graphicData uri="http://schemas.microsoft.com/office/word/2010/wordprocessingGroup">
                          <wpg:wgp>
                            <wpg:cNvGrpSpPr/>
                            <wpg:grpSpPr>
                              <a:xfrm>
                                <a:off x="0" y="0"/>
                                <a:ext cx="574040" cy="692150"/>
                                <a:chOff x="3860" y="726633"/>
                                <a:chExt cx="904" cy="1090"/>
                              </a:xfrm>
                            </wpg:grpSpPr>
                            <wps:wsp>
                              <wps:cNvPr id="193" name="直接连接符 193"/>
                              <wps:cNvCnPr/>
                              <wps:spPr>
                                <a:xfrm flipH="1">
                                  <a:off x="3860" y="726633"/>
                                  <a:ext cx="900" cy="1"/>
                                </a:xfrm>
                                <a:prstGeom prst="line">
                                  <a:avLst/>
                                </a:prstGeom>
                                <a:ln w="15875">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s:wsp>
                              <wps:cNvPr id="196" name="直接连接符 196"/>
                              <wps:cNvCnPr/>
                              <wps:spPr>
                                <a:xfrm flipH="1">
                                  <a:off x="3864" y="727723"/>
                                  <a:ext cx="900" cy="1"/>
                                </a:xfrm>
                                <a:prstGeom prst="line">
                                  <a:avLst/>
                                </a:prstGeom>
                                <a:ln w="15875">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70.95pt;margin-top:100pt;height:54.5pt;width:45.2pt;z-index:251763712;mso-width-relative:page;mso-height-relative:page;" coordorigin="3860,726633" coordsize="904,1090" o:gfxdata="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n4XFS9kAAAALAQAADwAAAAAAAAABACAAAAAiAAAAZHJzL2Rvd25yZXYueG1sUEsBAhQA&#10;FAAAAAgAh07iQOdwabGcAgAAGAcAAA4AAAAAAAAAAQAgAAAAKAEAAGRycy9lMm9Eb2MueG1sUEsF&#10;BgAAAAAGAAYAWQEAADYGAAAAAA==&#10;">
                      <o:lock v:ext="edit" aspectratio="f"/>
                      <v:line id="_x0000_s1026" o:spid="_x0000_s1026" o:spt="20" style="position:absolute;left:3860;top:726633;flip:x;height:1;width:900;" filled="f" stroked="t" coordsize="21600,21600" o:gfxdata="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LO9augAAANwA&#10;AAAPAAAAAAAAAAEAIAAAACIAAABkcnMvZG93bnJldi54bWxQSwECFAAUAAAACACHTuJAMy8FnjsA&#10;AAA5AAAAEAAAAAAAAAABACAAAAAJAQAAZHJzL3NoYXBleG1sLnhtbFBLBQYAAAAABgAGAFsBAACz&#10;AwAAAAA=&#10;">
                        <v:fill on="f" focussize="0,0"/>
                        <v:stroke weight="1.25pt" color="#000000 [3213]" joinstyle="round" startarrow="block"/>
                        <v:imagedata o:title=""/>
                        <o:lock v:ext="edit" aspectratio="f"/>
                      </v:line>
                      <v:line id="_x0000_s1026" o:spid="_x0000_s1026" o:spt="20" style="position:absolute;left:3864;top:727723;flip:x;height:1;width:900;" filled="f" stroked="t" coordsize="21600,21600" o:gfxdata="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VtMwrsAAADc&#10;AAAADwAAAAAAAAABACAAAAAiAAAAZHJzL2Rvd25yZXYueG1sUEsBAhQAFAAAAAgAh07iQDMvBZ47&#10;AAAAOQAAABAAAAAAAAAAAQAgAAAACgEAAGRycy9zaGFwZXhtbC54bWxQSwUGAAAAAAYABgBbAQAA&#10;tAMAAAAA&#10;">
                        <v:fill on="f" focussize="0,0"/>
                        <v:stroke weight="1.25pt" color="#000000 [3213]" joinstyle="round" startarrow="block"/>
                        <v:imagedata o:title=""/>
                        <o:lock v:ext="edit" aspectratio="f"/>
                      </v:line>
                    </v:group>
                  </w:pict>
                </mc:Fallback>
              </mc:AlternateContent>
            </w:r>
            <w:r>
              <w:rPr>
                <w:color w:val="auto"/>
                <w:sz w:val="24"/>
              </w:rPr>
              <mc:AlternateContent>
                <mc:Choice Requires="wps">
                  <w:drawing>
                    <wp:anchor distT="0" distB="0" distL="114300" distR="114300" simplePos="0" relativeHeight="251762688" behindDoc="0" locked="0" layoutInCell="1" allowOverlap="1">
                      <wp:simplePos x="0" y="0"/>
                      <wp:positionH relativeFrom="column">
                        <wp:posOffset>2486660</wp:posOffset>
                      </wp:positionH>
                      <wp:positionV relativeFrom="paragraph">
                        <wp:posOffset>1292225</wp:posOffset>
                      </wp:positionV>
                      <wp:extent cx="571500" cy="635"/>
                      <wp:effectExtent l="0" t="38100" r="0" b="37465"/>
                      <wp:wrapNone/>
                      <wp:docPr id="220" name="直接连接符 220"/>
                      <wp:cNvGraphicFramePr/>
                      <a:graphic xmlns:a="http://schemas.openxmlformats.org/drawingml/2006/main">
                        <a:graphicData uri="http://schemas.microsoft.com/office/word/2010/wordprocessingShape">
                          <wps:wsp>
                            <wps:cNvCnPr/>
                            <wps:spPr>
                              <a:xfrm flipH="1">
                                <a:off x="0" y="0"/>
                                <a:ext cx="571500" cy="635"/>
                              </a:xfrm>
                              <a:prstGeom prst="line">
                                <a:avLst/>
                              </a:prstGeom>
                              <a:ln w="15875">
                                <a:solidFill>
                                  <a:schemeClr val="tx1"/>
                                </a:solidFill>
                                <a:head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5.8pt;margin-top:101.75pt;height:0.05pt;width:45pt;z-index:251762688;mso-width-relative:page;mso-height-relative:page;" filled="f" stroked="t" coordsize="21600,21600" o:gfxdata="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r5FH2AAAAAsBAAAPAAAAAAAAAAEAIAAAACIAAABkcnMvZG93bnJldi54bWxQSwEC&#10;FAAUAAAACACHTuJARiUTNPQBAADGAwAADgAAAAAAAAABACAAAAAnAQAAZHJzL2Uyb0RvYy54bWxQ&#10;SwUGAAAAAAYABgBZAQAAjQUAAAAA&#10;">
                      <v:fill on="f" focussize="0,0"/>
                      <v:stroke weight="1.25pt" color="#000000 [3213]" joinstyle="round" startarrow="block"/>
                      <v:imagedata o:title=""/>
                      <o:lock v:ext="edit" aspectratio="f"/>
                    </v:line>
                  </w:pict>
                </mc:Fallback>
              </mc:AlternateContent>
            </w:r>
            <w:r>
              <w:rPr>
                <w:color w:val="auto"/>
                <w:sz w:val="24"/>
              </w:rPr>
              <mc:AlternateContent>
                <mc:Choice Requires="wpc">
                  <w:drawing>
                    <wp:inline distT="0" distB="0" distL="114300" distR="114300">
                      <wp:extent cx="5298440" cy="4529455"/>
                      <wp:effectExtent l="4445" t="4445" r="31115" b="19050"/>
                      <wp:docPr id="17" name="画布 17"/>
                      <wp:cNvGraphicFramePr/>
                      <a:graphic xmlns:a="http://schemas.openxmlformats.org/drawingml/2006/main">
                        <a:graphicData uri="http://schemas.microsoft.com/office/word/2010/wordprocessingCanvas">
                          <wpc:wpc>
                            <wpc:bg/>
                            <wpc:whole>
                              <a:ln w="6350">
                                <a:solidFill>
                                  <a:schemeClr val="tx1"/>
                                </a:solidFill>
                              </a:ln>
                            </wpc:whole>
                            <wpg:wgp>
                              <wpg:cNvPr id="553" name="组合 249"/>
                              <wpg:cNvGrpSpPr/>
                              <wpg:grpSpPr>
                                <a:xfrm>
                                  <a:off x="1460500" y="1136015"/>
                                  <a:ext cx="1301750" cy="2328545"/>
                                  <a:chOff x="2309" y="726"/>
                                  <a:chExt cx="2050" cy="3667"/>
                                </a:xfrm>
                              </wpg:grpSpPr>
                              <wps:wsp>
                                <wps:cNvPr id="554" name="文本框 18"/>
                                <wps:cNvSpPr txBox="1"/>
                                <wps:spPr>
                                  <a:xfrm>
                                    <a:off x="2316" y="726"/>
                                    <a:ext cx="1600" cy="437"/>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0B3F59">
                                      <w:pPr>
                                        <w:rPr>
                                          <w:rFonts w:hint="default" w:eastAsia="宋体"/>
                                          <w:lang w:val="en-US" w:eastAsia="zh-CN"/>
                                        </w:rPr>
                                      </w:pPr>
                                      <w:r>
                                        <w:rPr>
                                          <w:rFonts w:hint="eastAsia"/>
                                          <w:lang w:val="en-US" w:eastAsia="zh-CN"/>
                                        </w:rPr>
                                        <w:t>水相制备用水</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555" name="组合 248"/>
                                <wpg:cNvGrpSpPr/>
                                <wpg:grpSpPr>
                                  <a:xfrm>
                                    <a:off x="2309" y="1741"/>
                                    <a:ext cx="2050" cy="2653"/>
                                    <a:chOff x="2309" y="1741"/>
                                    <a:chExt cx="2050" cy="2653"/>
                                  </a:xfrm>
                                </wpg:grpSpPr>
                                <wps:wsp>
                                  <wps:cNvPr id="556" name="文本框 36"/>
                                  <wps:cNvSpPr txBox="1"/>
                                  <wps:spPr>
                                    <a:xfrm>
                                      <a:off x="2309" y="1741"/>
                                      <a:ext cx="2050" cy="47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F04D09">
                                        <w:pPr>
                                          <w:rPr>
                                            <w:rFonts w:hint="default" w:eastAsia="宋体"/>
                                            <w:lang w:val="en-US" w:eastAsia="zh-CN"/>
                                          </w:rPr>
                                        </w:pPr>
                                        <w:r>
                                          <w:rPr>
                                            <w:rFonts w:hint="eastAsia"/>
                                            <w:lang w:val="en-US" w:eastAsia="zh-CN"/>
                                          </w:rPr>
                                          <w:t>车间地面清洗用水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7" name="文本框 187"/>
                                  <wps:cNvSpPr txBox="1"/>
                                  <wps:spPr>
                                    <a:xfrm>
                                      <a:off x="2323" y="2800"/>
                                      <a:ext cx="1863"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6E995B5">
                                        <w:pPr>
                                          <w:rPr>
                                            <w:rFonts w:hint="default" w:eastAsia="宋体"/>
                                            <w:lang w:val="en-US" w:eastAsia="zh-CN"/>
                                          </w:rPr>
                                        </w:pPr>
                                        <w:r>
                                          <w:rPr>
                                            <w:rFonts w:hint="eastAsia"/>
                                            <w:lang w:val="en-US" w:eastAsia="zh-CN"/>
                                          </w:rPr>
                                          <w:t>设备冲洗用水量</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8" name="文本框 192"/>
                                  <wps:cNvSpPr txBox="1"/>
                                  <wps:spPr>
                                    <a:xfrm>
                                      <a:off x="2335" y="3906"/>
                                      <a:ext cx="1863"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B72F82">
                                        <w:pPr>
                                          <w:rPr>
                                            <w:rFonts w:hint="default" w:eastAsia="宋体"/>
                                            <w:lang w:val="en-US" w:eastAsia="zh-CN"/>
                                          </w:rPr>
                                        </w:pPr>
                                        <w:r>
                                          <w:rPr>
                                            <w:rFonts w:hint="eastAsia"/>
                                            <w:lang w:val="en-US" w:eastAsia="zh-CN"/>
                                          </w:rPr>
                                          <w:t>冷却水用水量</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wps:wsp>
                              <wps:cNvPr id="559" name="直接连接符 197"/>
                              <wps:cNvCnPr/>
                              <wps:spPr>
                                <a:xfrm flipH="1">
                                  <a:off x="911860" y="2620010"/>
                                  <a:ext cx="571500" cy="635"/>
                                </a:xfrm>
                                <a:prstGeom prst="line">
                                  <a:avLst/>
                                </a:prstGeom>
                                <a:ln w="15875">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s:wsp>
                              <wps:cNvPr id="560" name="直接连接符 198"/>
                              <wps:cNvCnPr/>
                              <wps:spPr>
                                <a:xfrm flipH="1">
                                  <a:off x="909955" y="3334385"/>
                                  <a:ext cx="571500" cy="635"/>
                                </a:xfrm>
                                <a:prstGeom prst="line">
                                  <a:avLst/>
                                </a:prstGeom>
                                <a:ln w="15875">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s:wsp>
                              <wps:cNvPr id="561" name="直接连接符 195"/>
                              <wps:cNvCnPr/>
                              <wps:spPr>
                                <a:xfrm>
                                  <a:off x="910590" y="1270000"/>
                                  <a:ext cx="9525" cy="2970530"/>
                                </a:xfrm>
                                <a:prstGeom prst="line">
                                  <a:avLst/>
                                </a:prstGeom>
                                <a:ln w="1587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562" name="直接连接符 199"/>
                              <wps:cNvCnPr/>
                              <wps:spPr>
                                <a:xfrm flipV="1">
                                  <a:off x="148590" y="2282190"/>
                                  <a:ext cx="753745" cy="7620"/>
                                </a:xfrm>
                                <a:prstGeom prst="line">
                                  <a:avLst/>
                                </a:prstGeom>
                                <a:ln w="15875">
                                  <a:solidFill>
                                    <a:schemeClr val="tx1"/>
                                  </a:solidFill>
                                  <a:headEnd type="none"/>
                                  <a:tailEnd type="triangle"/>
                                </a:ln>
                              </wps:spPr>
                              <wps:style>
                                <a:lnRef idx="2">
                                  <a:schemeClr val="accent1"/>
                                </a:lnRef>
                                <a:fillRef idx="0">
                                  <a:srgbClr val="FFFFFF"/>
                                </a:fillRef>
                                <a:effectRef idx="0">
                                  <a:srgbClr val="FFFFFF"/>
                                </a:effectRef>
                                <a:fontRef idx="minor">
                                  <a:schemeClr val="tx1"/>
                                </a:fontRef>
                              </wps:style>
                              <wps:bodyPr/>
                            </wps:wsp>
                            <wps:wsp>
                              <wps:cNvPr id="563" name="文本框 200"/>
                              <wps:cNvSpPr txBox="1"/>
                              <wps:spPr>
                                <a:xfrm>
                                  <a:off x="956310" y="1012190"/>
                                  <a:ext cx="58737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112359">
                                    <w:pPr>
                                      <w:rPr>
                                        <w:rFonts w:hint="default" w:eastAsia="宋体"/>
                                        <w:lang w:val="en-US" w:eastAsia="zh-CN"/>
                                      </w:rPr>
                                    </w:pPr>
                                    <w:r>
                                      <w:rPr>
                                        <w:rFonts w:hint="eastAsia"/>
                                        <w:lang w:val="en-US" w:eastAsia="zh-CN"/>
                                      </w:rPr>
                                      <w:t>2250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4" name="曲线连接符 202"/>
                              <wps:cNvCnPr/>
                              <wps:spPr>
                                <a:xfrm flipV="1">
                                  <a:off x="3037205" y="525780"/>
                                  <a:ext cx="333375" cy="206375"/>
                                </a:xfrm>
                                <a:prstGeom prst="curvedConnector3">
                                  <a:avLst>
                                    <a:gd name="adj1" fmla="val 50095"/>
                                  </a:avLst>
                                </a:prstGeom>
                                <a:ln w="158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565" name="文本框 217"/>
                              <wps:cNvSpPr txBox="1"/>
                              <wps:spPr>
                                <a:xfrm>
                                  <a:off x="954405" y="1706245"/>
                                  <a:ext cx="58737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132A9F">
                                    <w:pPr>
                                      <w:rPr>
                                        <w:rFonts w:hint="default" w:eastAsia="宋体"/>
                                        <w:lang w:val="en-US" w:eastAsia="zh-CN"/>
                                      </w:rPr>
                                    </w:pPr>
                                    <w:r>
                                      <w:rPr>
                                        <w:rFonts w:hint="eastAsia"/>
                                        <w:lang w:val="en-US" w:eastAsia="zh-CN"/>
                                      </w:rPr>
                                      <w:t>249.8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6" name="曲线连接符 219"/>
                              <wps:cNvCnPr/>
                              <wps:spPr>
                                <a:xfrm flipV="1">
                                  <a:off x="2284730" y="1570990"/>
                                  <a:ext cx="333375" cy="206375"/>
                                </a:xfrm>
                                <a:prstGeom prst="curvedConnector3">
                                  <a:avLst>
                                    <a:gd name="adj1" fmla="val 50095"/>
                                  </a:avLst>
                                </a:prstGeom>
                                <a:ln w="158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567" name="文本框 221"/>
                              <wps:cNvSpPr txBox="1"/>
                              <wps:spPr>
                                <a:xfrm>
                                  <a:off x="1048385" y="2361565"/>
                                  <a:ext cx="3181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CA12FC">
                                    <w:pPr>
                                      <w:rPr>
                                        <w:rFonts w:hint="default"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8" name="文本框 223"/>
                              <wps:cNvSpPr txBox="1"/>
                              <wps:spPr>
                                <a:xfrm>
                                  <a:off x="1052830" y="3078480"/>
                                  <a:ext cx="3181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CDC6E9">
                                    <w:pPr>
                                      <w:rPr>
                                        <w:rFonts w:hint="default"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9" name="曲线连接符 227"/>
                              <wps:cNvCnPr/>
                              <wps:spPr>
                                <a:xfrm flipV="1">
                                  <a:off x="2321560" y="2941955"/>
                                  <a:ext cx="333375" cy="206375"/>
                                </a:xfrm>
                                <a:prstGeom prst="curvedConnector3">
                                  <a:avLst>
                                    <a:gd name="adj1" fmla="val 50095"/>
                                  </a:avLst>
                                </a:prstGeom>
                                <a:ln w="158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570" name="文本框 228"/>
                              <wps:cNvSpPr txBox="1"/>
                              <wps:spPr>
                                <a:xfrm>
                                  <a:off x="2578735" y="2796540"/>
                                  <a:ext cx="3181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A18CC8">
                                    <w:pPr>
                                      <w:rPr>
                                        <w:rFonts w:hint="default"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1" name="文本框 230"/>
                              <wps:cNvSpPr txBox="1"/>
                              <wps:spPr>
                                <a:xfrm>
                                  <a:off x="97155" y="1887855"/>
                                  <a:ext cx="705485" cy="452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46A54E">
                                    <w:pPr>
                                      <w:rPr>
                                        <w:rFonts w:hint="default" w:eastAsia="宋体"/>
                                        <w:lang w:val="en-US" w:eastAsia="zh-CN"/>
                                      </w:rPr>
                                    </w:pPr>
                                    <w:r>
                                      <w:rPr>
                                        <w:rFonts w:hint="eastAsia"/>
                                        <w:lang w:val="en-US" w:eastAsia="zh-CN"/>
                                      </w:rPr>
                                      <w:t>新鲜水</w:t>
                                    </w:r>
                                    <w:r>
                                      <w:rPr>
                                        <w:rFonts w:hint="eastAsia"/>
                                        <w:color w:val="auto"/>
                                        <w:lang w:val="en-US" w:eastAsia="zh-CN"/>
                                      </w:rPr>
                                      <w:t>4901.86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2" name="文本框 232"/>
                              <wps:cNvSpPr txBox="1"/>
                              <wps:spPr>
                                <a:xfrm>
                                  <a:off x="2786380" y="2396490"/>
                                  <a:ext cx="31813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0A832">
                                    <w:pPr>
                                      <w:rPr>
                                        <w:rFonts w:hint="default" w:eastAsia="宋体"/>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3" name="文本框 233"/>
                              <wps:cNvSpPr txBox="1"/>
                              <wps:spPr>
                                <a:xfrm>
                                  <a:off x="2785110" y="1642110"/>
                                  <a:ext cx="700405" cy="2457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C3B912">
                                    <w:pPr>
                                      <w:rPr>
                                        <w:rFonts w:hint="default" w:eastAsia="宋体"/>
                                        <w:lang w:val="en-US" w:eastAsia="zh-CN"/>
                                      </w:rPr>
                                    </w:pPr>
                                    <w:r>
                                      <w:rPr>
                                        <w:rFonts w:hint="eastAsia"/>
                                        <w:lang w:val="en-US" w:eastAsia="zh-CN"/>
                                      </w:rPr>
                                      <w:t>224.82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4" name="文本框 234"/>
                              <wps:cNvSpPr txBox="1"/>
                              <wps:spPr>
                                <a:xfrm>
                                  <a:off x="2540635" y="1428115"/>
                                  <a:ext cx="67056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BAAB19">
                                    <w:pPr>
                                      <w:rPr>
                                        <w:rFonts w:hint="default" w:eastAsia="宋体"/>
                                        <w:lang w:val="en-US" w:eastAsia="zh-CN"/>
                                      </w:rPr>
                                    </w:pPr>
                                    <w:r>
                                      <w:rPr>
                                        <w:rFonts w:hint="eastAsia"/>
                                        <w:lang w:val="en-US" w:eastAsia="zh-CN"/>
                                      </w:rPr>
                                      <w:t>24.98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5" name="直接连接符 235"/>
                              <wps:cNvCnPr/>
                              <wps:spPr>
                                <a:xfrm>
                                  <a:off x="3316605" y="1913255"/>
                                  <a:ext cx="7620" cy="182880"/>
                                </a:xfrm>
                                <a:prstGeom prst="line">
                                  <a:avLst/>
                                </a:prstGeom>
                                <a:ln w="1587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576" name="直接连接符 242"/>
                              <wps:cNvCnPr/>
                              <wps:spPr>
                                <a:xfrm>
                                  <a:off x="3328670" y="2386965"/>
                                  <a:ext cx="3175" cy="211455"/>
                                </a:xfrm>
                                <a:prstGeom prst="line">
                                  <a:avLst/>
                                </a:prstGeom>
                                <a:ln w="15875">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s:wsp>
                              <wps:cNvPr id="577" name="文本框 243"/>
                              <wps:cNvSpPr txBox="1"/>
                              <wps:spPr>
                                <a:xfrm>
                                  <a:off x="3974465" y="1927860"/>
                                  <a:ext cx="634365" cy="5962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5E823EF">
                                    <w:pPr>
                                      <w:jc w:val="center"/>
                                      <w:rPr>
                                        <w:rFonts w:hint="default" w:eastAsia="宋体"/>
                                        <w:lang w:val="en-US" w:eastAsia="zh-CN"/>
                                      </w:rPr>
                                    </w:pPr>
                                    <w:r>
                                      <w:rPr>
                                        <w:rFonts w:hint="eastAsia"/>
                                        <w:lang w:val="en-US" w:eastAsia="zh-CN"/>
                                      </w:rPr>
                                      <w:t>辽宁红山污水处理站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578" name="组合 251"/>
                              <wpg:cNvGrpSpPr/>
                              <wpg:grpSpPr>
                                <a:xfrm>
                                  <a:off x="3637915" y="2214880"/>
                                  <a:ext cx="1216660" cy="5080"/>
                                  <a:chOff x="5807" y="2479"/>
                                  <a:chExt cx="1916" cy="8"/>
                                </a:xfrm>
                              </wpg:grpSpPr>
                              <wps:wsp>
                                <wps:cNvPr id="579" name="直接连接符 241"/>
                                <wps:cNvCnPr/>
                                <wps:spPr>
                                  <a:xfrm flipV="1">
                                    <a:off x="5807" y="2479"/>
                                    <a:ext cx="539" cy="5"/>
                                  </a:xfrm>
                                  <a:prstGeom prst="line">
                                    <a:avLst/>
                                  </a:prstGeom>
                                  <a:ln w="15875">
                                    <a:solidFill>
                                      <a:schemeClr val="tx1"/>
                                    </a:solidFill>
                                    <a:headEnd type="none"/>
                                    <a:tailEnd type="triangle"/>
                                  </a:ln>
                                </wps:spPr>
                                <wps:style>
                                  <a:lnRef idx="2">
                                    <a:schemeClr val="accent1"/>
                                  </a:lnRef>
                                  <a:fillRef idx="0">
                                    <a:srgbClr val="FFFFFF"/>
                                  </a:fillRef>
                                  <a:effectRef idx="0">
                                    <a:srgbClr val="FFFFFF"/>
                                  </a:effectRef>
                                  <a:fontRef idx="minor">
                                    <a:schemeClr val="tx1"/>
                                  </a:fontRef>
                                </wps:style>
                                <wps:bodyPr/>
                              </wps:wsp>
                              <wps:wsp>
                                <wps:cNvPr id="580" name="直接连接符 244"/>
                                <wps:cNvCnPr/>
                                <wps:spPr>
                                  <a:xfrm flipV="1">
                                    <a:off x="7345" y="2479"/>
                                    <a:ext cx="378" cy="9"/>
                                  </a:xfrm>
                                  <a:prstGeom prst="line">
                                    <a:avLst/>
                                  </a:prstGeom>
                                  <a:ln w="15875">
                                    <a:solidFill>
                                      <a:schemeClr val="tx1"/>
                                    </a:solidFill>
                                    <a:headEnd type="none"/>
                                    <a:tailEnd type="triangle"/>
                                  </a:ln>
                                </wps:spPr>
                                <wps:style>
                                  <a:lnRef idx="2">
                                    <a:schemeClr val="accent1"/>
                                  </a:lnRef>
                                  <a:fillRef idx="0">
                                    <a:srgbClr val="FFFFFF"/>
                                  </a:fillRef>
                                  <a:effectRef idx="0">
                                    <a:srgbClr val="FFFFFF"/>
                                  </a:effectRef>
                                  <a:fontRef idx="minor">
                                    <a:schemeClr val="tx1"/>
                                  </a:fontRef>
                                </wps:style>
                                <wps:bodyPr/>
                              </wps:wsp>
                            </wpg:wgp>
                            <wps:wsp>
                              <wps:cNvPr id="581" name="文本框 245"/>
                              <wps:cNvSpPr txBox="1"/>
                              <wps:spPr>
                                <a:xfrm>
                                  <a:off x="4765040" y="1995805"/>
                                  <a:ext cx="547370" cy="474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4DDF61">
                                    <w:pPr>
                                      <w:jc w:val="center"/>
                                      <w:rPr>
                                        <w:rFonts w:hint="default" w:eastAsia="宋体"/>
                                        <w:lang w:val="en-US" w:eastAsia="zh-CN"/>
                                      </w:rPr>
                                    </w:pPr>
                                    <w:r>
                                      <w:rPr>
                                        <w:rFonts w:hint="eastAsia"/>
                                        <w:lang w:val="en-US" w:eastAsia="zh-CN"/>
                                      </w:rPr>
                                      <w:t>道路洒扫</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582" name="组合 250"/>
                              <wpg:cNvGrpSpPr/>
                              <wpg:grpSpPr>
                                <a:xfrm>
                                  <a:off x="3022600" y="771525"/>
                                  <a:ext cx="1655445" cy="1607820"/>
                                  <a:chOff x="4834" y="176"/>
                                  <a:chExt cx="2607" cy="2532"/>
                                </a:xfrm>
                              </wpg:grpSpPr>
                              <wps:wsp>
                                <wps:cNvPr id="583" name="文本框 240"/>
                                <wps:cNvSpPr txBox="1"/>
                                <wps:spPr>
                                  <a:xfrm>
                                    <a:off x="4834" y="2257"/>
                                    <a:ext cx="963" cy="45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139A75B">
                                      <w:pPr>
                                        <w:rPr>
                                          <w:rFonts w:hint="eastAsia" w:eastAsia="宋体"/>
                                          <w:lang w:val="en-US" w:eastAsia="zh-CN"/>
                                        </w:rPr>
                                      </w:pPr>
                                      <w:r>
                                        <w:rPr>
                                          <w:rFonts w:hint="eastAsia"/>
                                          <w:lang w:val="en-US" w:eastAsia="zh-CN"/>
                                        </w:rPr>
                                        <w:t>隔油池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4" name="文本框 246"/>
                                <wps:cNvSpPr txBox="1"/>
                                <wps:spPr>
                                  <a:xfrm>
                                    <a:off x="6190" y="176"/>
                                    <a:ext cx="1251"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10D44F">
                                      <w:pPr>
                                        <w:rPr>
                                          <w:rFonts w:hint="default" w:eastAsia="宋体"/>
                                          <w:lang w:val="en-US" w:eastAsia="zh-CN"/>
                                        </w:rPr>
                                      </w:pPr>
                                      <w:r>
                                        <w:rPr>
                                          <w:rFonts w:hint="eastAsia"/>
                                          <w:lang w:val="en-US" w:eastAsia="zh-CN"/>
                                        </w:rPr>
                                        <w:t>进入产品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5" name="文本框 247"/>
                                <wps:cNvSpPr txBox="1"/>
                                <wps:spPr>
                                  <a:xfrm>
                                    <a:off x="5513" y="1953"/>
                                    <a:ext cx="1088" cy="4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34A996">
                                      <w:pPr>
                                        <w:rPr>
                                          <w:rFonts w:hint="default" w:eastAsia="宋体"/>
                                          <w:lang w:val="en-US" w:eastAsia="zh-CN"/>
                                        </w:rPr>
                                      </w:pPr>
                                      <w:r>
                                        <w:rPr>
                                          <w:rFonts w:hint="eastAsia"/>
                                          <w:lang w:val="en-US" w:eastAsia="zh-CN"/>
                                        </w:rPr>
                                        <w:t>229.82</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s:wsp>
                              <wps:cNvPr id="586" name="文本框 252"/>
                              <wps:cNvSpPr txBox="1"/>
                              <wps:spPr>
                                <a:xfrm>
                                  <a:off x="1327150" y="394970"/>
                                  <a:ext cx="1143000" cy="2927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10E225A">
                                    <w:pPr>
                                      <w:rPr>
                                        <w:rFonts w:hint="default" w:eastAsia="宋体"/>
                                        <w:lang w:val="en-US" w:eastAsia="zh-CN"/>
                                      </w:rPr>
                                    </w:pPr>
                                    <w:r>
                                      <w:rPr>
                                        <w:rFonts w:hint="eastAsia"/>
                                        <w:lang w:val="en-US" w:eastAsia="zh-CN"/>
                                      </w:rPr>
                                      <w:t>硝酸铵溶液带入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7" name="文本框 254"/>
                              <wps:cNvSpPr txBox="1"/>
                              <wps:spPr>
                                <a:xfrm>
                                  <a:off x="774065" y="322580"/>
                                  <a:ext cx="54292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52A4FA">
                                    <w:pPr>
                                      <w:rPr>
                                        <w:rFonts w:hint="default" w:eastAsia="宋体"/>
                                        <w:lang w:val="en-US" w:eastAsia="zh-CN"/>
                                      </w:rPr>
                                    </w:pPr>
                                    <w:r>
                                      <w:rPr>
                                        <w:rFonts w:hint="eastAsia"/>
                                        <w:lang w:val="en-US" w:eastAsia="zh-CN"/>
                                      </w:rPr>
                                      <w:t>425.6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8" name="文本框 258"/>
                              <wps:cNvSpPr txBox="1"/>
                              <wps:spPr>
                                <a:xfrm>
                                  <a:off x="3328035" y="677545"/>
                                  <a:ext cx="503555"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6C41CE">
                                    <w:pPr>
                                      <w:rPr>
                                        <w:rFonts w:hint="default" w:eastAsia="宋体"/>
                                        <w:lang w:val="en-US" w:eastAsia="zh-CN"/>
                                      </w:rPr>
                                    </w:pPr>
                                    <w:r>
                                      <w:rPr>
                                        <w:rFonts w:hint="eastAsia"/>
                                        <w:lang w:val="en-US" w:eastAsia="zh-CN"/>
                                      </w:rPr>
                                      <w:t>735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9" name="文本框 259"/>
                              <wps:cNvSpPr txBox="1"/>
                              <wps:spPr>
                                <a:xfrm>
                                  <a:off x="3307080" y="360045"/>
                                  <a:ext cx="67056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6E44E2">
                                    <w:pPr>
                                      <w:rPr>
                                        <w:rFonts w:hint="default" w:eastAsia="宋体"/>
                                        <w:lang w:val="en-US" w:eastAsia="zh-CN"/>
                                      </w:rPr>
                                    </w:pPr>
                                    <w:r>
                                      <w:rPr>
                                        <w:rFonts w:hint="eastAsia"/>
                                        <w:lang w:val="en-US" w:eastAsia="zh-CN"/>
                                      </w:rPr>
                                      <w:t>1940.6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0" name="文本框 261"/>
                              <wps:cNvSpPr txBox="1"/>
                              <wps:spPr>
                                <a:xfrm>
                                  <a:off x="1499235" y="4042410"/>
                                  <a:ext cx="1181735" cy="3143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228264">
                                    <w:pPr>
                                      <w:rPr>
                                        <w:rFonts w:hint="default" w:eastAsia="宋体"/>
                                        <w:lang w:val="en-US" w:eastAsia="zh-CN"/>
                                      </w:rPr>
                                    </w:pPr>
                                    <w:r>
                                      <w:rPr>
                                        <w:rFonts w:hint="eastAsia"/>
                                        <w:lang w:val="en-US" w:eastAsia="zh-CN"/>
                                      </w:rPr>
                                      <w:t>道路洒扫用水量</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1" name="直接连接符 262"/>
                              <wps:cNvCnPr/>
                              <wps:spPr>
                                <a:xfrm flipH="1" flipV="1">
                                  <a:off x="912495" y="4216400"/>
                                  <a:ext cx="600710" cy="3810"/>
                                </a:xfrm>
                                <a:prstGeom prst="line">
                                  <a:avLst/>
                                </a:prstGeom>
                                <a:ln w="15875">
                                  <a:solidFill>
                                    <a:schemeClr val="tx1"/>
                                  </a:solidFill>
                                  <a:headEnd type="triangle"/>
                                  <a:tailEnd type="none"/>
                                </a:ln>
                              </wps:spPr>
                              <wps:style>
                                <a:lnRef idx="2">
                                  <a:schemeClr val="accent1"/>
                                </a:lnRef>
                                <a:fillRef idx="0">
                                  <a:srgbClr val="FFFFFF"/>
                                </a:fillRef>
                                <a:effectRef idx="0">
                                  <a:srgbClr val="FFFFFF"/>
                                </a:effectRef>
                                <a:fontRef idx="minor">
                                  <a:schemeClr val="tx1"/>
                                </a:fontRef>
                              </wps:style>
                              <wps:bodyPr/>
                            </wps:wsp>
                            <wps:wsp>
                              <wps:cNvPr id="592" name="文本框 263"/>
                              <wps:cNvSpPr txBox="1"/>
                              <wps:spPr>
                                <a:xfrm>
                                  <a:off x="892175" y="3948430"/>
                                  <a:ext cx="70104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B2C127">
                                    <w:pPr>
                                      <w:rPr>
                                        <w:rFonts w:hint="default"/>
                                        <w:color w:val="auto"/>
                                        <w:sz w:val="21"/>
                                        <w:szCs w:val="21"/>
                                        <w:lang w:val="en-US" w:eastAsia="zh-CN"/>
                                      </w:rPr>
                                    </w:pPr>
                                    <w:r>
                                      <w:rPr>
                                        <w:rFonts w:hint="eastAsia" w:cs="Times New Roman"/>
                                        <w:color w:val="auto"/>
                                        <w:sz w:val="21"/>
                                        <w:szCs w:val="21"/>
                                        <w:lang w:val="en-US" w:eastAsia="zh-CN"/>
                                      </w:rPr>
                                      <w:t>2401.06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3" name="肘形连接符 264"/>
                              <wps:cNvCnPr>
                                <a:stCxn id="581" idx="2"/>
                              </wps:cNvCnPr>
                              <wps:spPr>
                                <a:xfrm rot="5400000">
                                  <a:off x="2997200" y="2219325"/>
                                  <a:ext cx="1790700" cy="2291715"/>
                                </a:xfrm>
                                <a:prstGeom prst="bentConnector2">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594" name="文本框 265"/>
                              <wps:cNvSpPr txBox="1"/>
                              <wps:spPr>
                                <a:xfrm>
                                  <a:off x="4480560" y="3945255"/>
                                  <a:ext cx="69088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ED7A9C">
                                    <w:pPr>
                                      <w:rPr>
                                        <w:rFonts w:hint="default" w:eastAsia="宋体"/>
                                        <w:lang w:val="en-US" w:eastAsia="zh-CN"/>
                                      </w:rPr>
                                    </w:pPr>
                                    <w:r>
                                      <w:rPr>
                                        <w:rFonts w:hint="eastAsia"/>
                                        <w:lang w:val="en-US" w:eastAsia="zh-CN"/>
                                      </w:rPr>
                                      <w:t>229.82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5" name="曲线连接符 266"/>
                              <wps:cNvCnPr/>
                              <wps:spPr>
                                <a:xfrm flipV="1">
                                  <a:off x="2338705" y="3824605"/>
                                  <a:ext cx="333375" cy="206375"/>
                                </a:xfrm>
                                <a:prstGeom prst="curvedConnector3">
                                  <a:avLst>
                                    <a:gd name="adj1" fmla="val 50095"/>
                                  </a:avLst>
                                </a:prstGeom>
                                <a:ln w="158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596" name="文本框 267"/>
                              <wps:cNvSpPr txBox="1"/>
                              <wps:spPr>
                                <a:xfrm>
                                  <a:off x="2616200" y="3688715"/>
                                  <a:ext cx="75565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0B6137">
                                    <w:pPr>
                                      <w:rPr>
                                        <w:rFonts w:hint="default" w:eastAsia="宋体"/>
                                        <w:lang w:val="en-US" w:eastAsia="zh-CN"/>
                                      </w:rPr>
                                    </w:pPr>
                                    <w:r>
                                      <w:rPr>
                                        <w:rFonts w:hint="eastAsia"/>
                                        <w:lang w:val="en-US" w:eastAsia="zh-CN"/>
                                      </w:rPr>
                                      <w:t>2630.88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3" name="任意多边形 613"/>
                              <wps:cNvSpPr/>
                              <wps:spPr>
                                <a:xfrm>
                                  <a:off x="2075815" y="3311525"/>
                                  <a:ext cx="928370" cy="333375"/>
                                </a:xfrm>
                                <a:custGeom>
                                  <a:avLst/>
                                  <a:gdLst>
                                    <a:gd name="connisteX0" fmla="*/ 587375 w 928370"/>
                                    <a:gd name="connsiteY0" fmla="*/ 0 h 333375"/>
                                    <a:gd name="connisteX1" fmla="*/ 928370 w 928370"/>
                                    <a:gd name="connsiteY1" fmla="*/ 0 h 333375"/>
                                    <a:gd name="connisteX2" fmla="*/ 928370 w 928370"/>
                                    <a:gd name="connsiteY2" fmla="*/ 325755 h 333375"/>
                                    <a:gd name="connisteX3" fmla="*/ 7620 w 928370"/>
                                    <a:gd name="connsiteY3" fmla="*/ 333375 h 333375"/>
                                    <a:gd name="connisteX4" fmla="*/ 0 w 928370"/>
                                    <a:gd name="connsiteY4" fmla="*/ 142875 h 3333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28370" h="333375">
                                      <a:moveTo>
                                        <a:pt x="587375" y="0"/>
                                      </a:moveTo>
                                      <a:lnTo>
                                        <a:pt x="928370" y="0"/>
                                      </a:lnTo>
                                      <a:lnTo>
                                        <a:pt x="928370" y="325755"/>
                                      </a:lnTo>
                                      <a:lnTo>
                                        <a:pt x="7620" y="333375"/>
                                      </a:lnTo>
                                      <a:lnTo>
                                        <a:pt x="0" y="142875"/>
                                      </a:lnTo>
                                    </a:path>
                                  </a:pathLst>
                                </a:custGeom>
                                <a:noFill/>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vertOverflow="overflow" horzOverflow="overflow" vert="horz" wrap="square" lIns="91440" tIns="45720" rIns="91440" bIns="45720" numCol="1" spcCol="0" rtlCol="0" fromWordArt="0" anchor="ctr" anchorCtr="0" compatLnSpc="1">
                                <a:noAutofit/>
                              </wps:bodyPr>
                            </wps:wsp>
                            <wps:wsp>
                              <wps:cNvPr id="614" name="文本框 614"/>
                              <wps:cNvSpPr txBox="1"/>
                              <wps:spPr>
                                <a:xfrm>
                                  <a:off x="2607945" y="3422650"/>
                                  <a:ext cx="47752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DEABAD">
                                    <w:pPr>
                                      <w:rPr>
                                        <w:rFonts w:hint="default" w:eastAsia="宋体"/>
                                        <w:lang w:val="en-US" w:eastAsia="zh-CN"/>
                                      </w:rPr>
                                    </w:pPr>
                                    <w:r>
                                      <w:rPr>
                                        <w:rFonts w:hint="eastAsia"/>
                                        <w:lang w:val="en-US" w:eastAsia="zh-CN"/>
                                      </w:rPr>
                                      <w:t>200</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56.65pt;width:417.2pt;" coordsize="5298440,4529455" editas="canvas" o:gfxdata="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">
                      <o:lock v:ext="edit" aspectratio="f"/>
                      <v:shape id="_x0000_s1026" o:spid="_x0000_s1026" style="position:absolute;left:0;top:0;height:4529455;width:5298440;" filled="f" stroked="t" coordsize="21600,21600" o:gfxdata="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">
                        <v:fill on="f" focussize="0,0"/>
                        <v:stroke weight="0.5pt" color="#000000 [3213]" joinstyle="round"/>
                        <v:imagedata o:title=""/>
                        <o:lock v:ext="edit" aspectratio="f"/>
                      </v:shape>
                      <v:group id="组合 249" o:spid="_x0000_s1026" o:spt="203" style="position:absolute;left:1460500;top:1136015;height:2328545;width:1301750;" coordorigin="2309,726" coordsize="2050,3667" o:gfxdata="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">
                        <o:lock v:ext="edit" aspectratio="f"/>
                        <v:shape id="文本框 18" o:spid="_x0000_s1026" o:spt="202" type="#_x0000_t202" style="position:absolute;left:2316;top:726;height:437;width:1600;" fillcolor="#FFFFFF [3201]" filled="t" stroked="t" coordsize="21600,21600" o:gfxdata="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6OTMb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0B0B3F59">
                                <w:pPr>
                                  <w:rPr>
                                    <w:rFonts w:hint="default" w:eastAsia="宋体"/>
                                    <w:lang w:val="en-US" w:eastAsia="zh-CN"/>
                                  </w:rPr>
                                </w:pPr>
                                <w:r>
                                  <w:rPr>
                                    <w:rFonts w:hint="eastAsia"/>
                                    <w:lang w:val="en-US" w:eastAsia="zh-CN"/>
                                  </w:rPr>
                                  <w:t>水相制备用水</w:t>
                                </w:r>
                              </w:p>
                            </w:txbxContent>
                          </v:textbox>
                        </v:shape>
                        <v:group id="组合 248" o:spid="_x0000_s1026" o:spt="203" style="position:absolute;left:2309;top:1741;height:2653;width:2050;" coordorigin="2309,1741" coordsize="2050,2653" o:gfxdata="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XRvU2+AAAA3AAAAA8AAAAAAAAAAQAgAAAAIgAAAGRycy9kb3ducmV2Lnht&#10;bFBLAQIUABQAAAAIAIdO4kAzLwWeOwAAADkAAAAVAAAAAAAAAAEAIAAAAA0BAABkcnMvZ3JvdXBz&#10;aGFwZXhtbC54bWxQSwUGAAAAAAYABgBgAQAAygMAAAAA&#10;">
                          <o:lock v:ext="edit" aspectratio="f"/>
                          <v:shape id="文本框 36" o:spid="_x0000_s1026" o:spt="202" type="#_x0000_t202" style="position:absolute;left:2309;top:1741;height:474;width:2050;" fillcolor="#FFFFFF [3201]" filled="t" stroked="t" coordsize="21600,21600" o:gfxdata="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D2o3b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48F04D09">
                                  <w:pPr>
                                    <w:rPr>
                                      <w:rFonts w:hint="default" w:eastAsia="宋体"/>
                                      <w:lang w:val="en-US" w:eastAsia="zh-CN"/>
                                    </w:rPr>
                                  </w:pPr>
                                  <w:r>
                                    <w:rPr>
                                      <w:rFonts w:hint="eastAsia"/>
                                      <w:lang w:val="en-US" w:eastAsia="zh-CN"/>
                                    </w:rPr>
                                    <w:t>车间地面清洗用水</w:t>
                                  </w:r>
                                </w:p>
                              </w:txbxContent>
                            </v:textbox>
                          </v:shape>
                          <v:shape id="文本框 187" o:spid="_x0000_s1026" o:spt="202" type="#_x0000_t202" style="position:absolute;left:2323;top:2800;height:488;width:1863;" fillcolor="#FFFFFF [3201]" filled="t" stroked="t" coordsize="21600,21600" o:gfxdata="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3ENRr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26E995B5">
                                  <w:pPr>
                                    <w:rPr>
                                      <w:rFonts w:hint="default" w:eastAsia="宋体"/>
                                      <w:lang w:val="en-US" w:eastAsia="zh-CN"/>
                                    </w:rPr>
                                  </w:pPr>
                                  <w:r>
                                    <w:rPr>
                                      <w:rFonts w:hint="eastAsia"/>
                                      <w:lang w:val="en-US" w:eastAsia="zh-CN"/>
                                    </w:rPr>
                                    <w:t>设备冲洗用水量</w:t>
                                  </w:r>
                                </w:p>
                              </w:txbxContent>
                            </v:textbox>
                          </v:shape>
                          <v:shape id="文本框 192" o:spid="_x0000_s1026" o:spt="202" type="#_x0000_t202" style="position:absolute;left:2335;top:3906;height:488;width:1863;" fillcolor="#FFFFFF [3201]" filled="t" stroked="t" coordsize="21600,21600" o:gfxdata="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hu6ZN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2FB72F82">
                                  <w:pPr>
                                    <w:rPr>
                                      <w:rFonts w:hint="default" w:eastAsia="宋体"/>
                                      <w:lang w:val="en-US" w:eastAsia="zh-CN"/>
                                    </w:rPr>
                                  </w:pPr>
                                  <w:r>
                                    <w:rPr>
                                      <w:rFonts w:hint="eastAsia"/>
                                      <w:lang w:val="en-US" w:eastAsia="zh-CN"/>
                                    </w:rPr>
                                    <w:t>冷却水用水量</w:t>
                                  </w:r>
                                </w:p>
                              </w:txbxContent>
                            </v:textbox>
                          </v:shape>
                        </v:group>
                      </v:group>
                      <v:line id="直接连接符 197" o:spid="_x0000_s1026" o:spt="20" style="position:absolute;left:911860;top:2620010;flip:x;height:635;width:571500;" filled="f" stroked="t" coordsize="21600,21600" o:gfxdata="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9N6+h1gAAAAUBAAAPAAAAAAAAAAEAIAAAACIA&#10;AABkcnMvZG93bnJldi54bWxQSwECFAAUAAAACACHTuJAemJ/yQsCAADpAwAADgAAAAAAAAABACAA&#10;AAAlAQAAZHJzL2Uyb0RvYy54bWxQSwUGAAAAAAYABgBZAQAAogUAAAAA&#10;">
                        <v:fill on="f" focussize="0,0"/>
                        <v:stroke weight="1.25pt" color="#000000 [3213]" joinstyle="round" startarrow="block"/>
                        <v:imagedata o:title=""/>
                        <o:lock v:ext="edit" aspectratio="f"/>
                      </v:line>
                      <v:line id="直接连接符 198" o:spid="_x0000_s1026" o:spt="20" style="position:absolute;left:909955;top:3334385;flip:x;height:635;width:571500;" filled="f" stroked="t" coordsize="21600,21600" o:gfxdata="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9N6+h1gAAAAUBAAAPAAAAAAAAAAEAIAAA&#10;ACIAAABkcnMvZG93bnJldi54bWxQSwECFAAUAAAACACHTuJAZYfa9A4CAADpAwAADgAAAAAAAAAB&#10;ACAAAAAlAQAAZHJzL2Uyb0RvYy54bWxQSwUGAAAAAAYABgBZAQAApQUAAAAA&#10;">
                        <v:fill on="f" focussize="0,0"/>
                        <v:stroke weight="1.25pt" color="#000000 [3213]" joinstyle="round" startarrow="block"/>
                        <v:imagedata o:title=""/>
                        <o:lock v:ext="edit" aspectratio="f"/>
                      </v:line>
                      <v:line id="直接连接符 195" o:spid="_x0000_s1026" o:spt="20" style="position:absolute;left:910590;top:1270000;height:2970530;width:9525;" filled="f" stroked="t" coordsize="21600,21600" o:gfxdata="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9xoyb&#10;1gAAAAUBAAAPAAAAAAAAAAEAIAAAACIAAABkcnMvZG93bnJldi54bWxQSwECFAAUAAAACACHTuJA&#10;5SqXoeoBAACtAwAADgAAAAAAAAABACAAAAAlAQAAZHJzL2Uyb0RvYy54bWxQSwUGAAAAAAYABgBZ&#10;AQAAgQUAAAAA&#10;">
                        <v:fill on="f" focussize="0,0"/>
                        <v:stroke weight="1.25pt" color="#000000 [3213]" joinstyle="round"/>
                        <v:imagedata o:title=""/>
                        <o:lock v:ext="edit" aspectratio="f"/>
                      </v:line>
                      <v:line id="直接连接符 199" o:spid="_x0000_s1026" o:spt="20" style="position:absolute;left:148590;top:2282190;flip:y;height:7620;width:753745;" filled="f" stroked="t" coordsize="21600,21600" o:gfxdata="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D4cct1gAAAAUBAAAPAAAAAAAAAAEAIAAAACIA&#10;AABkcnMvZG93bnJldi54bWxQSwECFAAUAAAACACHTuJAOVZqaAsCAADqAwAADgAAAAAAAAABACAA&#10;AAAlAQAAZHJzL2Uyb0RvYy54bWxQSwUGAAAAAAYABgBZAQAAogUAAAAA&#10;">
                        <v:fill on="f" focussize="0,0"/>
                        <v:stroke weight="1.25pt" color="#000000 [3213]" joinstyle="round" endarrow="block"/>
                        <v:imagedata o:title=""/>
                        <o:lock v:ext="edit" aspectratio="f"/>
                      </v:line>
                      <v:shape id="文本框 200" o:spid="_x0000_s1026" o:spt="202" type="#_x0000_t202" style="position:absolute;left:956310;top:1012190;height:262255;width:58737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y980D2AAAAAUBAAAPAAAAAAAAAAEA&#10;IAAAACIAAABkcnMvZG93bnJldi54bWxQSwECFAAUAAAACACHTuJAasbnykgCAAB0BAAADgAAAAAA&#10;AAABACAAAAAnAQAAZHJzL2Uyb0RvYy54bWxQSwUGAAAAAAYABgBZAQAA4QUAAAAA&#10;">
                        <v:fill on="f" focussize="0,0"/>
                        <v:stroke on="f" weight="0.5pt"/>
                        <v:imagedata o:title=""/>
                        <o:lock v:ext="edit" aspectratio="f"/>
                        <v:textbox>
                          <w:txbxContent>
                            <w:p w14:paraId="54112359">
                              <w:pPr>
                                <w:rPr>
                                  <w:rFonts w:hint="default" w:eastAsia="宋体"/>
                                  <w:lang w:val="en-US" w:eastAsia="zh-CN"/>
                                </w:rPr>
                              </w:pPr>
                              <w:r>
                                <w:rPr>
                                  <w:rFonts w:hint="eastAsia"/>
                                  <w:lang w:val="en-US" w:eastAsia="zh-CN"/>
                                </w:rPr>
                                <w:t>2250</w:t>
                              </w:r>
                            </w:p>
                          </w:txbxContent>
                        </v:textbox>
                      </v:shape>
                      <v:shape id="曲线连接符 202" o:spid="_x0000_s1026" o:spt="38" type="#_x0000_t38" style="position:absolute;left:3037205;top:525780;flip:y;height:206375;width:333375;" filled="f" stroked="t" coordsize="21600,21600" o:gfxdata="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a62iB1gAA&#10;AAUBAAAPAAAAAAAAAAEAIAAAACIAAABkcnMvZG93bnJldi54bWxQSwECFAAUAAAACACHTuJAzeAm&#10;uCACAAAKBAAADgAAAAAAAAABACAAAAAlAQAAZHJzL2Uyb0RvYy54bWxQSwUGAAAAAAYABgBZAQAA&#10;twUAAAAA&#10;" adj="10821">
                        <v:fill on="f" focussize="0,0"/>
                        <v:stroke weight="1.25pt" color="#000000 [3213]" joinstyle="round" endarrow="open"/>
                        <v:imagedata o:title=""/>
                        <o:lock v:ext="edit" aspectratio="f"/>
                      </v:shape>
                      <v:shape id="文本框 217" o:spid="_x0000_s1026" o:spt="202" type="#_x0000_t202" style="position:absolute;left:954405;top:1706245;height:262255;width:58737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L3zQPYAAAABQEAAA8AAAAAAAAA&#10;AQAgAAAAIgAAAGRycy9kb3ducmV2LnhtbFBLAQIUABQAAAAIAIdO4kCGy5rfSgIAAHQEAAAOAAAA&#10;AAAAAAEAIAAAACcBAABkcnMvZTJvRG9jLnhtbFBLBQYAAAAABgAGAFkBAADjBQAAAAA=&#10;">
                        <v:fill on="f" focussize="0,0"/>
                        <v:stroke on="f" weight="0.5pt"/>
                        <v:imagedata o:title=""/>
                        <o:lock v:ext="edit" aspectratio="f"/>
                        <v:textbox>
                          <w:txbxContent>
                            <w:p w14:paraId="7B132A9F">
                              <w:pPr>
                                <w:rPr>
                                  <w:rFonts w:hint="default" w:eastAsia="宋体"/>
                                  <w:lang w:val="en-US" w:eastAsia="zh-CN"/>
                                </w:rPr>
                              </w:pPr>
                              <w:r>
                                <w:rPr>
                                  <w:rFonts w:hint="eastAsia"/>
                                  <w:lang w:val="en-US" w:eastAsia="zh-CN"/>
                                </w:rPr>
                                <w:t>249.8</w:t>
                              </w:r>
                            </w:p>
                          </w:txbxContent>
                        </v:textbox>
                      </v:shape>
                      <v:shape id="曲线连接符 219" o:spid="_x0000_s1026" o:spt="38" type="#_x0000_t38" style="position:absolute;left:2284730;top:1570990;flip:y;height:206375;width:333375;" filled="f" stroked="t" coordsize="21600,21600" o:gfxdata="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rraIHW&#10;AAAABQEAAA8AAAAAAAAAAQAgAAAAIgAAAGRycy9kb3ducmV2LnhtbFBLAQIUABQAAAAIAIdO4kDG&#10;7F9aIgIAAAsEAAAOAAAAAAAAAAEAIAAAACUBAABkcnMvZTJvRG9jLnhtbFBLBQYAAAAABgAGAFkB&#10;AAC5BQAAAAA=&#10;" adj="10821">
                        <v:fill on="f" focussize="0,0"/>
                        <v:stroke weight="1.25pt" color="#000000 [3213]" joinstyle="round" endarrow="open"/>
                        <v:imagedata o:title=""/>
                        <o:lock v:ext="edit" aspectratio="f"/>
                      </v:shape>
                      <v:shape id="文本框 221" o:spid="_x0000_s1026" o:spt="202" type="#_x0000_t202" style="position:absolute;left:1048385;top:2361565;height:262255;width:31813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y980D2AAAAAUBAAAPAAAAAAAA&#10;AAEAIAAAACIAAABkcnMvZG93bnJldi54bWxQSwECFAAUAAAACACHTuJAHngXtEsCAAB1BAAADgAA&#10;AAAAAAABACAAAAAnAQAAZHJzL2Uyb0RvYy54bWxQSwUGAAAAAAYABgBZAQAA5AUAAAAA&#10;">
                        <v:fill on="f" focussize="0,0"/>
                        <v:stroke on="f" weight="0.5pt"/>
                        <v:imagedata o:title=""/>
                        <o:lock v:ext="edit" aspectratio="f"/>
                        <v:textbox>
                          <w:txbxContent>
                            <w:p w14:paraId="10CA12FC">
                              <w:pPr>
                                <w:rPr>
                                  <w:rFonts w:hint="default" w:eastAsia="宋体"/>
                                  <w:lang w:val="en-US" w:eastAsia="zh-CN"/>
                                </w:rPr>
                              </w:pPr>
                              <w:r>
                                <w:rPr>
                                  <w:rFonts w:hint="eastAsia"/>
                                  <w:lang w:val="en-US" w:eastAsia="zh-CN"/>
                                </w:rPr>
                                <w:t>5</w:t>
                              </w:r>
                            </w:p>
                          </w:txbxContent>
                        </v:textbox>
                      </v:shape>
                      <v:shape id="文本框 223" o:spid="_x0000_s1026" o:spt="202" type="#_x0000_t202" style="position:absolute;left:1052830;top:3078480;height:262255;width:31813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L3zQPYAAAABQEAAA8AAAAAAAAA&#10;AQAgAAAAIgAAAGRycy9kb3ducmV2LnhtbFBLAQIUABQAAAAIAIdO4kBHJg4DSgIAAHUEAAAOAAAA&#10;AAAAAAEAIAAAACcBAABkcnMvZTJvRG9jLnhtbFBLBQYAAAAABgAGAFkBAADjBQAAAAA=&#10;">
                        <v:fill on="f" focussize="0,0"/>
                        <v:stroke on="f" weight="0.5pt"/>
                        <v:imagedata o:title=""/>
                        <o:lock v:ext="edit" aspectratio="f"/>
                        <v:textbox>
                          <w:txbxContent>
                            <w:p w14:paraId="3ECDC6E9">
                              <w:pPr>
                                <w:rPr>
                                  <w:rFonts w:hint="default" w:eastAsia="宋体"/>
                                  <w:lang w:val="en-US" w:eastAsia="zh-CN"/>
                                </w:rPr>
                              </w:pPr>
                              <w:r>
                                <w:rPr>
                                  <w:rFonts w:hint="eastAsia"/>
                                  <w:lang w:val="en-US" w:eastAsia="zh-CN"/>
                                </w:rPr>
                                <w:t>5</w:t>
                              </w:r>
                            </w:p>
                          </w:txbxContent>
                        </v:textbox>
                      </v:shape>
                      <v:shape id="曲线连接符 227" o:spid="_x0000_s1026" o:spt="38" type="#_x0000_t38" style="position:absolute;left:2321560;top:2941955;flip:y;height:206375;width:333375;" filled="f" stroked="t" coordsize="21600,21600" o:gfxdata="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rraIHW&#10;AAAABQEAAA8AAAAAAAAAAQAgAAAAIgAAAGRycy9kb3ducmV2LnhtbFBLAQIUABQAAAAIAIdO4kAf&#10;FJQQIgIAAAsEAAAOAAAAAAAAAAEAIAAAACUBAABkcnMvZTJvRG9jLnhtbFBLBQYAAAAABgAGAFkB&#10;AAC5BQAAAAA=&#10;" adj="10821">
                        <v:fill on="f" focussize="0,0"/>
                        <v:stroke weight="1.25pt" color="#000000 [3213]" joinstyle="round" endarrow="open"/>
                        <v:imagedata o:title=""/>
                        <o:lock v:ext="edit" aspectratio="f"/>
                      </v:shape>
                      <v:shape id="文本框 228" o:spid="_x0000_s1026" o:spt="202" type="#_x0000_t202" style="position:absolute;left:2578735;top:2796540;height:262255;width:31813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y980D2AAAAAUBAAAPAAAAAAAAAAEA&#10;IAAAACIAAABkcnMvZG93bnJldi54bWxQSwECFAAUAAAACACHTuJAs57WRkgCAAB1BAAADgAAAAAA&#10;AAABACAAAAAnAQAAZHJzL2Uyb0RvYy54bWxQSwUGAAAAAAYABgBZAQAA4QUAAAAA&#10;">
                        <v:fill on="f" focussize="0,0"/>
                        <v:stroke on="f" weight="0.5pt"/>
                        <v:imagedata o:title=""/>
                        <o:lock v:ext="edit" aspectratio="f"/>
                        <v:textbox>
                          <w:txbxContent>
                            <w:p w14:paraId="56A18CC8">
                              <w:pPr>
                                <w:rPr>
                                  <w:rFonts w:hint="default" w:eastAsia="宋体"/>
                                  <w:lang w:val="en-US" w:eastAsia="zh-CN"/>
                                </w:rPr>
                              </w:pPr>
                              <w:r>
                                <w:rPr>
                                  <w:rFonts w:hint="eastAsia"/>
                                  <w:lang w:val="en-US" w:eastAsia="zh-CN"/>
                                </w:rPr>
                                <w:t>5</w:t>
                              </w:r>
                            </w:p>
                          </w:txbxContent>
                        </v:textbox>
                      </v:shape>
                      <v:shape id="文本框 230" o:spid="_x0000_s1026" o:spt="202" type="#_x0000_t202" style="position:absolute;left:97155;top:1887855;height:452755;width:70548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L3zQPYAAAABQEAAA8AAAAAAAAAAQAg&#10;AAAAIgAAAGRycy9kb3ducmV2LnhtbFBLAQIUABQAAAAIAIdO4kDX2NS4RwIAAHMEAAAOAAAAAAAA&#10;AAEAIAAAACcBAABkcnMvZTJvRG9jLnhtbFBLBQYAAAAABgAGAFkBAADgBQAAAAA=&#10;">
                        <v:fill on="f" focussize="0,0"/>
                        <v:stroke on="f" weight="0.5pt"/>
                        <v:imagedata o:title=""/>
                        <o:lock v:ext="edit" aspectratio="f"/>
                        <v:textbox>
                          <w:txbxContent>
                            <w:p w14:paraId="7C46A54E">
                              <w:pPr>
                                <w:rPr>
                                  <w:rFonts w:hint="default" w:eastAsia="宋体"/>
                                  <w:lang w:val="en-US" w:eastAsia="zh-CN"/>
                                </w:rPr>
                              </w:pPr>
                              <w:r>
                                <w:rPr>
                                  <w:rFonts w:hint="eastAsia"/>
                                  <w:lang w:val="en-US" w:eastAsia="zh-CN"/>
                                </w:rPr>
                                <w:t>新鲜水</w:t>
                              </w:r>
                              <w:r>
                                <w:rPr>
                                  <w:rFonts w:hint="eastAsia"/>
                                  <w:color w:val="auto"/>
                                  <w:lang w:val="en-US" w:eastAsia="zh-CN"/>
                                </w:rPr>
                                <w:t>4901.86</w:t>
                              </w:r>
                            </w:p>
                          </w:txbxContent>
                        </v:textbox>
                      </v:shape>
                      <v:shape id="文本框 232" o:spid="_x0000_s1026" o:spt="202" type="#_x0000_t202" style="position:absolute;left:2786380;top:2396490;height:262255;width:31813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vfNA9gAAAAFAQAADwAAAAAAAAAB&#10;ACAAAAAiAAAAZHJzL2Rvd25yZXYueG1sUEsBAhQAFAAAAAgAh07iQK+TwOdJAgAAdQQAAA4AAAAA&#10;AAAAAQAgAAAAJwEAAGRycy9lMm9Eb2MueG1sUEsFBgAAAAAGAAYAWQEAAOIFAAAAAA==&#10;">
                        <v:fill on="f" focussize="0,0"/>
                        <v:stroke on="f" weight="0.5pt"/>
                        <v:imagedata o:title=""/>
                        <o:lock v:ext="edit" aspectratio="f"/>
                        <v:textbox>
                          <w:txbxContent>
                            <w:p w14:paraId="6AE0A832">
                              <w:pPr>
                                <w:rPr>
                                  <w:rFonts w:hint="default" w:eastAsia="宋体"/>
                                  <w:lang w:val="en-US" w:eastAsia="zh-CN"/>
                                </w:rPr>
                              </w:pPr>
                              <w:r>
                                <w:rPr>
                                  <w:rFonts w:hint="eastAsia"/>
                                  <w:lang w:val="en-US" w:eastAsia="zh-CN"/>
                                </w:rPr>
                                <w:t>5</w:t>
                              </w:r>
                            </w:p>
                          </w:txbxContent>
                        </v:textbox>
                      </v:shape>
                      <v:shape id="文本框 233" o:spid="_x0000_s1026" o:spt="202" type="#_x0000_t202" style="position:absolute;left:2785110;top:1642110;height:245745;width:70040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y980D2AAAAAUBAAAPAAAAAAAAAAEA&#10;IAAAACIAAABkcnMvZG93bnJldi54bWxQSwECFAAUAAAACACHTuJAfyMzukgCAAB1BAAADgAAAAAA&#10;AAABACAAAAAnAQAAZHJzL2Uyb0RvYy54bWxQSwUGAAAAAAYABgBZAQAA4QUAAAAA&#10;">
                        <v:fill on="f" focussize="0,0"/>
                        <v:stroke on="f" weight="0.5pt"/>
                        <v:imagedata o:title=""/>
                        <o:lock v:ext="edit" aspectratio="f"/>
                        <v:textbox>
                          <w:txbxContent>
                            <w:p w14:paraId="28C3B912">
                              <w:pPr>
                                <w:rPr>
                                  <w:rFonts w:hint="default" w:eastAsia="宋体"/>
                                  <w:lang w:val="en-US" w:eastAsia="zh-CN"/>
                                </w:rPr>
                              </w:pPr>
                              <w:r>
                                <w:rPr>
                                  <w:rFonts w:hint="eastAsia"/>
                                  <w:lang w:val="en-US" w:eastAsia="zh-CN"/>
                                </w:rPr>
                                <w:t>224.82</w:t>
                              </w:r>
                            </w:p>
                          </w:txbxContent>
                        </v:textbox>
                      </v:shape>
                      <v:shape id="文本框 234" o:spid="_x0000_s1026" o:spt="202" type="#_x0000_t202" style="position:absolute;left:2540635;top:1428115;height:262255;width:670560;"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y980D2AAAAAUBAAAPAAAAAAAA&#10;AAEAIAAAACIAAABkcnMvZG93bnJldi54bWxQSwECFAAUAAAACACHTuJAK6QH60sCAAB1BAAADgAA&#10;AAAAAAABACAAAAAnAQAAZHJzL2Uyb0RvYy54bWxQSwUGAAAAAAYABgBZAQAA5AUAAAAA&#10;">
                        <v:fill on="f" focussize="0,0"/>
                        <v:stroke on="f" weight="0.5pt"/>
                        <v:imagedata o:title=""/>
                        <o:lock v:ext="edit" aspectratio="f"/>
                        <v:textbox>
                          <w:txbxContent>
                            <w:p w14:paraId="54BAAB19">
                              <w:pPr>
                                <w:rPr>
                                  <w:rFonts w:hint="default" w:eastAsia="宋体"/>
                                  <w:lang w:val="en-US" w:eastAsia="zh-CN"/>
                                </w:rPr>
                              </w:pPr>
                              <w:r>
                                <w:rPr>
                                  <w:rFonts w:hint="eastAsia"/>
                                  <w:lang w:val="en-US" w:eastAsia="zh-CN"/>
                                </w:rPr>
                                <w:t>24.98</w:t>
                              </w:r>
                            </w:p>
                          </w:txbxContent>
                        </v:textbox>
                      </v:shape>
                      <v:line id="直接连接符 235" o:spid="_x0000_s1026" o:spt="20" style="position:absolute;left:3316605;top:1913255;height:182880;width:7620;" filled="f" stroked="t" coordsize="21600,21600" o:gfxdata="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id7IjVAAAABQEAAA8AAAAAAAAAAQAgAAAAIgAAAGRycy9kb3ducmV2Lnht&#10;bFBLAQIUABQAAAAIAIdO4kBH/Pka/AEAAMkDAAAOAAAAAAAAAAEAIAAAACQBAABkcnMvZTJvRG9j&#10;LnhtbFBLBQYAAAAABgAGAFkBAACSBQAAAAA=&#10;">
                        <v:fill on="f" focussize="0,0"/>
                        <v:stroke weight="1.25pt" color="#000000 [3213]" joinstyle="round" endarrow="block"/>
                        <v:imagedata o:title=""/>
                        <o:lock v:ext="edit" aspectratio="f"/>
                      </v:line>
                      <v:line id="直接连接符 242" o:spid="_x0000_s1026" o:spt="20" style="position:absolute;left:3328670;top:2386965;height:211455;width:3175;" filled="f" stroked="t" coordsize="21600,21600" o:gfxdata="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HUAv9gAAAAFAQAADwAAAAAAAAABACAAAAAiAAAAZHJz&#10;L2Rvd25yZXYueG1sUEsBAhQAFAAAAAgAh07iQAwufesEAgAA4QMAAA4AAAAAAAAAAQAgAAAAJwEA&#10;AGRycy9lMm9Eb2MueG1sUEsFBgAAAAAGAAYAWQEAAJ0FAAAAAA==&#10;">
                        <v:fill on="f" focussize="0,0"/>
                        <v:stroke weight="1.25pt" color="#000000 [3213]" joinstyle="round" startarrow="block"/>
                        <v:imagedata o:title=""/>
                        <o:lock v:ext="edit" aspectratio="f"/>
                      </v:line>
                      <v:shape id="文本框 243" o:spid="_x0000_s1026" o:spt="202" type="#_x0000_t202" style="position:absolute;left:3974465;top:1927860;height:596265;width:634365;" fillcolor="#FFFFFF [3201]" filled="t" stroked="t" coordsize="21600,21600" o:gfxdata="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h4SQV1AAAAAUBAAAPAAAAAAAAAAEAIAAAACIAAABkcnMvZG93bnJldi54bWxQSwECFAAUAAAA&#10;CACHTuJA1AOdFGQCAADGBAAADgAAAAAAAAABACAAAAAjAQAAZHJzL2Uyb0RvYy54bWxQSwUGAAAA&#10;AAYABgBZAQAA+QUAAAAA&#10;">
                        <v:fill on="t" focussize="0,0"/>
                        <v:stroke weight="0.5pt" color="#000000 [3204]" joinstyle="round"/>
                        <v:imagedata o:title=""/>
                        <o:lock v:ext="edit" aspectratio="f"/>
                        <v:textbox>
                          <w:txbxContent>
                            <w:p w14:paraId="25E823EF">
                              <w:pPr>
                                <w:jc w:val="center"/>
                                <w:rPr>
                                  <w:rFonts w:hint="default" w:eastAsia="宋体"/>
                                  <w:lang w:val="en-US" w:eastAsia="zh-CN"/>
                                </w:rPr>
                              </w:pPr>
                              <w:r>
                                <w:rPr>
                                  <w:rFonts w:hint="eastAsia"/>
                                  <w:lang w:val="en-US" w:eastAsia="zh-CN"/>
                                </w:rPr>
                                <w:t>辽宁红山污水处理站</w:t>
                              </w:r>
                            </w:p>
                          </w:txbxContent>
                        </v:textbox>
                      </v:shape>
                      <v:group id="组合 251" o:spid="_x0000_s1026" o:spt="203" style="position:absolute;left:3637915;top:2214880;height:5080;width:1216660;" coordorigin="5807,2479" coordsize="1916,8" o:gfxdata="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gkJJ9tcAAAAFAQAADwAAAAAAAAABACAAAAAiAAAAZHJzL2Rv&#10;d25yZXYueG1sUEsBAhQAFAAAAAgAh07iQDrIMI+tAgAAGwcAAA4AAAAAAAAAAQAgAAAAJgEAAGRy&#10;cy9lMm9Eb2MueG1sUEsFBgAAAAAGAAYAWQEAAEUGAAAAAA==&#10;">
                        <o:lock v:ext="edit" aspectratio="f"/>
                        <v:line id="直接连接符 241" o:spid="_x0000_s1026" o:spt="20" style="position:absolute;left:5807;top:2479;flip:y;height:5;width:539;" filled="f" stroked="t" coordsize="21600,21600" o:gfxdata="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n6NuvQAA&#10;ANwAAAAPAAAAAAAAAAEAIAAAACIAAABkcnMvZG93bnJldi54bWxQSwECFAAUAAAACACHTuJAMy8F&#10;njsAAAA5AAAAEAAAAAAAAAABACAAAAAMAQAAZHJzL3NoYXBleG1sLnhtbFBLBQYAAAAABgAGAFsB&#10;AAC2AwAAAAA=&#10;">
                          <v:fill on="f" focussize="0,0"/>
                          <v:stroke weight="1.25pt" color="#000000 [3213]" joinstyle="round" endarrow="block"/>
                          <v:imagedata o:title=""/>
                          <o:lock v:ext="edit" aspectratio="f"/>
                        </v:line>
                        <v:line id="直接连接符 244" o:spid="_x0000_s1026" o:spt="20" style="position:absolute;left:7345;top:2479;flip:y;height:9;width:378;" filled="f" stroked="t" coordsize="21600,21600" o:gfxdata="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JwetS5AAAA3AAA&#10;AA8AAAAAAAAAAQAgAAAAIgAAAGRycy9kb3ducmV2LnhtbFBLAQIUABQAAAAIAIdO4kAzLwWeOwAA&#10;ADkAAAAQAAAAAAAAAAEAIAAAAAgBAABkcnMvc2hhcGV4bWwueG1sUEsFBgAAAAAGAAYAWwEAALID&#10;AAAAAA==&#10;">
                          <v:fill on="f" focussize="0,0"/>
                          <v:stroke weight="1.25pt" color="#000000 [3213]" joinstyle="round" endarrow="block"/>
                          <v:imagedata o:title=""/>
                          <o:lock v:ext="edit" aspectratio="f"/>
                        </v:line>
                      </v:group>
                      <v:shape id="文本框 245" o:spid="_x0000_s1026" o:spt="202" type="#_x0000_t202" style="position:absolute;left:4765040;top:1995805;height:474345;width:547370;"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L3zQPYAAAABQEAAA8AAAAAAAAA&#10;AQAgAAAAIgAAAGRycy9kb3ducmV2LnhtbFBLAQIUABQAAAAIAIdO4kCOxYdOSgIAAHUEAAAOAAAA&#10;AAAAAAEAIAAAACcBAABkcnMvZTJvRG9jLnhtbFBLBQYAAAAABgAGAFkBAADjBQAAAAA=&#10;">
                        <v:fill on="f" focussize="0,0"/>
                        <v:stroke on="f" weight="0.5pt"/>
                        <v:imagedata o:title=""/>
                        <o:lock v:ext="edit" aspectratio="f"/>
                        <v:textbox>
                          <w:txbxContent>
                            <w:p w14:paraId="584DDF61">
                              <w:pPr>
                                <w:jc w:val="center"/>
                                <w:rPr>
                                  <w:rFonts w:hint="default" w:eastAsia="宋体"/>
                                  <w:lang w:val="en-US" w:eastAsia="zh-CN"/>
                                </w:rPr>
                              </w:pPr>
                              <w:r>
                                <w:rPr>
                                  <w:rFonts w:hint="eastAsia"/>
                                  <w:lang w:val="en-US" w:eastAsia="zh-CN"/>
                                </w:rPr>
                                <w:t>道路洒扫</w:t>
                              </w:r>
                            </w:p>
                          </w:txbxContent>
                        </v:textbox>
                      </v:shape>
                      <v:group id="组合 250" o:spid="_x0000_s1026" o:spt="203" style="position:absolute;left:3022600;top:771525;height:1607820;width:1655445;" coordorigin="4834,176" coordsize="2607,2532" o:gfxdata="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IJCSfbXAAAABQEAAA8AAAAAAAAAAQAgAAAAIgAAAGRycy9kb3ducmV2LnhtbFBL&#10;AQIUABQAAAAIAIdO4kBQRO24TQMAABALAAAOAAAAAAAAAAEAIAAAACYBAABkcnMvZTJvRG9jLnht&#10;bFBLBQYAAAAABgAGAFkBAADlBgAAAAA=&#10;">
                        <o:lock v:ext="edit" aspectratio="f"/>
                        <v:shape id="文本框 240" o:spid="_x0000_s1026" o:spt="202" type="#_x0000_t202" style="position:absolute;left:4834;top:2257;height:451;width:963;" fillcolor="#FFFFFF [3201]" filled="t" stroked="t" coordsize="21600,21600" o:gfxdata="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ionAr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2139A75B">
                                <w:pPr>
                                  <w:rPr>
                                    <w:rFonts w:hint="eastAsia" w:eastAsia="宋体"/>
                                    <w:lang w:val="en-US" w:eastAsia="zh-CN"/>
                                  </w:rPr>
                                </w:pPr>
                                <w:r>
                                  <w:rPr>
                                    <w:rFonts w:hint="eastAsia"/>
                                    <w:lang w:val="en-US" w:eastAsia="zh-CN"/>
                                  </w:rPr>
                                  <w:t>隔油池</w:t>
                                </w:r>
                              </w:p>
                            </w:txbxContent>
                          </v:textbox>
                        </v:shape>
                        <v:shape id="文本框 246" o:spid="_x0000_s1026" o:spt="202" type="#_x0000_t202" style="position:absolute;left:6190;top:176;height:413;width:1251;" filled="f" stroked="f" coordsize="21600,21600" o:gfxdata="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raT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3310D44F">
                                <w:pPr>
                                  <w:rPr>
                                    <w:rFonts w:hint="default" w:eastAsia="宋体"/>
                                    <w:lang w:val="en-US" w:eastAsia="zh-CN"/>
                                  </w:rPr>
                                </w:pPr>
                                <w:r>
                                  <w:rPr>
                                    <w:rFonts w:hint="eastAsia"/>
                                    <w:lang w:val="en-US" w:eastAsia="zh-CN"/>
                                  </w:rPr>
                                  <w:t>进入产品</w:t>
                                </w:r>
                              </w:p>
                            </w:txbxContent>
                          </v:textbox>
                        </v:shape>
                        <v:shape id="文本框 247" o:spid="_x0000_s1026" o:spt="202" type="#_x0000_t202" style="position:absolute;left:5513;top:1953;height:413;width:1088;" filled="f" stroked="f" coordsize="21600,21600" o:gfxdata="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4QFV&#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934A996">
                                <w:pPr>
                                  <w:rPr>
                                    <w:rFonts w:hint="default" w:eastAsia="宋体"/>
                                    <w:lang w:val="en-US" w:eastAsia="zh-CN"/>
                                  </w:rPr>
                                </w:pPr>
                                <w:r>
                                  <w:rPr>
                                    <w:rFonts w:hint="eastAsia"/>
                                    <w:lang w:val="en-US" w:eastAsia="zh-CN"/>
                                  </w:rPr>
                                  <w:t>229.82</w:t>
                                </w:r>
                              </w:p>
                            </w:txbxContent>
                          </v:textbox>
                        </v:shape>
                      </v:group>
                      <v:shape id="文本框 252" o:spid="_x0000_s1026" o:spt="202" type="#_x0000_t202" style="position:absolute;left:1327150;top:394970;height:292735;width:1143000;" fillcolor="#FFFFFF [3201]" filled="t" stroked="t" coordsize="21600,21600" o:gfxdata="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h4SQV1AAAAAUBAAAPAAAAAAAAAAEAIAAAACIAAABkcnMvZG93bnJldi54bWxQSwECFAAUAAAA&#10;CACHTuJA+wLVz2QCAADGBAAADgAAAAAAAAABACAAAAAjAQAAZHJzL2Uyb0RvYy54bWxQSwUGAAAA&#10;AAYABgBZAQAA+QUAAAAA&#10;">
                        <v:fill on="t" focussize="0,0"/>
                        <v:stroke weight="0.5pt" color="#000000 [3204]" joinstyle="round"/>
                        <v:imagedata o:title=""/>
                        <o:lock v:ext="edit" aspectratio="f"/>
                        <v:textbox>
                          <w:txbxContent>
                            <w:p w14:paraId="410E225A">
                              <w:pPr>
                                <w:rPr>
                                  <w:rFonts w:hint="default" w:eastAsia="宋体"/>
                                  <w:lang w:val="en-US" w:eastAsia="zh-CN"/>
                                </w:rPr>
                              </w:pPr>
                              <w:r>
                                <w:rPr>
                                  <w:rFonts w:hint="eastAsia"/>
                                  <w:lang w:val="en-US" w:eastAsia="zh-CN"/>
                                </w:rPr>
                                <w:t>硝酸铵溶液带入</w:t>
                              </w:r>
                            </w:p>
                          </w:txbxContent>
                        </v:textbox>
                      </v:shape>
                      <v:shape id="文本框 254" o:spid="_x0000_s1026" o:spt="202" type="#_x0000_t202" style="position:absolute;left:774065;top:322580;height:262255;width:54292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y980D2AAAAAUBAAAPAAAAAAAAAAEA&#10;IAAAACIAAABkcnMvZG93bnJldi54bWxQSwECFAAUAAAACACHTuJA/+9+UUgCAABzBAAADgAAAAAA&#10;AAABACAAAAAnAQAAZHJzL2Uyb0RvYy54bWxQSwUGAAAAAAYABgBZAQAA4QUAAAAA&#10;">
                        <v:fill on="f" focussize="0,0"/>
                        <v:stroke on="f" weight="0.5pt"/>
                        <v:imagedata o:title=""/>
                        <o:lock v:ext="edit" aspectratio="f"/>
                        <v:textbox>
                          <w:txbxContent>
                            <w:p w14:paraId="5952A4FA">
                              <w:pPr>
                                <w:rPr>
                                  <w:rFonts w:hint="default" w:eastAsia="宋体"/>
                                  <w:lang w:val="en-US" w:eastAsia="zh-CN"/>
                                </w:rPr>
                              </w:pPr>
                              <w:r>
                                <w:rPr>
                                  <w:rFonts w:hint="eastAsia"/>
                                  <w:lang w:val="en-US" w:eastAsia="zh-CN"/>
                                </w:rPr>
                                <w:t>425.6</w:t>
                              </w:r>
                            </w:p>
                          </w:txbxContent>
                        </v:textbox>
                      </v:shape>
                      <v:shape id="文本框 258" o:spid="_x0000_s1026" o:spt="202" type="#_x0000_t202" style="position:absolute;left:3328035;top:677545;height:262255;width:503555;"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L3zQPYAAAABQEAAA8AAAAAAAAAAQAg&#10;AAAAIgAAAGRycy9kb3ducmV2LnhtbFBLAQIUABQAAAAIAIdO4kAI0lYxRwIAAHQEAAAOAAAAAAAA&#10;AAEAIAAAACcBAABkcnMvZTJvRG9jLnhtbFBLBQYAAAAABgAGAFkBAADgBQAAAAA=&#10;">
                        <v:fill on="f" focussize="0,0"/>
                        <v:stroke on="f" weight="0.5pt"/>
                        <v:imagedata o:title=""/>
                        <o:lock v:ext="edit" aspectratio="f"/>
                        <v:textbox>
                          <w:txbxContent>
                            <w:p w14:paraId="1D6C41CE">
                              <w:pPr>
                                <w:rPr>
                                  <w:rFonts w:hint="default" w:eastAsia="宋体"/>
                                  <w:lang w:val="en-US" w:eastAsia="zh-CN"/>
                                </w:rPr>
                              </w:pPr>
                              <w:r>
                                <w:rPr>
                                  <w:rFonts w:hint="eastAsia"/>
                                  <w:lang w:val="en-US" w:eastAsia="zh-CN"/>
                                </w:rPr>
                                <w:t>735</w:t>
                              </w:r>
                            </w:p>
                          </w:txbxContent>
                        </v:textbox>
                      </v:shape>
                      <v:shape id="文本框 259" o:spid="_x0000_s1026" o:spt="202" type="#_x0000_t202" style="position:absolute;left:3307080;top:360045;height:262255;width:670560;"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vfNA9gAAAAFAQAADwAAAAAAAAAB&#10;ACAAAAAiAAAAZHJzL2Rvd25yZXYueG1sUEsBAhQAFAAAAAgAh07iQOMQu8VJAgAAdAQAAA4AAAAA&#10;AAAAAQAgAAAAJwEAAGRycy9lMm9Eb2MueG1sUEsFBgAAAAAGAAYAWQEAAOIFAAAAAA==&#10;">
                        <v:fill on="f" focussize="0,0"/>
                        <v:stroke on="f" weight="0.5pt"/>
                        <v:imagedata o:title=""/>
                        <o:lock v:ext="edit" aspectratio="f"/>
                        <v:textbox>
                          <w:txbxContent>
                            <w:p w14:paraId="416E44E2">
                              <w:pPr>
                                <w:rPr>
                                  <w:rFonts w:hint="default" w:eastAsia="宋体"/>
                                  <w:lang w:val="en-US" w:eastAsia="zh-CN"/>
                                </w:rPr>
                              </w:pPr>
                              <w:r>
                                <w:rPr>
                                  <w:rFonts w:hint="eastAsia"/>
                                  <w:lang w:val="en-US" w:eastAsia="zh-CN"/>
                                </w:rPr>
                                <w:t>1940.6</w:t>
                              </w:r>
                            </w:p>
                          </w:txbxContent>
                        </v:textbox>
                      </v:shape>
                      <v:shape id="文本框 261" o:spid="_x0000_s1026" o:spt="202" type="#_x0000_t202" style="position:absolute;left:1499235;top:4042410;height:314325;width:1181735;" fillcolor="#FFFFFF [3201]" filled="t" stroked="t" coordsize="21600,21600" o:gfxdata="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eEkFdQAAAAFAQAADwAAAAAAAAABACAAAAAiAAAAZHJzL2Rvd25yZXYueG1sUEsBAhQAFAAA&#10;AAgAh07iQLU4+WJlAgAAxwQAAA4AAAAAAAAAAQAgAAAAIwEAAGRycy9lMm9Eb2MueG1sUEsFBgAA&#10;AAAGAAYAWQEAAPoFAAAAAA==&#10;">
                        <v:fill on="t" focussize="0,0"/>
                        <v:stroke weight="0.5pt" color="#000000 [3204]" joinstyle="round"/>
                        <v:imagedata o:title=""/>
                        <o:lock v:ext="edit" aspectratio="f"/>
                        <v:textbox>
                          <w:txbxContent>
                            <w:p w14:paraId="49228264">
                              <w:pPr>
                                <w:rPr>
                                  <w:rFonts w:hint="default" w:eastAsia="宋体"/>
                                  <w:lang w:val="en-US" w:eastAsia="zh-CN"/>
                                </w:rPr>
                              </w:pPr>
                              <w:r>
                                <w:rPr>
                                  <w:rFonts w:hint="eastAsia"/>
                                  <w:lang w:val="en-US" w:eastAsia="zh-CN"/>
                                </w:rPr>
                                <w:t>道路洒扫用水量</w:t>
                              </w:r>
                            </w:p>
                          </w:txbxContent>
                        </v:textbox>
                      </v:shape>
                      <v:line id="直接连接符 262" o:spid="_x0000_s1026" o:spt="20" style="position:absolute;left:912495;top:4216400;flip:x y;height:3810;width:600710;" filled="f" stroked="t" coordsize="21600,21600" o:gfxdata="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JqqCDVAAAABQEAAA8AAAAAAAAAAQAg&#10;AAAAIgAAAGRycy9kb3ducmV2LnhtbFBLAQIUABQAAAAIAIdO4kDXfZmoEQIAAPQDAAAOAAAAAAAA&#10;AAEAIAAAACQBAABkcnMvZTJvRG9jLnhtbFBLBQYAAAAABgAGAFkBAACnBQAAAAA=&#10;">
                        <v:fill on="f" focussize="0,0"/>
                        <v:stroke weight="1.25pt" color="#000000 [3213]" joinstyle="round" startarrow="block"/>
                        <v:imagedata o:title=""/>
                        <o:lock v:ext="edit" aspectratio="f"/>
                      </v:line>
                      <v:shape id="文本框 263" o:spid="_x0000_s1026" o:spt="202" type="#_x0000_t202" style="position:absolute;left:892175;top:3948430;height:262255;width:701040;"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vfNA9gAAAAFAQAADwAAAAAAAAAB&#10;ACAAAAAiAAAAZHJzL2Rvd25yZXYueG1sUEsBAhQAFAAAAAgAh07iQIrFbPZJAgAAdAQAAA4AAAAA&#10;AAAAAQAgAAAAJwEAAGRycy9lMm9Eb2MueG1sUEsFBgAAAAAGAAYAWQEAAOIFAAAAAA==&#10;">
                        <v:fill on="f" focussize="0,0"/>
                        <v:stroke on="f" weight="0.5pt"/>
                        <v:imagedata o:title=""/>
                        <o:lock v:ext="edit" aspectratio="f"/>
                        <v:textbox>
                          <w:txbxContent>
                            <w:p w14:paraId="2EB2C127">
                              <w:pPr>
                                <w:rPr>
                                  <w:rFonts w:hint="default"/>
                                  <w:color w:val="auto"/>
                                  <w:sz w:val="21"/>
                                  <w:szCs w:val="21"/>
                                  <w:lang w:val="en-US" w:eastAsia="zh-CN"/>
                                </w:rPr>
                              </w:pPr>
                              <w:r>
                                <w:rPr>
                                  <w:rFonts w:hint="eastAsia" w:cs="Times New Roman"/>
                                  <w:color w:val="auto"/>
                                  <w:sz w:val="21"/>
                                  <w:szCs w:val="21"/>
                                  <w:lang w:val="en-US" w:eastAsia="zh-CN"/>
                                </w:rPr>
                                <w:t>2401.06</w:t>
                              </w:r>
                            </w:p>
                          </w:txbxContent>
                        </v:textbox>
                      </v:shape>
                      <v:shape id="肘形连接符 264" o:spid="_x0000_s1026" o:spt="33" type="#_x0000_t33" style="position:absolute;left:2997200;top:2219325;height:2291715;width:1790700;rotation:5898240f;" filled="f" stroked="t" coordsize="21600,21600" o:gfxdata="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1i+C9QAAAAFAQAA&#10;DwAAAAAAAAABACAAAAAiAAAAZHJzL2Rvd25yZXYueG1sUEsBAhQAFAAAAAgAh07iQK162godAgAA&#10;CgQAAA4AAAAAAAAAAQAgAAAAIwEAAGRycy9lMm9Eb2MueG1sUEsFBgAAAAAGAAYAWQEAALIFAAAA&#10;AA==&#10;">
                        <v:fill on="f" focussize="0,0"/>
                        <v:stroke weight="1pt" color="#000000 [3213]" joinstyle="round" endarrow="open"/>
                        <v:imagedata o:title=""/>
                        <o:lock v:ext="edit" aspectratio="f"/>
                      </v:shape>
                      <v:shape id="文本框 265" o:spid="_x0000_s1026" o:spt="202" type="#_x0000_t202" style="position:absolute;left:4480560;top:3945255;height:262255;width:690880;"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L3zQPYAAAABQEAAA8AAAAAAAAA&#10;AQAgAAAAIgAAAGRycy9kb3ducmV2LnhtbFBLAQIUABQAAAAIAIdO4kBLnH7eSgIAAHUEAAAOAAAA&#10;AAAAAAEAIAAAACcBAABkcnMvZTJvRG9jLnhtbFBLBQYAAAAABgAGAFkBAADjBQAAAAA=&#10;">
                        <v:fill on="f" focussize="0,0"/>
                        <v:stroke on="f" weight="0.5pt"/>
                        <v:imagedata o:title=""/>
                        <o:lock v:ext="edit" aspectratio="f"/>
                        <v:textbox>
                          <w:txbxContent>
                            <w:p w14:paraId="3BED7A9C">
                              <w:pPr>
                                <w:rPr>
                                  <w:rFonts w:hint="default" w:eastAsia="宋体"/>
                                  <w:lang w:val="en-US" w:eastAsia="zh-CN"/>
                                </w:rPr>
                              </w:pPr>
                              <w:r>
                                <w:rPr>
                                  <w:rFonts w:hint="eastAsia"/>
                                  <w:lang w:val="en-US" w:eastAsia="zh-CN"/>
                                </w:rPr>
                                <w:t>229.82</w:t>
                              </w:r>
                            </w:p>
                          </w:txbxContent>
                        </v:textbox>
                      </v:shape>
                      <v:shape id="曲线连接符 266" o:spid="_x0000_s1026" o:spt="38" type="#_x0000_t38" style="position:absolute;left:2338705;top:3824605;flip:y;height:206375;width:333375;" filled="f" stroked="t" coordsize="21600,21600" o:gfxdata="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rraIHW&#10;AAAABQEAAA8AAAAAAAAAAQAgAAAAIgAAAGRycy9kb3ducmV2LnhtbFBLAQIUABQAAAAIAIdO4kB+&#10;uQZDIgIAAAsEAAAOAAAAAAAAAAEAIAAAACUBAABkcnMvZTJvRG9jLnhtbFBLBQYAAAAABgAGAFkB&#10;AAC5BQAAAAA=&#10;" adj="10821">
                        <v:fill on="f" focussize="0,0"/>
                        <v:stroke weight="1.25pt" color="#000000 [3213]" joinstyle="round" endarrow="open"/>
                        <v:imagedata o:title=""/>
                        <o:lock v:ext="edit" aspectratio="f"/>
                      </v:shape>
                      <v:shape id="文本框 267" o:spid="_x0000_s1026" o:spt="202" type="#_x0000_t202" style="position:absolute;left:2616200;top:3688715;height:262255;width:755650;"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L3zQPYAAAABQEAAA8AAAAAAAAA&#10;AQAgAAAAIgAAAGRycy9kb3ducmV2LnhtbFBLAQIUABQAAAAIAIdO4kB6OHaXSgIAAHUEAAAOAAAA&#10;AAAAAAEAIAAAACcBAABkcnMvZTJvRG9jLnhtbFBLBQYAAAAABgAGAFkBAADjBQAAAAA=&#10;">
                        <v:fill on="f" focussize="0,0"/>
                        <v:stroke on="f" weight="0.5pt"/>
                        <v:imagedata o:title=""/>
                        <o:lock v:ext="edit" aspectratio="f"/>
                        <v:textbox>
                          <w:txbxContent>
                            <w:p w14:paraId="3E0B6137">
                              <w:pPr>
                                <w:rPr>
                                  <w:rFonts w:hint="default" w:eastAsia="宋体"/>
                                  <w:lang w:val="en-US" w:eastAsia="zh-CN"/>
                                </w:rPr>
                              </w:pPr>
                              <w:r>
                                <w:rPr>
                                  <w:rFonts w:hint="eastAsia"/>
                                  <w:lang w:val="en-US" w:eastAsia="zh-CN"/>
                                </w:rPr>
                                <w:t>2630.88</w:t>
                              </w:r>
                            </w:p>
                          </w:txbxContent>
                        </v:textbox>
                      </v:shape>
                      <v:shape id="_x0000_s1026" o:spid="_x0000_s1026" o:spt="100" style="position:absolute;left:2075815;top:3311525;height:333375;width:928370;v-text-anchor:middle;" filled="f" stroked="t" coordsize="928370,333375" o:gfxdata="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" path="m587375,0l928370,0,928370,325755,7620,333375,0,142875e">
                        <v:path o:connectlocs="587375,0;928370,0;928370,325755;7620,333375;0,142875" o:connectangles="0,0,0,0,0"/>
                        <v:fill on="f" focussize="0,0"/>
                        <v:stroke weight="1pt" color="#000000 [3213]" joinstyle="round" endarrow="open"/>
                        <v:imagedata o:title=""/>
                        <o:lock v:ext="edit" aspectratio="f"/>
                      </v:shape>
                      <v:shape id="_x0000_s1026" o:spid="_x0000_s1026" o:spt="202" type="#_x0000_t202" style="position:absolute;left:2607945;top:3422650;height:269875;width:477520;" filled="f" stroked="f" coordsize="21600,21600" o:gfxdata="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L3zQPYAAAABQEAAA8AAAAAAAAAAQAg&#10;AAAAIgAAAGRycy9kb3ducmV2LnhtbFBLAQIUABQAAAAIAIdO4kDvdzNsRwIAAHUEAAAOAAAAAAAA&#10;AAEAIAAAACcBAABkcnMvZTJvRG9jLnhtbFBLBQYAAAAABgAGAFkBAADgBQAAAAA=&#10;">
                        <v:fill on="f" focussize="0,0"/>
                        <v:stroke on="f" weight="0.5pt"/>
                        <v:imagedata o:title=""/>
                        <o:lock v:ext="edit" aspectratio="f"/>
                        <v:textbox>
                          <w:txbxContent>
                            <w:p w14:paraId="39DEABAD">
                              <w:pPr>
                                <w:rPr>
                                  <w:rFonts w:hint="default" w:eastAsia="宋体"/>
                                  <w:lang w:val="en-US" w:eastAsia="zh-CN"/>
                                </w:rPr>
                              </w:pPr>
                              <w:r>
                                <w:rPr>
                                  <w:rFonts w:hint="eastAsia"/>
                                  <w:lang w:val="en-US" w:eastAsia="zh-CN"/>
                                </w:rPr>
                                <w:t>200</w:t>
                              </w:r>
                            </w:p>
                          </w:txbxContent>
                        </v:textbox>
                      </v:shape>
                      <w10:wrap type="none"/>
                      <w10:anchorlock/>
                    </v:group>
                  </w:pict>
                </mc:Fallback>
              </mc:AlternateContent>
            </w:r>
          </w:p>
          <w:p w14:paraId="785D1029">
            <w:pPr>
              <w:keepNext/>
              <w:keepLines w:val="0"/>
              <w:pageBreakBefore w:val="0"/>
              <w:kinsoku/>
              <w:wordWrap/>
              <w:overflowPunct/>
              <w:topLinePunct w:val="0"/>
              <w:bidi w:val="0"/>
              <w:spacing w:line="360" w:lineRule="auto"/>
              <w:jc w:val="center"/>
              <w:outlineLvl w:val="9"/>
              <w:rPr>
                <w:rFonts w:hint="eastAsia"/>
                <w:b/>
                <w:bCs/>
                <w:color w:val="auto"/>
              </w:rPr>
            </w:pPr>
            <w:r>
              <w:rPr>
                <w:rFonts w:hint="eastAsia"/>
                <w:b/>
                <w:color w:val="auto"/>
                <w:szCs w:val="21"/>
                <w:lang w:val="en-US" w:eastAsia="zh-CN"/>
              </w:rPr>
              <w:t>图2-1  本项目水平衡图</w:t>
            </w:r>
            <w:r>
              <w:rPr>
                <w:rFonts w:hint="eastAsia"/>
                <w:b/>
                <w:color w:val="auto"/>
                <w:szCs w:val="21"/>
              </w:rPr>
              <w:t xml:space="preserve">       单位：</w:t>
            </w:r>
            <w:r>
              <w:rPr>
                <w:rFonts w:hint="eastAsia"/>
                <w:b/>
                <w:bCs/>
                <w:color w:val="auto"/>
              </w:rPr>
              <w:t>m</w:t>
            </w:r>
            <w:r>
              <w:rPr>
                <w:rFonts w:hint="eastAsia"/>
                <w:b/>
                <w:bCs/>
                <w:color w:val="auto"/>
                <w:vertAlign w:val="superscript"/>
              </w:rPr>
              <w:t>3</w:t>
            </w:r>
            <w:r>
              <w:rPr>
                <w:rFonts w:hint="eastAsia"/>
                <w:b/>
                <w:bCs/>
                <w:color w:val="auto"/>
                <w:vertAlign w:val="baseline"/>
                <w:lang w:val="en-US" w:eastAsia="zh-CN"/>
              </w:rPr>
              <w:t>/</w:t>
            </w:r>
            <w:r>
              <w:rPr>
                <w:rFonts w:hint="eastAsia"/>
                <w:b/>
                <w:bCs/>
                <w:color w:val="auto"/>
              </w:rPr>
              <w:t>a</w:t>
            </w:r>
          </w:p>
          <w:p w14:paraId="21F2A521">
            <w:pPr>
              <w:keepNext/>
              <w:keepLines w:val="0"/>
              <w:pageBreakBefore w:val="0"/>
              <w:kinsoku/>
              <w:wordWrap/>
              <w:overflowPunct/>
              <w:topLinePunct w:val="0"/>
              <w:bidi w:val="0"/>
              <w:spacing w:line="360" w:lineRule="auto"/>
              <w:jc w:val="center"/>
              <w:outlineLvl w:val="9"/>
              <w:rPr>
                <w:color w:val="auto"/>
              </w:rPr>
            </w:pPr>
            <w:r>
              <w:rPr>
                <w:color w:val="auto"/>
                <w:sz w:val="21"/>
              </w:rPr>
              <mc:AlternateContent>
                <mc:Choice Requires="wps">
                  <w:drawing>
                    <wp:anchor distT="0" distB="0" distL="114300" distR="114300" simplePos="0" relativeHeight="251784192" behindDoc="0" locked="0" layoutInCell="1" allowOverlap="1">
                      <wp:simplePos x="0" y="0"/>
                      <wp:positionH relativeFrom="column">
                        <wp:posOffset>2694305</wp:posOffset>
                      </wp:positionH>
                      <wp:positionV relativeFrom="paragraph">
                        <wp:posOffset>1718310</wp:posOffset>
                      </wp:positionV>
                      <wp:extent cx="405130" cy="218440"/>
                      <wp:effectExtent l="0" t="0" r="0" b="0"/>
                      <wp:wrapNone/>
                      <wp:docPr id="619" name="文本框 619"/>
                      <wp:cNvGraphicFramePr/>
                      <a:graphic xmlns:a="http://schemas.openxmlformats.org/drawingml/2006/main">
                        <a:graphicData uri="http://schemas.microsoft.com/office/word/2010/wordprocessingShape">
                          <wps:wsp>
                            <wps:cNvSpPr txBox="1"/>
                            <wps:spPr>
                              <a:xfrm>
                                <a:off x="3985260" y="2849245"/>
                                <a:ext cx="405130" cy="218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7BC3FE">
                                  <w:pPr>
                                    <w:rPr>
                                      <w:rFonts w:hint="default" w:eastAsia="宋体"/>
                                      <w:sz w:val="15"/>
                                      <w:szCs w:val="15"/>
                                      <w:lang w:val="en-US" w:eastAsia="zh-CN"/>
                                    </w:rPr>
                                  </w:pPr>
                                  <w:r>
                                    <w:rPr>
                                      <w:rFonts w:hint="eastAsia"/>
                                      <w:sz w:val="15"/>
                                      <w:szCs w:val="15"/>
                                      <w:lang w:val="en-US" w:eastAsia="zh-CN"/>
                                    </w:rPr>
                                    <w:t>200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15pt;margin-top:135.3pt;height:17.2pt;width:31.9pt;z-index:251784192;mso-width-relative:page;mso-height-relative:page;" filled="f" stroked="f" coordsize="21600,21600" o:gfxdata="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cMn8HcAAAACwEAAA8AAAAA&#10;AAAAAQAgAAAAIgAAAGRycy9kb3ducmV2LnhtbFBLAQIUABQAAAAIAIdO4kCTDt0jSQIAAHUEAAAO&#10;AAAAAAAAAAEAIAAAACsBAABkcnMvZTJvRG9jLnhtbFBLBQYAAAAABgAGAFkBAADmBQAAAAA=&#10;">
                      <v:fill on="f" focussize="0,0"/>
                      <v:stroke on="f" weight="0.5pt"/>
                      <v:imagedata o:title=""/>
                      <o:lock v:ext="edit" aspectratio="f"/>
                      <v:textbox>
                        <w:txbxContent>
                          <w:p w14:paraId="777BC3FE">
                            <w:pPr>
                              <w:rPr>
                                <w:rFonts w:hint="default" w:eastAsia="宋体"/>
                                <w:sz w:val="15"/>
                                <w:szCs w:val="15"/>
                                <w:lang w:val="en-US" w:eastAsia="zh-CN"/>
                              </w:rPr>
                            </w:pPr>
                            <w:r>
                              <w:rPr>
                                <w:rFonts w:hint="eastAsia"/>
                                <w:sz w:val="15"/>
                                <w:szCs w:val="15"/>
                                <w:lang w:val="en-US" w:eastAsia="zh-CN"/>
                              </w:rPr>
                              <w:t>200</w:t>
                            </w:r>
                          </w:p>
                        </w:txbxContent>
                      </v:textbox>
                    </v:shape>
                  </w:pict>
                </mc:Fallback>
              </mc:AlternateContent>
            </w:r>
            <w:r>
              <w:rPr>
                <w:color w:val="auto"/>
                <w:sz w:val="21"/>
              </w:rPr>
              <mc:AlternateContent>
                <mc:Choice Requires="wps">
                  <w:drawing>
                    <wp:anchor distT="0" distB="0" distL="114300" distR="114300" simplePos="0" relativeHeight="251783168" behindDoc="0" locked="0" layoutInCell="1" allowOverlap="1">
                      <wp:simplePos x="0" y="0"/>
                      <wp:positionH relativeFrom="column">
                        <wp:posOffset>2519680</wp:posOffset>
                      </wp:positionH>
                      <wp:positionV relativeFrom="paragraph">
                        <wp:posOffset>1722120</wp:posOffset>
                      </wp:positionV>
                      <wp:extent cx="460375" cy="150495"/>
                      <wp:effectExtent l="51435" t="4445" r="21590" b="35560"/>
                      <wp:wrapNone/>
                      <wp:docPr id="616" name="任意多边形 616"/>
                      <wp:cNvGraphicFramePr/>
                      <a:graphic xmlns:a="http://schemas.openxmlformats.org/drawingml/2006/main">
                        <a:graphicData uri="http://schemas.microsoft.com/office/word/2010/wordprocessingShape">
                          <wps:wsp>
                            <wps:cNvSpPr/>
                            <wps:spPr>
                              <a:xfrm>
                                <a:off x="3818890" y="2807335"/>
                                <a:ext cx="460375" cy="150495"/>
                              </a:xfrm>
                              <a:custGeom>
                                <a:avLst/>
                                <a:gdLst>
                                  <a:gd name="connisteX0" fmla="*/ 95250 w 460375"/>
                                  <a:gd name="connsiteY0" fmla="*/ 0 h 150495"/>
                                  <a:gd name="connisteX1" fmla="*/ 460375 w 460375"/>
                                  <a:gd name="connsiteY1" fmla="*/ 0 h 150495"/>
                                  <a:gd name="connisteX2" fmla="*/ 460375 w 460375"/>
                                  <a:gd name="connsiteY2" fmla="*/ 118745 h 150495"/>
                                  <a:gd name="connisteX3" fmla="*/ 460375 w 460375"/>
                                  <a:gd name="connsiteY3" fmla="*/ 150495 h 150495"/>
                                  <a:gd name="connisteX4" fmla="*/ 0 w 460375"/>
                                  <a:gd name="connsiteY4" fmla="*/ 150495 h 150495"/>
                                  <a:gd name="connisteX5" fmla="*/ 7620 w 460375"/>
                                  <a:gd name="connsiteY5" fmla="*/ 86995 h 1504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60375" h="150495">
                                    <a:moveTo>
                                      <a:pt x="95250" y="0"/>
                                    </a:moveTo>
                                    <a:lnTo>
                                      <a:pt x="460375" y="0"/>
                                    </a:lnTo>
                                    <a:lnTo>
                                      <a:pt x="460375" y="118745"/>
                                    </a:lnTo>
                                    <a:lnTo>
                                      <a:pt x="460375" y="150495"/>
                                    </a:lnTo>
                                    <a:lnTo>
                                      <a:pt x="0" y="150495"/>
                                    </a:lnTo>
                                    <a:lnTo>
                                      <a:pt x="7620" y="86995"/>
                                    </a:lnTo>
                                  </a:path>
                                </a:pathLst>
                              </a:custGeom>
                              <a:no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198.4pt;margin-top:135.6pt;height:11.85pt;width:36.25pt;z-index:251783168;v-text-anchor:middle;mso-width-relative:page;mso-height-relative:page;" filled="f" stroked="t" coordsize="460375,150495" o:gfxdata="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" path="m95250,0l460375,0,460375,118745,460375,150495,0,150495,7620,86995e">
                      <v:path o:connectlocs="95250,0;460375,0;460375,118745;460375,150495;0,150495;7620,86995" o:connectangles="0,0,0,0,0,0"/>
                      <v:fill on="f" focussize="0,0"/>
                      <v:stroke color="#000000 [3213]"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782144" behindDoc="0" locked="0" layoutInCell="1" allowOverlap="1">
                      <wp:simplePos x="0" y="0"/>
                      <wp:positionH relativeFrom="column">
                        <wp:posOffset>2355215</wp:posOffset>
                      </wp:positionH>
                      <wp:positionV relativeFrom="paragraph">
                        <wp:posOffset>1826895</wp:posOffset>
                      </wp:positionV>
                      <wp:extent cx="666750" cy="248920"/>
                      <wp:effectExtent l="0" t="0" r="0" b="17780"/>
                      <wp:wrapNone/>
                      <wp:docPr id="617" name="文本框 617"/>
                      <wp:cNvGraphicFramePr/>
                      <a:graphic xmlns:a="http://schemas.openxmlformats.org/drawingml/2006/main">
                        <a:graphicData uri="http://schemas.microsoft.com/office/word/2010/wordprocessingShape">
                          <wps:wsp>
                            <wps:cNvSpPr txBox="1"/>
                            <wps:spPr>
                              <a:xfrm>
                                <a:off x="3771265" y="2936875"/>
                                <a:ext cx="666750" cy="248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A698D8">
                                  <w:pPr>
                                    <w:rPr>
                                      <w:rFonts w:hint="default" w:eastAsia="宋体"/>
                                      <w:color w:val="404040" w:themeColor="text1" w:themeTint="BF"/>
                                      <w:sz w:val="15"/>
                                      <w:szCs w:val="15"/>
                                      <w:lang w:val="en-US" w:eastAsia="zh-CN"/>
                                      <w14:textFill>
                                        <w14:solidFill>
                                          <w14:schemeClr w14:val="tx1">
                                            <w14:lumMod w14:val="75000"/>
                                            <w14:lumOff w14:val="25000"/>
                                          </w14:schemeClr>
                                        </w14:solidFill>
                                      </w14:textFill>
                                    </w:rPr>
                                  </w:pPr>
                                  <w:r>
                                    <w:rPr>
                                      <w:rFonts w:hint="eastAsia"/>
                                      <w:color w:val="404040" w:themeColor="text1" w:themeTint="BF"/>
                                      <w:sz w:val="15"/>
                                      <w:szCs w:val="15"/>
                                      <w:lang w:val="en-US" w:eastAsia="zh-CN"/>
                                      <w14:textFill>
                                        <w14:solidFill>
                                          <w14:schemeClr w14:val="tx1">
                                            <w14:lumMod w14:val="75000"/>
                                            <w14:lumOff w14:val="25000"/>
                                          </w14:schemeClr>
                                        </w14:solidFill>
                                      </w14:textFill>
                                    </w:rPr>
                                    <w:t>2401.06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45pt;margin-top:143.85pt;height:19.6pt;width:52.5pt;z-index:251782144;mso-width-relative:page;mso-height-relative:page;" filled="f" stroked="f" coordsize="21600,21600" o:gfxdata="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DJ/br3AAAAAsBAAAPAAAA&#10;AAAAAAEAIAAAACIAAABkcnMvZG93bnJldi54bWxQSwECFAAUAAAACACHTuJAjc0vRUoCAAB1BAAA&#10;DgAAAAAAAAABACAAAAArAQAAZHJzL2Uyb0RvYy54bWxQSwUGAAAAAAYABgBZAQAA5wUAAAAA&#10;">
                      <v:fill on="f" focussize="0,0"/>
                      <v:stroke on="f" weight="0.5pt"/>
                      <v:imagedata o:title=""/>
                      <o:lock v:ext="edit" aspectratio="f"/>
                      <v:textbox>
                        <w:txbxContent>
                          <w:p w14:paraId="1AA698D8">
                            <w:pPr>
                              <w:rPr>
                                <w:rFonts w:hint="default" w:eastAsia="宋体"/>
                                <w:color w:val="404040" w:themeColor="text1" w:themeTint="BF"/>
                                <w:sz w:val="15"/>
                                <w:szCs w:val="15"/>
                                <w:lang w:val="en-US" w:eastAsia="zh-CN"/>
                                <w14:textFill>
                                  <w14:solidFill>
                                    <w14:schemeClr w14:val="tx1">
                                      <w14:lumMod w14:val="75000"/>
                                      <w14:lumOff w14:val="25000"/>
                                    </w14:schemeClr>
                                  </w14:solidFill>
                                </w14:textFill>
                              </w:rPr>
                            </w:pPr>
                            <w:r>
                              <w:rPr>
                                <w:rFonts w:hint="eastAsia"/>
                                <w:color w:val="404040" w:themeColor="text1" w:themeTint="BF"/>
                                <w:sz w:val="15"/>
                                <w:szCs w:val="15"/>
                                <w:lang w:val="en-US" w:eastAsia="zh-CN"/>
                                <w14:textFill>
                                  <w14:solidFill>
                                    <w14:schemeClr w14:val="tx1">
                                      <w14:lumMod w14:val="75000"/>
                                      <w14:lumOff w14:val="25000"/>
                                    </w14:schemeClr>
                                  </w14:solidFill>
                                </w14:textFill>
                              </w:rPr>
                              <w:t>2401.06</w:t>
                            </w:r>
                          </w:p>
                        </w:txbxContent>
                      </v:textbox>
                    </v:shape>
                  </w:pict>
                </mc:Fallback>
              </mc:AlternateContent>
            </w:r>
            <w:r>
              <w:rPr>
                <w:color w:val="auto"/>
                <w:sz w:val="21"/>
              </w:rPr>
              <mc:AlternateContent>
                <mc:Choice Requires="wps">
                  <w:drawing>
                    <wp:anchor distT="0" distB="0" distL="114300" distR="114300" simplePos="0" relativeHeight="251781120" behindDoc="0" locked="0" layoutInCell="1" allowOverlap="1">
                      <wp:simplePos x="0" y="0"/>
                      <wp:positionH relativeFrom="column">
                        <wp:posOffset>2472690</wp:posOffset>
                      </wp:positionH>
                      <wp:positionV relativeFrom="paragraph">
                        <wp:posOffset>1828165</wp:posOffset>
                      </wp:positionV>
                      <wp:extent cx="467995" cy="146050"/>
                      <wp:effectExtent l="0" t="0" r="8255" b="6350"/>
                      <wp:wrapNone/>
                      <wp:docPr id="618" name="文本框 618"/>
                      <wp:cNvGraphicFramePr/>
                      <a:graphic xmlns:a="http://schemas.openxmlformats.org/drawingml/2006/main">
                        <a:graphicData uri="http://schemas.microsoft.com/office/word/2010/wordprocessingShape">
                          <wps:wsp>
                            <wps:cNvSpPr txBox="1"/>
                            <wps:spPr>
                              <a:xfrm>
                                <a:off x="3771265" y="2921000"/>
                                <a:ext cx="467995" cy="146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5EB1C1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7pt;margin-top:143.95pt;height:11.5pt;width:36.85pt;z-index:251781120;mso-width-relative:page;mso-height-relative:page;" fillcolor="#FFFFFF [3201]" filled="t" stroked="f" coordsize="21600,21600" o:gfxdata="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BM&#10;GQrXAAAACwEAAA8AAAAAAAAAAQAgAAAAIgAAAGRycy9kb3ducmV2LnhtbFBLAQIUABQAAAAIAIdO&#10;4kCZpRSZXQIAAJ4EAAAOAAAAAAAAAAEAIAAAACYBAABkcnMvZTJvRG9jLnhtbFBLBQYAAAAABgAG&#10;AFkBAAD1BQAAAAA=&#10;">
                      <v:fill on="t" focussize="0,0"/>
                      <v:stroke on="f" weight="0.5pt"/>
                      <v:imagedata o:title=""/>
                      <o:lock v:ext="edit" aspectratio="f"/>
                      <v:textbox>
                        <w:txbxContent>
                          <w:p w14:paraId="55EB1C1A"/>
                        </w:txbxContent>
                      </v:textbox>
                    </v:shape>
                  </w:pict>
                </mc:Fallback>
              </mc:AlternateContent>
            </w: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3129280</wp:posOffset>
                      </wp:positionH>
                      <wp:positionV relativeFrom="paragraph">
                        <wp:posOffset>23495</wp:posOffset>
                      </wp:positionV>
                      <wp:extent cx="502285" cy="252730"/>
                      <wp:effectExtent l="0" t="0" r="0" b="0"/>
                      <wp:wrapNone/>
                      <wp:docPr id="311" name="文本框 311"/>
                      <wp:cNvGraphicFramePr/>
                      <a:graphic xmlns:a="http://schemas.openxmlformats.org/drawingml/2006/main">
                        <a:graphicData uri="http://schemas.microsoft.com/office/word/2010/wordprocessingShape">
                          <wps:wsp>
                            <wps:cNvSpPr txBox="1"/>
                            <wps:spPr>
                              <a:xfrm>
                                <a:off x="4538345" y="1346835"/>
                                <a:ext cx="502285" cy="252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DC5E37">
                                  <w:pPr>
                                    <w:rPr>
                                      <w:rFonts w:hint="default" w:eastAsia="宋体"/>
                                      <w:b/>
                                      <w:bCs/>
                                      <w:color w:val="595959" w:themeColor="text1" w:themeTint="A6"/>
                                      <w:sz w:val="15"/>
                                      <w:szCs w:val="15"/>
                                      <w:lang w:val="en-US" w:eastAsia="zh-CN"/>
                                      <w14:textFill>
                                        <w14:solidFill>
                                          <w14:schemeClr w14:val="tx1">
                                            <w14:lumMod w14:val="65000"/>
                                            <w14:lumOff w14:val="35000"/>
                                          </w14:schemeClr>
                                        </w14:solidFill>
                                      </w14:textFill>
                                    </w:rPr>
                                  </w:pPr>
                                  <w:r>
                                    <w:rPr>
                                      <w:rFonts w:hint="eastAsia"/>
                                      <w:b/>
                                      <w:bCs/>
                                      <w:color w:val="595959" w:themeColor="text1" w:themeTint="A6"/>
                                      <w:sz w:val="15"/>
                                      <w:szCs w:val="15"/>
                                      <w:lang w:val="en-US" w:eastAsia="zh-CN"/>
                                      <w14:textFill>
                                        <w14:solidFill>
                                          <w14:schemeClr w14:val="tx1">
                                            <w14:lumMod w14:val="65000"/>
                                            <w14:lumOff w14:val="35000"/>
                                          </w14:schemeClr>
                                        </w14:solidFill>
                                      </w14:textFill>
                                    </w:rPr>
                                    <w:t>1940.6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4pt;margin-top:1.85pt;height:19.9pt;width:39.55pt;z-index:251773952;mso-width-relative:page;mso-height-relative:page;" filled="f" stroked="f" coordsize="21600,21600" o:gfxdata="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jgXodoAAAAIAQAADwAAAAAA&#10;AAABACAAAAAiAAAAZHJzL2Rvd25yZXYueG1sUEsBAhQAFAAAAAgAh07iQOOCtRdKAgAAdQQAAA4A&#10;AAAAAAAAAQAgAAAAKQEAAGRycy9lMm9Eb2MueG1sUEsFBgAAAAAGAAYAWQEAAOUFAAAAAA==&#10;">
                      <v:fill on="f" focussize="0,0"/>
                      <v:stroke on="f" weight="0.5pt"/>
                      <v:imagedata o:title=""/>
                      <o:lock v:ext="edit" aspectratio="f"/>
                      <v:textbox>
                        <w:txbxContent>
                          <w:p w14:paraId="56DC5E37">
                            <w:pPr>
                              <w:rPr>
                                <w:rFonts w:hint="default" w:eastAsia="宋体"/>
                                <w:b/>
                                <w:bCs/>
                                <w:color w:val="595959" w:themeColor="text1" w:themeTint="A6"/>
                                <w:sz w:val="15"/>
                                <w:szCs w:val="15"/>
                                <w:lang w:val="en-US" w:eastAsia="zh-CN"/>
                                <w14:textFill>
                                  <w14:solidFill>
                                    <w14:schemeClr w14:val="tx1">
                                      <w14:lumMod w14:val="65000"/>
                                      <w14:lumOff w14:val="35000"/>
                                    </w14:schemeClr>
                                  </w14:solidFill>
                                </w14:textFill>
                              </w:rPr>
                            </w:pPr>
                            <w:r>
                              <w:rPr>
                                <w:rFonts w:hint="eastAsia"/>
                                <w:b/>
                                <w:bCs/>
                                <w:color w:val="595959" w:themeColor="text1" w:themeTint="A6"/>
                                <w:sz w:val="15"/>
                                <w:szCs w:val="15"/>
                                <w:lang w:val="en-US" w:eastAsia="zh-CN"/>
                                <w14:textFill>
                                  <w14:solidFill>
                                    <w14:schemeClr w14:val="tx1">
                                      <w14:lumMod w14:val="65000"/>
                                      <w14:lumOff w14:val="35000"/>
                                    </w14:schemeClr>
                                  </w14:solidFill>
                                </w14:textFill>
                              </w:rPr>
                              <w:t>1940.6</w:t>
                            </w:r>
                          </w:p>
                        </w:txbxContent>
                      </v:textbox>
                    </v:shape>
                  </w:pict>
                </mc:Fallback>
              </mc:AlternateContent>
            </w: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3219450</wp:posOffset>
                      </wp:positionH>
                      <wp:positionV relativeFrom="paragraph">
                        <wp:posOffset>31115</wp:posOffset>
                      </wp:positionV>
                      <wp:extent cx="402590" cy="209550"/>
                      <wp:effectExtent l="0" t="0" r="16510" b="0"/>
                      <wp:wrapNone/>
                      <wp:docPr id="312" name="文本框 312"/>
                      <wp:cNvGraphicFramePr/>
                      <a:graphic xmlns:a="http://schemas.openxmlformats.org/drawingml/2006/main">
                        <a:graphicData uri="http://schemas.microsoft.com/office/word/2010/wordprocessingShape">
                          <wps:wsp>
                            <wps:cNvSpPr txBox="1"/>
                            <wps:spPr>
                              <a:xfrm>
                                <a:off x="4487545" y="1353820"/>
                                <a:ext cx="402590"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24352C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5pt;margin-top:2.45pt;height:16.5pt;width:31.7pt;z-index:251772928;mso-width-relative:page;mso-height-relative:page;" fillcolor="#FFFFFF [3201]" filled="t" stroked="f" coordsize="21600,21600" o:gfxdata="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Ko/sVDU&#10;AAAACAEAAA8AAAAAAAAAAQAgAAAAIgAAAGRycy9kb3ducmV2LnhtbFBLAQIUABQAAAAIAIdO4kA7&#10;dBdDXQIAAJ4EAAAOAAAAAAAAAAEAIAAAACMBAABkcnMvZTJvRG9jLnhtbFBLBQYAAAAABgAGAFkB&#10;AADyBQAAAAA=&#10;">
                      <v:fill on="t" focussize="0,0"/>
                      <v:stroke on="f" weight="0.5pt"/>
                      <v:imagedata o:title=""/>
                      <o:lock v:ext="edit" aspectratio="f"/>
                      <v:textbox>
                        <w:txbxContent>
                          <w:p w14:paraId="724352C9"/>
                        </w:txbxContent>
                      </v:textbox>
                    </v:shape>
                  </w:pict>
                </mc:Fallback>
              </mc:AlternateContent>
            </w:r>
            <w:r>
              <w:rPr>
                <w:color w:val="auto"/>
                <w:sz w:val="21"/>
              </w:rPr>
              <mc:AlternateContent>
                <mc:Choice Requires="wps">
                  <w:drawing>
                    <wp:anchor distT="0" distB="0" distL="114300" distR="114300" simplePos="0" relativeHeight="251771904" behindDoc="0" locked="0" layoutInCell="1" allowOverlap="1">
                      <wp:simplePos x="0" y="0"/>
                      <wp:positionH relativeFrom="column">
                        <wp:posOffset>1152525</wp:posOffset>
                      </wp:positionH>
                      <wp:positionV relativeFrom="paragraph">
                        <wp:posOffset>73025</wp:posOffset>
                      </wp:positionV>
                      <wp:extent cx="490855" cy="238760"/>
                      <wp:effectExtent l="0" t="0" r="0" b="0"/>
                      <wp:wrapNone/>
                      <wp:docPr id="340" name="文本框 340"/>
                      <wp:cNvGraphicFramePr/>
                      <a:graphic xmlns:a="http://schemas.openxmlformats.org/drawingml/2006/main">
                        <a:graphicData uri="http://schemas.microsoft.com/office/word/2010/wordprocessingShape">
                          <wps:wsp>
                            <wps:cNvSpPr txBox="1"/>
                            <wps:spPr>
                              <a:xfrm>
                                <a:off x="2451100" y="1383030"/>
                                <a:ext cx="49085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A3E518">
                                  <w:pPr>
                                    <w:rPr>
                                      <w:rFonts w:hint="default" w:eastAsia="宋体"/>
                                      <w:b/>
                                      <w:bCs/>
                                      <w:color w:val="595959" w:themeColor="text1" w:themeTint="A6"/>
                                      <w:sz w:val="15"/>
                                      <w:szCs w:val="15"/>
                                      <w:lang w:val="en-US" w:eastAsia="zh-CN"/>
                                      <w14:textFill>
                                        <w14:solidFill>
                                          <w14:schemeClr w14:val="tx1">
                                            <w14:lumMod w14:val="65000"/>
                                            <w14:lumOff w14:val="35000"/>
                                          </w14:schemeClr>
                                        </w14:solidFill>
                                      </w14:textFill>
                                    </w:rPr>
                                  </w:pPr>
                                  <w:r>
                                    <w:rPr>
                                      <w:rFonts w:hint="eastAsia"/>
                                      <w:b/>
                                      <w:bCs/>
                                      <w:color w:val="595959" w:themeColor="text1" w:themeTint="A6"/>
                                      <w:sz w:val="15"/>
                                      <w:szCs w:val="15"/>
                                      <w:lang w:val="en-US" w:eastAsia="zh-CN"/>
                                      <w14:textFill>
                                        <w14:solidFill>
                                          <w14:schemeClr w14:val="tx1">
                                            <w14:lumMod w14:val="65000"/>
                                            <w14:lumOff w14:val="35000"/>
                                          </w14:schemeClr>
                                        </w14:solidFill>
                                      </w14:textFill>
                                    </w:rPr>
                                    <w:t>425.6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75pt;margin-top:5.75pt;height:18.8pt;width:38.65pt;z-index:251771904;mso-width-relative:page;mso-height-relative:page;" filled="f" stroked="f" coordsize="21600,21600" o:gfxdata="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nCTd5tkAAAAJAQAADwAAAAAAAAAB&#10;ACAAAAAiAAAAZHJzL2Rvd25yZXYueG1sUEsBAhQAFAAAAAgAh07iQHDylNxIAgAAdQQAAA4AAAAA&#10;AAAAAQAgAAAAKAEAAGRycy9lMm9Eb2MueG1sUEsFBgAAAAAGAAYAWQEAAOIFAAAAAA==&#10;">
                      <v:fill on="f" focussize="0,0"/>
                      <v:stroke on="f" weight="0.5pt"/>
                      <v:imagedata o:title=""/>
                      <o:lock v:ext="edit" aspectratio="f"/>
                      <v:textbox>
                        <w:txbxContent>
                          <w:p w14:paraId="14A3E518">
                            <w:pPr>
                              <w:rPr>
                                <w:rFonts w:hint="default" w:eastAsia="宋体"/>
                                <w:b/>
                                <w:bCs/>
                                <w:color w:val="595959" w:themeColor="text1" w:themeTint="A6"/>
                                <w:sz w:val="15"/>
                                <w:szCs w:val="15"/>
                                <w:lang w:val="en-US" w:eastAsia="zh-CN"/>
                                <w14:textFill>
                                  <w14:solidFill>
                                    <w14:schemeClr w14:val="tx1">
                                      <w14:lumMod w14:val="65000"/>
                                      <w14:lumOff w14:val="35000"/>
                                    </w14:schemeClr>
                                  </w14:solidFill>
                                </w14:textFill>
                              </w:rPr>
                            </w:pPr>
                            <w:r>
                              <w:rPr>
                                <w:rFonts w:hint="eastAsia"/>
                                <w:b/>
                                <w:bCs/>
                                <w:color w:val="595959" w:themeColor="text1" w:themeTint="A6"/>
                                <w:sz w:val="15"/>
                                <w:szCs w:val="15"/>
                                <w:lang w:val="en-US" w:eastAsia="zh-CN"/>
                                <w14:textFill>
                                  <w14:solidFill>
                                    <w14:schemeClr w14:val="tx1">
                                      <w14:lumMod w14:val="65000"/>
                                      <w14:lumOff w14:val="35000"/>
                                    </w14:schemeClr>
                                  </w14:solidFill>
                                </w14:textFill>
                              </w:rPr>
                              <w:t>425.6</w:t>
                            </w:r>
                          </w:p>
                        </w:txbxContent>
                      </v:textbox>
                    </v:shape>
                  </w:pict>
                </mc:Fallback>
              </mc:AlternateContent>
            </w:r>
            <w:r>
              <w:rPr>
                <w:color w:val="auto"/>
                <w:sz w:val="21"/>
              </w:rPr>
              <mc:AlternateContent>
                <mc:Choice Requires="wps">
                  <w:drawing>
                    <wp:anchor distT="0" distB="0" distL="114300" distR="114300" simplePos="0" relativeHeight="251770880" behindDoc="0" locked="0" layoutInCell="1" allowOverlap="1">
                      <wp:simplePos x="0" y="0"/>
                      <wp:positionH relativeFrom="column">
                        <wp:posOffset>1189355</wp:posOffset>
                      </wp:positionH>
                      <wp:positionV relativeFrom="paragraph">
                        <wp:posOffset>82550</wp:posOffset>
                      </wp:positionV>
                      <wp:extent cx="381635" cy="152400"/>
                      <wp:effectExtent l="0" t="0" r="18415" b="0"/>
                      <wp:wrapNone/>
                      <wp:docPr id="367" name="文本框 367"/>
                      <wp:cNvGraphicFramePr/>
                      <a:graphic xmlns:a="http://schemas.openxmlformats.org/drawingml/2006/main">
                        <a:graphicData uri="http://schemas.microsoft.com/office/word/2010/wordprocessingShape">
                          <wps:wsp>
                            <wps:cNvSpPr txBox="1"/>
                            <wps:spPr>
                              <a:xfrm>
                                <a:off x="2487930" y="1405255"/>
                                <a:ext cx="381635" cy="152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6E0009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65pt;margin-top:6.5pt;height:12pt;width:30.05pt;z-index:251770880;mso-width-relative:page;mso-height-relative:page;" fillcolor="#FFFFFF [3201]" filled="t" stroked="f" coordsize="21600,21600" o:gfxdata="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1kCCZ&#10;1AAAAAkBAAAPAAAAAAAAAAEAIAAAACIAAABkcnMvZG93bnJldi54bWxQSwECFAAUAAAACACHTuJA&#10;6eUV4l4CAACeBAAADgAAAAAAAAABACAAAAAjAQAAZHJzL2Uyb0RvYy54bWxQSwUGAAAAAAYABgBZ&#10;AQAA8wUAAAAA&#10;">
                      <v:fill on="t" focussize="0,0"/>
                      <v:stroke on="f" weight="0.5pt"/>
                      <v:imagedata o:title=""/>
                      <o:lock v:ext="edit" aspectratio="f"/>
                      <v:textbox>
                        <w:txbxContent>
                          <w:p w14:paraId="66E00098"/>
                        </w:txbxContent>
                      </v:textbox>
                    </v:shape>
                  </w:pict>
                </mc:Fallback>
              </mc:AlternateContent>
            </w:r>
            <w:r>
              <w:rPr>
                <w:color w:val="auto"/>
                <w:sz w:val="21"/>
              </w:rPr>
              <mc:AlternateContent>
                <mc:Choice Requires="wps">
                  <w:drawing>
                    <wp:anchor distT="0" distB="0" distL="114300" distR="114300" simplePos="0" relativeHeight="251769856" behindDoc="0" locked="0" layoutInCell="1" allowOverlap="1">
                      <wp:simplePos x="0" y="0"/>
                      <wp:positionH relativeFrom="column">
                        <wp:posOffset>515620</wp:posOffset>
                      </wp:positionH>
                      <wp:positionV relativeFrom="paragraph">
                        <wp:posOffset>28575</wp:posOffset>
                      </wp:positionV>
                      <wp:extent cx="4204970" cy="2336165"/>
                      <wp:effectExtent l="12700" t="12700" r="30480" b="13335"/>
                      <wp:wrapNone/>
                      <wp:docPr id="368" name="矩形 368"/>
                      <wp:cNvGraphicFramePr/>
                      <a:graphic xmlns:a="http://schemas.openxmlformats.org/drawingml/2006/main">
                        <a:graphicData uri="http://schemas.microsoft.com/office/word/2010/wordprocessingShape">
                          <wps:wsp>
                            <wps:cNvSpPr/>
                            <wps:spPr>
                              <a:xfrm>
                                <a:off x="1389380" y="1152525"/>
                                <a:ext cx="4204970" cy="2336165"/>
                              </a:xfrm>
                              <a:prstGeom prst="rect">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6pt;margin-top:2.25pt;height:183.95pt;width:331.1pt;z-index:251769856;v-text-anchor:middle;mso-width-relative:page;mso-height-relative:page;" filled="f" stroked="t" coordsize="21600,21600" o:gfxdata="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xqPTvXAAAACAEAAA8AAAAAAAAAAQAgAAAAIgAA&#10;AGRycy9kb3ducmV2LnhtbFBLAQIUABQAAAAIAIdO4kDLzQKdewIAAN0EAAAOAAAAAAAAAAEAIAAA&#10;ACYBAABkcnMvZTJvRG9jLnhtbFBLBQYAAAAABgAGAFkBAAATBgAAAAA=&#10;">
                      <v:fill on="f" focussize="0,0"/>
                      <v:stroke weight="2pt" color="#FF0000 [3204]" joinstyle="round" dashstyle="dash" endarrow="open"/>
                      <v:imagedata o:title=""/>
                      <o:lock v:ext="edit" aspectratio="f"/>
                    </v:rect>
                  </w:pict>
                </mc:Fallback>
              </mc:AlternateContent>
            </w:r>
            <w:r>
              <w:rPr>
                <w:color w:val="auto"/>
              </w:rPr>
              <w:drawing>
                <wp:inline distT="0" distB="0" distL="114300" distR="114300">
                  <wp:extent cx="4886960" cy="7947025"/>
                  <wp:effectExtent l="0" t="0" r="8890" b="15875"/>
                  <wp:docPr id="3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3"/>
                          <pic:cNvPicPr>
                            <a:picLocks noChangeAspect="1"/>
                          </pic:cNvPicPr>
                        </pic:nvPicPr>
                        <pic:blipFill>
                          <a:blip r:embed="rId32"/>
                          <a:stretch>
                            <a:fillRect/>
                          </a:stretch>
                        </pic:blipFill>
                        <pic:spPr>
                          <a:xfrm>
                            <a:off x="0" y="0"/>
                            <a:ext cx="4886960" cy="7947025"/>
                          </a:xfrm>
                          <a:prstGeom prst="rect">
                            <a:avLst/>
                          </a:prstGeom>
                          <a:noFill/>
                          <a:ln>
                            <a:noFill/>
                          </a:ln>
                        </pic:spPr>
                      </pic:pic>
                    </a:graphicData>
                  </a:graphic>
                </wp:inline>
              </w:drawing>
            </w:r>
          </w:p>
          <w:p w14:paraId="77C694E0">
            <w:pPr>
              <w:keepNext/>
              <w:keepLines w:val="0"/>
              <w:pageBreakBefore w:val="0"/>
              <w:kinsoku/>
              <w:wordWrap/>
              <w:overflowPunct/>
              <w:topLinePunct w:val="0"/>
              <w:bidi w:val="0"/>
              <w:spacing w:line="360" w:lineRule="auto"/>
              <w:ind w:firstLine="210" w:firstLineChars="100"/>
              <w:jc w:val="center"/>
              <w:outlineLvl w:val="9"/>
              <w:rPr>
                <w:rFonts w:hint="default" w:eastAsia="宋体"/>
                <w:color w:val="auto"/>
                <w:lang w:val="en-US" w:eastAsia="zh-CN"/>
              </w:rPr>
            </w:pPr>
            <w:r>
              <w:rPr>
                <w:color w:val="auto"/>
                <w:sz w:val="21"/>
              </w:rPr>
              <mc:AlternateContent>
                <mc:Choice Requires="wps">
                  <w:drawing>
                    <wp:anchor distT="0" distB="0" distL="114300" distR="114300" simplePos="0" relativeHeight="251768832" behindDoc="0" locked="0" layoutInCell="1" allowOverlap="1">
                      <wp:simplePos x="0" y="0"/>
                      <wp:positionH relativeFrom="column">
                        <wp:posOffset>2754630</wp:posOffset>
                      </wp:positionH>
                      <wp:positionV relativeFrom="paragraph">
                        <wp:posOffset>11430</wp:posOffset>
                      </wp:positionV>
                      <wp:extent cx="156210" cy="130175"/>
                      <wp:effectExtent l="13970" t="13970" r="20320" b="27305"/>
                      <wp:wrapNone/>
                      <wp:docPr id="373" name="矩形 373"/>
                      <wp:cNvGraphicFramePr/>
                      <a:graphic xmlns:a="http://schemas.openxmlformats.org/drawingml/2006/main">
                        <a:graphicData uri="http://schemas.microsoft.com/office/word/2010/wordprocessingShape">
                          <wps:wsp>
                            <wps:cNvSpPr/>
                            <wps:spPr>
                              <a:xfrm>
                                <a:off x="3905885" y="8950325"/>
                                <a:ext cx="156210" cy="130175"/>
                              </a:xfrm>
                              <a:prstGeom prst="rect">
                                <a:avLst/>
                              </a:prstGeom>
                              <a:ln w="28575" cmpd="sng">
                                <a:solidFill>
                                  <a:srgbClr val="FF0000"/>
                                </a:solidFill>
                                <a:prstDash val="sysDash"/>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9pt;margin-top:0.9pt;height:10.25pt;width:12.3pt;z-index:251768832;v-text-anchor:middle;mso-width-relative:page;mso-height-relative:page;" filled="f" stroked="t" coordsize="21600,21600" o:gfxdata="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f526dcAAAAIAQAADwAAAAAAAAABACAA&#10;AAAiAAAAZHJzL2Rvd25yZXYueG1sUEsBAhQAFAAAAAgAh07iQFNNpd6AAgAA3gQAAA4AAAAAAAAA&#10;AQAgAAAAJgEAAGRycy9lMm9Eb2MueG1sUEsFBgAAAAAGAAYAWQEAABgGAAAAAA==&#10;">
                      <v:fill on="f" focussize="0,0"/>
                      <v:stroke weight="2.25pt" color="#FF0000 [3204]" joinstyle="round" dashstyle="3 1" endarrow="open"/>
                      <v:imagedata o:title=""/>
                      <o:lock v:ext="edit" aspectratio="f"/>
                    </v:rect>
                  </w:pict>
                </mc:Fallback>
              </mc:AlternateContent>
            </w:r>
            <w:r>
              <w:rPr>
                <w:rFonts w:hint="eastAsia"/>
                <w:color w:val="auto"/>
                <w:lang w:val="en-US" w:eastAsia="zh-CN"/>
              </w:rPr>
              <w:t>图例         本项目</w:t>
            </w:r>
          </w:p>
          <w:p w14:paraId="0CAEC0A7">
            <w:pPr>
              <w:keepNext/>
              <w:keepLines w:val="0"/>
              <w:pageBreakBefore w:val="0"/>
              <w:kinsoku/>
              <w:wordWrap/>
              <w:overflowPunct/>
              <w:topLinePunct w:val="0"/>
              <w:bidi w:val="0"/>
              <w:spacing w:line="360" w:lineRule="auto"/>
              <w:jc w:val="center"/>
              <w:outlineLvl w:val="9"/>
              <w:rPr>
                <w:rFonts w:hint="default" w:eastAsia="宋体"/>
                <w:b/>
                <w:bCs/>
                <w:color w:val="auto"/>
                <w:highlight w:val="none"/>
                <w:lang w:val="en-US" w:eastAsia="zh-CN"/>
              </w:rPr>
            </w:pPr>
            <w:r>
              <w:rPr>
                <w:rFonts w:hint="eastAsia"/>
                <w:b/>
                <w:bCs/>
                <w:color w:val="auto"/>
                <w:highlight w:val="none"/>
                <w:lang w:val="en-US" w:eastAsia="zh-CN"/>
              </w:rPr>
              <w:t xml:space="preserve">图2-2 全厂运营期水平衡          </w:t>
            </w:r>
            <w:r>
              <w:rPr>
                <w:rFonts w:hint="eastAsia"/>
                <w:b/>
                <w:color w:val="auto"/>
                <w:szCs w:val="21"/>
              </w:rPr>
              <w:t>单位：</w:t>
            </w:r>
            <w:r>
              <w:rPr>
                <w:rFonts w:hint="eastAsia"/>
                <w:b/>
                <w:bCs/>
                <w:color w:val="auto"/>
              </w:rPr>
              <w:t>m</w:t>
            </w:r>
            <w:r>
              <w:rPr>
                <w:rFonts w:hint="eastAsia"/>
                <w:b/>
                <w:bCs/>
                <w:color w:val="auto"/>
                <w:vertAlign w:val="superscript"/>
              </w:rPr>
              <w:t>3</w:t>
            </w:r>
            <w:r>
              <w:rPr>
                <w:rFonts w:hint="eastAsia"/>
                <w:b/>
                <w:bCs/>
                <w:color w:val="auto"/>
                <w:vertAlign w:val="baseline"/>
                <w:lang w:val="en-US" w:eastAsia="zh-CN"/>
              </w:rPr>
              <w:t>/</w:t>
            </w:r>
            <w:r>
              <w:rPr>
                <w:rFonts w:hint="eastAsia"/>
                <w:b/>
                <w:bCs/>
                <w:color w:val="auto"/>
              </w:rPr>
              <w:t>a</w:t>
            </w:r>
          </w:p>
          <w:p w14:paraId="41724A9A">
            <w:pPr>
              <w:keepNext/>
              <w:keepLines w:val="0"/>
              <w:pageBreakBefore w:val="0"/>
              <w:kinsoku/>
              <w:wordWrap/>
              <w:overflowPunct/>
              <w:topLinePunct w:val="0"/>
              <w:bidi w:val="0"/>
              <w:spacing w:line="360" w:lineRule="auto"/>
              <w:ind w:firstLine="480" w:firstLineChars="200"/>
              <w:outlineLvl w:val="9"/>
              <w:rPr>
                <w:color w:val="auto"/>
                <w:sz w:val="24"/>
              </w:rPr>
            </w:pPr>
            <w:r>
              <w:rPr>
                <w:color w:val="auto"/>
                <w:sz w:val="24"/>
              </w:rPr>
              <w:t>（</w:t>
            </w:r>
            <w:r>
              <w:rPr>
                <w:rFonts w:hint="eastAsia"/>
                <w:color w:val="auto"/>
                <w:sz w:val="24"/>
              </w:rPr>
              <w:t>3</w:t>
            </w:r>
            <w:r>
              <w:rPr>
                <w:color w:val="auto"/>
                <w:sz w:val="24"/>
              </w:rPr>
              <w:t>）供电</w:t>
            </w:r>
          </w:p>
          <w:p w14:paraId="142DADB3">
            <w:pPr>
              <w:keepNext/>
              <w:keepLines w:val="0"/>
              <w:pageBreakBefore w:val="0"/>
              <w:kinsoku/>
              <w:wordWrap/>
              <w:overflowPunct/>
              <w:topLinePunct w:val="0"/>
              <w:bidi w:val="0"/>
              <w:spacing w:line="360" w:lineRule="auto"/>
              <w:ind w:firstLine="480" w:firstLineChars="200"/>
              <w:jc w:val="left"/>
              <w:outlineLvl w:val="9"/>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本项目新增</w:t>
            </w:r>
            <w:r>
              <w:rPr>
                <w:rFonts w:hint="default" w:ascii="Times New Roman" w:hAnsi="Times New Roman" w:cs="Times New Roman"/>
                <w:color w:val="auto"/>
                <w:sz w:val="24"/>
                <w:szCs w:val="24"/>
                <w:highlight w:val="none"/>
                <w:lang w:val="en-US" w:eastAsia="zh-CN"/>
              </w:rPr>
              <w:t>耗电量</w:t>
            </w:r>
            <w:r>
              <w:rPr>
                <w:rFonts w:hint="eastAsia" w:cs="Times New Roman"/>
                <w:color w:val="auto"/>
                <w:sz w:val="24"/>
                <w:szCs w:val="24"/>
                <w:highlight w:val="none"/>
                <w:lang w:val="en-US" w:eastAsia="zh-CN"/>
              </w:rPr>
              <w:t>77</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0625</w:t>
            </w:r>
            <w:r>
              <w:rPr>
                <w:rFonts w:hint="default" w:ascii="Times New Roman" w:hAnsi="Times New Roman" w:cs="Times New Roman"/>
                <w:color w:val="auto"/>
                <w:sz w:val="24"/>
                <w:szCs w:val="24"/>
                <w:highlight w:val="none"/>
                <w:lang w:val="en-US" w:eastAsia="zh-CN"/>
              </w:rPr>
              <w:t>万</w:t>
            </w:r>
            <w:r>
              <w:rPr>
                <w:rFonts w:hint="eastAsia" w:cs="Times New Roman"/>
                <w:color w:val="auto"/>
                <w:sz w:val="24"/>
                <w:szCs w:val="24"/>
                <w:highlight w:val="none"/>
                <w:lang w:val="en-US" w:eastAsia="zh-CN"/>
              </w:rPr>
              <w:t>kW</w:t>
            </w:r>
            <w:r>
              <w:rPr>
                <w:rFonts w:hint="eastAsia" w:ascii="宋体" w:hAnsi="宋体" w:eastAsia="宋体" w:cs="宋体"/>
                <w:color w:val="auto"/>
                <w:sz w:val="24"/>
                <w:szCs w:val="24"/>
                <w:highlight w:val="none"/>
                <w:lang w:val="en-US" w:eastAsia="zh-CN"/>
              </w:rPr>
              <w:t>·</w:t>
            </w:r>
            <w:r>
              <w:rPr>
                <w:rFonts w:hint="eastAsia" w:cs="Times New Roman"/>
                <w:color w:val="auto"/>
                <w:sz w:val="24"/>
                <w:szCs w:val="24"/>
                <w:highlight w:val="none"/>
                <w:lang w:val="en-US" w:eastAsia="zh-CN"/>
              </w:rPr>
              <w:t>h</w:t>
            </w:r>
            <w:r>
              <w:rPr>
                <w:rFonts w:hint="eastAsia" w:ascii="宋体" w:hAnsi="宋体" w:cs="宋体"/>
                <w:color w:val="auto"/>
                <w:sz w:val="24"/>
                <w:szCs w:val="24"/>
                <w:highlight w:val="none"/>
                <w:lang w:val="en-US" w:eastAsia="zh-CN"/>
              </w:rPr>
              <w:t>/a</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本项目新建1座500kVA箱式变电站，高压电缆由公司总变电所引入</w:t>
            </w:r>
            <w:r>
              <w:rPr>
                <w:rFonts w:hint="default" w:ascii="Times New Roman" w:hAnsi="Times New Roman" w:cs="Times New Roman"/>
                <w:color w:val="auto"/>
                <w:sz w:val="24"/>
                <w:szCs w:val="24"/>
                <w:highlight w:val="none"/>
                <w:lang w:val="en-US" w:eastAsia="zh-CN"/>
              </w:rPr>
              <w:t>。</w:t>
            </w:r>
          </w:p>
          <w:p w14:paraId="6AAB92D4">
            <w:pPr>
              <w:keepNext/>
              <w:keepLines w:val="0"/>
              <w:pageBreakBefore w:val="0"/>
              <w:numPr>
                <w:ilvl w:val="0"/>
                <w:numId w:val="5"/>
              </w:numPr>
              <w:kinsoku/>
              <w:wordWrap/>
              <w:overflowPunct/>
              <w:topLinePunct w:val="0"/>
              <w:bidi w:val="0"/>
              <w:spacing w:line="360" w:lineRule="auto"/>
              <w:ind w:firstLine="480" w:firstLineChars="200"/>
              <w:jc w:val="left"/>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供热</w:t>
            </w:r>
          </w:p>
          <w:p w14:paraId="2EEA87E0">
            <w:pPr>
              <w:spacing w:line="360" w:lineRule="auto"/>
              <w:ind w:firstLine="480" w:firstLineChars="200"/>
              <w:rPr>
                <w:rFonts w:hint="default" w:ascii="Times New Roman" w:hAnsi="Times New Roman" w:cs="Times New Roman" w:eastAsiaTheme="minorEastAsia"/>
                <w:color w:val="auto"/>
                <w:sz w:val="24"/>
                <w:szCs w:val="24"/>
                <w:lang w:val="en-US" w:eastAsia="zh-CN"/>
              </w:rPr>
            </w:pPr>
            <w:r>
              <w:rPr>
                <w:rFonts w:hint="eastAsia" w:cs="Times New Roman"/>
                <w:color w:val="auto"/>
                <w:sz w:val="24"/>
                <w:szCs w:val="24"/>
                <w:highlight w:val="none"/>
                <w:lang w:val="en-US" w:eastAsia="zh-CN"/>
              </w:rPr>
              <w:t>厂区设置2台</w:t>
            </w:r>
            <w:bookmarkStart w:id="43" w:name="OLE_LINK2"/>
            <w:r>
              <w:rPr>
                <w:rFonts w:hint="eastAsia" w:cs="Times New Roman"/>
                <w:color w:val="auto"/>
                <w:sz w:val="24"/>
                <w:szCs w:val="24"/>
                <w:highlight w:val="none"/>
                <w:lang w:val="en-US" w:eastAsia="zh-CN"/>
              </w:rPr>
              <w:t>6t/h</w:t>
            </w:r>
            <w:bookmarkEnd w:id="43"/>
            <w:r>
              <w:rPr>
                <w:rFonts w:hint="eastAsia" w:cs="Times New Roman"/>
                <w:color w:val="auto"/>
                <w:sz w:val="24"/>
                <w:szCs w:val="24"/>
                <w:highlight w:val="none"/>
                <w:lang w:val="en-US" w:eastAsia="zh-CN"/>
              </w:rPr>
              <w:t>燃气蒸汽锅炉（</w:t>
            </w:r>
            <w:bookmarkStart w:id="44" w:name="OLE_LINK4"/>
            <w:r>
              <w:rPr>
                <w:rFonts w:hint="eastAsia" w:cs="Times New Roman"/>
                <w:color w:val="auto"/>
                <w:sz w:val="24"/>
                <w:szCs w:val="24"/>
                <w:highlight w:val="none"/>
                <w:lang w:val="en-US" w:eastAsia="zh-CN"/>
              </w:rPr>
              <w:t>一用一备</w:t>
            </w:r>
            <w:bookmarkEnd w:id="44"/>
            <w:r>
              <w:rPr>
                <w:rFonts w:hint="eastAsia" w:cs="Times New Roman"/>
                <w:color w:val="auto"/>
                <w:sz w:val="24"/>
                <w:szCs w:val="24"/>
                <w:highlight w:val="none"/>
                <w:lang w:val="en-US" w:eastAsia="zh-CN"/>
              </w:rPr>
              <w:t>），现有项目最大蒸汽用量为</w:t>
            </w:r>
            <w:r>
              <w:rPr>
                <w:rFonts w:hint="eastAsia" w:ascii="Times New Roman" w:hAnsi="Times New Roman" w:eastAsia="宋体" w:cs="Times New Roman"/>
                <w:color w:val="auto"/>
                <w:sz w:val="24"/>
                <w:szCs w:val="24"/>
                <w:highlight w:val="none"/>
                <w:lang w:val="en-US" w:eastAsia="zh-CN"/>
              </w:rPr>
              <w:t>7898</w:t>
            </w:r>
            <w:r>
              <w:rPr>
                <w:rFonts w:hint="eastAsia" w:cs="Times New Roman"/>
                <w:color w:val="auto"/>
                <w:sz w:val="24"/>
                <w:szCs w:val="24"/>
                <w:highlight w:val="none"/>
                <w:lang w:val="en-US" w:eastAsia="zh-CN"/>
              </w:rPr>
              <w:t>t/a（2.1t/h），根据设计资料，本项目最大蒸汽用量为1.02t/h，扩建后全厂蒸汽用量为3.13t/h，因此</w:t>
            </w:r>
            <w:r>
              <w:rPr>
                <w:rFonts w:hint="eastAsia" w:ascii="Times New Roman" w:hAnsi="Times New Roman" w:cs="Times New Roman"/>
                <w:color w:val="auto"/>
                <w:sz w:val="24"/>
                <w:szCs w:val="24"/>
                <w:lang w:val="en-US" w:eastAsia="zh-CN"/>
              </w:rPr>
              <w:t>生产用热</w:t>
            </w:r>
            <w:r>
              <w:rPr>
                <w:rFonts w:hint="eastAsia" w:cs="Times New Roman"/>
                <w:color w:val="auto"/>
                <w:sz w:val="24"/>
                <w:szCs w:val="24"/>
                <w:lang w:val="en-US" w:eastAsia="zh-CN"/>
              </w:rPr>
              <w:t>可依托现有蒸汽锅炉。</w:t>
            </w:r>
          </w:p>
          <w:p w14:paraId="27EC2599">
            <w:pPr>
              <w:keepNext/>
              <w:keepLines w:val="0"/>
              <w:pageBreakBefore w:val="0"/>
              <w:kinsoku/>
              <w:wordWrap/>
              <w:overflowPunct/>
              <w:topLinePunct w:val="0"/>
              <w:bidi w:val="0"/>
              <w:spacing w:line="360" w:lineRule="auto"/>
              <w:ind w:firstLine="480" w:firstLineChars="200"/>
              <w:outlineLvl w:val="9"/>
              <w:rPr>
                <w:color w:val="auto"/>
                <w:sz w:val="24"/>
                <w:szCs w:val="24"/>
              </w:rPr>
            </w:pPr>
            <w:r>
              <w:rPr>
                <w:color w:val="auto"/>
                <w:sz w:val="24"/>
                <w:szCs w:val="24"/>
              </w:rPr>
              <w:t>（</w:t>
            </w:r>
            <w:r>
              <w:rPr>
                <w:rFonts w:hint="eastAsia"/>
                <w:color w:val="auto"/>
                <w:sz w:val="24"/>
                <w:szCs w:val="24"/>
                <w:lang w:val="en-US" w:eastAsia="zh-CN"/>
              </w:rPr>
              <w:t>5</w:t>
            </w:r>
            <w:r>
              <w:rPr>
                <w:color w:val="auto"/>
                <w:sz w:val="24"/>
                <w:szCs w:val="24"/>
              </w:rPr>
              <w:t>）供暖</w:t>
            </w:r>
          </w:p>
          <w:p w14:paraId="2EEC2AA6">
            <w:pPr>
              <w:keepNext/>
              <w:keepLines w:val="0"/>
              <w:pageBreakBefore w:val="0"/>
              <w:kinsoku/>
              <w:wordWrap/>
              <w:overflowPunct/>
              <w:topLinePunct w:val="0"/>
              <w:bidi w:val="0"/>
              <w:spacing w:line="360" w:lineRule="auto"/>
              <w:ind w:firstLine="480" w:firstLineChars="200"/>
              <w:jc w:val="left"/>
              <w:outlineLvl w:val="9"/>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本项目依托厂区内2台6t/h燃气蒸汽锅炉（一用一备）</w:t>
            </w:r>
            <w:r>
              <w:rPr>
                <w:rFonts w:hint="default" w:ascii="Times New Roman" w:hAnsi="Times New Roman" w:cs="Times New Roman"/>
                <w:color w:val="auto"/>
                <w:sz w:val="24"/>
                <w:szCs w:val="24"/>
                <w:highlight w:val="none"/>
                <w:lang w:val="en-US" w:eastAsia="zh-CN"/>
              </w:rPr>
              <w:t>供暖。</w:t>
            </w:r>
          </w:p>
          <w:p w14:paraId="7404C090">
            <w:pPr>
              <w:keepNext/>
              <w:keepLines w:val="0"/>
              <w:pageBreakBefore w:val="0"/>
              <w:kinsoku/>
              <w:wordWrap/>
              <w:overflowPunct/>
              <w:topLinePunct w:val="0"/>
              <w:bidi w:val="0"/>
              <w:spacing w:line="360" w:lineRule="auto"/>
              <w:ind w:firstLine="480" w:firstLineChars="200"/>
              <w:jc w:val="left"/>
              <w:outlineLvl w:val="9"/>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（6）依托可行性</w:t>
            </w:r>
          </w:p>
          <w:p w14:paraId="45C266FE">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bookmarkStart w:id="45" w:name="OLE_LINK3"/>
            <w:r>
              <w:rPr>
                <w:rFonts w:hint="default" w:ascii="Times New Roman" w:hAnsi="Times New Roman" w:cs="Times New Roman" w:eastAsiaTheme="minorEastAsia"/>
                <w:color w:val="auto"/>
                <w:sz w:val="24"/>
                <w:szCs w:val="24"/>
                <w:lang w:val="en-US" w:eastAsia="zh-CN"/>
              </w:rPr>
              <w:t>①</w:t>
            </w:r>
            <w:r>
              <w:rPr>
                <w:rFonts w:hint="eastAsia" w:ascii="Times New Roman" w:hAnsi="Times New Roman" w:cs="Times New Roman" w:eastAsiaTheme="minorEastAsia"/>
                <w:color w:val="auto"/>
                <w:sz w:val="24"/>
                <w:szCs w:val="24"/>
                <w:lang w:val="en-US" w:eastAsia="zh-CN"/>
              </w:rPr>
              <w:t>不合格品工房</w:t>
            </w:r>
          </w:p>
          <w:p w14:paraId="5E99666E">
            <w:pPr>
              <w:keepNext/>
              <w:keepLines w:val="0"/>
              <w:pageBreakBefore w:val="0"/>
              <w:kinsoku/>
              <w:wordWrap/>
              <w:overflowPunct/>
              <w:topLinePunct w:val="0"/>
              <w:bidi w:val="0"/>
              <w:spacing w:line="360" w:lineRule="auto"/>
              <w:ind w:firstLine="480" w:firstLineChars="200"/>
              <w:rPr>
                <w:rFonts w:hint="eastAsia"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本项目依托原有不合格品工房</w:t>
            </w:r>
            <w:r>
              <w:rPr>
                <w:rFonts w:hint="eastAsia" w:cs="Times New Roman" w:eastAsiaTheme="minorEastAsia"/>
                <w:color w:val="auto"/>
                <w:sz w:val="24"/>
                <w:szCs w:val="24"/>
                <w:lang w:val="en-US" w:eastAsia="zh-CN"/>
              </w:rPr>
              <w:t>处理生产线不合格品</w:t>
            </w:r>
            <w:r>
              <w:rPr>
                <w:rFonts w:hint="eastAsia" w:ascii="Times New Roman" w:hAnsi="Times New Roman" w:cs="Times New Roman" w:eastAsiaTheme="minorEastAsia"/>
                <w:color w:val="auto"/>
                <w:sz w:val="24"/>
                <w:szCs w:val="24"/>
                <w:lang w:val="en-US" w:eastAsia="zh-CN"/>
              </w:rPr>
              <w:t>，</w:t>
            </w:r>
            <w:r>
              <w:rPr>
                <w:rFonts w:hint="eastAsia" w:cs="Times New Roman" w:eastAsiaTheme="minorEastAsia"/>
                <w:color w:val="auto"/>
                <w:sz w:val="24"/>
                <w:szCs w:val="24"/>
                <w:lang w:val="en-US" w:eastAsia="zh-CN"/>
              </w:rPr>
              <w:t>不合格品每日转运后于工房内暂存，工房暂存及单次在线处理最大药量不超过</w:t>
            </w:r>
            <w:r>
              <w:rPr>
                <w:rFonts w:hint="eastAsia" w:ascii="Times New Roman" w:hAnsi="Times New Roman" w:cs="Times New Roman" w:eastAsiaTheme="minorEastAsia"/>
                <w:color w:val="auto"/>
                <w:sz w:val="24"/>
                <w:szCs w:val="24"/>
                <w:lang w:val="en-US" w:eastAsia="zh-CN"/>
              </w:rPr>
              <w:t>1t</w:t>
            </w:r>
            <w:bookmarkEnd w:id="45"/>
            <w:r>
              <w:rPr>
                <w:rFonts w:hint="eastAsia" w:cs="Times New Roman" w:eastAsiaTheme="minorEastAsia"/>
                <w:color w:val="auto"/>
                <w:sz w:val="24"/>
                <w:szCs w:val="24"/>
                <w:lang w:val="en-US" w:eastAsia="zh-CN"/>
              </w:rPr>
              <w:t>，不连续生产，仅按需启动。启动时单批次运行周期约0.5h。原有</w:t>
            </w:r>
            <w:r>
              <w:rPr>
                <w:rFonts w:hint="eastAsia" w:ascii="Times New Roman" w:hAnsi="Times New Roman" w:cs="Times New Roman" w:eastAsiaTheme="minorEastAsia"/>
                <w:color w:val="auto"/>
                <w:sz w:val="24"/>
                <w:szCs w:val="24"/>
                <w:lang w:val="en-US" w:eastAsia="zh-CN"/>
              </w:rPr>
              <w:t>项目不合格品产生量为</w:t>
            </w:r>
            <w:r>
              <w:rPr>
                <w:rFonts w:hint="eastAsia" w:cs="Times New Roman" w:eastAsiaTheme="minorEastAsia"/>
                <w:color w:val="auto"/>
                <w:sz w:val="24"/>
                <w:szCs w:val="24"/>
                <w:lang w:val="en-US" w:eastAsia="zh-CN"/>
              </w:rPr>
              <w:t>9.3</w:t>
            </w:r>
            <w:r>
              <w:rPr>
                <w:rFonts w:hint="eastAsia" w:ascii="Times New Roman" w:hAnsi="Times New Roman" w:cs="Times New Roman" w:eastAsiaTheme="minorEastAsia"/>
                <w:color w:val="auto"/>
                <w:sz w:val="24"/>
                <w:szCs w:val="24"/>
                <w:lang w:val="en-US" w:eastAsia="zh-CN"/>
              </w:rPr>
              <w:t>t/a</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本项目建成后，全厂不合格品产生量为12.5t/a</w:t>
            </w:r>
            <w:r>
              <w:rPr>
                <w:rFonts w:hint="eastAsia" w:cs="Times New Roman" w:eastAsiaTheme="minorEastAsia"/>
                <w:color w:val="auto"/>
                <w:sz w:val="24"/>
                <w:szCs w:val="24"/>
                <w:lang w:val="en-US" w:eastAsia="zh-CN"/>
              </w:rPr>
              <w:t>，本项目不合格品产生量较少，远小于工房处理能力，依托</w:t>
            </w:r>
            <w:r>
              <w:rPr>
                <w:rFonts w:hint="eastAsia" w:ascii="Times New Roman" w:hAnsi="Times New Roman" w:cs="Times New Roman" w:eastAsiaTheme="minorEastAsia"/>
                <w:color w:val="auto"/>
                <w:sz w:val="24"/>
                <w:szCs w:val="24"/>
                <w:lang w:val="en-US" w:eastAsia="zh-CN"/>
              </w:rPr>
              <w:t>原有不合格品工房</w:t>
            </w:r>
            <w:r>
              <w:rPr>
                <w:rFonts w:hint="eastAsia" w:cs="Times New Roman" w:eastAsiaTheme="minorEastAsia"/>
                <w:color w:val="auto"/>
                <w:sz w:val="24"/>
                <w:szCs w:val="24"/>
                <w:lang w:val="en-US" w:eastAsia="zh-CN"/>
              </w:rPr>
              <w:t>可行。</w:t>
            </w:r>
          </w:p>
          <w:p w14:paraId="3AC34090">
            <w:pPr>
              <w:keepNext/>
              <w:keepLines w:val="0"/>
              <w:pageBreakBefore w:val="0"/>
              <w:kinsoku/>
              <w:wordWrap/>
              <w:overflowPunct/>
              <w:topLinePunct w:val="0"/>
              <w:bidi w:val="0"/>
              <w:spacing w:line="360" w:lineRule="auto"/>
              <w:ind w:firstLine="480" w:firstLineChars="200"/>
              <w:rPr>
                <w:rFonts w:hint="default" w:cs="Times New Roman" w:eastAsiaTheme="minorEastAsia"/>
                <w:color w:val="auto"/>
                <w:sz w:val="24"/>
                <w:szCs w:val="24"/>
                <w:lang w:val="en-US" w:eastAsia="zh-CN"/>
              </w:rPr>
            </w:pPr>
            <w:r>
              <w:rPr>
                <w:rFonts w:hint="eastAsia" w:ascii="宋体" w:hAnsi="宋体" w:eastAsia="宋体" w:cs="宋体"/>
                <w:color w:val="auto"/>
                <w:sz w:val="24"/>
                <w:szCs w:val="24"/>
                <w:lang w:val="en-US" w:eastAsia="zh-CN"/>
              </w:rPr>
              <w:t>②</w:t>
            </w:r>
            <w:r>
              <w:rPr>
                <w:rFonts w:hint="eastAsia" w:cs="Times New Roman" w:eastAsiaTheme="minorEastAsia"/>
                <w:color w:val="auto"/>
                <w:sz w:val="24"/>
                <w:szCs w:val="24"/>
                <w:lang w:val="en-US" w:eastAsia="zh-CN"/>
              </w:rPr>
              <w:t>炸药总库</w:t>
            </w:r>
          </w:p>
          <w:p w14:paraId="172C2FA1">
            <w:pPr>
              <w:keepNext/>
              <w:keepLines w:val="0"/>
              <w:pageBreakBefore w:val="0"/>
              <w:kinsoku/>
              <w:wordWrap/>
              <w:overflowPunct/>
              <w:topLinePunct w:val="0"/>
              <w:bidi w:val="0"/>
              <w:spacing w:line="360" w:lineRule="auto"/>
              <w:ind w:firstLine="480" w:firstLineChars="200"/>
              <w:jc w:val="left"/>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炸药总库储存乳化粒状铵油炸药，乳化炸药、</w:t>
            </w:r>
            <w:r>
              <w:rPr>
                <w:rFonts w:hint="default" w:ascii="Times New Roman" w:hAnsi="Times New Roman" w:cs="Times New Roman" w:eastAsiaTheme="minorEastAsia"/>
                <w:color w:val="auto"/>
                <w:sz w:val="24"/>
                <w:szCs w:val="24"/>
                <w:lang w:val="en-US" w:eastAsia="zh-CN"/>
              </w:rPr>
              <w:t>乳化炸药震源药柱</w:t>
            </w:r>
            <w:r>
              <w:rPr>
                <w:rFonts w:hint="eastAsia" w:ascii="Times New Roman" w:hAnsi="Times New Roman" w:cs="Times New Roman" w:eastAsiaTheme="minorEastAsia"/>
                <w:color w:val="auto"/>
                <w:sz w:val="24"/>
                <w:szCs w:val="24"/>
                <w:lang w:val="en-US" w:eastAsia="zh-CN"/>
              </w:rPr>
              <w:t>，设计储存量为581t。乳化粒状铵油炸药储存量为252t，乳化炸药240t，</w:t>
            </w:r>
            <w:r>
              <w:rPr>
                <w:rFonts w:hint="default" w:ascii="Times New Roman" w:hAnsi="Times New Roman" w:cs="Times New Roman" w:eastAsiaTheme="minorEastAsia"/>
                <w:color w:val="auto"/>
                <w:sz w:val="24"/>
                <w:szCs w:val="24"/>
                <w:lang w:val="en-US" w:eastAsia="zh-CN"/>
              </w:rPr>
              <w:t>乳化炸药震源药柱</w:t>
            </w:r>
            <w:r>
              <w:rPr>
                <w:rFonts w:hint="eastAsia" w:ascii="Times New Roman" w:hAnsi="Times New Roman" w:cs="Times New Roman" w:eastAsiaTheme="minorEastAsia"/>
                <w:color w:val="auto"/>
                <w:sz w:val="24"/>
                <w:szCs w:val="24"/>
                <w:lang w:val="en-US" w:eastAsia="zh-CN"/>
              </w:rPr>
              <w:t>89t，总储存量581t，故本项目依托原有炸药总库可行。</w:t>
            </w:r>
          </w:p>
          <w:p w14:paraId="4FA83C16">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rPr>
              <w:t>8、物料平衡</w:t>
            </w:r>
          </w:p>
          <w:p w14:paraId="765F1F37">
            <w:pPr>
              <w:keepNext/>
              <w:keepLines w:val="0"/>
              <w:pageBreakBefore w:val="0"/>
              <w:kinsoku/>
              <w:wordWrap/>
              <w:overflowPunct/>
              <w:topLinePunct w:val="0"/>
              <w:bidi w:val="0"/>
              <w:spacing w:line="360" w:lineRule="auto"/>
              <w:ind w:firstLine="420" w:firstLineChars="200"/>
              <w:jc w:val="left"/>
              <w:outlineLvl w:val="9"/>
              <w:rPr>
                <w:rFonts w:hint="eastAsia"/>
                <w:color w:val="auto"/>
                <w:spacing w:val="10"/>
                <w:sz w:val="24"/>
              </w:rPr>
            </w:pPr>
            <w:r>
              <w:rPr>
                <w:sz w:val="21"/>
              </w:rPr>
              <mc:AlternateContent>
                <mc:Choice Requires="wps">
                  <w:drawing>
                    <wp:anchor distT="0" distB="0" distL="114300" distR="114300" simplePos="0" relativeHeight="251826176" behindDoc="0" locked="0" layoutInCell="1" allowOverlap="1">
                      <wp:simplePos x="0" y="0"/>
                      <wp:positionH relativeFrom="column">
                        <wp:posOffset>300355</wp:posOffset>
                      </wp:positionH>
                      <wp:positionV relativeFrom="paragraph">
                        <wp:posOffset>278765</wp:posOffset>
                      </wp:positionV>
                      <wp:extent cx="5038725" cy="1847215"/>
                      <wp:effectExtent l="5080" t="4445" r="4445" b="15240"/>
                      <wp:wrapNone/>
                      <wp:docPr id="230" name="矩形 230"/>
                      <wp:cNvGraphicFramePr/>
                      <a:graphic xmlns:a="http://schemas.openxmlformats.org/drawingml/2006/main">
                        <a:graphicData uri="http://schemas.microsoft.com/office/word/2010/wordprocessingShape">
                          <wps:wsp>
                            <wps:cNvSpPr/>
                            <wps:spPr>
                              <a:xfrm>
                                <a:off x="0" y="0"/>
                                <a:ext cx="5038725" cy="1847215"/>
                              </a:xfrm>
                              <a:prstGeom prst="rect">
                                <a:avLst/>
                              </a:prstGeom>
                              <a:solidFill>
                                <a:schemeClr val="bg1"/>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65pt;margin-top:21.95pt;height:145.45pt;width:396.75pt;z-index:251826176;v-text-anchor:middle;mso-width-relative:page;mso-height-relative:page;" fillcolor="#FFFFFF [3212]" filled="t" stroked="t" coordsize="21600,21600" o:gfxdata="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6YqBH2QAAAAkBAAAPAAAAAAAAAAEAIAAAACIAAABkcnMv&#10;ZG93bnJldi54bWxQSwECFAAUAAAACACHTuJAapzUEnQCAAD6BAAADgAAAAAAAAABACAAAAAoAQAA&#10;ZHJzL2Uyb0RvYy54bWxQSwUGAAAAAAYABgBZAQAADgYAAAAA&#10;">
                      <v:fill on="t" focussize="0,0"/>
                      <v:stroke color="#000000 [3213]" joinstyle="round" endarrow="open"/>
                      <v:imagedata o:title=""/>
                      <o:lock v:ext="edit" aspectratio="f"/>
                    </v:rect>
                  </w:pict>
                </mc:Fallback>
              </mc:AlternateContent>
            </w:r>
            <w:r>
              <w:rPr>
                <w:rFonts w:hint="eastAsia"/>
                <w:color w:val="auto"/>
                <w:spacing w:val="10"/>
                <w:sz w:val="24"/>
              </w:rPr>
              <w:t>本项目物料平衡见下表。</w:t>
            </w:r>
          </w:p>
          <w:p w14:paraId="7AAD170D">
            <w:pPr>
              <w:keepNext/>
              <w:keepLines w:val="0"/>
              <w:pageBreakBefore w:val="0"/>
              <w:widowControl/>
              <w:kinsoku/>
              <w:wordWrap/>
              <w:overflowPunct/>
              <w:topLinePunct w:val="0"/>
              <w:bidi w:val="0"/>
              <w:ind w:firstLine="422" w:firstLineChars="200"/>
              <w:jc w:val="center"/>
              <w:outlineLvl w:val="9"/>
              <w:rPr>
                <w:b/>
                <w:bCs/>
                <w:color w:val="auto"/>
              </w:rPr>
            </w:pPr>
            <w:r>
              <w:rPr>
                <w:rFonts w:hint="eastAsia"/>
                <w:b/>
                <w:bCs/>
                <w:color w:val="auto"/>
              </w:rPr>
              <w:t>表2-1</w:t>
            </w:r>
            <w:r>
              <w:rPr>
                <w:rFonts w:hint="eastAsia"/>
                <w:b/>
                <w:bCs/>
                <w:color w:val="auto"/>
                <w:lang w:val="en-US" w:eastAsia="zh-CN"/>
              </w:rPr>
              <w:t>3</w:t>
            </w:r>
            <w:r>
              <w:rPr>
                <w:rFonts w:hint="eastAsia"/>
                <w:b/>
                <w:bCs/>
                <w:color w:val="auto"/>
              </w:rPr>
              <w:t xml:space="preserve">  物料平衡表</w:t>
            </w:r>
          </w:p>
          <w:tbl>
            <w:tblPr>
              <w:tblStyle w:val="33"/>
              <w:tblW w:w="49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0"/>
              <w:gridCol w:w="1916"/>
              <w:gridCol w:w="2720"/>
              <w:gridCol w:w="1676"/>
            </w:tblGrid>
            <w:tr w14:paraId="6E108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20" w:type="pct"/>
                  <w:gridSpan w:val="2"/>
                  <w:vAlign w:val="center"/>
                </w:tcPr>
                <w:p w14:paraId="0060B899">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kern w:val="0"/>
                      <w:sz w:val="21"/>
                      <w:szCs w:val="21"/>
                      <w:lang w:bidi="ar"/>
                    </w:rPr>
                    <w:t>投入</w:t>
                  </w:r>
                </w:p>
              </w:tc>
              <w:tc>
                <w:tcPr>
                  <w:tcW w:w="2679" w:type="pct"/>
                  <w:gridSpan w:val="2"/>
                  <w:vAlign w:val="center"/>
                </w:tcPr>
                <w:p w14:paraId="42E5EEC0">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产出</w:t>
                  </w:r>
                </w:p>
              </w:tc>
            </w:tr>
            <w:tr w14:paraId="47E76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2" w:type="pct"/>
                  <w:vAlign w:val="center"/>
                </w:tcPr>
                <w:p w14:paraId="75A37657">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名称</w:t>
                  </w:r>
                </w:p>
              </w:tc>
              <w:tc>
                <w:tcPr>
                  <w:tcW w:w="1168" w:type="pct"/>
                  <w:vAlign w:val="center"/>
                </w:tcPr>
                <w:p w14:paraId="7A5F2970">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数量t/a</w:t>
                  </w:r>
                </w:p>
              </w:tc>
              <w:tc>
                <w:tcPr>
                  <w:tcW w:w="1658" w:type="pct"/>
                  <w:vAlign w:val="center"/>
                </w:tcPr>
                <w:p w14:paraId="5202B68E">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名称</w:t>
                  </w:r>
                </w:p>
              </w:tc>
              <w:tc>
                <w:tcPr>
                  <w:tcW w:w="1021" w:type="pct"/>
                  <w:vAlign w:val="center"/>
                </w:tcPr>
                <w:p w14:paraId="6DDC62FC">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数量t/a</w:t>
                  </w:r>
                </w:p>
              </w:tc>
            </w:tr>
            <w:tr w14:paraId="3DEB8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2" w:type="pct"/>
                  <w:shd w:val="clear" w:color="auto" w:fill="auto"/>
                  <w:vAlign w:val="center"/>
                </w:tcPr>
                <w:p w14:paraId="0C07B7B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硝</w:t>
                  </w:r>
                  <w:r>
                    <w:rPr>
                      <w:rFonts w:hint="default" w:ascii="Times New Roman" w:hAnsi="Times New Roman" w:eastAsia="宋体" w:cs="Times New Roman"/>
                      <w:color w:val="auto"/>
                      <w:spacing w:val="-2"/>
                      <w:sz w:val="21"/>
                      <w:szCs w:val="21"/>
                    </w:rPr>
                    <w:t>酸铵</w:t>
                  </w:r>
                </w:p>
              </w:tc>
              <w:tc>
                <w:tcPr>
                  <w:tcW w:w="1168" w:type="pct"/>
                  <w:shd w:val="clear" w:color="auto" w:fill="auto"/>
                  <w:vAlign w:val="center"/>
                </w:tcPr>
                <w:p w14:paraId="50472DDB">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5320</w:t>
                  </w:r>
                </w:p>
              </w:tc>
              <w:tc>
                <w:tcPr>
                  <w:tcW w:w="1658" w:type="pct"/>
                  <w:vAlign w:val="center"/>
                </w:tcPr>
                <w:p w14:paraId="6620D896">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7"/>
                      <w:sz w:val="21"/>
                      <w:szCs w:val="21"/>
                    </w:rPr>
                    <w:t>乳</w:t>
                  </w:r>
                  <w:r>
                    <w:rPr>
                      <w:rFonts w:hint="default" w:ascii="Times New Roman" w:hAnsi="Times New Roman" w:eastAsia="宋体" w:cs="Times New Roman"/>
                      <w:color w:val="auto"/>
                      <w:spacing w:val="6"/>
                      <w:sz w:val="21"/>
                      <w:szCs w:val="21"/>
                    </w:rPr>
                    <w:t>化炸</w:t>
                  </w:r>
                  <w:r>
                    <w:rPr>
                      <w:rFonts w:hint="default" w:ascii="Times New Roman" w:hAnsi="Times New Roman" w:eastAsia="宋体" w:cs="Times New Roman"/>
                      <w:color w:val="auto"/>
                      <w:sz w:val="21"/>
                      <w:szCs w:val="21"/>
                    </w:rPr>
                    <w:t>药</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震源药柱</w:t>
                  </w:r>
                  <w:r>
                    <w:rPr>
                      <w:rFonts w:hint="eastAsia" w:cs="Times New Roman"/>
                      <w:color w:val="auto"/>
                      <w:sz w:val="21"/>
                      <w:szCs w:val="21"/>
                      <w:lang w:val="en-US" w:eastAsia="zh-CN"/>
                    </w:rPr>
                    <w:t>）</w:t>
                  </w:r>
                </w:p>
              </w:tc>
              <w:tc>
                <w:tcPr>
                  <w:tcW w:w="1021" w:type="pct"/>
                  <w:vAlign w:val="center"/>
                </w:tcPr>
                <w:p w14:paraId="19E8E1D8">
                  <w:pPr>
                    <w:keepNext/>
                    <w:keepLines w:val="0"/>
                    <w:pageBreakBefore w:val="0"/>
                    <w:widowControl/>
                    <w:suppressLineNumbers w:val="0"/>
                    <w:kinsoku/>
                    <w:wordWrap/>
                    <w:overflowPunct/>
                    <w:topLinePunct w:val="0"/>
                    <w:bidi w:val="0"/>
                    <w:jc w:val="center"/>
                    <w:textAlignment w:val="center"/>
                    <w:outlineLvl w:val="9"/>
                    <w:rPr>
                      <w:rFonts w:hint="default" w:ascii="Times New Roman" w:hAnsi="Times New Roman" w:eastAsia="宋体" w:cs="Times New Roman"/>
                      <w:color w:val="auto"/>
                      <w:spacing w:val="1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7000</w:t>
                  </w:r>
                </w:p>
              </w:tc>
            </w:tr>
            <w:tr w14:paraId="53911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2" w:type="pct"/>
                  <w:shd w:val="clear" w:color="auto" w:fill="auto"/>
                  <w:vAlign w:val="center"/>
                </w:tcPr>
                <w:p w14:paraId="7DBBB2EC">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硝酸钠</w:t>
                  </w:r>
                </w:p>
              </w:tc>
              <w:tc>
                <w:tcPr>
                  <w:tcW w:w="1168" w:type="pct"/>
                  <w:shd w:val="clear" w:color="auto" w:fill="auto"/>
                  <w:vAlign w:val="center"/>
                </w:tcPr>
                <w:p w14:paraId="7DFAE036">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798</w:t>
                  </w:r>
                </w:p>
              </w:tc>
              <w:tc>
                <w:tcPr>
                  <w:tcW w:w="1658" w:type="pct"/>
                  <w:vAlign w:val="center"/>
                </w:tcPr>
                <w:p w14:paraId="79D23128">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rPr>
                  </w:pPr>
                  <w:r>
                    <w:rPr>
                      <w:rFonts w:hint="default" w:ascii="Times New Roman" w:hAnsi="Times New Roman" w:eastAsia="宋体" w:cs="Times New Roman"/>
                      <w:color w:val="auto"/>
                      <w:spacing w:val="10"/>
                      <w:sz w:val="21"/>
                      <w:szCs w:val="21"/>
                    </w:rPr>
                    <w:t>有机废气</w:t>
                  </w:r>
                </w:p>
              </w:tc>
              <w:tc>
                <w:tcPr>
                  <w:tcW w:w="1021" w:type="pct"/>
                  <w:vAlign w:val="center"/>
                </w:tcPr>
                <w:p w14:paraId="1D2B258C">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highlight w:val="none"/>
                      <w:lang w:val="en-US" w:eastAsia="zh-CN"/>
                    </w:rPr>
                    <w:t>0.0528</w:t>
                  </w:r>
                </w:p>
              </w:tc>
            </w:tr>
            <w:tr w14:paraId="26A24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2" w:type="pct"/>
                  <w:shd w:val="clear" w:color="auto" w:fill="auto"/>
                  <w:vAlign w:val="center"/>
                </w:tcPr>
                <w:p w14:paraId="3AE48F3B">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复合油相</w:t>
                  </w:r>
                </w:p>
              </w:tc>
              <w:tc>
                <w:tcPr>
                  <w:tcW w:w="1168" w:type="pct"/>
                  <w:shd w:val="clear" w:color="auto" w:fill="auto"/>
                  <w:vAlign w:val="center"/>
                </w:tcPr>
                <w:p w14:paraId="69C3EE91">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326</w:t>
                  </w:r>
                </w:p>
              </w:tc>
              <w:tc>
                <w:tcPr>
                  <w:tcW w:w="1658" w:type="pct"/>
                  <w:vAlign w:val="center"/>
                </w:tcPr>
                <w:p w14:paraId="5E80541F">
                  <w:pPr>
                    <w:keepNext/>
                    <w:keepLines w:val="0"/>
                    <w:pageBreakBefore w:val="0"/>
                    <w:kinsoku/>
                    <w:wordWrap/>
                    <w:overflowPunct/>
                    <w:topLinePunct w:val="0"/>
                    <w:bidi w:val="0"/>
                    <w:jc w:val="center"/>
                    <w:outlineLvl w:val="9"/>
                    <w:rPr>
                      <w:rFonts w:hint="default" w:ascii="Times New Roman" w:hAnsi="Times New Roman" w:eastAsia="宋体" w:cs="Times New Roman"/>
                      <w:color w:val="auto"/>
                      <w:spacing w:val="10"/>
                      <w:sz w:val="21"/>
                      <w:szCs w:val="21"/>
                      <w:lang w:val="en-US" w:eastAsia="zh-CN"/>
                    </w:rPr>
                  </w:pPr>
                  <w:r>
                    <w:rPr>
                      <w:rFonts w:hint="default" w:ascii="Times New Roman" w:hAnsi="Times New Roman" w:cs="Times New Roman"/>
                      <w:color w:val="auto"/>
                      <w:spacing w:val="10"/>
                      <w:sz w:val="21"/>
                      <w:szCs w:val="21"/>
                      <w:lang w:val="en-US" w:eastAsia="zh-CN"/>
                    </w:rPr>
                    <w:t>上料粉尘</w:t>
                  </w:r>
                </w:p>
              </w:tc>
              <w:tc>
                <w:tcPr>
                  <w:tcW w:w="1021" w:type="pct"/>
                  <w:vAlign w:val="center"/>
                </w:tcPr>
                <w:p w14:paraId="5E35BDCD">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0.010</w:t>
                  </w:r>
                  <w:r>
                    <w:rPr>
                      <w:rFonts w:hint="eastAsia" w:cs="Times New Roman"/>
                      <w:i w:val="0"/>
                      <w:iCs w:val="0"/>
                      <w:color w:val="auto"/>
                      <w:kern w:val="0"/>
                      <w:sz w:val="21"/>
                      <w:szCs w:val="21"/>
                      <w:u w:val="none"/>
                      <w:lang w:val="en-US" w:eastAsia="zh-CN" w:bidi="ar"/>
                    </w:rPr>
                    <w:t>5</w:t>
                  </w:r>
                </w:p>
              </w:tc>
            </w:tr>
            <w:tr w14:paraId="51EA7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2" w:type="pct"/>
                  <w:shd w:val="clear" w:color="auto" w:fill="auto"/>
                  <w:vAlign w:val="center"/>
                </w:tcPr>
                <w:p w14:paraId="5DFDA7F4">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珍</w:t>
                  </w:r>
                  <w:r>
                    <w:rPr>
                      <w:rFonts w:hint="default" w:ascii="Times New Roman" w:hAnsi="Times New Roman" w:eastAsia="宋体" w:cs="Times New Roman"/>
                      <w:color w:val="auto"/>
                      <w:spacing w:val="-1"/>
                      <w:sz w:val="21"/>
                      <w:szCs w:val="21"/>
                    </w:rPr>
                    <w:t>珠岩</w:t>
                  </w:r>
                </w:p>
              </w:tc>
              <w:tc>
                <w:tcPr>
                  <w:tcW w:w="1168" w:type="pct"/>
                  <w:shd w:val="clear" w:color="auto" w:fill="auto"/>
                  <w:vAlign w:val="center"/>
                </w:tcPr>
                <w:p w14:paraId="0B47E957">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246.7</w:t>
                  </w:r>
                </w:p>
              </w:tc>
              <w:tc>
                <w:tcPr>
                  <w:tcW w:w="1658" w:type="pct"/>
                  <w:vAlign w:val="center"/>
                </w:tcPr>
                <w:p w14:paraId="431F9064">
                  <w:pPr>
                    <w:keepNext/>
                    <w:keepLines w:val="0"/>
                    <w:pageBreakBefore w:val="0"/>
                    <w:kinsoku/>
                    <w:wordWrap/>
                    <w:overflowPunct/>
                    <w:topLinePunct w:val="0"/>
                    <w:bidi w:val="0"/>
                    <w:jc w:val="center"/>
                    <w:outlineLvl w:val="9"/>
                    <w:rPr>
                      <w:rFonts w:hint="default" w:ascii="Times New Roman" w:hAnsi="Times New Roman" w:cs="Times New Roman"/>
                      <w:color w:val="auto"/>
                      <w:spacing w:val="6"/>
                      <w:sz w:val="21"/>
                      <w:szCs w:val="21"/>
                      <w:lang w:val="en-US" w:eastAsia="zh-CN"/>
                    </w:rPr>
                  </w:pPr>
                  <w:r>
                    <w:rPr>
                      <w:rFonts w:hint="default" w:ascii="Times New Roman" w:hAnsi="Times New Roman" w:cs="Times New Roman"/>
                      <w:color w:val="auto"/>
                      <w:spacing w:val="6"/>
                      <w:sz w:val="21"/>
                      <w:szCs w:val="21"/>
                    </w:rPr>
                    <w:t>滤渣</w:t>
                  </w:r>
                </w:p>
              </w:tc>
              <w:tc>
                <w:tcPr>
                  <w:tcW w:w="1021" w:type="pct"/>
                  <w:vAlign w:val="center"/>
                </w:tcPr>
                <w:p w14:paraId="4AFE5EE6">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367</w:t>
                  </w:r>
                </w:p>
              </w:tc>
            </w:tr>
            <w:tr w14:paraId="380D8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2" w:type="pct"/>
                  <w:shd w:val="clear" w:color="auto" w:fill="auto"/>
                  <w:vAlign w:val="center"/>
                </w:tcPr>
                <w:p w14:paraId="4A04BC2B">
                  <w:pPr>
                    <w:keepNext/>
                    <w:keepLines w:val="0"/>
                    <w:pageBreakBefore w:val="0"/>
                    <w:kinsoku/>
                    <w:wordWrap/>
                    <w:overflowPunct/>
                    <w:topLinePunct w:val="0"/>
                    <w:bidi w:val="0"/>
                    <w:jc w:val="center"/>
                    <w:outlineLvl w:val="9"/>
                    <w:rPr>
                      <w:rFonts w:hint="default" w:ascii="Times New Roman" w:hAnsi="Times New Roman" w:eastAsia="宋体" w:cs="Times New Roman"/>
                      <w:bCs/>
                      <w:color w:val="auto"/>
                      <w:kern w:val="0"/>
                      <w:sz w:val="21"/>
                      <w:szCs w:val="21"/>
                      <w:lang w:val="en-US" w:eastAsia="en-US" w:bidi="ar-SA"/>
                    </w:rPr>
                  </w:pPr>
                  <w:r>
                    <w:rPr>
                      <w:rFonts w:hint="default" w:ascii="Times New Roman" w:hAnsi="Times New Roman" w:cs="Times New Roman"/>
                      <w:bCs/>
                      <w:color w:val="auto"/>
                      <w:kern w:val="0"/>
                      <w:sz w:val="21"/>
                      <w:szCs w:val="21"/>
                      <w:lang w:val="en-US" w:eastAsia="zh-CN"/>
                    </w:rPr>
                    <w:t>水</w:t>
                  </w:r>
                </w:p>
              </w:tc>
              <w:tc>
                <w:tcPr>
                  <w:tcW w:w="1168" w:type="pct"/>
                  <w:shd w:val="clear" w:color="auto" w:fill="auto"/>
                  <w:vAlign w:val="center"/>
                </w:tcPr>
                <w:p w14:paraId="09E85941">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2250</w:t>
                  </w:r>
                </w:p>
              </w:tc>
              <w:tc>
                <w:tcPr>
                  <w:tcW w:w="1658" w:type="pct"/>
                  <w:vAlign w:val="center"/>
                </w:tcPr>
                <w:p w14:paraId="4EE1A013">
                  <w:pPr>
                    <w:keepNext/>
                    <w:keepLines w:val="0"/>
                    <w:pageBreakBefore w:val="0"/>
                    <w:kinsoku/>
                    <w:wordWrap/>
                    <w:overflowPunct/>
                    <w:topLinePunct w:val="0"/>
                    <w:bidi w:val="0"/>
                    <w:jc w:val="center"/>
                    <w:outlineLvl w:val="9"/>
                    <w:rPr>
                      <w:rFonts w:hint="default" w:ascii="Times New Roman" w:hAnsi="Times New Roman" w:cs="Times New Roman"/>
                      <w:color w:val="auto"/>
                      <w:spacing w:val="6"/>
                      <w:sz w:val="21"/>
                      <w:szCs w:val="21"/>
                      <w:lang w:val="en-US" w:eastAsia="zh-CN"/>
                    </w:rPr>
                  </w:pPr>
                  <w:r>
                    <w:rPr>
                      <w:rFonts w:hint="default" w:ascii="Times New Roman" w:hAnsi="Times New Roman" w:cs="Times New Roman"/>
                      <w:color w:val="auto"/>
                      <w:spacing w:val="6"/>
                      <w:sz w:val="21"/>
                      <w:szCs w:val="21"/>
                    </w:rPr>
                    <w:t>水蒸</w:t>
                  </w:r>
                  <w:r>
                    <w:rPr>
                      <w:rFonts w:hint="eastAsia" w:cs="Times New Roman"/>
                      <w:color w:val="auto"/>
                      <w:spacing w:val="6"/>
                      <w:sz w:val="21"/>
                      <w:szCs w:val="21"/>
                      <w:lang w:val="en-US" w:eastAsia="zh-CN"/>
                    </w:rPr>
                    <w:t>汽</w:t>
                  </w:r>
                </w:p>
              </w:tc>
              <w:tc>
                <w:tcPr>
                  <w:tcW w:w="1021" w:type="pct"/>
                  <w:shd w:val="clear" w:color="auto" w:fill="auto"/>
                  <w:vAlign w:val="center"/>
                </w:tcPr>
                <w:p w14:paraId="1229B96A">
                  <w:pPr>
                    <w:keepNext/>
                    <w:keepLines w:val="0"/>
                    <w:pageBreakBefore w:val="0"/>
                    <w:widowControl/>
                    <w:suppressLineNumbers w:val="0"/>
                    <w:kinsoku/>
                    <w:wordWrap/>
                    <w:overflowPunct/>
                    <w:topLinePunct w:val="0"/>
                    <w:bidi w:val="0"/>
                    <w:jc w:val="center"/>
                    <w:textAlignment w:val="center"/>
                    <w:rPr>
                      <w:rFonts w:hint="default" w:ascii="Times New Roman" w:hAnsi="Times New Roman" w:cs="Times New Roman"/>
                      <w:color w:val="auto"/>
                      <w:spacing w:val="6"/>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w:t>
                  </w:r>
                  <w:r>
                    <w:rPr>
                      <w:rFonts w:hint="eastAsia" w:cs="Times New Roman"/>
                      <w:i w:val="0"/>
                      <w:iCs w:val="0"/>
                      <w:color w:val="auto"/>
                      <w:kern w:val="0"/>
                      <w:sz w:val="21"/>
                      <w:szCs w:val="21"/>
                      <w:u w:val="none"/>
                      <w:lang w:val="en-US" w:eastAsia="zh-CN" w:bidi="ar"/>
                    </w:rPr>
                    <w:t>40.6</w:t>
                  </w:r>
                </w:p>
              </w:tc>
            </w:tr>
            <w:tr w14:paraId="17BFD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2" w:type="pct"/>
                  <w:shd w:val="clear" w:color="auto" w:fill="auto"/>
                  <w:vAlign w:val="center"/>
                </w:tcPr>
                <w:p w14:paraId="186D5095">
                  <w:pPr>
                    <w:keepNext/>
                    <w:keepLines w:val="0"/>
                    <w:pageBreakBefore w:val="0"/>
                    <w:kinsoku/>
                    <w:wordWrap/>
                    <w:overflowPunct/>
                    <w:topLinePunct w:val="0"/>
                    <w:bidi w:val="0"/>
                    <w:jc w:val="center"/>
                    <w:outlineLvl w:val="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合计</w:t>
                  </w:r>
                </w:p>
              </w:tc>
              <w:tc>
                <w:tcPr>
                  <w:tcW w:w="1168" w:type="pct"/>
                  <w:shd w:val="clear" w:color="auto" w:fill="auto"/>
                  <w:vAlign w:val="center"/>
                </w:tcPr>
                <w:p w14:paraId="46AE89B2">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89</w:t>
                  </w:r>
                  <w:r>
                    <w:rPr>
                      <w:rFonts w:hint="eastAsia" w:cs="Times New Roman"/>
                      <w:i w:val="0"/>
                      <w:iCs w:val="0"/>
                      <w:color w:val="auto"/>
                      <w:kern w:val="0"/>
                      <w:sz w:val="21"/>
                      <w:szCs w:val="21"/>
                      <w:u w:val="none"/>
                      <w:lang w:val="en-US" w:eastAsia="zh-CN" w:bidi="ar"/>
                    </w:rPr>
                    <w:t>40.7000</w:t>
                  </w:r>
                </w:p>
              </w:tc>
              <w:tc>
                <w:tcPr>
                  <w:tcW w:w="1658" w:type="pct"/>
                  <w:vAlign w:val="center"/>
                </w:tcPr>
                <w:p w14:paraId="07EC8A1A">
                  <w:pPr>
                    <w:keepNext/>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1021" w:type="pct"/>
                  <w:shd w:val="clear" w:color="auto" w:fill="auto"/>
                  <w:vAlign w:val="center"/>
                </w:tcPr>
                <w:p w14:paraId="2E7EC2D5">
                  <w:pPr>
                    <w:keepNext/>
                    <w:keepLines w:val="0"/>
                    <w:pageBreakBefore w:val="0"/>
                    <w:kinsoku/>
                    <w:wordWrap/>
                    <w:overflowPunct/>
                    <w:topLinePunct w:val="0"/>
                    <w:bidi w:val="0"/>
                    <w:jc w:val="center"/>
                    <w:outlineLvl w:val="9"/>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8940.7000</w:t>
                  </w:r>
                </w:p>
              </w:tc>
            </w:tr>
          </w:tbl>
          <w:p w14:paraId="191A3A19">
            <w:pPr>
              <w:keepNext/>
              <w:keepLines w:val="0"/>
              <w:pageBreakBefore w:val="0"/>
              <w:kinsoku/>
              <w:wordWrap/>
              <w:overflowPunct/>
              <w:topLinePunct w:val="0"/>
              <w:bidi w:val="0"/>
              <w:spacing w:line="360" w:lineRule="auto"/>
              <w:ind w:firstLine="482" w:firstLineChars="200"/>
              <w:outlineLvl w:val="9"/>
              <w:rPr>
                <w:b/>
                <w:bCs/>
                <w:color w:val="auto"/>
                <w:sz w:val="24"/>
              </w:rPr>
            </w:pPr>
            <w:r>
              <w:rPr>
                <w:rFonts w:hint="eastAsia"/>
                <w:b/>
                <w:bCs/>
                <w:color w:val="auto"/>
                <w:sz w:val="24"/>
              </w:rPr>
              <w:t>9</w:t>
            </w:r>
            <w:r>
              <w:rPr>
                <w:b/>
                <w:bCs/>
                <w:color w:val="auto"/>
                <w:sz w:val="24"/>
              </w:rPr>
              <w:t>、</w:t>
            </w:r>
            <w:r>
              <w:rPr>
                <w:rFonts w:hint="eastAsia"/>
                <w:b/>
                <w:bCs/>
                <w:color w:val="auto"/>
                <w:sz w:val="24"/>
              </w:rPr>
              <w:t>厂区平面布置图</w:t>
            </w:r>
          </w:p>
          <w:p w14:paraId="15CD0699">
            <w:pPr>
              <w:keepNext/>
              <w:keepLines w:val="0"/>
              <w:pageBreakBefore w:val="0"/>
              <w:kinsoku/>
              <w:wordWrap/>
              <w:overflowPunct/>
              <w:topLinePunct w:val="0"/>
              <w:bidi w:val="0"/>
              <w:spacing w:line="360" w:lineRule="auto"/>
              <w:ind w:firstLine="480" w:firstLineChars="200"/>
              <w:outlineLvl w:val="9"/>
              <w:rPr>
                <w:rFonts w:hint="eastAsia"/>
                <w:color w:val="auto"/>
                <w:kern w:val="0"/>
                <w:sz w:val="24"/>
                <w:lang w:bidi="ar"/>
              </w:rPr>
            </w:pPr>
            <w:r>
              <w:rPr>
                <w:rFonts w:hint="eastAsia"/>
                <w:color w:val="auto"/>
                <w:sz w:val="24"/>
                <w:lang w:val="en-US" w:eastAsia="zh-CN"/>
              </w:rPr>
              <w:t>朝阳红山化工有限责任公司位于辽宁省朝阳市喀左县大城子镇小城子村，</w:t>
            </w:r>
            <w:r>
              <w:rPr>
                <w:rFonts w:hint="eastAsia" w:ascii="Times New Roman" w:hAnsi="Times New Roman" w:eastAsia="宋体" w:cs="Times New Roman"/>
                <w:color w:val="auto"/>
                <w:kern w:val="0"/>
                <w:sz w:val="24"/>
                <w:szCs w:val="24"/>
                <w:lang w:val="en-US" w:eastAsia="zh-CN" w:bidi="ar-SA"/>
              </w:rPr>
              <w:t>东侧、西侧、北侧均为山地，南侧为朝阳红山化工有限责任公司现有厂区</w:t>
            </w:r>
            <w:r>
              <w:rPr>
                <w:color w:val="auto"/>
                <w:kern w:val="0"/>
                <w:sz w:val="24"/>
              </w:rPr>
              <w:t>，周边情况示意图见附图</w:t>
            </w:r>
            <w:r>
              <w:rPr>
                <w:rFonts w:hint="eastAsia"/>
                <w:color w:val="auto"/>
                <w:kern w:val="0"/>
                <w:sz w:val="24"/>
                <w:lang w:val="en-US" w:eastAsia="zh-CN"/>
              </w:rPr>
              <w:t>2</w:t>
            </w:r>
            <w:r>
              <w:rPr>
                <w:color w:val="auto"/>
                <w:kern w:val="0"/>
                <w:sz w:val="24"/>
              </w:rPr>
              <w:t>。</w:t>
            </w:r>
            <w:r>
              <w:rPr>
                <w:rFonts w:hint="eastAsia"/>
                <w:color w:val="auto"/>
                <w:sz w:val="24"/>
                <w:lang w:val="en-US" w:eastAsia="zh-CN"/>
              </w:rPr>
              <w:t>本项目在现有厂区西侧新增占地，新建1条乳化炸药震源药柱生产线，由北向南依次为：硝酸铵（硝酸钠）库（401）、管壳输送工房及综合材料库、水油相制备工房及其南侧硝酸铵溶液储罐；乳化炸药震源药柱生产工房及其西侧的控制室、乳化炸药震源药柱成品中转站台。</w:t>
            </w:r>
            <w:r>
              <w:rPr>
                <w:rFonts w:hint="eastAsia" w:ascii="宋体" w:hAnsi="宋体" w:cs="宋体"/>
                <w:color w:val="auto"/>
                <w:kern w:val="0"/>
                <w:sz w:val="24"/>
                <w:lang w:bidi="ar"/>
              </w:rPr>
              <w:t>项目各车间</w:t>
            </w:r>
            <w:r>
              <w:rPr>
                <w:rFonts w:hint="eastAsia" w:ascii="宋体" w:hAnsi="宋体" w:cs="宋体"/>
                <w:color w:val="auto"/>
                <w:kern w:val="0"/>
                <w:sz w:val="24"/>
                <w:lang w:val="en-US" w:eastAsia="zh-CN" w:bidi="ar"/>
              </w:rPr>
              <w:t>布置及车间内部分区</w:t>
            </w:r>
            <w:r>
              <w:rPr>
                <w:rFonts w:hint="eastAsia" w:ascii="宋体" w:hAnsi="宋体" w:cs="宋体"/>
                <w:color w:val="auto"/>
                <w:kern w:val="0"/>
                <w:sz w:val="24"/>
                <w:lang w:bidi="ar"/>
              </w:rPr>
              <w:t xml:space="preserve">满足工艺流程要求，物料输送畅通、距离短，便于管理，厂区平面布置见附图 </w:t>
            </w:r>
            <w:r>
              <w:rPr>
                <w:rFonts w:hint="eastAsia"/>
                <w:color w:val="auto"/>
                <w:kern w:val="0"/>
                <w:sz w:val="24"/>
                <w:lang w:val="en-US" w:eastAsia="zh-CN" w:bidi="ar"/>
              </w:rPr>
              <w:t>3</w:t>
            </w:r>
            <w:r>
              <w:rPr>
                <w:rFonts w:hint="eastAsia"/>
                <w:color w:val="auto"/>
                <w:kern w:val="0"/>
                <w:sz w:val="24"/>
                <w:lang w:bidi="ar"/>
              </w:rPr>
              <w:t>。</w:t>
            </w:r>
          </w:p>
        </w:tc>
      </w:tr>
      <w:tr w14:paraId="0C2EC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57" w:hRule="atLeast"/>
          <w:jc w:val="center"/>
        </w:trPr>
        <w:tc>
          <w:tcPr>
            <w:tcW w:w="284" w:type="pct"/>
            <w:vAlign w:val="center"/>
          </w:tcPr>
          <w:p w14:paraId="5EEC4C4E">
            <w:pPr>
              <w:pStyle w:val="29"/>
              <w:keepNext/>
              <w:keepLines w:val="0"/>
              <w:pageBreakBefore w:val="0"/>
              <w:kinsoku/>
              <w:wordWrap/>
              <w:overflowPunct/>
              <w:topLinePunct w:val="0"/>
              <w:bidi w:val="0"/>
              <w:adjustRightInd w:val="0"/>
              <w:snapToGrid w:val="0"/>
              <w:spacing w:before="0" w:beforeAutospacing="0" w:after="0" w:afterAutospacing="0"/>
              <w:rPr>
                <w:rFonts w:cs="宋体"/>
                <w:color w:val="auto"/>
                <w:sz w:val="21"/>
                <w:szCs w:val="21"/>
              </w:rPr>
            </w:pPr>
            <w:r>
              <w:rPr>
                <w:rFonts w:hint="eastAsia" w:cs="宋体"/>
                <w:color w:val="auto"/>
                <w:szCs w:val="24"/>
              </w:rPr>
              <w:t>工艺流程和产排污环节</w:t>
            </w:r>
          </w:p>
        </w:tc>
        <w:tc>
          <w:tcPr>
            <w:tcW w:w="4715" w:type="pct"/>
          </w:tcPr>
          <w:p w14:paraId="29BE99F0">
            <w:pPr>
              <w:pStyle w:val="31"/>
              <w:keepNext/>
              <w:keepLines w:val="0"/>
              <w:pageBreakBefore w:val="0"/>
              <w:kinsoku/>
              <w:wordWrap/>
              <w:overflowPunct/>
              <w:topLinePunct w:val="0"/>
              <w:bidi w:val="0"/>
              <w:spacing w:after="0" w:line="360" w:lineRule="auto"/>
              <w:ind w:left="0" w:leftChars="0" w:firstLine="0"/>
              <w:rPr>
                <w:b/>
                <w:bCs/>
                <w:color w:val="auto"/>
                <w:sz w:val="24"/>
                <w:szCs w:val="24"/>
              </w:rPr>
            </w:pPr>
            <w:r>
              <w:rPr>
                <w:b/>
                <w:bCs/>
                <w:color w:val="auto"/>
                <w:sz w:val="24"/>
                <w:szCs w:val="24"/>
              </w:rPr>
              <w:t>施工期：</w:t>
            </w:r>
          </w:p>
          <w:p w14:paraId="0F21DFD3">
            <w:pPr>
              <w:keepNext/>
              <w:keepLines w:val="0"/>
              <w:pageBreakBefore w:val="0"/>
              <w:widowControl/>
              <w:kinsoku/>
              <w:wordWrap/>
              <w:overflowPunct/>
              <w:topLinePunct w:val="0"/>
              <w:bidi w:val="0"/>
              <w:spacing w:line="360" w:lineRule="auto"/>
              <w:ind w:firstLine="480" w:firstLineChars="200"/>
              <w:jc w:val="left"/>
              <w:rPr>
                <w:rFonts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本项目施工期主要为场地平整、基础工程施工、</w:t>
            </w:r>
            <w:r>
              <w:rPr>
                <w:rFonts w:hint="eastAsia" w:cs="Times New Roman"/>
                <w:color w:val="auto"/>
                <w:kern w:val="0"/>
                <w:sz w:val="24"/>
                <w:lang w:val="en-US" w:eastAsia="zh-CN"/>
              </w:rPr>
              <w:t>主体工程施工、</w:t>
            </w:r>
            <w:r>
              <w:rPr>
                <w:rFonts w:hint="eastAsia" w:ascii="Times New Roman" w:hAnsi="Times New Roman" w:eastAsia="宋体" w:cs="Times New Roman"/>
                <w:color w:val="auto"/>
                <w:kern w:val="0"/>
                <w:sz w:val="24"/>
                <w:lang w:val="en-US" w:eastAsia="zh-CN"/>
              </w:rPr>
              <w:t xml:space="preserve">设备安装调试以及工程验收，施工期主要工序及排污节点见图 </w:t>
            </w:r>
            <w:r>
              <w:rPr>
                <w:rFonts w:hint="default" w:ascii="Times New Roman" w:hAnsi="Times New Roman" w:eastAsia="宋体" w:cs="Times New Roman"/>
                <w:color w:val="auto"/>
                <w:kern w:val="0"/>
                <w:sz w:val="24"/>
                <w:lang w:val="en-US" w:eastAsia="zh-CN"/>
              </w:rPr>
              <w:t>2-</w:t>
            </w:r>
            <w:r>
              <w:rPr>
                <w:rFonts w:hint="eastAsia" w:ascii="Times New Roman" w:hAnsi="Times New Roman" w:eastAsia="宋体" w:cs="Times New Roman"/>
                <w:color w:val="auto"/>
                <w:kern w:val="0"/>
                <w:sz w:val="24"/>
                <w:lang w:val="en-US" w:eastAsia="zh-CN"/>
              </w:rPr>
              <w:t>3。</w:t>
            </w:r>
          </w:p>
          <w:p w14:paraId="31AB2152">
            <w:pPr>
              <w:keepNext/>
              <w:keepLines w:val="0"/>
              <w:pageBreakBefore w:val="0"/>
              <w:widowControl/>
              <w:kinsoku/>
              <w:wordWrap/>
              <w:overflowPunct/>
              <w:topLinePunct w:val="0"/>
              <w:bidi w:val="0"/>
              <w:spacing w:line="360" w:lineRule="auto"/>
              <w:jc w:val="left"/>
              <w:rPr>
                <w:color w:val="auto"/>
              </w:rPr>
            </w:pPr>
            <w:r>
              <w:rPr>
                <w:color w:val="auto"/>
                <w:sz w:val="24"/>
              </w:rPr>
              <mc:AlternateContent>
                <mc:Choice Requires="wps">
                  <w:drawing>
                    <wp:anchor distT="0" distB="0" distL="114300" distR="114300" simplePos="0" relativeHeight="251776000" behindDoc="0" locked="0" layoutInCell="1" allowOverlap="1">
                      <wp:simplePos x="0" y="0"/>
                      <wp:positionH relativeFrom="column">
                        <wp:posOffset>3455670</wp:posOffset>
                      </wp:positionH>
                      <wp:positionV relativeFrom="paragraph">
                        <wp:posOffset>268605</wp:posOffset>
                      </wp:positionV>
                      <wp:extent cx="631190" cy="443865"/>
                      <wp:effectExtent l="0" t="0" r="16510" b="13335"/>
                      <wp:wrapNone/>
                      <wp:docPr id="476" name="文本框 476"/>
                      <wp:cNvGraphicFramePr/>
                      <a:graphic xmlns:a="http://schemas.openxmlformats.org/drawingml/2006/main">
                        <a:graphicData uri="http://schemas.microsoft.com/office/word/2010/wordprocessingShape">
                          <wps:wsp>
                            <wps:cNvSpPr txBox="1"/>
                            <wps:spPr>
                              <a:xfrm>
                                <a:off x="0" y="0"/>
                                <a:ext cx="631190" cy="4438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A014344">
                                  <w:pPr>
                                    <w:rPr>
                                      <w:rFonts w:hint="default" w:eastAsia="宋体"/>
                                      <w:lang w:val="en-US" w:eastAsia="zh-CN"/>
                                    </w:rPr>
                                  </w:pPr>
                                  <w:r>
                                    <w:rPr>
                                      <w:rFonts w:hint="eastAsia"/>
                                      <w:lang w:val="en-US" w:eastAsia="zh-CN"/>
                                    </w:rPr>
                                    <w:t>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1pt;margin-top:21.15pt;height:34.95pt;width:49.7pt;z-index:251776000;mso-width-relative:page;mso-height-relative:page;" fillcolor="#FFFFFF [3201]" filled="t" stroked="f" coordsize="21600,21600" o:gfxdata="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07eWnVAAAACgEAAA8AAAAA&#10;AAAAAQAgAAAAIgAAAGRycy9kb3ducmV2LnhtbFBLAQIUABQAAAAIAIdO4kCtdI6/UAIAAJIEAAAO&#10;AAAAAAAAAAEAIAAAACQBAABkcnMvZTJvRG9jLnhtbFBLBQYAAAAABgAGAFkBAADmBQAAAAA=&#10;">
                      <v:fill on="t" focussize="0,0"/>
                      <v:stroke on="f" weight="0.5pt"/>
                      <v:imagedata o:title=""/>
                      <o:lock v:ext="edit" aspectratio="f"/>
                      <v:textbox>
                        <w:txbxContent>
                          <w:p w14:paraId="5A014344">
                            <w:pPr>
                              <w:rPr>
                                <w:rFonts w:hint="default" w:eastAsia="宋体"/>
                                <w:lang w:val="en-US" w:eastAsia="zh-CN"/>
                              </w:rPr>
                            </w:pPr>
                            <w:r>
                              <w:rPr>
                                <w:rFonts w:hint="eastAsia"/>
                                <w:lang w:val="en-US" w:eastAsia="zh-CN"/>
                              </w:rPr>
                              <w:t>噪声、固废</w:t>
                            </w:r>
                          </w:p>
                        </w:txbxContent>
                      </v:textbox>
                    </v:shape>
                  </w:pict>
                </mc:Fallback>
              </mc:AlternateContent>
            </w:r>
            <w:r>
              <w:rPr>
                <w:color w:val="auto"/>
                <w:sz w:val="24"/>
              </w:rPr>
              <mc:AlternateContent>
                <mc:Choice Requires="wps">
                  <w:drawing>
                    <wp:anchor distT="0" distB="0" distL="114300" distR="114300" simplePos="0" relativeHeight="251780096" behindDoc="0" locked="0" layoutInCell="1" allowOverlap="1">
                      <wp:simplePos x="0" y="0"/>
                      <wp:positionH relativeFrom="column">
                        <wp:posOffset>2273300</wp:posOffset>
                      </wp:positionH>
                      <wp:positionV relativeFrom="paragraph">
                        <wp:posOffset>171450</wp:posOffset>
                      </wp:positionV>
                      <wp:extent cx="840105" cy="595630"/>
                      <wp:effectExtent l="0" t="0" r="17145" b="13970"/>
                      <wp:wrapNone/>
                      <wp:docPr id="477" name="文本框 477"/>
                      <wp:cNvGraphicFramePr/>
                      <a:graphic xmlns:a="http://schemas.openxmlformats.org/drawingml/2006/main">
                        <a:graphicData uri="http://schemas.microsoft.com/office/word/2010/wordprocessingShape">
                          <wps:wsp>
                            <wps:cNvSpPr txBox="1"/>
                            <wps:spPr>
                              <a:xfrm>
                                <a:off x="0" y="0"/>
                                <a:ext cx="840105" cy="5956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5120037">
                                  <w:pPr>
                                    <w:rPr>
                                      <w:rFonts w:hint="default" w:eastAsia="宋体"/>
                                      <w:lang w:val="en-US" w:eastAsia="zh-CN"/>
                                    </w:rPr>
                                  </w:pPr>
                                  <w:r>
                                    <w:rPr>
                                      <w:rFonts w:hint="eastAsia"/>
                                      <w:lang w:val="en-US" w:eastAsia="zh-CN"/>
                                    </w:rPr>
                                    <w:t>扬尘、噪声、废水、固废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pt;margin-top:13.5pt;height:46.9pt;width:66.15pt;z-index:251780096;mso-width-relative:page;mso-height-relative:page;" fillcolor="#FFFFFF [3201]" filled="t" stroked="f" coordsize="21600,21600" o:gfxdata="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WZ6wvVAAAACgEAAA8A&#10;AAAAAAAAAQAgAAAAIgAAAGRycy9kb3ducmV2LnhtbFBLAQIUABQAAAAIAIdO4kDObZbAUwIAAJIE&#10;AAAOAAAAAAAAAAEAIAAAACQBAABkcnMvZTJvRG9jLnhtbFBLBQYAAAAABgAGAFkBAADpBQAAAAA=&#10;">
                      <v:fill on="t" focussize="0,0"/>
                      <v:stroke on="f" weight="0.5pt"/>
                      <v:imagedata o:title=""/>
                      <o:lock v:ext="edit" aspectratio="f"/>
                      <v:textbox>
                        <w:txbxContent>
                          <w:p w14:paraId="65120037">
                            <w:pPr>
                              <w:rPr>
                                <w:rFonts w:hint="default" w:eastAsia="宋体"/>
                                <w:lang w:val="en-US" w:eastAsia="zh-CN"/>
                              </w:rPr>
                            </w:pPr>
                            <w:r>
                              <w:rPr>
                                <w:rFonts w:hint="eastAsia"/>
                                <w:lang w:val="en-US" w:eastAsia="zh-CN"/>
                              </w:rPr>
                              <w:t>扬尘、噪声、废水、固废</w:t>
                            </w:r>
                          </w:p>
                        </w:txbxContent>
                      </v:textbox>
                    </v:shape>
                  </w:pict>
                </mc:Fallback>
              </mc:AlternateContent>
            </w:r>
            <w:r>
              <w:rPr>
                <w:color w:val="auto"/>
                <w:sz w:val="24"/>
              </w:rPr>
              <mc:AlternateContent>
                <mc:Choice Requires="wps">
                  <w:drawing>
                    <wp:anchor distT="0" distB="0" distL="114300" distR="114300" simplePos="0" relativeHeight="251774976" behindDoc="0" locked="0" layoutInCell="1" allowOverlap="1">
                      <wp:simplePos x="0" y="0"/>
                      <wp:positionH relativeFrom="column">
                        <wp:posOffset>1205230</wp:posOffset>
                      </wp:positionH>
                      <wp:positionV relativeFrom="paragraph">
                        <wp:posOffset>175895</wp:posOffset>
                      </wp:positionV>
                      <wp:extent cx="840105" cy="649605"/>
                      <wp:effectExtent l="0" t="0" r="17145" b="17145"/>
                      <wp:wrapNone/>
                      <wp:docPr id="478" name="文本框 478"/>
                      <wp:cNvGraphicFramePr/>
                      <a:graphic xmlns:a="http://schemas.openxmlformats.org/drawingml/2006/main">
                        <a:graphicData uri="http://schemas.microsoft.com/office/word/2010/wordprocessingShape">
                          <wps:wsp>
                            <wps:cNvSpPr txBox="1"/>
                            <wps:spPr>
                              <a:xfrm>
                                <a:off x="2887345" y="4906645"/>
                                <a:ext cx="840105" cy="6496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10BCC5C">
                                  <w:pPr>
                                    <w:rPr>
                                      <w:rFonts w:hint="default" w:eastAsia="宋体"/>
                                      <w:lang w:val="en-US" w:eastAsia="zh-CN"/>
                                    </w:rPr>
                                  </w:pPr>
                                  <w:r>
                                    <w:rPr>
                                      <w:rFonts w:hint="eastAsia"/>
                                      <w:lang w:val="en-US" w:eastAsia="zh-CN"/>
                                    </w:rPr>
                                    <w:t>扬尘、噪声、废水、固废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9pt;margin-top:13.85pt;height:51.15pt;width:66.15pt;z-index:251774976;mso-width-relative:page;mso-height-relative:page;" fillcolor="#FFFFFF [3201]" filled="t" stroked="f" coordsize="21600,21600" o:gfxdata="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G+MsytQAAAAK&#10;AQAADwAAAAAAAAABACAAAAAiAAAAZHJzL2Rvd25yZXYueG1sUEsBAhQAFAAAAAgAh07iQGjEkrNZ&#10;AgAAngQAAA4AAAAAAAAAAQAgAAAAIwEAAGRycy9lMm9Eb2MueG1sUEsFBgAAAAAGAAYAWQEAAO4F&#10;AAAAAA==&#10;">
                      <v:fill on="t" focussize="0,0"/>
                      <v:stroke on="f" weight="0.5pt"/>
                      <v:imagedata o:title=""/>
                      <o:lock v:ext="edit" aspectratio="f"/>
                      <v:textbox>
                        <w:txbxContent>
                          <w:p w14:paraId="110BCC5C">
                            <w:pPr>
                              <w:rPr>
                                <w:rFonts w:hint="default" w:eastAsia="宋体"/>
                                <w:lang w:val="en-US" w:eastAsia="zh-CN"/>
                              </w:rPr>
                            </w:pPr>
                            <w:r>
                              <w:rPr>
                                <w:rFonts w:hint="eastAsia"/>
                                <w:lang w:val="en-US" w:eastAsia="zh-CN"/>
                              </w:rPr>
                              <w:t>扬尘、噪声、废水、固废</w:t>
                            </w:r>
                          </w:p>
                        </w:txbxContent>
                      </v:textbox>
                    </v:shape>
                  </w:pict>
                </mc:Fallback>
              </mc:AlternateContent>
            </w:r>
            <w:r>
              <w:rPr>
                <w:color w:val="auto"/>
                <w:sz w:val="24"/>
              </w:rPr>
              <mc:AlternateContent>
                <mc:Choice Requires="wps">
                  <w:drawing>
                    <wp:anchor distT="0" distB="0" distL="114300" distR="114300" simplePos="0" relativeHeight="251779072" behindDoc="0" locked="0" layoutInCell="1" allowOverlap="1">
                      <wp:simplePos x="0" y="0"/>
                      <wp:positionH relativeFrom="column">
                        <wp:posOffset>117475</wp:posOffset>
                      </wp:positionH>
                      <wp:positionV relativeFrom="paragraph">
                        <wp:posOffset>205740</wp:posOffset>
                      </wp:positionV>
                      <wp:extent cx="715010" cy="536575"/>
                      <wp:effectExtent l="0" t="0" r="8890" b="15875"/>
                      <wp:wrapNone/>
                      <wp:docPr id="479" name="文本框 479"/>
                      <wp:cNvGraphicFramePr/>
                      <a:graphic xmlns:a="http://schemas.openxmlformats.org/drawingml/2006/main">
                        <a:graphicData uri="http://schemas.microsoft.com/office/word/2010/wordprocessingShape">
                          <wps:wsp>
                            <wps:cNvSpPr txBox="1"/>
                            <wps:spPr>
                              <a:xfrm>
                                <a:off x="0" y="0"/>
                                <a:ext cx="715010" cy="5365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0FA804D">
                                  <w:pPr>
                                    <w:keepNext w:val="0"/>
                                    <w:keepLines w:val="0"/>
                                    <w:pageBreakBefore w:val="0"/>
                                    <w:widowControl w:val="0"/>
                                    <w:kinsoku/>
                                    <w:wordWrap/>
                                    <w:overflowPunct/>
                                    <w:topLinePunct w:val="0"/>
                                    <w:bidi w:val="0"/>
                                    <w:adjustRightInd/>
                                    <w:snapToGrid/>
                                    <w:spacing w:line="120" w:lineRule="exact"/>
                                    <w:textAlignment w:val="auto"/>
                                    <w:rPr>
                                      <w:rFonts w:hint="eastAsia"/>
                                      <w:lang w:val="en-US" w:eastAsia="zh-CN"/>
                                    </w:rPr>
                                  </w:pPr>
                                </w:p>
                                <w:p w14:paraId="567A3B79">
                                  <w:pPr>
                                    <w:rPr>
                                      <w:rFonts w:hint="default" w:eastAsia="宋体"/>
                                      <w:lang w:val="en-US" w:eastAsia="zh-CN"/>
                                    </w:rPr>
                                  </w:pPr>
                                  <w:r>
                                    <w:rPr>
                                      <w:rFonts w:hint="eastAsia"/>
                                      <w:lang w:val="en-US" w:eastAsia="zh-CN"/>
                                    </w:rPr>
                                    <w:t>扬尘、噪声、固废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5pt;margin-top:16.2pt;height:42.25pt;width:56.3pt;z-index:251779072;mso-width-relative:page;mso-height-relative:page;" fillcolor="#FFFFFF [3201]" filled="t" stroked="f" coordsize="21600,21600" o:gfxdata="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dtxibUAAAACQEAAA8AAAAA&#10;AAAAAQAgAAAAIgAAAGRycy9kb3ducmV2LnhtbFBLAQIUABQAAAAIAIdO4kDBO+X8UQIAAJIEAAAO&#10;AAAAAAAAAAEAIAAAACMBAABkcnMvZTJvRG9jLnhtbFBLBQYAAAAABgAGAFkBAADmBQAAAAA=&#10;">
                      <v:fill on="t" focussize="0,0"/>
                      <v:stroke on="f" weight="0.5pt"/>
                      <v:imagedata o:title=""/>
                      <o:lock v:ext="edit" aspectratio="f"/>
                      <v:textbox>
                        <w:txbxContent>
                          <w:p w14:paraId="10FA804D">
                            <w:pPr>
                              <w:keepNext w:val="0"/>
                              <w:keepLines w:val="0"/>
                              <w:pageBreakBefore w:val="0"/>
                              <w:widowControl w:val="0"/>
                              <w:kinsoku/>
                              <w:wordWrap/>
                              <w:overflowPunct/>
                              <w:topLinePunct w:val="0"/>
                              <w:bidi w:val="0"/>
                              <w:adjustRightInd/>
                              <w:snapToGrid/>
                              <w:spacing w:line="120" w:lineRule="exact"/>
                              <w:textAlignment w:val="auto"/>
                              <w:rPr>
                                <w:rFonts w:hint="eastAsia"/>
                                <w:lang w:val="en-US" w:eastAsia="zh-CN"/>
                              </w:rPr>
                            </w:pPr>
                          </w:p>
                          <w:p w14:paraId="567A3B79">
                            <w:pPr>
                              <w:rPr>
                                <w:rFonts w:hint="default" w:eastAsia="宋体"/>
                                <w:lang w:val="en-US" w:eastAsia="zh-CN"/>
                              </w:rPr>
                            </w:pPr>
                            <w:r>
                              <w:rPr>
                                <w:rFonts w:hint="eastAsia"/>
                                <w:lang w:val="en-US" w:eastAsia="zh-CN"/>
                              </w:rPr>
                              <w:t>扬尘、噪声、固废</w:t>
                            </w:r>
                          </w:p>
                        </w:txbxContent>
                      </v:textbox>
                    </v:shape>
                  </w:pict>
                </mc:Fallback>
              </mc:AlternateContent>
            </w:r>
            <w:r>
              <w:rPr>
                <w:color w:val="auto"/>
                <w:sz w:val="24"/>
              </w:rPr>
              <mc:AlternateContent>
                <mc:Choice Requires="wps">
                  <w:drawing>
                    <wp:anchor distT="0" distB="0" distL="114300" distR="114300" simplePos="0" relativeHeight="251778048" behindDoc="0" locked="0" layoutInCell="1" allowOverlap="1">
                      <wp:simplePos x="0" y="0"/>
                      <wp:positionH relativeFrom="column">
                        <wp:posOffset>1624330</wp:posOffset>
                      </wp:positionH>
                      <wp:positionV relativeFrom="paragraph">
                        <wp:posOffset>760095</wp:posOffset>
                      </wp:positionV>
                      <wp:extent cx="0" cy="434340"/>
                      <wp:effectExtent l="38100" t="0" r="38100" b="3810"/>
                      <wp:wrapNone/>
                      <wp:docPr id="480" name="直接箭头连接符 480"/>
                      <wp:cNvGraphicFramePr/>
                      <a:graphic xmlns:a="http://schemas.openxmlformats.org/drawingml/2006/main">
                        <a:graphicData uri="http://schemas.microsoft.com/office/word/2010/wordprocessingShape">
                          <wps:wsp>
                            <wps:cNvCnPr/>
                            <wps:spPr>
                              <a:xfrm flipV="1">
                                <a:off x="0" y="0"/>
                                <a:ext cx="0" cy="434340"/>
                              </a:xfrm>
                              <a:prstGeom prst="straightConnector1">
                                <a:avLst/>
                              </a:prstGeom>
                              <a:ln w="9525">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27.9pt;margin-top:59.85pt;height:34.2pt;width:0pt;z-index:251778048;mso-width-relative:page;mso-height-relative:page;" filled="f" stroked="t" coordsize="21600,21600" o:gfxdata="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ugqo1AAAAAsBAAAPAAAAAAAAAAEAIAAAACIAAABkcnMvZG93bnJl&#10;di54bWxQSwECFAAUAAAACACHTuJAY9ndyAECAADWAwAADgAAAAAAAAABACAAAAAjAQAAZHJzL2Uy&#10;b0RvYy54bWxQSwUGAAAAAAYABgBZAQAAlgUAAAAA&#10;">
                      <v:fill on="f" focussize="0,0"/>
                      <v:stroke color="#000000 [3213]" joinstyle="round" dashstyle="dash" endarrow="block"/>
                      <v:imagedata o:title=""/>
                      <o:lock v:ext="edit" aspectratio="f"/>
                    </v:shape>
                  </w:pict>
                </mc:Fallback>
              </mc:AlternateContent>
            </w:r>
            <w:r>
              <w:rPr>
                <w:color w:val="auto"/>
                <w:sz w:val="24"/>
              </w:rPr>
              <mc:AlternateContent>
                <mc:Choice Requires="wps">
                  <w:drawing>
                    <wp:anchor distT="0" distB="0" distL="114300" distR="114300" simplePos="0" relativeHeight="251777024" behindDoc="0" locked="0" layoutInCell="1" allowOverlap="1">
                      <wp:simplePos x="0" y="0"/>
                      <wp:positionH relativeFrom="column">
                        <wp:posOffset>495935</wp:posOffset>
                      </wp:positionH>
                      <wp:positionV relativeFrom="paragraph">
                        <wp:posOffset>756920</wp:posOffset>
                      </wp:positionV>
                      <wp:extent cx="0" cy="434340"/>
                      <wp:effectExtent l="38100" t="0" r="38100" b="3810"/>
                      <wp:wrapNone/>
                      <wp:docPr id="481" name="直接箭头连接符 481"/>
                      <wp:cNvGraphicFramePr/>
                      <a:graphic xmlns:a="http://schemas.openxmlformats.org/drawingml/2006/main">
                        <a:graphicData uri="http://schemas.microsoft.com/office/word/2010/wordprocessingShape">
                          <wps:wsp>
                            <wps:cNvCnPr/>
                            <wps:spPr>
                              <a:xfrm flipV="1">
                                <a:off x="1794510" y="4253230"/>
                                <a:ext cx="0" cy="434340"/>
                              </a:xfrm>
                              <a:prstGeom prst="straightConnector1">
                                <a:avLst/>
                              </a:prstGeom>
                              <a:ln w="9525">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9.05pt;margin-top:59.6pt;height:34.2pt;width:0pt;z-index:251777024;mso-width-relative:page;mso-height-relative:page;" filled="f" stroked="t" coordsize="21600,21600" o:gfxdata="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XPW7XSAAAACQEAAA8AAAAAAAAAAQAgAAAAIgAA&#10;AGRycy9kb3ducmV2LnhtbFBLAQIUABQAAAAIAIdO4kCw9qZBDgIAAOIDAAAOAAAAAAAAAAEAIAAA&#10;ACEBAABkcnMvZTJvRG9jLnhtbFBLBQYAAAAABgAGAFkBAAChBQAAAAA=&#10;">
                      <v:fill on="f" focussize="0,0"/>
                      <v:stroke color="#000000 [3213]" joinstyle="round" dashstyle="dash" endarrow="block"/>
                      <v:imagedata o:title=""/>
                      <o:lock v:ext="edit" aspectratio="f"/>
                    </v:shape>
                  </w:pict>
                </mc:Fallback>
              </mc:AlternateContent>
            </w:r>
            <w:r>
              <w:rPr>
                <w:color w:val="auto"/>
                <w:sz w:val="24"/>
              </w:rPr>
              <mc:AlternateContent>
                <mc:Choice Requires="wpc">
                  <w:drawing>
                    <wp:inline distT="0" distB="0" distL="114300" distR="114300">
                      <wp:extent cx="5247640" cy="1920240"/>
                      <wp:effectExtent l="0" t="0" r="10160" b="0"/>
                      <wp:docPr id="482" name="画布 482"/>
                      <wp:cNvGraphicFramePr/>
                      <a:graphic xmlns:a="http://schemas.openxmlformats.org/drawingml/2006/main">
                        <a:graphicData uri="http://schemas.microsoft.com/office/word/2010/wordprocessingCanvas">
                          <wpc:wpc>
                            <wpc:bg/>
                            <wpc:whole>
                              <a:ln w="9525" cmpd="sng">
                                <a:noFill/>
                                <a:prstDash val="solid"/>
                              </a:ln>
                            </wpc:whole>
                            <wps:wsp>
                              <wps:cNvPr id="597" name="文本框 175"/>
                              <wps:cNvSpPr txBox="1"/>
                              <wps:spPr>
                                <a:xfrm>
                                  <a:off x="133350" y="1197610"/>
                                  <a:ext cx="75565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1005A9">
                                    <w:pPr>
                                      <w:rPr>
                                        <w:rFonts w:hint="default" w:eastAsia="宋体"/>
                                        <w:lang w:val="en-US" w:eastAsia="zh-CN"/>
                                      </w:rPr>
                                    </w:pPr>
                                    <w:r>
                                      <w:rPr>
                                        <w:rFonts w:hint="eastAsia"/>
                                        <w:lang w:val="en-US" w:eastAsia="zh-CN"/>
                                      </w:rPr>
                                      <w:t>场地平整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8" name="直接箭头连接符 176"/>
                              <wps:cNvCnPr>
                                <a:stCxn id="175" idx="3"/>
                              </wps:cNvCnPr>
                              <wps:spPr>
                                <a:xfrm flipV="1">
                                  <a:off x="889000" y="1334135"/>
                                  <a:ext cx="351155" cy="3175"/>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599" name="文本框 188"/>
                              <wps:cNvSpPr txBox="1"/>
                              <wps:spPr>
                                <a:xfrm>
                                  <a:off x="1240155" y="1197610"/>
                                  <a:ext cx="731520" cy="2978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62E99B">
                                    <w:pPr>
                                      <w:rPr>
                                        <w:rFonts w:hint="default" w:eastAsia="宋体"/>
                                        <w:lang w:val="en-US" w:eastAsia="zh-CN"/>
                                      </w:rPr>
                                    </w:pPr>
                                    <w:r>
                                      <w:rPr>
                                        <w:rFonts w:hint="eastAsia"/>
                                        <w:lang w:val="en-US" w:eastAsia="zh-CN"/>
                                      </w:rPr>
                                      <w:t>基础工程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0" name="直接箭头连接符 189"/>
                              <wps:cNvCnPr/>
                              <wps:spPr>
                                <a:xfrm flipV="1">
                                  <a:off x="1971675" y="1346835"/>
                                  <a:ext cx="351155" cy="3175"/>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601" name="文本框 190"/>
                              <wps:cNvSpPr txBox="1"/>
                              <wps:spPr>
                                <a:xfrm>
                                  <a:off x="2328545" y="1215390"/>
                                  <a:ext cx="731520" cy="2978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5DCA3C">
                                    <w:pPr>
                                      <w:rPr>
                                        <w:rFonts w:hint="default" w:eastAsia="宋体"/>
                                        <w:lang w:val="en-US" w:eastAsia="zh-CN"/>
                                      </w:rPr>
                                    </w:pPr>
                                    <w:r>
                                      <w:rPr>
                                        <w:rFonts w:hint="eastAsia"/>
                                        <w:lang w:val="en-US" w:eastAsia="zh-CN"/>
                                      </w:rPr>
                                      <w:t>主体工程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2" name="直接箭头连接符 191"/>
                              <wps:cNvCnPr/>
                              <wps:spPr>
                                <a:xfrm flipV="1">
                                  <a:off x="3067050" y="1364615"/>
                                  <a:ext cx="351155" cy="3175"/>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603" name="文本框 201"/>
                              <wps:cNvSpPr txBox="1"/>
                              <wps:spPr>
                                <a:xfrm>
                                  <a:off x="3418205" y="1238885"/>
                                  <a:ext cx="731520" cy="2978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74762C7">
                                    <w:pPr>
                                      <w:rPr>
                                        <w:rFonts w:hint="default" w:eastAsia="宋体"/>
                                        <w:lang w:val="en-US" w:eastAsia="zh-CN"/>
                                      </w:rPr>
                                    </w:pPr>
                                    <w:r>
                                      <w:rPr>
                                        <w:rFonts w:hint="eastAsia"/>
                                        <w:lang w:val="en-US" w:eastAsia="zh-CN"/>
                                      </w:rPr>
                                      <w:t>设备安装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4" name="直接箭头连接符 203"/>
                              <wps:cNvCnPr/>
                              <wps:spPr>
                                <a:xfrm flipV="1">
                                  <a:off x="4150360" y="1382395"/>
                                  <a:ext cx="351155" cy="3175"/>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605" name="文本框 204"/>
                              <wps:cNvSpPr txBox="1"/>
                              <wps:spPr>
                                <a:xfrm>
                                  <a:off x="4501515" y="1245235"/>
                                  <a:ext cx="731520" cy="2978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5ABB782">
                                    <w:pPr>
                                      <w:rPr>
                                        <w:rFonts w:hint="default" w:eastAsia="宋体"/>
                                        <w:lang w:val="en-US" w:eastAsia="zh-CN"/>
                                      </w:rPr>
                                    </w:pPr>
                                    <w:r>
                                      <w:rPr>
                                        <w:rFonts w:hint="eastAsia"/>
                                        <w:lang w:val="en-US" w:eastAsia="zh-CN"/>
                                      </w:rPr>
                                      <w:t>工程验收</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6" name="直接箭头连接符 207"/>
                              <wps:cNvCnPr/>
                              <wps:spPr>
                                <a:xfrm flipV="1">
                                  <a:off x="2697480" y="787400"/>
                                  <a:ext cx="0" cy="434340"/>
                                </a:xfrm>
                                <a:prstGeom prst="straightConnector1">
                                  <a:avLst/>
                                </a:prstGeom>
                                <a:ln w="9525">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607" name="直接箭头连接符 208"/>
                              <wps:cNvCnPr/>
                              <wps:spPr>
                                <a:xfrm flipV="1">
                                  <a:off x="3793490" y="810895"/>
                                  <a:ext cx="0" cy="434340"/>
                                </a:xfrm>
                                <a:prstGeom prst="straightConnector1">
                                  <a:avLst/>
                                </a:prstGeom>
                                <a:ln w="9525">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c:wpc>
                        </a:graphicData>
                      </a:graphic>
                    </wp:inline>
                  </w:drawing>
                </mc:Choice>
                <mc:Fallback>
                  <w:pict>
                    <v:group id="_x0000_s1026" o:spid="_x0000_s1026" o:spt="203" style="height:151.2pt;width:413.2pt;" coordsize="5247640,1920240" editas="canvas" o:gfxdata="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">
                      <o:lock v:ext="edit" aspectratio="f"/>
                      <v:shape id="_x0000_s1026" o:spid="_x0000_s1026" style="position:absolute;left:0;top:0;height:1920240;width:5247640;" filled="f" stroked="f" coordsize="21600,21600" o:gfxdata="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">
                        <v:fill on="f" focussize="0,0"/>
                        <v:stroke on="f"/>
                        <v:imagedata o:title=""/>
                        <o:lock v:ext="edit" aspectratio="f"/>
                      </v:shape>
                      <v:shape id="文本框 175" o:spid="_x0000_s1026" o:spt="202" type="#_x0000_t202" style="position:absolute;left:133350;top:1197610;height:279400;width:755650;" fillcolor="#FFFFFF [3201]" filled="t" stroked="t" coordsize="21600,21600" o:gfxdata="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hBpA9MAAAAFAQAADwAAAAAAAAABACAAAAAiAAAAZHJzL2Rvd25yZXYueG1sUEsBAhQAFAAAAAgA&#10;h07iQD0oyPljAgAAxQQAAA4AAAAAAAAAAQAgAAAAIgEAAGRycy9lMm9Eb2MueG1sUEsFBgAAAAAG&#10;AAYAWQEAAPcFAAAAAA==&#10;">
                        <v:fill on="t" focussize="0,0"/>
                        <v:stroke weight="0.5pt" color="#000000 [3204]" joinstyle="round"/>
                        <v:imagedata o:title=""/>
                        <o:lock v:ext="edit" aspectratio="f"/>
                        <v:textbox>
                          <w:txbxContent>
                            <w:p w14:paraId="0D1005A9">
                              <w:pPr>
                                <w:rPr>
                                  <w:rFonts w:hint="default" w:eastAsia="宋体"/>
                                  <w:lang w:val="en-US" w:eastAsia="zh-CN"/>
                                </w:rPr>
                              </w:pPr>
                              <w:r>
                                <w:rPr>
                                  <w:rFonts w:hint="eastAsia"/>
                                  <w:lang w:val="en-US" w:eastAsia="zh-CN"/>
                                </w:rPr>
                                <w:t>场地平整</w:t>
                              </w:r>
                            </w:p>
                          </w:txbxContent>
                        </v:textbox>
                      </v:shape>
                      <v:shape id="直接箭头连接符 176" o:spid="_x0000_s1026" o:spt="32" type="#_x0000_t32" style="position:absolute;left:889000;top:1334135;flip:y;height:3175;width:351155;" filled="f" stroked="t" coordsize="21600,21600" o:gfxdata="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KIqA&#10;1gAAAAUBAAAPAAAAAAAAAAEAIAAAACIAAABkcnMvZG93bnJldi54bWxQSwECFAAUAAAACACHTuJA&#10;JboVOSMCAAANBAAADgAAAAAAAAABACAAAAAlAQAAZHJzL2Uyb0RvYy54bWxQSwUGAAAAAAYABgBZ&#10;AQAAugUAAAAA&#10;">
                        <v:fill on="f" focussize="0,0"/>
                        <v:stroke color="#000000 [3213]" joinstyle="round" endarrow="block"/>
                        <v:imagedata o:title=""/>
                        <o:lock v:ext="edit" aspectratio="f"/>
                      </v:shape>
                      <v:shape id="文本框 188" o:spid="_x0000_s1026" o:spt="202" type="#_x0000_t202" style="position:absolute;left:1240155;top:1197610;height:297815;width:731520;" fillcolor="#FFFFFF [3201]" filled="t" stroked="t" coordsize="21600,21600" o:gfxdata="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yEGkD0wAAAAUBAAAPAAAAAAAAAAEAIAAAACIAAABkcnMvZG93bnJldi54bWxQSwECFAAUAAAA&#10;CACHTuJABkYy/mUCAADGBAAADgAAAAAAAAABACAAAAAiAQAAZHJzL2Uyb0RvYy54bWxQSwUGAAAA&#10;AAYABgBZAQAA+QUAAAAA&#10;">
                        <v:fill on="t" focussize="0,0"/>
                        <v:stroke weight="0.5pt" color="#000000 [3204]" joinstyle="round"/>
                        <v:imagedata o:title=""/>
                        <o:lock v:ext="edit" aspectratio="f"/>
                        <v:textbox>
                          <w:txbxContent>
                            <w:p w14:paraId="6162E99B">
                              <w:pPr>
                                <w:rPr>
                                  <w:rFonts w:hint="default" w:eastAsia="宋体"/>
                                  <w:lang w:val="en-US" w:eastAsia="zh-CN"/>
                                </w:rPr>
                              </w:pPr>
                              <w:r>
                                <w:rPr>
                                  <w:rFonts w:hint="eastAsia"/>
                                  <w:lang w:val="en-US" w:eastAsia="zh-CN"/>
                                </w:rPr>
                                <w:t>基础工程</w:t>
                              </w:r>
                            </w:p>
                          </w:txbxContent>
                        </v:textbox>
                      </v:shape>
                      <v:shape id="直接箭头连接符 189" o:spid="_x0000_s1026" o:spt="32" type="#_x0000_t32" style="position:absolute;left:1971675;top:1346835;flip:y;height:3175;width:351155;" filled="f" stroked="t" coordsize="21600,21600" o:gfxdata="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BKIqA1gAAAAUBAAAPAAAAAAAAAAEA&#10;IAAAACIAAABkcnMvZG93bnJldi54bWxQSwECFAAUAAAACACHTuJANDd3SBECAADmAwAADgAAAAAA&#10;AAABACAAAAAlAQAAZHJzL2Uyb0RvYy54bWxQSwUGAAAAAAYABgBZAQAAqAUAAAAA&#10;">
                        <v:fill on="f" focussize="0,0"/>
                        <v:stroke color="#000000 [3213]" joinstyle="round" endarrow="block"/>
                        <v:imagedata o:title=""/>
                        <o:lock v:ext="edit" aspectratio="f"/>
                      </v:shape>
                      <v:shape id="文本框 190" o:spid="_x0000_s1026" o:spt="202" type="#_x0000_t202" style="position:absolute;left:2328545;top:1215390;height:297815;width:731520;" fillcolor="#FFFFFF [3201]" filled="t" stroked="t" coordsize="21600,21600" o:gfxdata="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IQaQPTAAAABQEAAA8AAAAAAAAAAQAgAAAAIgAAAGRycy9kb3ducmV2LnhtbFBLAQIUABQAAAAI&#10;AIdO4kD0PaqsZAIAAMYEAAAOAAAAAAAAAAEAIAAAACIBAABkcnMvZTJvRG9jLnhtbFBLBQYAAAAA&#10;BgAGAFkBAAD4BQAAAAA=&#10;">
                        <v:fill on="t" focussize="0,0"/>
                        <v:stroke weight="0.5pt" color="#000000 [3204]" joinstyle="round"/>
                        <v:imagedata o:title=""/>
                        <o:lock v:ext="edit" aspectratio="f"/>
                        <v:textbox>
                          <w:txbxContent>
                            <w:p w14:paraId="495DCA3C">
                              <w:pPr>
                                <w:rPr>
                                  <w:rFonts w:hint="default" w:eastAsia="宋体"/>
                                  <w:lang w:val="en-US" w:eastAsia="zh-CN"/>
                                </w:rPr>
                              </w:pPr>
                              <w:r>
                                <w:rPr>
                                  <w:rFonts w:hint="eastAsia"/>
                                  <w:lang w:val="en-US" w:eastAsia="zh-CN"/>
                                </w:rPr>
                                <w:t>主体工程</w:t>
                              </w:r>
                            </w:p>
                          </w:txbxContent>
                        </v:textbox>
                      </v:shape>
                      <v:shape id="直接箭头连接符 191" o:spid="_x0000_s1026" o:spt="32" type="#_x0000_t32" style="position:absolute;left:3067050;top:1364615;flip:y;height:3175;width:351155;" filled="f" stroked="t" coordsize="21600,21600" o:gfxdata="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EoioDWAAAABQEAAA8AAAAAAAAA&#10;AQAgAAAAIgAAAGRycy9kb3ducmV2LnhtbFBLAQIUABQAAAAIAIdO4kAIuM5wEwIAAOYDAAAOAAAA&#10;AAAAAAEAIAAAACUBAABkcnMvZTJvRG9jLnhtbFBLBQYAAAAABgAGAFkBAACqBQAAAAA=&#10;">
                        <v:fill on="f" focussize="0,0"/>
                        <v:stroke color="#000000 [3213]" joinstyle="round" endarrow="block"/>
                        <v:imagedata o:title=""/>
                        <o:lock v:ext="edit" aspectratio="f"/>
                      </v:shape>
                      <v:shape id="文本框 201" o:spid="_x0000_s1026" o:spt="202" type="#_x0000_t202" style="position:absolute;left:3418205;top:1238885;height:297815;width:731520;" fillcolor="#FFFFFF [3201]" filled="t" stroked="t" coordsize="21600,21600" o:gfxdata="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yEGkD0wAAAAUBAAAPAAAAAAAAAAEAIAAAACIAAABkcnMvZG93bnJldi54bWxQSwECFAAU&#10;AAAACACHTuJAHhhaiWgCAADGBAAADgAAAAAAAAABACAAAAAiAQAAZHJzL2Uyb0RvYy54bWxQSwUG&#10;AAAAAAYABgBZAQAA/AUAAAAA&#10;">
                        <v:fill on="t" focussize="0,0"/>
                        <v:stroke weight="0.5pt" color="#000000 [3204]" joinstyle="round"/>
                        <v:imagedata o:title=""/>
                        <o:lock v:ext="edit" aspectratio="f"/>
                        <v:textbox>
                          <w:txbxContent>
                            <w:p w14:paraId="374762C7">
                              <w:pPr>
                                <w:rPr>
                                  <w:rFonts w:hint="default" w:eastAsia="宋体"/>
                                  <w:lang w:val="en-US" w:eastAsia="zh-CN"/>
                                </w:rPr>
                              </w:pPr>
                              <w:r>
                                <w:rPr>
                                  <w:rFonts w:hint="eastAsia"/>
                                  <w:lang w:val="en-US" w:eastAsia="zh-CN"/>
                                </w:rPr>
                                <w:t>设备安装</w:t>
                              </w:r>
                            </w:p>
                          </w:txbxContent>
                        </v:textbox>
                      </v:shape>
                      <v:shape id="直接箭头连接符 203" o:spid="_x0000_s1026" o:spt="32" type="#_x0000_t32" style="position:absolute;left:4150360;top:1382395;flip:y;height:3175;width:351155;" filled="f" stroked="t" coordsize="21600,21600" o:gfxdata="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BKIqA1gAAAAUBAAAPAAAAAAAA&#10;AAEAIAAAACIAAABkcnMvZG93bnJldi54bWxQSwECFAAUAAAACACHTuJAVdAw4hQCAADmAwAADgAA&#10;AAAAAAABACAAAAAlAQAAZHJzL2Uyb0RvYy54bWxQSwUGAAAAAAYABgBZAQAAqwUAAAAA&#10;">
                        <v:fill on="f" focussize="0,0"/>
                        <v:stroke color="#000000 [3213]" joinstyle="round" endarrow="block"/>
                        <v:imagedata o:title=""/>
                        <o:lock v:ext="edit" aspectratio="f"/>
                      </v:shape>
                      <v:shape id="文本框 204" o:spid="_x0000_s1026" o:spt="202" type="#_x0000_t202" style="position:absolute;left:4501515;top:1245235;height:297815;width:731520;" fillcolor="#FFFFFF [3201]" filled="t" stroked="t" coordsize="21600,21600" o:gfxdata="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yEGkD0wAAAAUBAAAPAAAAAAAAAAEAIAAAACIAAABkcnMvZG93bnJldi54bWxQSwECFAAUAAAA&#10;CACHTuJAg+eMS2UCAADGBAAADgAAAAAAAAABACAAAAAiAQAAZHJzL2Uyb0RvYy54bWxQSwUGAAAA&#10;AAYABgBZAQAA+QUAAAAA&#10;">
                        <v:fill on="t" focussize="0,0"/>
                        <v:stroke weight="0.5pt" color="#000000 [3204]" joinstyle="round"/>
                        <v:imagedata o:title=""/>
                        <o:lock v:ext="edit" aspectratio="f"/>
                        <v:textbox>
                          <w:txbxContent>
                            <w:p w14:paraId="75ABB782">
                              <w:pPr>
                                <w:rPr>
                                  <w:rFonts w:hint="default" w:eastAsia="宋体"/>
                                  <w:lang w:val="en-US" w:eastAsia="zh-CN"/>
                                </w:rPr>
                              </w:pPr>
                              <w:r>
                                <w:rPr>
                                  <w:rFonts w:hint="eastAsia"/>
                                  <w:lang w:val="en-US" w:eastAsia="zh-CN"/>
                                </w:rPr>
                                <w:t>工程验收</w:t>
                              </w:r>
                            </w:p>
                          </w:txbxContent>
                        </v:textbox>
                      </v:shape>
                      <v:shape id="直接箭头连接符 207" o:spid="_x0000_s1026" o:spt="32" type="#_x0000_t32" style="position:absolute;left:2697480;top:787400;flip:y;height:434340;width:0;" filled="f" stroked="t" coordsize="21600,21600" o:gfxdata="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6v3BZ9IAAAAFAQAADwAAAAAAAAABACAAAAAi&#10;AAAAZHJzL2Rvd25yZXYueG1sUEsBAhQAFAAAAAgAh07iQLv4GKEQAgAA4QMAAA4AAAAAAAAAAQAg&#10;AAAAIQEAAGRycy9lMm9Eb2MueG1sUEsFBgAAAAAGAAYAWQEAAKMFAAAAAA==&#10;">
                        <v:fill on="f" focussize="0,0"/>
                        <v:stroke color="#000000 [3213]" joinstyle="round" dashstyle="dash" endarrow="block"/>
                        <v:imagedata o:title=""/>
                        <o:lock v:ext="edit" aspectratio="f"/>
                      </v:shape>
                      <v:shape id="直接箭头连接符 208" o:spid="_x0000_s1026" o:spt="32" type="#_x0000_t32" style="position:absolute;left:3793490;top:810895;flip:y;height:434340;width:0;" filled="f" stroked="t" coordsize="21600,21600" o:gfxdata="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r9wWfSAAAABQEAAA8AAAAAAAAAAQAgAAAA&#10;IgAAAGRycy9kb3ducmV2LnhtbFBLAQIUABQAAAAIAIdO4kAqe2kCEQIAAOEDAAAOAAAAAAAAAAEA&#10;IAAAACEBAABkcnMvZTJvRG9jLnhtbFBLBQYAAAAABgAGAFkBAACkBQAAAAA=&#10;">
                        <v:fill on="f" focussize="0,0"/>
                        <v:stroke color="#000000 [3213]" joinstyle="round" dashstyle="dash" endarrow="block"/>
                        <v:imagedata o:title=""/>
                        <o:lock v:ext="edit" aspectratio="f"/>
                      </v:shape>
                      <w10:wrap type="none"/>
                      <w10:anchorlock/>
                    </v:group>
                  </w:pict>
                </mc:Fallback>
              </mc:AlternateContent>
            </w:r>
          </w:p>
          <w:p w14:paraId="0420AB8B">
            <w:pPr>
              <w:pStyle w:val="41"/>
              <w:keepNext/>
              <w:keepLines w:val="0"/>
              <w:pageBreakBefore w:val="0"/>
              <w:kinsoku/>
              <w:wordWrap/>
              <w:overflowPunct/>
              <w:topLinePunct w:val="0"/>
              <w:bidi w:val="0"/>
              <w:ind w:left="0" w:leftChars="0" w:firstLine="0" w:firstLineChars="0"/>
              <w:jc w:val="center"/>
              <w:rPr>
                <w:rFonts w:ascii="Times New Roman" w:hAnsi="Times New Roman" w:eastAsia="宋体"/>
                <w:b/>
                <w:color w:val="auto"/>
                <w:sz w:val="21"/>
                <w:szCs w:val="21"/>
              </w:rPr>
            </w:pPr>
            <w:r>
              <w:rPr>
                <w:rFonts w:ascii="Times New Roman" w:hAnsi="Times New Roman" w:eastAsia="宋体"/>
                <w:b/>
                <w:color w:val="auto"/>
                <w:sz w:val="21"/>
                <w:szCs w:val="21"/>
              </w:rPr>
              <w:t>图2-</w:t>
            </w:r>
            <w:r>
              <w:rPr>
                <w:rFonts w:hint="eastAsia" w:ascii="Times New Roman" w:hAnsi="Times New Roman" w:eastAsia="宋体"/>
                <w:b/>
                <w:color w:val="auto"/>
                <w:sz w:val="21"/>
                <w:szCs w:val="21"/>
                <w:lang w:val="en-US" w:eastAsia="zh-CN"/>
              </w:rPr>
              <w:t>3</w:t>
            </w:r>
            <w:r>
              <w:rPr>
                <w:rFonts w:ascii="Times New Roman" w:hAnsi="Times New Roman" w:eastAsia="宋体"/>
                <w:b/>
                <w:color w:val="auto"/>
                <w:sz w:val="21"/>
                <w:szCs w:val="21"/>
              </w:rPr>
              <w:t xml:space="preserve">  施工期工艺流程及产物节点图</w:t>
            </w:r>
          </w:p>
          <w:p w14:paraId="65276DD3">
            <w:pPr>
              <w:keepNext/>
              <w:keepLines w:val="0"/>
              <w:pageBreakBefore w:val="0"/>
              <w:widowControl/>
              <w:kinsoku/>
              <w:wordWrap/>
              <w:overflowPunct/>
              <w:topLinePunct w:val="0"/>
              <w:bidi w:val="0"/>
              <w:spacing w:line="360" w:lineRule="auto"/>
              <w:ind w:firstLine="480" w:firstLineChars="200"/>
              <w:jc w:val="left"/>
              <w:rPr>
                <w:color w:val="auto"/>
                <w:kern w:val="0"/>
                <w:sz w:val="24"/>
              </w:rPr>
            </w:pPr>
            <w:r>
              <w:rPr>
                <w:color w:val="auto"/>
                <w:kern w:val="0"/>
                <w:sz w:val="24"/>
              </w:rPr>
              <w:t>本项目施工期间的工作流程及阶段划分如下：</w:t>
            </w:r>
          </w:p>
          <w:p w14:paraId="5D19B758">
            <w:pPr>
              <w:keepNext/>
              <w:keepLines w:val="0"/>
              <w:pageBreakBefore w:val="0"/>
              <w:widowControl/>
              <w:kinsoku/>
              <w:wordWrap/>
              <w:overflowPunct/>
              <w:topLinePunct w:val="0"/>
              <w:bidi w:val="0"/>
              <w:spacing w:line="360" w:lineRule="auto"/>
              <w:ind w:firstLine="480" w:firstLineChars="200"/>
              <w:jc w:val="left"/>
              <w:rPr>
                <w:rFonts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 xml:space="preserve">①场地平整 </w:t>
            </w:r>
          </w:p>
          <w:p w14:paraId="0D839E38">
            <w:pPr>
              <w:keepNext/>
              <w:keepLines w:val="0"/>
              <w:pageBreakBefore w:val="0"/>
              <w:widowControl/>
              <w:kinsoku/>
              <w:wordWrap/>
              <w:overflowPunct/>
              <w:topLinePunct w:val="0"/>
              <w:bidi w:val="0"/>
              <w:spacing w:line="360" w:lineRule="auto"/>
              <w:ind w:firstLine="480" w:firstLineChars="200"/>
              <w:jc w:val="left"/>
              <w:rPr>
                <w:rFonts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根据施工需求对施工场地进行平整。</w:t>
            </w:r>
            <w:r>
              <w:rPr>
                <w:color w:val="auto"/>
                <w:kern w:val="0"/>
                <w:sz w:val="24"/>
              </w:rPr>
              <w:t>该环节产生的污染物主要为扬尘、噪声</w:t>
            </w:r>
            <w:r>
              <w:rPr>
                <w:rFonts w:hint="eastAsia"/>
                <w:color w:val="auto"/>
                <w:kern w:val="0"/>
                <w:sz w:val="24"/>
                <w:lang w:eastAsia="zh-CN"/>
              </w:rPr>
              <w:t>、</w:t>
            </w:r>
            <w:r>
              <w:rPr>
                <w:rFonts w:hint="eastAsia"/>
                <w:color w:val="auto"/>
                <w:kern w:val="0"/>
                <w:sz w:val="24"/>
                <w:lang w:val="en-US" w:eastAsia="zh-CN"/>
              </w:rPr>
              <w:t>固废</w:t>
            </w:r>
            <w:r>
              <w:rPr>
                <w:color w:val="auto"/>
                <w:kern w:val="0"/>
                <w:sz w:val="24"/>
              </w:rPr>
              <w:t>。</w:t>
            </w:r>
          </w:p>
          <w:p w14:paraId="1F175995">
            <w:pPr>
              <w:keepNext/>
              <w:keepLines w:val="0"/>
              <w:pageBreakBefore w:val="0"/>
              <w:widowControl/>
              <w:kinsoku/>
              <w:wordWrap/>
              <w:overflowPunct/>
              <w:topLinePunct w:val="0"/>
              <w:bidi w:val="0"/>
              <w:spacing w:line="360" w:lineRule="auto"/>
              <w:ind w:firstLine="480" w:firstLineChars="200"/>
              <w:jc w:val="left"/>
              <w:rPr>
                <w:rFonts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 xml:space="preserve">②基础工程 </w:t>
            </w:r>
          </w:p>
          <w:p w14:paraId="70F36309">
            <w:pPr>
              <w:keepNext/>
              <w:keepLines w:val="0"/>
              <w:pageBreakBefore w:val="0"/>
              <w:widowControl/>
              <w:kinsoku/>
              <w:wordWrap/>
              <w:overflowPunct/>
              <w:topLinePunct w:val="0"/>
              <w:bidi w:val="0"/>
              <w:spacing w:line="360" w:lineRule="auto"/>
              <w:ind w:firstLine="480" w:firstLineChars="200"/>
              <w:jc w:val="left"/>
              <w:rPr>
                <w:color w:val="auto"/>
                <w:kern w:val="0"/>
                <w:sz w:val="24"/>
              </w:rPr>
            </w:pPr>
            <w:r>
              <w:rPr>
                <w:rFonts w:hint="eastAsia" w:ascii="宋体" w:hAnsi="宋体" w:eastAsia="宋体" w:cs="宋体"/>
                <w:color w:val="auto"/>
                <w:kern w:val="0"/>
                <w:sz w:val="24"/>
                <w:szCs w:val="24"/>
                <w:lang w:val="en-US" w:eastAsia="zh-CN" w:bidi="ar"/>
              </w:rPr>
              <w:t>基础工程包括土方、地基处理等。</w:t>
            </w:r>
            <w:r>
              <w:rPr>
                <w:color w:val="auto"/>
                <w:kern w:val="0"/>
                <w:sz w:val="24"/>
              </w:rPr>
              <w:t>该环节产生的污染物主要为扬尘、噪声</w:t>
            </w:r>
            <w:r>
              <w:rPr>
                <w:rFonts w:hint="eastAsia"/>
                <w:color w:val="auto"/>
                <w:kern w:val="0"/>
                <w:sz w:val="24"/>
                <w:lang w:eastAsia="zh-CN"/>
              </w:rPr>
              <w:t>、</w:t>
            </w:r>
            <w:r>
              <w:rPr>
                <w:rFonts w:hint="eastAsia"/>
                <w:color w:val="auto"/>
                <w:kern w:val="0"/>
                <w:sz w:val="24"/>
                <w:lang w:val="en-US" w:eastAsia="zh-CN"/>
              </w:rPr>
              <w:t>废水、固废</w:t>
            </w:r>
            <w:r>
              <w:rPr>
                <w:color w:val="auto"/>
                <w:kern w:val="0"/>
                <w:sz w:val="24"/>
              </w:rPr>
              <w:t>。</w:t>
            </w:r>
          </w:p>
          <w:p w14:paraId="05D2031E">
            <w:pPr>
              <w:keepNext/>
              <w:keepLines w:val="0"/>
              <w:pageBreakBefore w:val="0"/>
              <w:widowControl/>
              <w:kinsoku/>
              <w:wordWrap/>
              <w:overflowPunct/>
              <w:topLinePunct w:val="0"/>
              <w:bidi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③主体工程</w:t>
            </w:r>
          </w:p>
          <w:p w14:paraId="26C74B99">
            <w:pPr>
              <w:keepNext/>
              <w:keepLines w:val="0"/>
              <w:pageBreakBefore w:val="0"/>
              <w:widowControl/>
              <w:kinsoku/>
              <w:wordWrap/>
              <w:overflowPunct/>
              <w:topLinePunct w:val="0"/>
              <w:bidi w:val="0"/>
              <w:spacing w:line="360" w:lineRule="auto"/>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主体建筑主要采用钢筋混凝土结构。此过程产生</w:t>
            </w:r>
            <w:r>
              <w:rPr>
                <w:color w:val="auto"/>
                <w:kern w:val="0"/>
                <w:sz w:val="24"/>
              </w:rPr>
              <w:t>扬尘、噪声</w:t>
            </w:r>
            <w:r>
              <w:rPr>
                <w:rFonts w:hint="eastAsia"/>
                <w:color w:val="auto"/>
                <w:kern w:val="0"/>
                <w:sz w:val="24"/>
                <w:lang w:eastAsia="zh-CN"/>
              </w:rPr>
              <w:t>、</w:t>
            </w:r>
            <w:r>
              <w:rPr>
                <w:rFonts w:hint="eastAsia"/>
                <w:color w:val="auto"/>
                <w:kern w:val="0"/>
                <w:sz w:val="24"/>
                <w:lang w:val="en-US" w:eastAsia="zh-CN"/>
              </w:rPr>
              <w:t>废水、固废</w:t>
            </w:r>
            <w:r>
              <w:rPr>
                <w:color w:val="auto"/>
                <w:kern w:val="0"/>
                <w:sz w:val="24"/>
              </w:rPr>
              <w:t>。</w:t>
            </w:r>
          </w:p>
          <w:p w14:paraId="58CE6696">
            <w:pPr>
              <w:keepNext/>
              <w:keepLines w:val="0"/>
              <w:pageBreakBefore w:val="0"/>
              <w:widowControl/>
              <w:kinsoku/>
              <w:wordWrap/>
              <w:overflowPunct/>
              <w:topLinePunct w:val="0"/>
              <w:bidi w:val="0"/>
              <w:spacing w:line="360" w:lineRule="auto"/>
              <w:ind w:firstLine="480" w:firstLineChars="200"/>
              <w:jc w:val="left"/>
              <w:rPr>
                <w:rFonts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 xml:space="preserve">④设备安装 </w:t>
            </w:r>
          </w:p>
          <w:p w14:paraId="6AF98169">
            <w:pPr>
              <w:keepNext/>
              <w:keepLines w:val="0"/>
              <w:pageBreakBefore w:val="0"/>
              <w:widowControl/>
              <w:kinsoku/>
              <w:wordWrap/>
              <w:overflowPunct/>
              <w:topLinePunct w:val="0"/>
              <w:bidi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基础工程完成后</w:t>
            </w:r>
            <w:r>
              <w:rPr>
                <w:color w:val="auto"/>
                <w:kern w:val="0"/>
                <w:sz w:val="24"/>
              </w:rPr>
              <w:t>进行各种设备、配套生产及环保设施的安装施工。该环节产生的污染物主要为噪声、</w:t>
            </w:r>
            <w:r>
              <w:rPr>
                <w:rFonts w:hint="eastAsia"/>
                <w:color w:val="auto"/>
                <w:kern w:val="0"/>
                <w:sz w:val="24"/>
                <w:lang w:val="en-US" w:eastAsia="zh-CN"/>
              </w:rPr>
              <w:t>固废</w:t>
            </w:r>
            <w:r>
              <w:rPr>
                <w:color w:val="auto"/>
                <w:kern w:val="0"/>
                <w:sz w:val="24"/>
              </w:rPr>
              <w:t>。</w:t>
            </w:r>
          </w:p>
          <w:p w14:paraId="43377A43">
            <w:pPr>
              <w:keepNext/>
              <w:keepLines w:val="0"/>
              <w:pageBreakBefore w:val="0"/>
              <w:widowControl/>
              <w:kinsoku/>
              <w:wordWrap/>
              <w:overflowPunct/>
              <w:topLinePunct w:val="0"/>
              <w:bidi w:val="0"/>
              <w:spacing w:line="360" w:lineRule="auto"/>
              <w:ind w:firstLine="480" w:firstLineChars="200"/>
              <w:jc w:val="left"/>
              <w:rPr>
                <w:rFonts w:ascii="Times New Roman" w:hAnsi="Times New Roman" w:eastAsia="宋体" w:cs="Times New Roman"/>
                <w:color w:val="auto"/>
                <w:kern w:val="0"/>
                <w:sz w:val="24"/>
              </w:rPr>
            </w:pPr>
            <w:r>
              <w:rPr>
                <w:rFonts w:hint="eastAsia" w:ascii="宋体" w:hAnsi="宋体" w:eastAsia="宋体" w:cs="宋体"/>
                <w:color w:val="auto"/>
                <w:kern w:val="0"/>
                <w:sz w:val="24"/>
              </w:rPr>
              <w:t>⑤</w:t>
            </w:r>
            <w:r>
              <w:rPr>
                <w:rFonts w:hint="eastAsia" w:ascii="Times New Roman" w:hAnsi="Times New Roman" w:eastAsia="宋体" w:cs="Times New Roman"/>
                <w:color w:val="auto"/>
                <w:kern w:val="0"/>
                <w:sz w:val="24"/>
                <w:lang w:val="en-US" w:eastAsia="zh-CN"/>
              </w:rPr>
              <w:t>竣工验收</w:t>
            </w:r>
          </w:p>
          <w:p w14:paraId="2559585B">
            <w:pPr>
              <w:keepNext/>
              <w:keepLines w:val="0"/>
              <w:pageBreakBefore w:val="0"/>
              <w:widowControl/>
              <w:kinsoku/>
              <w:wordWrap/>
              <w:overflowPunct/>
              <w:topLinePunct w:val="0"/>
              <w:bidi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施工完成后对工程整体进行竣工验收，准备投入使用。</w:t>
            </w:r>
          </w:p>
          <w:p w14:paraId="0E4E299A">
            <w:pPr>
              <w:pStyle w:val="31"/>
              <w:keepNext/>
              <w:keepLines w:val="0"/>
              <w:pageBreakBefore w:val="0"/>
              <w:kinsoku/>
              <w:wordWrap/>
              <w:overflowPunct/>
              <w:topLinePunct w:val="0"/>
              <w:bidi w:val="0"/>
              <w:spacing w:after="0" w:line="360" w:lineRule="auto"/>
              <w:ind w:left="0" w:leftChars="0" w:firstLine="0"/>
              <w:rPr>
                <w:rFonts w:ascii="Times New Roman" w:hAnsi="Times New Roman" w:eastAsia="宋体"/>
                <w:color w:val="auto"/>
                <w:szCs w:val="24"/>
              </w:rPr>
            </w:pPr>
            <w:r>
              <w:rPr>
                <w:rFonts w:hint="eastAsia"/>
                <w:b/>
                <w:bCs/>
                <w:color w:val="auto"/>
                <w:sz w:val="24"/>
                <w:szCs w:val="24"/>
              </w:rPr>
              <w:t>营运期：</w:t>
            </w:r>
          </w:p>
          <w:p w14:paraId="12DC0E69">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本项目乳化炸药震源药柱生产过程包括水相制备、油相制备、乳化、冷却、敏化、装药、压盖、封口、装配连接套、包装、成品转运和不合格品处理等工序 。具体工艺流程如下：</w:t>
            </w:r>
          </w:p>
          <w:p w14:paraId="70B97561">
            <w:pPr>
              <w:keepNext/>
              <w:keepLines w:val="0"/>
              <w:pageBreakBefore w:val="0"/>
              <w:kinsoku/>
              <w:wordWrap/>
              <w:overflowPunct/>
              <w:topLinePunct w:val="0"/>
              <w:bidi w:val="0"/>
              <w:spacing w:line="360" w:lineRule="auto"/>
              <w:jc w:val="center"/>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drawing>
                <wp:inline distT="0" distB="0" distL="114300" distR="114300">
                  <wp:extent cx="4708525" cy="7171055"/>
                  <wp:effectExtent l="0" t="0" r="0" b="0"/>
                  <wp:docPr id="494" name="ECB019B1-382A-4266-B25C-5B523AA43C14-1" descr="C:/Users/Admin/AppData/Local/Temp/wps.ANsohI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ECB019B1-382A-4266-B25C-5B523AA43C14-1" descr="C:/Users/Admin/AppData/Local/Temp/wps.ANsohIwps"/>
                          <pic:cNvPicPr>
                            <a:picLocks noChangeAspect="1"/>
                          </pic:cNvPicPr>
                        </pic:nvPicPr>
                        <pic:blipFill>
                          <a:blip r:embed="rId33"/>
                          <a:srcRect t="3971"/>
                          <a:stretch>
                            <a:fillRect/>
                          </a:stretch>
                        </pic:blipFill>
                        <pic:spPr>
                          <a:xfrm>
                            <a:off x="0" y="0"/>
                            <a:ext cx="4708525" cy="7171055"/>
                          </a:xfrm>
                          <a:prstGeom prst="rect">
                            <a:avLst/>
                          </a:prstGeom>
                        </pic:spPr>
                      </pic:pic>
                    </a:graphicData>
                  </a:graphic>
                </wp:inline>
              </w:drawing>
            </w:r>
          </w:p>
          <w:p w14:paraId="614858E6">
            <w:pPr>
              <w:pStyle w:val="41"/>
              <w:keepNext/>
              <w:keepLines w:val="0"/>
              <w:pageBreakBefore w:val="0"/>
              <w:kinsoku/>
              <w:wordWrap/>
              <w:overflowPunct/>
              <w:topLinePunct w:val="0"/>
              <w:bidi w:val="0"/>
              <w:ind w:left="0" w:leftChars="0" w:firstLine="0" w:firstLineChars="0"/>
              <w:jc w:val="center"/>
              <w:rPr>
                <w:rFonts w:hint="eastAsia" w:ascii="Times New Roman" w:hAnsi="Times New Roman" w:eastAsia="宋体"/>
                <w:b/>
                <w:color w:val="auto"/>
                <w:sz w:val="21"/>
                <w:szCs w:val="21"/>
              </w:rPr>
            </w:pPr>
            <w:r>
              <w:rPr>
                <w:rFonts w:hint="eastAsia" w:ascii="Times New Roman" w:hAnsi="Times New Roman" w:eastAsia="宋体"/>
                <w:b/>
                <w:color w:val="auto"/>
                <w:sz w:val="21"/>
                <w:szCs w:val="21"/>
              </w:rPr>
              <w:t>图2-</w:t>
            </w:r>
            <w:r>
              <w:rPr>
                <w:rFonts w:hint="eastAsia" w:ascii="Times New Roman" w:hAnsi="Times New Roman" w:eastAsia="宋体"/>
                <w:b/>
                <w:color w:val="auto"/>
                <w:sz w:val="21"/>
                <w:szCs w:val="21"/>
                <w:lang w:val="en-US" w:eastAsia="zh-CN"/>
              </w:rPr>
              <w:t>4</w:t>
            </w:r>
            <w:r>
              <w:rPr>
                <w:rFonts w:hint="eastAsia" w:ascii="Times New Roman" w:hAnsi="Times New Roman" w:eastAsia="宋体"/>
                <w:b/>
                <w:color w:val="auto"/>
                <w:sz w:val="21"/>
                <w:szCs w:val="21"/>
              </w:rPr>
              <w:t xml:space="preserve"> 运营期工艺流程及产排污节点图</w:t>
            </w:r>
          </w:p>
          <w:p w14:paraId="0F43B366">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（1）</w:t>
            </w:r>
            <w:r>
              <w:rPr>
                <w:rFonts w:hint="eastAsia" w:ascii="Times New Roman" w:hAnsi="Times New Roman" w:cs="Times New Roman" w:eastAsiaTheme="minorEastAsia"/>
                <w:color w:val="auto"/>
                <w:sz w:val="24"/>
                <w:szCs w:val="24"/>
                <w:lang w:val="en-US" w:eastAsia="zh-CN"/>
              </w:rPr>
              <w:t>水相溶液配制、储存</w:t>
            </w:r>
          </w:p>
          <w:p w14:paraId="2259A832">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本项目采用硝酸铵</w:t>
            </w:r>
            <w:r>
              <w:rPr>
                <w:rFonts w:hint="eastAsia" w:cs="Times New Roman" w:eastAsiaTheme="minorEastAsia"/>
                <w:color w:val="auto"/>
                <w:sz w:val="24"/>
                <w:szCs w:val="24"/>
                <w:lang w:val="en-US" w:eastAsia="zh-CN"/>
              </w:rPr>
              <w:t>溶液</w:t>
            </w:r>
            <w:r>
              <w:rPr>
                <w:rFonts w:hint="eastAsia" w:ascii="Times New Roman" w:hAnsi="Times New Roman" w:cs="Times New Roman" w:eastAsiaTheme="minorEastAsia"/>
                <w:color w:val="auto"/>
                <w:sz w:val="24"/>
                <w:szCs w:val="24"/>
                <w:lang w:val="en-US" w:eastAsia="zh-CN"/>
              </w:rPr>
              <w:t>制备水相溶液</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生产时先将水和硝酸铵溶液自动计量泵送加入到水相制备罐，同时开启搅拌，</w:t>
            </w:r>
            <w:r>
              <w:rPr>
                <w:rFonts w:hint="default" w:ascii="Times New Roman" w:hAnsi="Times New Roman" w:cs="Times New Roman" w:eastAsiaTheme="minorEastAsia"/>
                <w:color w:val="auto"/>
                <w:sz w:val="24"/>
                <w:szCs w:val="24"/>
                <w:lang w:val="en-US" w:eastAsia="zh-CN"/>
              </w:rPr>
              <w:t>硝酸钠经人工</w:t>
            </w:r>
            <w:r>
              <w:rPr>
                <w:rFonts w:hint="eastAsia" w:ascii="Times New Roman" w:hAnsi="Times New Roman" w:cs="Times New Roman" w:eastAsiaTheme="minorEastAsia"/>
                <w:color w:val="auto"/>
                <w:sz w:val="24"/>
                <w:szCs w:val="24"/>
                <w:lang w:val="en-US" w:eastAsia="zh-CN"/>
              </w:rPr>
              <w:t>计量</w:t>
            </w:r>
            <w:r>
              <w:rPr>
                <w:rFonts w:hint="default" w:ascii="Times New Roman" w:hAnsi="Times New Roman" w:cs="Times New Roman" w:eastAsiaTheme="minorEastAsia"/>
                <w:color w:val="auto"/>
                <w:sz w:val="24"/>
                <w:szCs w:val="24"/>
                <w:lang w:val="en-US" w:eastAsia="zh-CN"/>
              </w:rPr>
              <w:t>后</w:t>
            </w:r>
            <w:r>
              <w:rPr>
                <w:rFonts w:hint="eastAsia" w:cs="Times New Roman" w:eastAsiaTheme="minorEastAsia"/>
                <w:color w:val="auto"/>
                <w:sz w:val="24"/>
                <w:szCs w:val="24"/>
                <w:lang w:val="en-US" w:eastAsia="zh-CN"/>
              </w:rPr>
              <w:t>加入水相制备罐</w:t>
            </w:r>
            <w:r>
              <w:rPr>
                <w:rFonts w:hint="eastAsia" w:cs="Times New Roman" w:eastAsiaTheme="minorEastAsia"/>
                <w:color w:val="auto"/>
                <w:sz w:val="24"/>
                <w:szCs w:val="24"/>
                <w:highlight w:val="none"/>
                <w:lang w:val="en-US" w:eastAsia="zh-CN"/>
              </w:rPr>
              <w:t>（</w:t>
            </w:r>
            <w:r>
              <w:rPr>
                <w:rFonts w:hint="eastAsia" w:ascii="Times New Roman" w:hAnsi="Times New Roman" w:cs="Times New Roman" w:eastAsiaTheme="minorEastAsia"/>
                <w:color w:val="auto"/>
                <w:sz w:val="24"/>
                <w:szCs w:val="24"/>
                <w:highlight w:val="none"/>
                <w:lang w:val="en-US" w:eastAsia="zh-CN"/>
              </w:rPr>
              <w:t>硝酸铵：水：硝酸钠</w:t>
            </w:r>
            <w:r>
              <w:rPr>
                <w:rFonts w:hint="eastAsia" w:ascii="仿宋" w:hAnsi="仿宋" w:eastAsia="仿宋"/>
                <w:color w:val="auto"/>
                <w:kern w:val="0"/>
                <w:sz w:val="24"/>
                <w:highlight w:val="none"/>
                <w:lang w:val="en-US" w:eastAsia="zh-CN"/>
              </w:rPr>
              <w:t>=6.67:2.82:1</w:t>
            </w:r>
            <w:r>
              <w:rPr>
                <w:rFonts w:hint="eastAsia" w:cs="Times New Roman" w:eastAsiaTheme="minorEastAsia"/>
                <w:color w:val="auto"/>
                <w:sz w:val="24"/>
                <w:szCs w:val="24"/>
                <w:highlight w:val="none"/>
                <w:lang w:val="en-US" w:eastAsia="zh-CN"/>
              </w:rPr>
              <w:t>）</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待水相溶液温度达到工艺要求</w:t>
            </w:r>
            <w:r>
              <w:rPr>
                <w:rFonts w:hint="eastAsia" w:cs="Times New Roman" w:eastAsiaTheme="minorEastAsia"/>
                <w:color w:val="auto"/>
                <w:sz w:val="24"/>
                <w:szCs w:val="24"/>
                <w:lang w:val="en-US" w:eastAsia="zh-CN"/>
              </w:rPr>
              <w:t>（</w:t>
            </w:r>
            <w:r>
              <w:rPr>
                <w:rFonts w:hint="eastAsia" w:ascii="Times New Roman" w:hAnsi="Times New Roman" w:cs="Times New Roman"/>
                <w:color w:val="auto"/>
                <w:sz w:val="24"/>
                <w:szCs w:val="24"/>
                <w:lang w:val="en-US" w:eastAsia="zh-CN"/>
              </w:rPr>
              <w:t>90-10</w:t>
            </w:r>
            <w:r>
              <w:rPr>
                <w:rFonts w:hint="default" w:ascii="Times New Roman" w:hAnsi="Times New Roman" w:cs="Times New Roman" w:eastAsiaTheme="minorEastAsia"/>
                <w:color w:val="auto"/>
                <w:sz w:val="24"/>
                <w:szCs w:val="24"/>
                <w:lang w:val="en-US" w:eastAsia="zh-CN"/>
              </w:rPr>
              <w:t>0℃</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后，泵送至乳化炸药震源药柱生产工房内的水相储罐保温备用。</w:t>
            </w:r>
          </w:p>
          <w:p w14:paraId="0E2A00CC">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产污环节：根据</w:t>
            </w:r>
            <w:r>
              <w:rPr>
                <w:rFonts w:hint="eastAsia" w:ascii="Times New Roman" w:hAnsi="Times New Roman" w:cs="Times New Roman"/>
                <w:color w:val="auto"/>
                <w:sz w:val="24"/>
                <w:szCs w:val="24"/>
                <w:u w:val="single"/>
                <w:lang w:val="en-US" w:eastAsia="zh-CN"/>
              </w:rPr>
              <w:t>理化特性</w:t>
            </w:r>
            <w:r>
              <w:rPr>
                <w:rFonts w:hint="default" w:ascii="Times New Roman" w:hAnsi="Times New Roman" w:cs="Times New Roman" w:eastAsiaTheme="minorEastAsia"/>
                <w:color w:val="auto"/>
                <w:sz w:val="24"/>
                <w:szCs w:val="24"/>
                <w:u w:val="single"/>
                <w:lang w:val="en-US" w:eastAsia="zh-CN"/>
              </w:rPr>
              <w:t>，硝酸铵分解温度为210℃，</w:t>
            </w:r>
            <w:r>
              <w:rPr>
                <w:rFonts w:hint="eastAsia" w:ascii="Times New Roman" w:hAnsi="Times New Roman" w:cs="Times New Roman"/>
                <w:color w:val="auto"/>
                <w:sz w:val="24"/>
                <w:szCs w:val="24"/>
                <w:u w:val="single"/>
                <w:lang w:val="en-US" w:eastAsia="zh-CN"/>
              </w:rPr>
              <w:t>本项目工艺操作温度均未高于100</w:t>
            </w:r>
            <w:r>
              <w:rPr>
                <w:rFonts w:hint="default" w:ascii="Times New Roman" w:hAnsi="Times New Roman" w:cs="Times New Roman" w:eastAsiaTheme="minorEastAsia"/>
                <w:color w:val="auto"/>
                <w:sz w:val="24"/>
                <w:szCs w:val="24"/>
                <w:u w:val="single"/>
                <w:lang w:val="en-US" w:eastAsia="zh-CN"/>
              </w:rPr>
              <w:t>℃</w:t>
            </w:r>
            <w:r>
              <w:rPr>
                <w:rFonts w:hint="eastAsia" w:ascii="Times New Roman" w:hAnsi="Times New Roman" w:cs="Times New Roman"/>
                <w:color w:val="auto"/>
                <w:sz w:val="24"/>
                <w:szCs w:val="24"/>
                <w:u w:val="single"/>
                <w:lang w:val="en-US" w:eastAsia="zh-CN"/>
              </w:rPr>
              <w:t>，</w:t>
            </w:r>
            <w:r>
              <w:rPr>
                <w:rFonts w:hint="default" w:ascii="Times New Roman" w:hAnsi="Times New Roman" w:cs="Times New Roman" w:eastAsiaTheme="minorEastAsia"/>
                <w:color w:val="auto"/>
                <w:sz w:val="24"/>
                <w:szCs w:val="24"/>
                <w:u w:val="single"/>
                <w:lang w:val="en-US" w:eastAsia="zh-CN"/>
              </w:rPr>
              <w:t>因此，本环评不考虑硝酸铵的分解。</w:t>
            </w:r>
            <w:r>
              <w:rPr>
                <w:rFonts w:hint="eastAsia" w:cs="Times New Roman" w:eastAsiaTheme="minorEastAsia"/>
                <w:color w:val="auto"/>
                <w:sz w:val="24"/>
                <w:szCs w:val="24"/>
                <w:highlight w:val="none"/>
                <w:u w:val="single"/>
                <w:lang w:val="en-US" w:eastAsia="zh-CN"/>
              </w:rPr>
              <w:t>本项目</w:t>
            </w:r>
            <w:r>
              <w:rPr>
                <w:rFonts w:hint="default" w:cs="Times New Roman" w:eastAsiaTheme="minorEastAsia"/>
                <w:color w:val="auto"/>
                <w:sz w:val="24"/>
                <w:szCs w:val="24"/>
                <w:highlight w:val="none"/>
                <w:u w:val="single"/>
                <w:lang w:val="en-US" w:eastAsia="zh-CN"/>
              </w:rPr>
              <w:t>硝酸钠通过密闭螺旋输送机输送，</w:t>
            </w:r>
            <w:r>
              <w:rPr>
                <w:rFonts w:hint="eastAsia" w:cs="Times New Roman" w:eastAsiaTheme="minorEastAsia"/>
                <w:color w:val="auto"/>
                <w:sz w:val="24"/>
                <w:szCs w:val="24"/>
                <w:highlight w:val="none"/>
                <w:u w:val="single"/>
                <w:lang w:val="en-US" w:eastAsia="zh-CN"/>
              </w:rPr>
              <w:t>仅上料过程会产生粉尘G1</w:t>
            </w:r>
            <w:r>
              <w:rPr>
                <w:rFonts w:hint="eastAsia" w:ascii="Times New Roman" w:hAnsi="Times New Roman" w:cs="Times New Roman"/>
                <w:color w:val="auto"/>
                <w:sz w:val="24"/>
                <w:szCs w:val="24"/>
                <w:u w:val="single"/>
                <w:lang w:val="en-US" w:eastAsia="zh-CN"/>
              </w:rPr>
              <w:t>。水相过滤产生滤渣S1。配制过程和热水输送产生机泵噪声N。</w:t>
            </w:r>
          </w:p>
          <w:p w14:paraId="35482B38">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（2）油相溶液配制、储存</w:t>
            </w:r>
          </w:p>
          <w:p w14:paraId="1C149A09">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highlight w:val="none"/>
                <w:lang w:val="en-US" w:eastAsia="zh-CN"/>
              </w:rPr>
            </w:pPr>
            <w:r>
              <w:rPr>
                <w:rFonts w:hint="eastAsia" w:ascii="Times New Roman" w:hAnsi="Times New Roman" w:cs="Times New Roman" w:eastAsiaTheme="minorEastAsia"/>
                <w:color w:val="auto"/>
                <w:sz w:val="24"/>
                <w:szCs w:val="24"/>
                <w:highlight w:val="none"/>
                <w:lang w:val="en-US" w:eastAsia="zh-CN"/>
              </w:rPr>
              <w:t>本项目</w:t>
            </w:r>
            <w:r>
              <w:rPr>
                <w:rFonts w:hint="eastAsia" w:cs="Times New Roman" w:eastAsiaTheme="minorEastAsia"/>
                <w:color w:val="auto"/>
                <w:sz w:val="24"/>
                <w:szCs w:val="24"/>
                <w:highlight w:val="none"/>
                <w:lang w:val="en-US" w:eastAsia="zh-CN"/>
              </w:rPr>
              <w:t>外购复合油相溶液，</w:t>
            </w:r>
            <w:r>
              <w:rPr>
                <w:rFonts w:hint="default" w:ascii="Times New Roman" w:hAnsi="Times New Roman" w:cs="Times New Roman" w:eastAsiaTheme="minorEastAsia"/>
                <w:color w:val="auto"/>
                <w:sz w:val="24"/>
                <w:szCs w:val="24"/>
                <w:highlight w:val="none"/>
                <w:lang w:val="en-US" w:eastAsia="zh-CN"/>
              </w:rPr>
              <w:t>利用油相溶液槽车将</w:t>
            </w:r>
            <w:r>
              <w:rPr>
                <w:rFonts w:hint="eastAsia" w:ascii="Times New Roman" w:hAnsi="Times New Roman" w:cs="Times New Roman"/>
                <w:color w:val="auto"/>
                <w:sz w:val="24"/>
                <w:szCs w:val="24"/>
                <w:highlight w:val="none"/>
                <w:lang w:val="en-US" w:eastAsia="zh-CN"/>
              </w:rPr>
              <w:t>复合</w:t>
            </w:r>
            <w:r>
              <w:rPr>
                <w:rFonts w:hint="default" w:ascii="Times New Roman" w:hAnsi="Times New Roman" w:cs="Times New Roman" w:eastAsiaTheme="minorEastAsia"/>
                <w:color w:val="auto"/>
                <w:sz w:val="24"/>
                <w:szCs w:val="24"/>
                <w:highlight w:val="none"/>
                <w:lang w:val="en-US" w:eastAsia="zh-CN"/>
              </w:rPr>
              <w:t>油相溶液直接泵送至</w:t>
            </w:r>
            <w:r>
              <w:rPr>
                <w:rFonts w:hint="eastAsia" w:cs="Times New Roman" w:eastAsiaTheme="minorEastAsia"/>
                <w:color w:val="auto"/>
                <w:sz w:val="24"/>
                <w:szCs w:val="24"/>
                <w:highlight w:val="none"/>
                <w:lang w:val="en-US" w:eastAsia="zh-CN"/>
              </w:rPr>
              <w:t>水油相工房内4m</w:t>
            </w:r>
            <w:r>
              <w:rPr>
                <w:rFonts w:hint="eastAsia" w:cs="Times New Roman" w:eastAsiaTheme="minorEastAsia"/>
                <w:color w:val="auto"/>
                <w:sz w:val="24"/>
                <w:szCs w:val="24"/>
                <w:highlight w:val="none"/>
                <w:vertAlign w:val="superscript"/>
                <w:lang w:val="en-US" w:eastAsia="zh-CN"/>
              </w:rPr>
              <w:t>3</w:t>
            </w:r>
            <w:r>
              <w:rPr>
                <w:rFonts w:hint="default" w:ascii="Times New Roman" w:hAnsi="Times New Roman" w:cs="Times New Roman" w:eastAsiaTheme="minorEastAsia"/>
                <w:color w:val="auto"/>
                <w:sz w:val="24"/>
                <w:szCs w:val="24"/>
                <w:highlight w:val="none"/>
                <w:lang w:val="en-US" w:eastAsia="zh-CN"/>
              </w:rPr>
              <w:t>油相</w:t>
            </w:r>
            <w:r>
              <w:rPr>
                <w:rFonts w:hint="eastAsia" w:cs="Times New Roman" w:eastAsiaTheme="minorEastAsia"/>
                <w:color w:val="auto"/>
                <w:sz w:val="24"/>
                <w:szCs w:val="24"/>
                <w:highlight w:val="none"/>
                <w:lang w:val="en-US" w:eastAsia="zh-CN"/>
              </w:rPr>
              <w:t>制备</w:t>
            </w:r>
            <w:r>
              <w:rPr>
                <w:rFonts w:hint="default" w:ascii="Times New Roman" w:hAnsi="Times New Roman" w:cs="Times New Roman" w:eastAsiaTheme="minorEastAsia"/>
                <w:color w:val="auto"/>
                <w:sz w:val="24"/>
                <w:szCs w:val="24"/>
                <w:highlight w:val="none"/>
                <w:lang w:val="en-US" w:eastAsia="zh-CN"/>
              </w:rPr>
              <w:t>罐</w:t>
            </w:r>
            <w:r>
              <w:rPr>
                <w:rFonts w:hint="eastAsia" w:cs="Times New Roman" w:eastAsiaTheme="minorEastAsia"/>
                <w:color w:val="auto"/>
                <w:sz w:val="24"/>
                <w:szCs w:val="24"/>
                <w:highlight w:val="none"/>
                <w:lang w:val="en-US" w:eastAsia="zh-CN"/>
              </w:rPr>
              <w:t>进行保温搅拌</w:t>
            </w:r>
            <w:r>
              <w:rPr>
                <w:rFonts w:hint="eastAsia" w:ascii="Times New Roman" w:hAnsi="Times New Roman" w:cs="Times New Roman"/>
                <w:color w:val="auto"/>
                <w:sz w:val="24"/>
                <w:szCs w:val="24"/>
                <w:highlight w:val="none"/>
                <w:lang w:val="en-US" w:eastAsia="zh-CN"/>
              </w:rPr>
              <w:t>，</w:t>
            </w:r>
            <w:r>
              <w:rPr>
                <w:rFonts w:hint="eastAsia" w:ascii="Times New Roman" w:hAnsi="Times New Roman" w:cs="Times New Roman" w:eastAsiaTheme="minorEastAsia"/>
                <w:color w:val="auto"/>
                <w:sz w:val="24"/>
                <w:szCs w:val="24"/>
                <w:highlight w:val="none"/>
                <w:lang w:val="en-US" w:eastAsia="zh-CN"/>
              </w:rPr>
              <w:t>当油相溶液温度达到工艺要求</w:t>
            </w:r>
            <w:r>
              <w:rPr>
                <w:rFonts w:hint="eastAsia" w:cs="Times New Roman" w:eastAsiaTheme="minorEastAsia"/>
                <w:color w:val="auto"/>
                <w:sz w:val="24"/>
                <w:szCs w:val="24"/>
                <w:highlight w:val="none"/>
                <w:lang w:val="en-US" w:eastAsia="zh-CN"/>
              </w:rPr>
              <w:t>（85-95</w:t>
            </w:r>
            <w:r>
              <w:rPr>
                <w:rFonts w:hint="eastAsia" w:cs="Times New Roman" w:eastAsiaTheme="minorEastAsia"/>
                <w:color w:val="auto"/>
                <w:sz w:val="24"/>
                <w:szCs w:val="24"/>
                <w:lang w:val="en-US" w:eastAsia="zh-CN"/>
              </w:rPr>
              <w:t>℃</w:t>
            </w:r>
            <w:r>
              <w:rPr>
                <w:rFonts w:hint="eastAsia" w:cs="Times New Roman" w:eastAsiaTheme="minorEastAsia"/>
                <w:color w:val="auto"/>
                <w:sz w:val="24"/>
                <w:szCs w:val="24"/>
                <w:highlight w:val="none"/>
                <w:lang w:val="en-US" w:eastAsia="zh-CN"/>
              </w:rPr>
              <w:t>）</w:t>
            </w:r>
            <w:r>
              <w:rPr>
                <w:rFonts w:hint="eastAsia" w:ascii="Times New Roman" w:hAnsi="Times New Roman" w:cs="Times New Roman" w:eastAsiaTheme="minorEastAsia"/>
                <w:color w:val="auto"/>
                <w:sz w:val="24"/>
                <w:szCs w:val="24"/>
                <w:highlight w:val="none"/>
                <w:lang w:val="en-US" w:eastAsia="zh-CN"/>
              </w:rPr>
              <w:t>后，</w:t>
            </w:r>
            <w:r>
              <w:rPr>
                <w:rFonts w:hint="eastAsia" w:ascii="Times New Roman" w:hAnsi="Times New Roman" w:cs="Times New Roman"/>
                <w:color w:val="auto"/>
                <w:sz w:val="24"/>
                <w:szCs w:val="24"/>
                <w:highlight w:val="none"/>
                <w:lang w:val="en-US" w:eastAsia="zh-CN"/>
              </w:rPr>
              <w:t>再将油相经过过滤器过滤后泵送</w:t>
            </w:r>
            <w:r>
              <w:rPr>
                <w:rFonts w:hint="eastAsia" w:ascii="Times New Roman" w:hAnsi="Times New Roman" w:cs="Times New Roman" w:eastAsiaTheme="minorEastAsia"/>
                <w:color w:val="auto"/>
                <w:sz w:val="24"/>
                <w:szCs w:val="24"/>
                <w:highlight w:val="none"/>
                <w:lang w:val="en-US" w:eastAsia="zh-CN"/>
              </w:rPr>
              <w:t>至乳化炸药震源药柱生产工房内的油相储罐保温备用。</w:t>
            </w:r>
          </w:p>
          <w:p w14:paraId="7C34814A">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default" w:ascii="Times New Roman" w:hAnsi="Times New Roman" w:cs="Times New Roman" w:eastAsiaTheme="minorEastAsia"/>
                <w:color w:val="auto"/>
                <w:sz w:val="24"/>
                <w:szCs w:val="24"/>
                <w:highlight w:val="none"/>
                <w:u w:val="single"/>
                <w:lang w:val="en-US" w:eastAsia="zh-CN"/>
              </w:rPr>
              <w:t>：</w:t>
            </w:r>
            <w:r>
              <w:rPr>
                <w:rFonts w:hint="eastAsia" w:ascii="Times New Roman" w:hAnsi="Times New Roman" w:cs="Times New Roman"/>
                <w:color w:val="auto"/>
                <w:sz w:val="24"/>
                <w:szCs w:val="24"/>
                <w:u w:val="single"/>
                <w:lang w:val="en-US" w:eastAsia="zh-CN"/>
              </w:rPr>
              <w:t>该过程油相上料输送均为密闭连接，上料过程中储罐产生少量废气排放G2，</w:t>
            </w:r>
            <w:r>
              <w:rPr>
                <w:rFonts w:hint="eastAsia" w:ascii="Times New Roman" w:hAnsi="Times New Roman" w:cs="Times New Roman"/>
                <w:color w:val="auto"/>
                <w:sz w:val="24"/>
                <w:szCs w:val="24"/>
                <w:highlight w:val="none"/>
                <w:u w:val="single"/>
                <w:lang w:val="en-US" w:eastAsia="zh-CN"/>
              </w:rPr>
              <w:t>以非甲烷总烃计。</w:t>
            </w:r>
            <w:r>
              <w:rPr>
                <w:rFonts w:hint="eastAsia" w:ascii="Times New Roman" w:hAnsi="Times New Roman" w:cs="Times New Roman"/>
                <w:color w:val="auto"/>
                <w:sz w:val="24"/>
                <w:szCs w:val="24"/>
                <w:u w:val="single"/>
                <w:lang w:val="en-US" w:eastAsia="zh-CN"/>
              </w:rPr>
              <w:t>油相过滤产生滤渣S2。上料和输送产生泵类噪声N。</w:t>
            </w:r>
          </w:p>
          <w:p w14:paraId="3724B0CA">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（3）</w:t>
            </w:r>
            <w:r>
              <w:rPr>
                <w:rFonts w:hint="eastAsia" w:ascii="Times New Roman" w:hAnsi="Times New Roman" w:cs="Times New Roman" w:eastAsiaTheme="minorEastAsia"/>
                <w:color w:val="auto"/>
                <w:sz w:val="24"/>
                <w:szCs w:val="24"/>
                <w:lang w:val="en-US" w:eastAsia="zh-CN"/>
              </w:rPr>
              <w:t>乳化</w:t>
            </w:r>
          </w:p>
          <w:p w14:paraId="37C6BEBB">
            <w:pPr>
              <w:keepNext/>
              <w:keepLines w:val="0"/>
              <w:pageBreakBefore w:val="0"/>
              <w:kinsoku/>
              <w:wordWrap/>
              <w:overflowPunct/>
              <w:topLinePunct w:val="0"/>
              <w:bidi w:val="0"/>
              <w:spacing w:line="360" w:lineRule="auto"/>
              <w:ind w:firstLine="480" w:firstLineChars="200"/>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配制好的水、油相溶液</w:t>
            </w:r>
            <w:r>
              <w:rPr>
                <w:rFonts w:hint="default" w:ascii="Times New Roman" w:hAnsi="Times New Roman" w:cs="Times New Roman" w:eastAsiaTheme="minorEastAsia"/>
                <w:color w:val="auto"/>
                <w:sz w:val="24"/>
                <w:szCs w:val="24"/>
                <w:lang w:val="en-US" w:eastAsia="zh-CN"/>
              </w:rPr>
              <w:t>经过输送泵经计量仪表，按工艺要求配比进入静态乳化</w:t>
            </w:r>
            <w:r>
              <w:rPr>
                <w:rFonts w:hint="eastAsia" w:cs="Times New Roman" w:eastAsiaTheme="minorEastAsia"/>
                <w:color w:val="auto"/>
                <w:sz w:val="24"/>
                <w:szCs w:val="24"/>
                <w:lang w:val="en-US" w:eastAsia="zh-CN"/>
              </w:rPr>
              <w:t>器</w:t>
            </w:r>
            <w:r>
              <w:rPr>
                <w:rFonts w:hint="eastAsia" w:ascii="Times New Roman" w:hAnsi="Times New Roman" w:cs="Times New Roman" w:eastAsiaTheme="minorEastAsia"/>
                <w:color w:val="auto"/>
                <w:sz w:val="24"/>
                <w:szCs w:val="24"/>
                <w:lang w:val="en-US" w:eastAsia="zh-CN"/>
              </w:rPr>
              <w:t>进行精乳</w:t>
            </w:r>
            <w:r>
              <w:rPr>
                <w:rFonts w:hint="default" w:ascii="Times New Roman" w:hAnsi="Times New Roman" w:cs="Times New Roman" w:eastAsiaTheme="minorEastAsia"/>
                <w:color w:val="auto"/>
                <w:sz w:val="24"/>
                <w:szCs w:val="24"/>
                <w:lang w:val="en-US" w:eastAsia="zh-CN"/>
              </w:rPr>
              <w:t>。</w:t>
            </w:r>
          </w:p>
          <w:p w14:paraId="7932B23A">
            <w:pPr>
              <w:keepNext/>
              <w:keepLines w:val="0"/>
              <w:pageBreakBefore w:val="0"/>
              <w:kinsoku/>
              <w:wordWrap/>
              <w:overflowPunct/>
              <w:topLinePunct w:val="0"/>
              <w:bidi w:val="0"/>
              <w:spacing w:line="360" w:lineRule="auto"/>
              <w:ind w:firstLine="480" w:firstLineChars="200"/>
              <w:rPr>
                <w:rFonts w:hint="default" w:ascii="Times New Roman" w:hAnsi="Times New Roman" w:cs="Times New Roman"/>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ascii="Times New Roman" w:hAnsi="Times New Roman" w:cs="Times New Roman"/>
                <w:color w:val="auto"/>
                <w:sz w:val="24"/>
                <w:szCs w:val="24"/>
                <w:u w:val="single"/>
                <w:lang w:val="en-US" w:eastAsia="zh-CN"/>
              </w:rPr>
              <w:t>该工艺过程水、油相输送均为密闭输送，静态乳化系统为密闭运行，不产生废气。乳化和物料输送产生机泵噪声N。乳化产生少量不合格品S3。</w:t>
            </w:r>
          </w:p>
          <w:p w14:paraId="6FEEBB51">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（4）</w:t>
            </w:r>
            <w:r>
              <w:rPr>
                <w:rFonts w:hint="eastAsia" w:ascii="Times New Roman" w:hAnsi="Times New Roman" w:cs="Times New Roman" w:eastAsiaTheme="minorEastAsia"/>
                <w:color w:val="auto"/>
                <w:sz w:val="24"/>
                <w:szCs w:val="24"/>
                <w:lang w:val="en-US" w:eastAsia="zh-CN"/>
              </w:rPr>
              <w:t>冷却</w:t>
            </w:r>
          </w:p>
          <w:p w14:paraId="52295CA3">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乳化器中流出的乳胶基质平铺到冷却器</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钢带</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上，进行凉药输送，</w:t>
            </w:r>
            <w:r>
              <w:rPr>
                <w:rFonts w:hint="eastAsia" w:ascii="Times New Roman" w:hAnsi="Times New Roman" w:cs="Times New Roman"/>
                <w:color w:val="auto"/>
                <w:sz w:val="24"/>
                <w:szCs w:val="24"/>
                <w:lang w:val="en-US" w:eastAsia="zh-CN"/>
              </w:rPr>
              <w:t>钢带下方设置冷却水系统，</w:t>
            </w:r>
            <w:r>
              <w:rPr>
                <w:rFonts w:hint="default" w:ascii="Times New Roman" w:hAnsi="Times New Roman" w:cs="Times New Roman" w:eastAsiaTheme="minorEastAsia"/>
                <w:color w:val="auto"/>
                <w:sz w:val="24"/>
                <w:szCs w:val="24"/>
                <w:lang w:val="en-US" w:eastAsia="zh-CN"/>
              </w:rPr>
              <w:t>通过冷却器</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钢带</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使乳胶基质温度达到工艺要求</w:t>
            </w:r>
            <w:r>
              <w:rPr>
                <w:rFonts w:hint="eastAsia" w:ascii="Times New Roman" w:hAnsi="Times New Roman" w:cs="Times New Roman"/>
                <w:color w:val="auto"/>
                <w:sz w:val="24"/>
                <w:szCs w:val="24"/>
                <w:lang w:val="en-US" w:eastAsia="zh-CN"/>
              </w:rPr>
              <w:t>（约50</w:t>
            </w:r>
            <w:r>
              <w:rPr>
                <w:rFonts w:hint="default" w:ascii="Times New Roman" w:hAnsi="Times New Roman" w:cs="Times New Roman" w:eastAsiaTheme="minorEastAsia"/>
                <w:color w:val="auto"/>
                <w:sz w:val="24"/>
                <w:szCs w:val="24"/>
                <w:lang w:val="en-US" w:eastAsia="zh-CN"/>
              </w:rPr>
              <w:t>℃</w:t>
            </w:r>
            <w:r>
              <w:rPr>
                <w:rFonts w:hint="eastAsia" w:ascii="Times New Roman" w:hAnsi="Times New Roman" w:cs="Times New Roman"/>
                <w:color w:val="auto"/>
                <w:sz w:val="24"/>
                <w:szCs w:val="24"/>
                <w:lang w:val="en-US" w:eastAsia="zh-CN"/>
              </w:rPr>
              <w:t>），冷却方式采用循环冷却水间接冷却</w:t>
            </w:r>
            <w:r>
              <w:rPr>
                <w:rFonts w:hint="eastAsia" w:cs="Times New Roman"/>
                <w:color w:val="auto"/>
                <w:sz w:val="24"/>
                <w:szCs w:val="24"/>
                <w:lang w:val="en-US" w:eastAsia="zh-CN"/>
              </w:rPr>
              <w:t>。</w:t>
            </w:r>
          </w:p>
          <w:p w14:paraId="2F133AFF">
            <w:pPr>
              <w:keepNext/>
              <w:keepLines w:val="0"/>
              <w:pageBreakBefore w:val="0"/>
              <w:kinsoku/>
              <w:wordWrap/>
              <w:overflowPunct/>
              <w:topLinePunct w:val="0"/>
              <w:bidi w:val="0"/>
              <w:spacing w:line="360" w:lineRule="auto"/>
              <w:ind w:firstLine="480" w:firstLineChars="200"/>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ascii="Times New Roman" w:hAnsi="Times New Roman" w:cs="Times New Roman"/>
                <w:color w:val="auto"/>
                <w:sz w:val="24"/>
                <w:szCs w:val="24"/>
                <w:u w:val="single"/>
                <w:lang w:val="en-US" w:eastAsia="zh-CN"/>
              </w:rPr>
              <w:t>该工艺过程在凉药输送过程中产生挥发性有机废气G3，以非甲烷总烃计。钢带清理产生药渣作为不合格品计入S3。设备运行产生噪声N。</w:t>
            </w:r>
          </w:p>
          <w:p w14:paraId="22470853">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（5）</w:t>
            </w:r>
            <w:r>
              <w:rPr>
                <w:rFonts w:hint="eastAsia" w:ascii="Times New Roman" w:hAnsi="Times New Roman" w:cs="Times New Roman" w:eastAsiaTheme="minorEastAsia"/>
                <w:color w:val="auto"/>
                <w:sz w:val="24"/>
                <w:szCs w:val="24"/>
                <w:lang w:val="en-US" w:eastAsia="zh-CN"/>
              </w:rPr>
              <w:t>敏化</w:t>
            </w:r>
          </w:p>
          <w:p w14:paraId="4BE5F56B">
            <w:pPr>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highlight w:val="none"/>
                <w:lang w:val="en-US" w:eastAsia="zh-CN"/>
              </w:rPr>
              <w:t>珍珠岩先上料至车间内珍珠岩料仓，计量后</w:t>
            </w:r>
            <w:r>
              <w:rPr>
                <w:rFonts w:hint="eastAsia" w:ascii="Times New Roman" w:hAnsi="Times New Roman" w:cs="Times New Roman" w:eastAsiaTheme="minorEastAsia"/>
                <w:color w:val="auto"/>
                <w:sz w:val="24"/>
                <w:szCs w:val="24"/>
                <w:highlight w:val="none"/>
                <w:lang w:val="en-US" w:eastAsia="zh-CN"/>
              </w:rPr>
              <w:t>经</w:t>
            </w:r>
            <w:r>
              <w:rPr>
                <w:rFonts w:hint="eastAsia" w:cs="Times New Roman" w:eastAsiaTheme="minorEastAsia"/>
                <w:color w:val="auto"/>
                <w:sz w:val="24"/>
                <w:szCs w:val="24"/>
                <w:highlight w:val="none"/>
                <w:lang w:val="en-US" w:eastAsia="zh-CN"/>
              </w:rPr>
              <w:t>密闭</w:t>
            </w:r>
            <w:r>
              <w:rPr>
                <w:rFonts w:hint="default" w:cs="Times New Roman" w:eastAsiaTheme="minorEastAsia"/>
                <w:color w:val="auto"/>
                <w:sz w:val="24"/>
                <w:szCs w:val="24"/>
                <w:highlight w:val="none"/>
                <w:lang w:val="en-US" w:eastAsia="zh-CN"/>
              </w:rPr>
              <w:t>螺旋</w:t>
            </w:r>
            <w:r>
              <w:rPr>
                <w:rFonts w:hint="eastAsia" w:cs="Times New Roman" w:eastAsiaTheme="minorEastAsia"/>
                <w:color w:val="auto"/>
                <w:sz w:val="24"/>
                <w:szCs w:val="24"/>
                <w:highlight w:val="none"/>
                <w:lang w:val="en-US" w:eastAsia="zh-CN"/>
              </w:rPr>
              <w:t>输送系统进入敏化机中，</w:t>
            </w:r>
            <w:r>
              <w:rPr>
                <w:rFonts w:hint="eastAsia" w:ascii="Times New Roman" w:hAnsi="Times New Roman" w:cs="Times New Roman" w:eastAsiaTheme="minorEastAsia"/>
                <w:color w:val="auto"/>
                <w:sz w:val="24"/>
                <w:szCs w:val="24"/>
                <w:highlight w:val="none"/>
                <w:lang w:val="en-US" w:eastAsia="zh-CN"/>
              </w:rPr>
              <w:t>与乳</w:t>
            </w:r>
            <w:r>
              <w:rPr>
                <w:rFonts w:hint="eastAsia" w:ascii="Times New Roman" w:hAnsi="Times New Roman" w:cs="Times New Roman" w:eastAsiaTheme="minorEastAsia"/>
                <w:color w:val="auto"/>
                <w:sz w:val="24"/>
                <w:szCs w:val="24"/>
                <w:lang w:val="en-US" w:eastAsia="zh-CN"/>
              </w:rPr>
              <w:t>胶基质进行混合</w:t>
            </w:r>
            <w:r>
              <w:rPr>
                <w:rFonts w:hint="eastAsia" w:cs="Times New Roman" w:eastAsiaTheme="minorEastAsia"/>
                <w:color w:val="auto"/>
                <w:sz w:val="24"/>
                <w:szCs w:val="24"/>
                <w:lang w:val="en-US" w:eastAsia="zh-CN"/>
              </w:rPr>
              <w:t>敏化</w:t>
            </w:r>
            <w:r>
              <w:rPr>
                <w:rFonts w:hint="eastAsia"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敏化后的炸药通过散料输送皮带进入到装药机</w:t>
            </w:r>
            <w:r>
              <w:rPr>
                <w:rFonts w:hint="eastAsia" w:ascii="Times New Roman" w:hAnsi="Times New Roman" w:cs="Times New Roman"/>
                <w:color w:val="auto"/>
                <w:sz w:val="24"/>
                <w:szCs w:val="24"/>
                <w:lang w:val="en-US" w:eastAsia="zh-CN"/>
              </w:rPr>
              <w:t>，根据不同规格要求</w:t>
            </w:r>
            <w:r>
              <w:rPr>
                <w:rFonts w:hint="default" w:ascii="Times New Roman" w:hAnsi="Times New Roman" w:cs="Times New Roman" w:eastAsiaTheme="minorEastAsia"/>
                <w:color w:val="auto"/>
                <w:sz w:val="24"/>
                <w:szCs w:val="24"/>
                <w:lang w:val="en-US" w:eastAsia="zh-CN"/>
              </w:rPr>
              <w:t>装药。</w:t>
            </w:r>
          </w:p>
          <w:p w14:paraId="2D7DF361">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cs="Times New Roman" w:eastAsiaTheme="minorEastAsia"/>
                <w:color w:val="auto"/>
                <w:sz w:val="24"/>
                <w:szCs w:val="24"/>
                <w:u w:val="single"/>
                <w:lang w:val="en-US" w:eastAsia="zh-CN"/>
              </w:rPr>
              <w:t>该工艺珍珠岩为密闭输送，仅在</w:t>
            </w:r>
            <w:r>
              <w:rPr>
                <w:rFonts w:hint="eastAsia" w:ascii="Times New Roman" w:hAnsi="Times New Roman" w:cs="Times New Roman"/>
                <w:color w:val="auto"/>
                <w:sz w:val="24"/>
                <w:szCs w:val="24"/>
                <w:highlight w:val="none"/>
                <w:u w:val="single"/>
                <w:lang w:val="en-US" w:eastAsia="zh-CN"/>
              </w:rPr>
              <w:t>上料</w:t>
            </w:r>
            <w:r>
              <w:rPr>
                <w:rFonts w:hint="eastAsia" w:cs="Times New Roman"/>
                <w:color w:val="auto"/>
                <w:sz w:val="24"/>
                <w:szCs w:val="24"/>
                <w:highlight w:val="none"/>
                <w:u w:val="single"/>
                <w:lang w:val="en-US" w:eastAsia="zh-CN"/>
              </w:rPr>
              <w:t>过程会产生</w:t>
            </w:r>
            <w:r>
              <w:rPr>
                <w:rFonts w:hint="eastAsia" w:ascii="Times New Roman" w:hAnsi="Times New Roman" w:cs="Times New Roman"/>
                <w:color w:val="auto"/>
                <w:sz w:val="24"/>
                <w:szCs w:val="24"/>
                <w:highlight w:val="none"/>
                <w:u w:val="single"/>
                <w:lang w:val="en-US" w:eastAsia="zh-CN"/>
              </w:rPr>
              <w:t>粉尘G4</w:t>
            </w: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color w:val="auto"/>
                <w:sz w:val="24"/>
                <w:szCs w:val="24"/>
                <w:u w:val="single"/>
                <w:lang w:val="en-US" w:eastAsia="zh-CN"/>
              </w:rPr>
              <w:t>敏化器为密闭运行，不产生废气。</w:t>
            </w:r>
            <w:r>
              <w:rPr>
                <w:rFonts w:hint="default" w:ascii="Times New Roman" w:hAnsi="Times New Roman" w:cs="Times New Roman" w:eastAsiaTheme="minorEastAsia"/>
                <w:color w:val="auto"/>
                <w:sz w:val="24"/>
                <w:szCs w:val="24"/>
                <w:u w:val="single"/>
                <w:lang w:val="en-US" w:eastAsia="zh-CN"/>
              </w:rPr>
              <w:t>散料输送皮带</w:t>
            </w:r>
            <w:r>
              <w:rPr>
                <w:rFonts w:hint="eastAsia" w:ascii="Times New Roman" w:hAnsi="Times New Roman" w:cs="Times New Roman"/>
                <w:color w:val="auto"/>
                <w:sz w:val="24"/>
                <w:szCs w:val="24"/>
                <w:u w:val="single"/>
                <w:lang w:val="en-US" w:eastAsia="zh-CN"/>
              </w:rPr>
              <w:t>输送过程中产生挥发性有机废气G5，以非甲烷总烃计。敏化产生少量不合格品S4，输送过程产生皮带清理药渣作为不合格品计入S4。敏化和物料输送过程产生设备噪声N。</w:t>
            </w:r>
          </w:p>
          <w:p w14:paraId="07B52CF1">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（6）</w:t>
            </w:r>
            <w:r>
              <w:rPr>
                <w:rFonts w:hint="eastAsia" w:ascii="Times New Roman" w:hAnsi="Times New Roman" w:cs="Times New Roman" w:eastAsiaTheme="minorEastAsia"/>
                <w:color w:val="auto"/>
                <w:sz w:val="24"/>
                <w:szCs w:val="24"/>
                <w:lang w:val="en-US" w:eastAsia="zh-CN"/>
              </w:rPr>
              <w:t>装药</w:t>
            </w:r>
          </w:p>
          <w:p w14:paraId="1A51BB30">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敏化后的乳化炸药通过皮带输送至装药机下料口，由自动装药机装填成各种规格的震源药柱。</w:t>
            </w:r>
          </w:p>
          <w:p w14:paraId="0FB18B7A">
            <w:pPr>
              <w:keepNext/>
              <w:keepLines w:val="0"/>
              <w:pageBreakBefore w:val="0"/>
              <w:kinsoku/>
              <w:wordWrap/>
              <w:overflowPunct/>
              <w:topLinePunct w:val="0"/>
              <w:bidi w:val="0"/>
              <w:spacing w:line="360" w:lineRule="auto"/>
              <w:ind w:firstLine="480" w:firstLineChars="200"/>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ascii="Times New Roman" w:hAnsi="Times New Roman" w:cs="Times New Roman"/>
                <w:color w:val="auto"/>
                <w:sz w:val="24"/>
                <w:szCs w:val="24"/>
                <w:u w:val="single"/>
                <w:lang w:val="en-US" w:eastAsia="zh-CN"/>
              </w:rPr>
              <w:t>装药过程</w:t>
            </w:r>
            <w:r>
              <w:rPr>
                <w:rFonts w:hint="eastAsia" w:cs="Times New Roman"/>
                <w:color w:val="auto"/>
                <w:sz w:val="24"/>
                <w:szCs w:val="24"/>
                <w:u w:val="single"/>
                <w:lang w:val="en-US" w:eastAsia="zh-CN"/>
              </w:rPr>
              <w:t>会</w:t>
            </w:r>
            <w:r>
              <w:rPr>
                <w:rFonts w:hint="eastAsia" w:ascii="Times New Roman" w:hAnsi="Times New Roman" w:cs="Times New Roman"/>
                <w:color w:val="auto"/>
                <w:sz w:val="24"/>
                <w:szCs w:val="24"/>
                <w:u w:val="single"/>
                <w:lang w:val="en-US" w:eastAsia="zh-CN"/>
              </w:rPr>
              <w:t>产生不合格品S5。</w:t>
            </w:r>
            <w:r>
              <w:rPr>
                <w:rFonts w:hint="eastAsia" w:cs="Times New Roman"/>
                <w:color w:val="auto"/>
                <w:sz w:val="24"/>
                <w:szCs w:val="24"/>
                <w:u w:val="single"/>
                <w:lang w:val="en-US" w:eastAsia="zh-CN"/>
              </w:rPr>
              <w:t>装药</w:t>
            </w:r>
            <w:r>
              <w:rPr>
                <w:rFonts w:hint="eastAsia" w:ascii="Times New Roman" w:hAnsi="Times New Roman" w:cs="Times New Roman"/>
                <w:color w:val="auto"/>
                <w:sz w:val="24"/>
                <w:szCs w:val="24"/>
                <w:u w:val="single"/>
                <w:lang w:val="en-US" w:eastAsia="zh-CN"/>
              </w:rPr>
              <w:t>设备产生噪声N。</w:t>
            </w:r>
          </w:p>
          <w:p w14:paraId="3AAF5318">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（7）</w:t>
            </w:r>
            <w:r>
              <w:rPr>
                <w:rFonts w:hint="eastAsia" w:ascii="Times New Roman" w:hAnsi="Times New Roman" w:cs="Times New Roman" w:eastAsiaTheme="minorEastAsia"/>
                <w:color w:val="auto"/>
                <w:sz w:val="24"/>
                <w:szCs w:val="24"/>
                <w:lang w:val="en-US" w:eastAsia="zh-CN"/>
              </w:rPr>
              <w:t>压盖、封口、装配连接套</w:t>
            </w:r>
          </w:p>
          <w:p w14:paraId="4A6739A9">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震源药柱由压盖机压盖，自动封口连接套装配一体机封口、装配连接套后进入包装工序。</w:t>
            </w:r>
          </w:p>
          <w:p w14:paraId="1C47E26A">
            <w:pPr>
              <w:keepNext/>
              <w:keepLines w:val="0"/>
              <w:pageBreakBefore w:val="0"/>
              <w:kinsoku/>
              <w:wordWrap/>
              <w:overflowPunct/>
              <w:topLinePunct w:val="0"/>
              <w:bidi w:val="0"/>
              <w:spacing w:line="360" w:lineRule="auto"/>
              <w:ind w:firstLine="480" w:firstLineChars="200"/>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cs="Times New Roman"/>
                <w:color w:val="auto"/>
                <w:sz w:val="24"/>
                <w:szCs w:val="24"/>
                <w:u w:val="single"/>
                <w:lang w:val="en-US" w:eastAsia="zh-CN"/>
              </w:rPr>
              <w:t>该</w:t>
            </w:r>
            <w:r>
              <w:rPr>
                <w:rFonts w:hint="eastAsia" w:ascii="Times New Roman" w:hAnsi="Times New Roman" w:cs="Times New Roman"/>
                <w:color w:val="auto"/>
                <w:sz w:val="24"/>
                <w:szCs w:val="24"/>
                <w:u w:val="single"/>
                <w:lang w:val="en-US" w:eastAsia="zh-CN"/>
              </w:rPr>
              <w:t>过程</w:t>
            </w:r>
            <w:r>
              <w:rPr>
                <w:rFonts w:hint="eastAsia" w:cs="Times New Roman"/>
                <w:color w:val="auto"/>
                <w:sz w:val="24"/>
                <w:szCs w:val="24"/>
                <w:u w:val="single"/>
                <w:lang w:val="en-US" w:eastAsia="zh-CN"/>
              </w:rPr>
              <w:t>会</w:t>
            </w:r>
            <w:r>
              <w:rPr>
                <w:rFonts w:hint="eastAsia" w:ascii="Times New Roman" w:hAnsi="Times New Roman" w:cs="Times New Roman"/>
                <w:color w:val="auto"/>
                <w:sz w:val="24"/>
                <w:szCs w:val="24"/>
                <w:u w:val="single"/>
                <w:lang w:val="en-US" w:eastAsia="zh-CN"/>
              </w:rPr>
              <w:t>产生不合格品S</w:t>
            </w:r>
            <w:r>
              <w:rPr>
                <w:rFonts w:hint="eastAsia" w:cs="Times New Roman"/>
                <w:color w:val="auto"/>
                <w:sz w:val="24"/>
                <w:szCs w:val="24"/>
                <w:u w:val="single"/>
                <w:lang w:val="en-US" w:eastAsia="zh-CN"/>
              </w:rPr>
              <w:t>6</w:t>
            </w:r>
            <w:r>
              <w:rPr>
                <w:rFonts w:hint="eastAsia" w:ascii="Times New Roman" w:hAnsi="Times New Roman" w:cs="Times New Roman"/>
                <w:color w:val="auto"/>
                <w:sz w:val="24"/>
                <w:szCs w:val="24"/>
                <w:u w:val="single"/>
                <w:lang w:val="en-US" w:eastAsia="zh-CN"/>
              </w:rPr>
              <w:t>。</w:t>
            </w:r>
            <w:r>
              <w:rPr>
                <w:rFonts w:hint="eastAsia" w:ascii="Times New Roman" w:hAnsi="Times New Roman" w:cs="Times New Roman" w:eastAsiaTheme="minorEastAsia"/>
                <w:color w:val="auto"/>
                <w:sz w:val="24"/>
                <w:szCs w:val="24"/>
                <w:u w:val="single"/>
                <w:lang w:val="en-US" w:eastAsia="zh-CN"/>
              </w:rPr>
              <w:t>压盖、封口、装配连接套</w:t>
            </w:r>
            <w:r>
              <w:rPr>
                <w:rFonts w:hint="eastAsia" w:ascii="Times New Roman" w:hAnsi="Times New Roman" w:cs="Times New Roman"/>
                <w:color w:val="auto"/>
                <w:sz w:val="24"/>
                <w:szCs w:val="24"/>
                <w:u w:val="single"/>
                <w:lang w:val="en-US" w:eastAsia="zh-CN"/>
              </w:rPr>
              <w:t>设备产生噪声N。</w:t>
            </w:r>
          </w:p>
          <w:p w14:paraId="5AB40518">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（8）</w:t>
            </w:r>
            <w:r>
              <w:rPr>
                <w:rFonts w:hint="eastAsia" w:ascii="Times New Roman" w:hAnsi="Times New Roman" w:cs="Times New Roman" w:eastAsiaTheme="minorEastAsia"/>
                <w:color w:val="auto"/>
                <w:sz w:val="24"/>
                <w:szCs w:val="24"/>
                <w:lang w:val="en-US" w:eastAsia="zh-CN"/>
              </w:rPr>
              <w:t>包装</w:t>
            </w:r>
          </w:p>
          <w:p w14:paraId="78B9027D">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乳化炸药震源药柱由机器人自动包装系统完成</w:t>
            </w:r>
            <w:r>
              <w:rPr>
                <w:rFonts w:hint="eastAsia" w:cs="Times New Roman" w:eastAsiaTheme="minorEastAsia"/>
                <w:color w:val="auto"/>
                <w:sz w:val="24"/>
                <w:szCs w:val="24"/>
                <w:lang w:val="en-US" w:eastAsia="zh-CN"/>
              </w:rPr>
              <w:t>喷码、</w:t>
            </w:r>
            <w:r>
              <w:rPr>
                <w:rFonts w:hint="eastAsia" w:ascii="Times New Roman" w:hAnsi="Times New Roman" w:cs="Times New Roman" w:eastAsiaTheme="minorEastAsia"/>
                <w:color w:val="auto"/>
                <w:sz w:val="24"/>
                <w:szCs w:val="24"/>
                <w:lang w:val="en-US" w:eastAsia="zh-CN"/>
              </w:rPr>
              <w:t>装箱、捆扎。</w:t>
            </w:r>
          </w:p>
          <w:p w14:paraId="204D2162">
            <w:pPr>
              <w:keepNext/>
              <w:keepLines w:val="0"/>
              <w:pageBreakBefore w:val="0"/>
              <w:kinsoku/>
              <w:wordWrap/>
              <w:overflowPunct/>
              <w:topLinePunct w:val="0"/>
              <w:bidi w:val="0"/>
              <w:spacing w:line="360" w:lineRule="auto"/>
              <w:ind w:firstLine="480" w:firstLineChars="200"/>
              <w:rPr>
                <w:rFonts w:hint="default"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cs="Times New Roman" w:eastAsiaTheme="minorEastAsia"/>
                <w:color w:val="auto"/>
                <w:sz w:val="24"/>
                <w:szCs w:val="24"/>
                <w:u w:val="single"/>
                <w:lang w:val="en-US" w:eastAsia="zh-CN"/>
              </w:rPr>
              <w:t>喷码过程会产生挥发性有机废气G6，以非甲烷总烃计。喷码、装箱、捆扎过程产生设备噪声N。</w:t>
            </w:r>
          </w:p>
          <w:p w14:paraId="76FB8B35">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（9）</w:t>
            </w:r>
            <w:r>
              <w:rPr>
                <w:rFonts w:hint="eastAsia" w:ascii="Times New Roman" w:hAnsi="Times New Roman" w:cs="Times New Roman" w:eastAsiaTheme="minorEastAsia"/>
                <w:color w:val="auto"/>
                <w:sz w:val="24"/>
                <w:szCs w:val="24"/>
                <w:lang w:val="en-US" w:eastAsia="zh-CN"/>
              </w:rPr>
              <w:t>成品中转</w:t>
            </w:r>
          </w:p>
          <w:p w14:paraId="36936408">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包装好的乳化炸药震源药柱通过运输皮带运送至乳化炸药震源药成品中转站台，由工业炸药成品箱</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袋</w:t>
            </w:r>
            <w:r>
              <w:rPr>
                <w:rFonts w:hint="eastAsia" w:cs="Times New Roman" w:eastAsiaTheme="minorEastAsia"/>
                <w:color w:val="auto"/>
                <w:sz w:val="24"/>
                <w:szCs w:val="24"/>
                <w:lang w:val="en-US" w:eastAsia="zh-CN"/>
              </w:rPr>
              <w:t>）</w:t>
            </w:r>
            <w:r>
              <w:rPr>
                <w:rFonts w:hint="eastAsia" w:ascii="Times New Roman" w:hAnsi="Times New Roman" w:cs="Times New Roman" w:eastAsiaTheme="minorEastAsia"/>
                <w:color w:val="auto"/>
                <w:sz w:val="24"/>
                <w:szCs w:val="24"/>
                <w:lang w:val="en-US" w:eastAsia="zh-CN"/>
              </w:rPr>
              <w:t>自动上车系统进行码垛装车，再通过成品运输车送往总仓库区贮存。</w:t>
            </w:r>
          </w:p>
          <w:p w14:paraId="04DB2ED2">
            <w:pPr>
              <w:keepNext/>
              <w:keepLines w:val="0"/>
              <w:pageBreakBefore w:val="0"/>
              <w:kinsoku/>
              <w:wordWrap/>
              <w:overflowPunct/>
              <w:topLinePunct w:val="0"/>
              <w:bidi w:val="0"/>
              <w:spacing w:line="360" w:lineRule="auto"/>
              <w:ind w:firstLine="480" w:firstLineChars="200"/>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cs="Times New Roman"/>
                <w:color w:val="auto"/>
                <w:sz w:val="24"/>
                <w:szCs w:val="24"/>
                <w:u w:val="single"/>
                <w:lang w:val="en-US" w:eastAsia="zh-CN"/>
              </w:rPr>
              <w:t>转运</w:t>
            </w:r>
            <w:r>
              <w:rPr>
                <w:rFonts w:hint="eastAsia" w:ascii="Times New Roman" w:hAnsi="Times New Roman" w:cs="Times New Roman"/>
                <w:color w:val="auto"/>
                <w:sz w:val="24"/>
                <w:szCs w:val="24"/>
                <w:u w:val="single"/>
                <w:lang w:val="en-US" w:eastAsia="zh-CN"/>
              </w:rPr>
              <w:t>产生设备噪声N。</w:t>
            </w:r>
          </w:p>
          <w:p w14:paraId="27E7DFAA">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（10）</w:t>
            </w:r>
            <w:r>
              <w:rPr>
                <w:rFonts w:hint="eastAsia" w:ascii="Times New Roman" w:hAnsi="Times New Roman" w:cs="Times New Roman" w:eastAsiaTheme="minorEastAsia"/>
                <w:color w:val="auto"/>
                <w:sz w:val="24"/>
                <w:szCs w:val="24"/>
                <w:lang w:val="en-US" w:eastAsia="zh-CN"/>
              </w:rPr>
              <w:t>不合格品处理</w:t>
            </w:r>
          </w:p>
          <w:p w14:paraId="66D19695">
            <w:pPr>
              <w:keepNext/>
              <w:keepLines w:val="0"/>
              <w:pageBreakBefore w:val="0"/>
              <w:kinsoku/>
              <w:wordWrap/>
              <w:overflowPunct/>
              <w:topLinePunct w:val="0"/>
              <w:bidi w:val="0"/>
              <w:spacing w:line="360" w:lineRule="auto"/>
              <w:ind w:firstLine="480" w:firstLineChars="200"/>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将生产过程中产生的不合格品转运至</w:t>
            </w:r>
            <w:r>
              <w:rPr>
                <w:rFonts w:hint="default" w:ascii="Times New Roman" w:hAnsi="Times New Roman" w:cs="Times New Roman" w:eastAsiaTheme="minorEastAsia"/>
                <w:color w:val="auto"/>
                <w:sz w:val="24"/>
                <w:szCs w:val="24"/>
                <w:highlight w:val="none"/>
                <w:lang w:val="en-US" w:eastAsia="zh-CN"/>
              </w:rPr>
              <w:t>不合格品处理工房</w:t>
            </w:r>
            <w:r>
              <w:rPr>
                <w:rFonts w:hint="eastAsia" w:ascii="Times New Roman" w:hAnsi="Times New Roman" w:cs="Times New Roman" w:eastAsiaTheme="minorEastAsia"/>
                <w:color w:val="auto"/>
                <w:sz w:val="24"/>
                <w:szCs w:val="24"/>
                <w:lang w:val="en-US" w:eastAsia="zh-CN"/>
              </w:rPr>
              <w:t>，</w:t>
            </w:r>
            <w:r>
              <w:rPr>
                <w:rFonts w:hint="eastAsia" w:cs="Times New Roman" w:eastAsiaTheme="minorEastAsia"/>
                <w:color w:val="auto"/>
                <w:sz w:val="24"/>
                <w:szCs w:val="24"/>
                <w:lang w:val="en-US" w:eastAsia="zh-CN"/>
              </w:rPr>
              <w:t>首先人工去除不合格品的包装，再</w:t>
            </w:r>
            <w:r>
              <w:rPr>
                <w:rFonts w:hint="eastAsia" w:ascii="Times New Roman" w:hAnsi="Times New Roman" w:cs="Times New Roman"/>
                <w:color w:val="auto"/>
                <w:sz w:val="24"/>
                <w:szCs w:val="24"/>
                <w:highlight w:val="none"/>
                <w:lang w:val="en-US" w:eastAsia="zh-CN"/>
              </w:rPr>
              <w:t>根据需要混拌少量膨胀珍珠岩</w:t>
            </w:r>
            <w:r>
              <w:rPr>
                <w:rFonts w:hint="default" w:ascii="Times New Roman" w:hAnsi="Times New Roman" w:cs="Times New Roman" w:eastAsiaTheme="minorEastAsia"/>
                <w:color w:val="auto"/>
                <w:sz w:val="24"/>
                <w:szCs w:val="24"/>
                <w:highlight w:val="none"/>
                <w:lang w:val="en-US" w:eastAsia="zh-CN"/>
              </w:rPr>
              <w:t>进行</w:t>
            </w:r>
            <w:r>
              <w:rPr>
                <w:rFonts w:hint="eastAsia" w:ascii="Times New Roman" w:hAnsi="Times New Roman" w:cs="Times New Roman"/>
                <w:color w:val="auto"/>
                <w:sz w:val="24"/>
                <w:szCs w:val="24"/>
                <w:highlight w:val="none"/>
                <w:lang w:val="en-US" w:eastAsia="zh-CN"/>
              </w:rPr>
              <w:t>再次低温物理</w:t>
            </w:r>
            <w:r>
              <w:rPr>
                <w:rFonts w:hint="default" w:ascii="Times New Roman" w:hAnsi="Times New Roman" w:cs="Times New Roman" w:eastAsiaTheme="minorEastAsia"/>
                <w:color w:val="auto"/>
                <w:sz w:val="24"/>
                <w:szCs w:val="24"/>
                <w:highlight w:val="none"/>
                <w:lang w:val="en-US" w:eastAsia="zh-CN"/>
              </w:rPr>
              <w:t xml:space="preserve">敏化 </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eastAsiaTheme="minorEastAsia"/>
                <w:color w:val="auto"/>
                <w:sz w:val="24"/>
                <w:szCs w:val="24"/>
                <w:highlight w:val="none"/>
                <w:lang w:val="en-US" w:eastAsia="zh-CN"/>
              </w:rPr>
              <w:t>温度约40℃</w:t>
            </w:r>
            <w:r>
              <w:rPr>
                <w:rFonts w:hint="eastAsia" w:ascii="Times New Roman" w:hAnsi="Times New Roman" w:cs="Times New Roman"/>
                <w:color w:val="auto"/>
                <w:sz w:val="24"/>
                <w:szCs w:val="24"/>
                <w:highlight w:val="none"/>
                <w:lang w:val="en-US" w:eastAsia="zh-CN"/>
              </w:rPr>
              <w:t>），重新</w:t>
            </w:r>
            <w:r>
              <w:rPr>
                <w:rFonts w:hint="default" w:ascii="Times New Roman" w:hAnsi="Times New Roman" w:cs="Times New Roman" w:eastAsiaTheme="minorEastAsia"/>
                <w:color w:val="auto"/>
                <w:sz w:val="24"/>
                <w:szCs w:val="24"/>
                <w:highlight w:val="none"/>
                <w:lang w:val="en-US" w:eastAsia="zh-CN"/>
              </w:rPr>
              <w:t>装药</w:t>
            </w:r>
            <w:r>
              <w:rPr>
                <w:rFonts w:hint="eastAsia" w:cs="Times New Roman" w:eastAsiaTheme="minorEastAsia"/>
                <w:color w:val="auto"/>
                <w:sz w:val="24"/>
                <w:szCs w:val="24"/>
                <w:highlight w:val="none"/>
                <w:lang w:val="en-US" w:eastAsia="zh-CN"/>
              </w:rPr>
              <w:t>包装后，</w:t>
            </w:r>
            <w:r>
              <w:rPr>
                <w:rFonts w:hint="eastAsia" w:ascii="Times New Roman" w:hAnsi="Times New Roman" w:cs="Times New Roman" w:eastAsiaTheme="minorEastAsia"/>
                <w:color w:val="auto"/>
                <w:sz w:val="24"/>
                <w:szCs w:val="24"/>
                <w:lang w:val="en-US" w:eastAsia="zh-CN"/>
              </w:rPr>
              <w:t>将合格品转运入库。</w:t>
            </w:r>
          </w:p>
          <w:p w14:paraId="13DDFA70">
            <w:pPr>
              <w:keepNext/>
              <w:keepLines w:val="0"/>
              <w:pageBreakBefore w:val="0"/>
              <w:kinsoku/>
              <w:wordWrap/>
              <w:overflowPunct/>
              <w:topLinePunct w:val="0"/>
              <w:bidi w:val="0"/>
              <w:spacing w:line="360" w:lineRule="auto"/>
              <w:ind w:firstLine="480" w:firstLineChars="200"/>
              <w:rPr>
                <w:rFonts w:hint="default" w:ascii="Times New Roman" w:hAnsi="Times New Roman" w:cs="Times New Roman" w:eastAsiaTheme="minorEastAsia"/>
                <w:color w:val="auto"/>
                <w:sz w:val="24"/>
                <w:szCs w:val="24"/>
                <w:u w:val="single"/>
                <w:lang w:val="en-US" w:eastAsia="zh-CN"/>
              </w:rPr>
            </w:pPr>
            <w:r>
              <w:rPr>
                <w:rFonts w:hint="default" w:ascii="Times New Roman" w:hAnsi="Times New Roman" w:cs="Times New Roman" w:eastAsiaTheme="minorEastAsia"/>
                <w:color w:val="auto"/>
                <w:sz w:val="24"/>
                <w:szCs w:val="24"/>
                <w:u w:val="single"/>
                <w:lang w:val="en-US" w:eastAsia="zh-CN"/>
              </w:rPr>
              <w:t>产污环节：</w:t>
            </w:r>
            <w:r>
              <w:rPr>
                <w:rFonts w:hint="eastAsia" w:ascii="Times New Roman" w:hAnsi="Times New Roman" w:cs="Times New Roman" w:eastAsiaTheme="minorEastAsia"/>
                <w:color w:val="auto"/>
                <w:sz w:val="24"/>
                <w:szCs w:val="24"/>
                <w:u w:val="single"/>
                <w:lang w:val="en-US" w:eastAsia="zh-CN"/>
              </w:rPr>
              <w:t>珍珠岩上料</w:t>
            </w:r>
            <w:r>
              <w:rPr>
                <w:rFonts w:hint="eastAsia" w:cs="Times New Roman" w:eastAsiaTheme="minorEastAsia"/>
                <w:color w:val="auto"/>
                <w:sz w:val="24"/>
                <w:szCs w:val="24"/>
                <w:u w:val="single"/>
                <w:lang w:val="en-US" w:eastAsia="zh-CN"/>
              </w:rPr>
              <w:t>过程会产生少量上料</w:t>
            </w:r>
            <w:r>
              <w:rPr>
                <w:rFonts w:hint="eastAsia" w:ascii="Times New Roman" w:hAnsi="Times New Roman" w:cs="Times New Roman" w:eastAsiaTheme="minorEastAsia"/>
                <w:color w:val="auto"/>
                <w:sz w:val="24"/>
                <w:szCs w:val="24"/>
                <w:u w:val="single"/>
                <w:lang w:val="en-US" w:eastAsia="zh-CN"/>
              </w:rPr>
              <w:t>废气G</w:t>
            </w:r>
            <w:r>
              <w:rPr>
                <w:rFonts w:hint="eastAsia" w:cs="Times New Roman" w:eastAsiaTheme="minorEastAsia"/>
                <w:color w:val="auto"/>
                <w:sz w:val="24"/>
                <w:szCs w:val="24"/>
                <w:u w:val="single"/>
                <w:lang w:val="en-US" w:eastAsia="zh-CN"/>
              </w:rPr>
              <w:t>6</w:t>
            </w:r>
            <w:r>
              <w:rPr>
                <w:rFonts w:hint="default" w:ascii="Times New Roman" w:hAnsi="Times New Roman" w:cs="Times New Roman" w:eastAsiaTheme="minorEastAsia"/>
                <w:color w:val="auto"/>
                <w:sz w:val="24"/>
                <w:szCs w:val="24"/>
                <w:u w:val="single"/>
                <w:lang w:val="en-US" w:eastAsia="zh-CN"/>
              </w:rPr>
              <w:t>。</w:t>
            </w:r>
            <w:r>
              <w:rPr>
                <w:rFonts w:hint="eastAsia" w:cs="Times New Roman" w:eastAsiaTheme="minorEastAsia"/>
                <w:color w:val="auto"/>
                <w:sz w:val="24"/>
                <w:szCs w:val="24"/>
                <w:u w:val="single"/>
                <w:lang w:val="en-US" w:eastAsia="zh-CN"/>
              </w:rPr>
              <w:t>人工去除包装会产生废炸药包装S7。</w:t>
            </w:r>
            <w:r>
              <w:rPr>
                <w:rFonts w:hint="eastAsia" w:ascii="Times New Roman" w:hAnsi="Times New Roman" w:cs="Times New Roman" w:eastAsiaTheme="minorEastAsia"/>
                <w:color w:val="auto"/>
                <w:sz w:val="24"/>
                <w:szCs w:val="24"/>
                <w:u w:val="single"/>
                <w:lang w:val="en-US" w:eastAsia="zh-CN"/>
              </w:rPr>
              <w:t>混拌机和包装机</w:t>
            </w:r>
            <w:r>
              <w:rPr>
                <w:rFonts w:hint="default" w:ascii="Times New Roman" w:hAnsi="Times New Roman" w:cs="Times New Roman" w:eastAsiaTheme="minorEastAsia"/>
                <w:color w:val="auto"/>
                <w:sz w:val="24"/>
                <w:szCs w:val="24"/>
                <w:u w:val="single"/>
                <w:lang w:val="en-US" w:eastAsia="zh-CN"/>
              </w:rPr>
              <w:t>产生设备噪声N。</w:t>
            </w:r>
          </w:p>
          <w:p w14:paraId="6F53F1B6">
            <w:pPr>
              <w:pStyle w:val="41"/>
              <w:keepNext/>
              <w:keepLines w:val="0"/>
              <w:pageBreakBefore w:val="0"/>
              <w:kinsoku/>
              <w:wordWrap/>
              <w:overflowPunct/>
              <w:topLinePunct w:val="0"/>
              <w:bidi w:val="0"/>
              <w:ind w:left="0" w:leftChars="0" w:firstLine="0" w:firstLineChars="0"/>
              <w:jc w:val="center"/>
              <w:rPr>
                <w:rFonts w:hint="eastAsia" w:ascii="Times New Roman" w:hAnsi="Times New Roman" w:eastAsia="宋体"/>
                <w:b/>
                <w:color w:val="auto"/>
                <w:szCs w:val="21"/>
                <w:lang w:eastAsia="zh-CN"/>
              </w:rPr>
            </w:pPr>
            <w:r>
              <w:rPr>
                <w:rFonts w:hint="eastAsia" w:ascii="Times New Roman" w:hAnsi="Times New Roman" w:eastAsia="宋体"/>
                <w:b/>
                <w:color w:val="auto"/>
                <w:szCs w:val="21"/>
                <w:lang w:eastAsia="zh-CN"/>
              </w:rPr>
              <w:drawing>
                <wp:inline distT="0" distB="0" distL="114300" distR="114300">
                  <wp:extent cx="3862070" cy="1318260"/>
                  <wp:effectExtent l="0" t="0" r="0" b="0"/>
                  <wp:docPr id="495" name="ECB019B1-382A-4266-B25C-5B523AA43C14-2" descr="C:/Users/Admin/AppData/Local/Temp/wps.HNJKPB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ECB019B1-382A-4266-B25C-5B523AA43C14-2" descr="C:/Users/Admin/AppData/Local/Temp/wps.HNJKPBwps"/>
                          <pic:cNvPicPr>
                            <a:picLocks noChangeAspect="1"/>
                          </pic:cNvPicPr>
                        </pic:nvPicPr>
                        <pic:blipFill>
                          <a:blip r:embed="rId34"/>
                          <a:stretch>
                            <a:fillRect/>
                          </a:stretch>
                        </pic:blipFill>
                        <pic:spPr>
                          <a:xfrm>
                            <a:off x="0" y="0"/>
                            <a:ext cx="3862070" cy="1318260"/>
                          </a:xfrm>
                          <a:prstGeom prst="rect">
                            <a:avLst/>
                          </a:prstGeom>
                        </pic:spPr>
                      </pic:pic>
                    </a:graphicData>
                  </a:graphic>
                </wp:inline>
              </w:drawing>
            </w:r>
          </w:p>
          <w:p w14:paraId="35E921AE">
            <w:pPr>
              <w:pStyle w:val="41"/>
              <w:keepNext/>
              <w:keepLines w:val="0"/>
              <w:pageBreakBefore w:val="0"/>
              <w:kinsoku/>
              <w:wordWrap/>
              <w:overflowPunct/>
              <w:topLinePunct w:val="0"/>
              <w:bidi w:val="0"/>
              <w:ind w:left="0" w:leftChars="0" w:firstLine="0" w:firstLineChars="0"/>
              <w:jc w:val="center"/>
              <w:rPr>
                <w:rFonts w:hint="default" w:ascii="Times New Roman" w:hAnsi="Times New Roman" w:cs="Times New Roman" w:eastAsiaTheme="minorEastAsia"/>
                <w:color w:val="auto"/>
                <w:sz w:val="21"/>
                <w:szCs w:val="21"/>
                <w:u w:val="single"/>
                <w:lang w:val="en-US" w:eastAsia="zh-CN"/>
              </w:rPr>
            </w:pPr>
            <w:r>
              <w:rPr>
                <w:rFonts w:hint="eastAsia" w:ascii="Times New Roman" w:hAnsi="Times New Roman" w:eastAsia="宋体"/>
                <w:b/>
                <w:color w:val="auto"/>
                <w:sz w:val="21"/>
                <w:szCs w:val="21"/>
                <w:lang w:val="en-US" w:eastAsia="zh-CN"/>
              </w:rPr>
              <w:t>图2-5 不合格品处理工艺流程及排污节点图</w:t>
            </w:r>
          </w:p>
          <w:p w14:paraId="13E2CCD3">
            <w:pPr>
              <w:keepNext/>
              <w:keepLines w:val="0"/>
              <w:pageBreakBefore w:val="0"/>
              <w:kinsoku/>
              <w:wordWrap/>
              <w:overflowPunct/>
              <w:topLinePunct w:val="0"/>
              <w:bidi w:val="0"/>
              <w:spacing w:line="360" w:lineRule="auto"/>
              <w:ind w:firstLine="480" w:firstLineChars="200"/>
              <w:rPr>
                <w:color w:val="auto"/>
                <w:sz w:val="24"/>
              </w:rPr>
            </w:pPr>
            <w:r>
              <w:rPr>
                <w:rFonts w:hint="eastAsia"/>
                <w:color w:val="auto"/>
                <w:sz w:val="24"/>
              </w:rPr>
              <w:t>该工序</w:t>
            </w:r>
            <w:r>
              <w:rPr>
                <w:color w:val="auto"/>
                <w:sz w:val="24"/>
              </w:rPr>
              <w:t>营运期的主要污染因子</w:t>
            </w:r>
            <w:r>
              <w:rPr>
                <w:rFonts w:hint="eastAsia"/>
                <w:color w:val="auto"/>
                <w:sz w:val="24"/>
              </w:rPr>
              <w:t>汇总</w:t>
            </w:r>
            <w:r>
              <w:rPr>
                <w:color w:val="auto"/>
                <w:sz w:val="24"/>
              </w:rPr>
              <w:t>如下表。</w:t>
            </w:r>
          </w:p>
          <w:p w14:paraId="28877852">
            <w:pPr>
              <w:keepNext/>
              <w:keepLines w:val="0"/>
              <w:pageBreakBefore w:val="0"/>
              <w:kinsoku/>
              <w:wordWrap/>
              <w:overflowPunct/>
              <w:topLinePunct w:val="0"/>
              <w:bidi w:val="0"/>
              <w:jc w:val="center"/>
              <w:rPr>
                <w:b/>
                <w:bCs/>
                <w:color w:val="auto"/>
              </w:rPr>
            </w:pPr>
            <w:r>
              <w:rPr>
                <w:rFonts w:hint="eastAsia"/>
                <w:b/>
                <w:bCs/>
                <w:color w:val="auto"/>
              </w:rPr>
              <w:t>表2-1</w:t>
            </w:r>
            <w:r>
              <w:rPr>
                <w:rFonts w:hint="eastAsia"/>
                <w:b/>
                <w:bCs/>
                <w:color w:val="auto"/>
                <w:lang w:val="en-US" w:eastAsia="zh-CN"/>
              </w:rPr>
              <w:t>4</w:t>
            </w:r>
            <w:r>
              <w:rPr>
                <w:rFonts w:hint="eastAsia"/>
                <w:b/>
                <w:bCs/>
                <w:color w:val="auto"/>
              </w:rPr>
              <w:t xml:space="preserve">  主要污染工序及污染因子一览表</w:t>
            </w:r>
          </w:p>
          <w:tbl>
            <w:tblPr>
              <w:tblStyle w:val="85"/>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09"/>
              <w:gridCol w:w="1419"/>
              <w:gridCol w:w="674"/>
              <w:gridCol w:w="1905"/>
              <w:gridCol w:w="1944"/>
              <w:gridCol w:w="1866"/>
            </w:tblGrid>
            <w:tr w14:paraId="5C8706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306" w:type="pct"/>
                  <w:tcBorders>
                    <w:tl2br w:val="nil"/>
                    <w:tr2bl w:val="nil"/>
                  </w:tcBorders>
                  <w:vAlign w:val="center"/>
                </w:tcPr>
                <w:p w14:paraId="16C6BB0F">
                  <w:pPr>
                    <w:keepNext/>
                    <w:keepLines w:val="0"/>
                    <w:pageBreakBefore w:val="0"/>
                    <w:kinsoku/>
                    <w:wordWrap/>
                    <w:overflowPunct/>
                    <w:topLinePunct w:val="0"/>
                    <w:autoSpaceDE w:val="0"/>
                    <w:autoSpaceDN w:val="0"/>
                    <w:bidi w:val="0"/>
                    <w:spacing w:line="240" w:lineRule="auto"/>
                    <w:ind w:firstLine="0" w:firstLineChars="0"/>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类别</w:t>
                  </w:r>
                </w:p>
              </w:tc>
              <w:tc>
                <w:tcPr>
                  <w:tcW w:w="853" w:type="pct"/>
                  <w:tcBorders>
                    <w:tl2br w:val="nil"/>
                    <w:tr2bl w:val="nil"/>
                  </w:tcBorders>
                  <w:vAlign w:val="center"/>
                </w:tcPr>
                <w:p w14:paraId="15C384B7">
                  <w:pPr>
                    <w:keepNext/>
                    <w:keepLines w:val="0"/>
                    <w:pageBreakBefore w:val="0"/>
                    <w:kinsoku/>
                    <w:wordWrap/>
                    <w:overflowPunct/>
                    <w:topLinePunct w:val="0"/>
                    <w:autoSpaceDE w:val="0"/>
                    <w:autoSpaceDN w:val="0"/>
                    <w:bidi w:val="0"/>
                    <w:spacing w:line="240" w:lineRule="auto"/>
                    <w:ind w:left="0" w:firstLine="0" w:firstLineChars="0"/>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污染源名称</w:t>
                  </w:r>
                </w:p>
              </w:tc>
              <w:tc>
                <w:tcPr>
                  <w:tcW w:w="405" w:type="pct"/>
                  <w:tcBorders>
                    <w:tl2br w:val="nil"/>
                    <w:tr2bl w:val="nil"/>
                  </w:tcBorders>
                  <w:vAlign w:val="center"/>
                </w:tcPr>
                <w:p w14:paraId="40DA6C18">
                  <w:pPr>
                    <w:keepNext/>
                    <w:keepLines w:val="0"/>
                    <w:pageBreakBefore w:val="0"/>
                    <w:kinsoku/>
                    <w:wordWrap/>
                    <w:overflowPunct/>
                    <w:topLinePunct w:val="0"/>
                    <w:autoSpaceDE w:val="0"/>
                    <w:autoSpaceDN w:val="0"/>
                    <w:bidi w:val="0"/>
                    <w:spacing w:line="240" w:lineRule="auto"/>
                    <w:ind w:left="0" w:right="0" w:firstLine="0" w:firstLineChars="0"/>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序号</w:t>
                  </w:r>
                </w:p>
              </w:tc>
              <w:tc>
                <w:tcPr>
                  <w:tcW w:w="1145" w:type="pct"/>
                  <w:tcBorders>
                    <w:tl2br w:val="nil"/>
                    <w:tr2bl w:val="nil"/>
                  </w:tcBorders>
                  <w:vAlign w:val="center"/>
                </w:tcPr>
                <w:p w14:paraId="66789A34">
                  <w:pPr>
                    <w:keepNext/>
                    <w:keepLines w:val="0"/>
                    <w:pageBreakBefore w:val="0"/>
                    <w:kinsoku/>
                    <w:wordWrap/>
                    <w:overflowPunct/>
                    <w:topLinePunct w:val="0"/>
                    <w:autoSpaceDE w:val="0"/>
                    <w:autoSpaceDN w:val="0"/>
                    <w:bidi w:val="0"/>
                    <w:spacing w:line="240" w:lineRule="auto"/>
                    <w:ind w:left="0" w:right="0" w:firstLine="0" w:firstLineChars="0"/>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产生环节</w:t>
                  </w:r>
                </w:p>
              </w:tc>
              <w:tc>
                <w:tcPr>
                  <w:tcW w:w="1168" w:type="pct"/>
                  <w:tcBorders>
                    <w:tl2br w:val="nil"/>
                    <w:tr2bl w:val="nil"/>
                  </w:tcBorders>
                  <w:vAlign w:val="center"/>
                </w:tcPr>
                <w:p w14:paraId="027ADF5F">
                  <w:pPr>
                    <w:keepNext/>
                    <w:keepLines w:val="0"/>
                    <w:pageBreakBefore w:val="0"/>
                    <w:kinsoku/>
                    <w:wordWrap/>
                    <w:overflowPunct/>
                    <w:topLinePunct w:val="0"/>
                    <w:autoSpaceDE w:val="0"/>
                    <w:autoSpaceDN w:val="0"/>
                    <w:bidi w:val="0"/>
                    <w:spacing w:line="240" w:lineRule="auto"/>
                    <w:ind w:left="0" w:firstLine="0" w:firstLineChars="0"/>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主要污染物</w:t>
                  </w:r>
                </w:p>
              </w:tc>
              <w:tc>
                <w:tcPr>
                  <w:tcW w:w="1121" w:type="pct"/>
                  <w:tcBorders>
                    <w:tl2br w:val="nil"/>
                    <w:tr2bl w:val="nil"/>
                  </w:tcBorders>
                  <w:vAlign w:val="center"/>
                </w:tcPr>
                <w:p w14:paraId="489282B9">
                  <w:pPr>
                    <w:keepNext/>
                    <w:keepLines w:val="0"/>
                    <w:pageBreakBefore w:val="0"/>
                    <w:kinsoku/>
                    <w:wordWrap/>
                    <w:overflowPunct/>
                    <w:topLinePunct w:val="0"/>
                    <w:autoSpaceDE w:val="0"/>
                    <w:autoSpaceDN w:val="0"/>
                    <w:bidi w:val="0"/>
                    <w:spacing w:line="240" w:lineRule="auto"/>
                    <w:ind w:left="0" w:right="0" w:firstLine="0" w:firstLineChars="0"/>
                    <w:jc w:val="center"/>
                    <w:rPr>
                      <w:rFonts w:hint="default" w:ascii="Times New Roman" w:hAnsi="Times New Roman" w:cs="Times New Roman" w:eastAsiaTheme="minorEastAsia"/>
                      <w:b/>
                      <w:bCs/>
                      <w:color w:val="auto"/>
                      <w:sz w:val="21"/>
                      <w:szCs w:val="21"/>
                      <w:lang w:val="en-US" w:eastAsia="zh-CN"/>
                    </w:rPr>
                  </w:pPr>
                  <w:r>
                    <w:rPr>
                      <w:rFonts w:hint="default" w:ascii="Times New Roman" w:hAnsi="Times New Roman" w:cs="Times New Roman" w:eastAsiaTheme="minorEastAsia"/>
                      <w:b/>
                      <w:bCs/>
                      <w:color w:val="auto"/>
                      <w:sz w:val="21"/>
                      <w:szCs w:val="21"/>
                      <w:lang w:val="en-US" w:eastAsia="zh-CN"/>
                    </w:rPr>
                    <w:t>治理措施</w:t>
                  </w:r>
                </w:p>
              </w:tc>
            </w:tr>
            <w:tr w14:paraId="44F237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restart"/>
                  <w:tcBorders>
                    <w:tl2br w:val="nil"/>
                    <w:tr2bl w:val="nil"/>
                  </w:tcBorders>
                  <w:vAlign w:val="center"/>
                </w:tcPr>
                <w:p w14:paraId="623333ED">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z w:val="21"/>
                      <w:szCs w:val="21"/>
                    </w:rPr>
                  </w:pPr>
                  <w:r>
                    <w:rPr>
                      <w:rFonts w:ascii="宋体" w:hAnsi="宋体" w:eastAsia="宋体" w:cs="宋体"/>
                      <w:color w:val="auto"/>
                      <w:spacing w:val="5"/>
                      <w:sz w:val="21"/>
                      <w:szCs w:val="21"/>
                    </w:rPr>
                    <w:t>废气</w:t>
                  </w:r>
                </w:p>
              </w:tc>
              <w:tc>
                <w:tcPr>
                  <w:tcW w:w="853" w:type="pct"/>
                  <w:vMerge w:val="restart"/>
                  <w:tcBorders>
                    <w:tl2br w:val="nil"/>
                    <w:tr2bl w:val="nil"/>
                  </w:tcBorders>
                  <w:vAlign w:val="center"/>
                </w:tcPr>
                <w:p w14:paraId="3F9D2022">
                  <w:pPr>
                    <w:keepNext/>
                    <w:keepLines w:val="0"/>
                    <w:pageBreakBefore w:val="0"/>
                    <w:kinsoku/>
                    <w:wordWrap/>
                    <w:overflowPunct/>
                    <w:topLinePunct w:val="0"/>
                    <w:autoSpaceDE w:val="0"/>
                    <w:autoSpaceDN w:val="0"/>
                    <w:bidi w:val="0"/>
                    <w:spacing w:line="240" w:lineRule="auto"/>
                    <w:ind w:left="0" w:right="0" w:firstLine="0"/>
                    <w:jc w:val="center"/>
                    <w:rPr>
                      <w:rFonts w:hint="default"/>
                      <w:color w:val="auto"/>
                      <w:lang w:val="en-US" w:eastAsia="zh-CN"/>
                    </w:rPr>
                  </w:pPr>
                  <w:r>
                    <w:rPr>
                      <w:rFonts w:hint="default" w:ascii="宋体" w:hAnsi="宋体" w:eastAsia="宋体" w:cs="宋体"/>
                      <w:color w:val="auto"/>
                      <w:sz w:val="21"/>
                      <w:szCs w:val="21"/>
                      <w:lang w:val="en-US" w:eastAsia="zh-CN"/>
                    </w:rPr>
                    <w:t>水油相制备工房</w:t>
                  </w:r>
                </w:p>
              </w:tc>
              <w:tc>
                <w:tcPr>
                  <w:tcW w:w="405" w:type="pct"/>
                  <w:tcBorders>
                    <w:tl2br w:val="nil"/>
                    <w:tr2bl w:val="nil"/>
                  </w:tcBorders>
                  <w:vAlign w:val="center"/>
                </w:tcPr>
                <w:p w14:paraId="74EC64AD">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G1</w:t>
                  </w:r>
                </w:p>
              </w:tc>
              <w:tc>
                <w:tcPr>
                  <w:tcW w:w="1145" w:type="pct"/>
                  <w:tcBorders>
                    <w:tl2br w:val="nil"/>
                    <w:tr2bl w:val="nil"/>
                  </w:tcBorders>
                  <w:vAlign w:val="center"/>
                </w:tcPr>
                <w:p w14:paraId="350D9D76">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宋体" w:hAnsi="宋体" w:cs="宋体"/>
                      <w:color w:val="auto"/>
                      <w:sz w:val="21"/>
                      <w:szCs w:val="21"/>
                      <w:lang w:val="en-US" w:eastAsia="zh-CN"/>
                    </w:rPr>
                    <w:t>硝酸钠上料</w:t>
                  </w:r>
                </w:p>
              </w:tc>
              <w:tc>
                <w:tcPr>
                  <w:tcW w:w="1168" w:type="pct"/>
                  <w:tcBorders>
                    <w:tl2br w:val="nil"/>
                    <w:tr2bl w:val="nil"/>
                  </w:tcBorders>
                  <w:vAlign w:val="center"/>
                </w:tcPr>
                <w:p w14:paraId="6E656C8B">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p>
              </w:tc>
              <w:tc>
                <w:tcPr>
                  <w:tcW w:w="1121" w:type="pct"/>
                  <w:tcBorders>
                    <w:tl2br w:val="nil"/>
                    <w:tr2bl w:val="nil"/>
                  </w:tcBorders>
                  <w:vAlign w:val="center"/>
                </w:tcPr>
                <w:p w14:paraId="55CC61CF">
                  <w:pPr>
                    <w:keepNext/>
                    <w:keepLines w:val="0"/>
                    <w:pageBreakBefore w:val="0"/>
                    <w:kinsoku/>
                    <w:wordWrap/>
                    <w:overflowPunct/>
                    <w:topLinePunct w:val="0"/>
                    <w:autoSpaceDE w:val="0"/>
                    <w:autoSpaceDN w:val="0"/>
                    <w:bidi w:val="0"/>
                    <w:spacing w:line="240" w:lineRule="auto"/>
                    <w:ind w:left="0" w:right="0" w:firstLine="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无组织排放</w:t>
                  </w:r>
                </w:p>
              </w:tc>
            </w:tr>
            <w:tr w14:paraId="03B574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0AF16506">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pacing w:val="5"/>
                      <w:sz w:val="21"/>
                      <w:szCs w:val="21"/>
                    </w:rPr>
                  </w:pPr>
                </w:p>
              </w:tc>
              <w:tc>
                <w:tcPr>
                  <w:tcW w:w="853" w:type="pct"/>
                  <w:vMerge w:val="continue"/>
                  <w:tcBorders>
                    <w:tl2br w:val="nil"/>
                    <w:tr2bl w:val="nil"/>
                  </w:tcBorders>
                  <w:vAlign w:val="center"/>
                </w:tcPr>
                <w:p w14:paraId="3C8F0EA8">
                  <w:pPr>
                    <w:keepNext/>
                    <w:keepLines w:val="0"/>
                    <w:pageBreakBefore w:val="0"/>
                    <w:kinsoku/>
                    <w:wordWrap/>
                    <w:overflowPunct/>
                    <w:topLinePunct w:val="0"/>
                    <w:autoSpaceDE w:val="0"/>
                    <w:autoSpaceDN w:val="0"/>
                    <w:bidi w:val="0"/>
                    <w:spacing w:line="240" w:lineRule="auto"/>
                    <w:ind w:left="0"/>
                    <w:jc w:val="center"/>
                    <w:rPr>
                      <w:rFonts w:hint="default" w:ascii="Times New Roman" w:hAnsi="Times New Roman" w:eastAsia="宋体" w:cs="Times New Roman"/>
                      <w:color w:val="auto"/>
                      <w:sz w:val="21"/>
                      <w:szCs w:val="21"/>
                    </w:rPr>
                  </w:pPr>
                </w:p>
              </w:tc>
              <w:tc>
                <w:tcPr>
                  <w:tcW w:w="405" w:type="pct"/>
                  <w:tcBorders>
                    <w:tl2br w:val="nil"/>
                    <w:tr2bl w:val="nil"/>
                  </w:tcBorders>
                  <w:vAlign w:val="center"/>
                </w:tcPr>
                <w:p w14:paraId="04BEABF6">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G2</w:t>
                  </w:r>
                </w:p>
              </w:tc>
              <w:tc>
                <w:tcPr>
                  <w:tcW w:w="1145" w:type="pct"/>
                  <w:tcBorders>
                    <w:tl2br w:val="nil"/>
                    <w:tr2bl w:val="nil"/>
                  </w:tcBorders>
                  <w:vAlign w:val="center"/>
                </w:tcPr>
                <w:p w14:paraId="2507EB41">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宋体" w:hAnsi="宋体" w:eastAsia="宋体" w:cs="宋体"/>
                      <w:color w:val="auto"/>
                      <w:sz w:val="21"/>
                      <w:szCs w:val="21"/>
                      <w:lang w:val="en-US" w:eastAsia="zh-CN"/>
                    </w:rPr>
                  </w:pPr>
                  <w:r>
                    <w:rPr>
                      <w:rFonts w:hint="eastAsia" w:ascii="Times New Roman" w:hAnsi="Times New Roman" w:eastAsia="宋体" w:cs="Times New Roman"/>
                      <w:color w:val="auto"/>
                      <w:sz w:val="21"/>
                      <w:szCs w:val="21"/>
                      <w:lang w:val="en-US" w:eastAsia="zh-CN"/>
                    </w:rPr>
                    <w:t>油相上料</w:t>
                  </w:r>
                </w:p>
              </w:tc>
              <w:tc>
                <w:tcPr>
                  <w:tcW w:w="1168" w:type="pct"/>
                  <w:tcBorders>
                    <w:tl2br w:val="nil"/>
                    <w:tr2bl w:val="nil"/>
                  </w:tcBorders>
                  <w:vAlign w:val="center"/>
                </w:tcPr>
                <w:p w14:paraId="15EA9769">
                  <w:pPr>
                    <w:keepNext/>
                    <w:keepLines w:val="0"/>
                    <w:pageBreakBefore w:val="0"/>
                    <w:kinsoku/>
                    <w:wordWrap/>
                    <w:overflowPunct/>
                    <w:topLinePunct w:val="0"/>
                    <w:autoSpaceDE w:val="0"/>
                    <w:autoSpaceDN w:val="0"/>
                    <w:bidi w:val="0"/>
                    <w:spacing w:line="240" w:lineRule="auto"/>
                    <w:ind w:left="0" w:left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非甲烷总烃</w:t>
                  </w:r>
                </w:p>
              </w:tc>
              <w:tc>
                <w:tcPr>
                  <w:tcW w:w="1121" w:type="pct"/>
                  <w:tcBorders>
                    <w:tl2br w:val="nil"/>
                    <w:tr2bl w:val="nil"/>
                  </w:tcBorders>
                  <w:vAlign w:val="center"/>
                </w:tcPr>
                <w:p w14:paraId="6113237F">
                  <w:pPr>
                    <w:keepNext/>
                    <w:keepLines w:val="0"/>
                    <w:pageBreakBefore w:val="0"/>
                    <w:kinsoku/>
                    <w:wordWrap/>
                    <w:overflowPunct/>
                    <w:topLinePunct w:val="0"/>
                    <w:autoSpaceDE w:val="0"/>
                    <w:autoSpaceDN w:val="0"/>
                    <w:bidi w:val="0"/>
                    <w:spacing w:line="240" w:lineRule="auto"/>
                    <w:ind w:left="0" w:right="0" w:firstLine="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无组织排放</w:t>
                  </w:r>
                </w:p>
              </w:tc>
            </w:tr>
            <w:tr w14:paraId="7379E3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3CBD86F7">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pacing w:val="5"/>
                      <w:sz w:val="21"/>
                      <w:szCs w:val="21"/>
                    </w:rPr>
                  </w:pPr>
                </w:p>
              </w:tc>
              <w:tc>
                <w:tcPr>
                  <w:tcW w:w="853" w:type="pct"/>
                  <w:vMerge w:val="restart"/>
                  <w:tcBorders>
                    <w:tl2br w:val="nil"/>
                    <w:tr2bl w:val="nil"/>
                  </w:tcBorders>
                  <w:vAlign w:val="center"/>
                </w:tcPr>
                <w:p w14:paraId="311F537D">
                  <w:pPr>
                    <w:keepNext/>
                    <w:keepLines w:val="0"/>
                    <w:pageBreakBefore w:val="0"/>
                    <w:kinsoku/>
                    <w:wordWrap/>
                    <w:overflowPunct/>
                    <w:topLinePunct w:val="0"/>
                    <w:autoSpaceDE w:val="0"/>
                    <w:autoSpaceDN w:val="0"/>
                    <w:bidi w:val="0"/>
                    <w:spacing w:line="240" w:lineRule="auto"/>
                    <w:ind w:left="0" w:right="0" w:firstLine="0"/>
                    <w:jc w:val="center"/>
                    <w:rPr>
                      <w:rFonts w:hint="default" w:ascii="宋体" w:hAnsi="宋体" w:eastAsia="宋体" w:cs="宋体"/>
                      <w:color w:val="auto"/>
                      <w:sz w:val="21"/>
                      <w:szCs w:val="21"/>
                      <w:lang w:val="en-US" w:eastAsia="zh-CN"/>
                    </w:rPr>
                  </w:pPr>
                  <w:r>
                    <w:rPr>
                      <w:rFonts w:hint="default" w:ascii="宋体" w:hAnsi="宋体" w:eastAsia="宋体" w:cs="宋体"/>
                      <w:color w:val="auto"/>
                      <w:sz w:val="21"/>
                      <w:szCs w:val="21"/>
                      <w:lang w:val="en-US" w:eastAsia="zh-CN"/>
                    </w:rPr>
                    <w:t>乳化炸药震源药柱生产工房</w:t>
                  </w:r>
                </w:p>
              </w:tc>
              <w:tc>
                <w:tcPr>
                  <w:tcW w:w="405" w:type="pct"/>
                  <w:tcBorders>
                    <w:tl2br w:val="nil"/>
                    <w:tr2bl w:val="nil"/>
                  </w:tcBorders>
                  <w:vAlign w:val="center"/>
                </w:tcPr>
                <w:p w14:paraId="04BC0C7D">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w:t>
                  </w:r>
                  <w:r>
                    <w:rPr>
                      <w:rFonts w:hint="eastAsia" w:ascii="Times New Roman" w:hAnsi="Times New Roman" w:eastAsia="宋体" w:cs="Times New Roman"/>
                      <w:color w:val="auto"/>
                      <w:sz w:val="21"/>
                      <w:szCs w:val="21"/>
                      <w:lang w:val="en-US" w:eastAsia="zh-CN"/>
                    </w:rPr>
                    <w:t>3</w:t>
                  </w:r>
                </w:p>
              </w:tc>
              <w:tc>
                <w:tcPr>
                  <w:tcW w:w="1145" w:type="pct"/>
                  <w:tcBorders>
                    <w:tl2br w:val="nil"/>
                    <w:tr2bl w:val="nil"/>
                  </w:tcBorders>
                  <w:vAlign w:val="center"/>
                </w:tcPr>
                <w:p w14:paraId="02691ABF">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钢带冷却</w:t>
                  </w:r>
                </w:p>
              </w:tc>
              <w:tc>
                <w:tcPr>
                  <w:tcW w:w="1168" w:type="pct"/>
                  <w:tcBorders>
                    <w:tl2br w:val="nil"/>
                    <w:tr2bl w:val="nil"/>
                  </w:tcBorders>
                  <w:vAlign w:val="center"/>
                </w:tcPr>
                <w:p w14:paraId="0DC8B514">
                  <w:pPr>
                    <w:keepNext/>
                    <w:keepLines w:val="0"/>
                    <w:pageBreakBefore w:val="0"/>
                    <w:kinsoku/>
                    <w:wordWrap/>
                    <w:overflowPunct/>
                    <w:topLinePunct w:val="0"/>
                    <w:autoSpaceDE w:val="0"/>
                    <w:autoSpaceDN w:val="0"/>
                    <w:bidi w:val="0"/>
                    <w:spacing w:line="240" w:lineRule="auto"/>
                    <w:ind w:left="0" w:leftChars="0"/>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非甲烷总烃</w:t>
                  </w:r>
                </w:p>
              </w:tc>
              <w:tc>
                <w:tcPr>
                  <w:tcW w:w="1121" w:type="pct"/>
                  <w:tcBorders>
                    <w:tl2br w:val="nil"/>
                    <w:tr2bl w:val="nil"/>
                  </w:tcBorders>
                  <w:vAlign w:val="center"/>
                </w:tcPr>
                <w:p w14:paraId="0D884BF2">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无组织排放</w:t>
                  </w:r>
                </w:p>
              </w:tc>
            </w:tr>
            <w:tr w14:paraId="2E8936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6DDABC9C">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pacing w:val="5"/>
                      <w:sz w:val="21"/>
                      <w:szCs w:val="21"/>
                    </w:rPr>
                  </w:pPr>
                </w:p>
              </w:tc>
              <w:tc>
                <w:tcPr>
                  <w:tcW w:w="853" w:type="pct"/>
                  <w:vMerge w:val="continue"/>
                  <w:tcBorders>
                    <w:tl2br w:val="nil"/>
                    <w:tr2bl w:val="nil"/>
                  </w:tcBorders>
                  <w:vAlign w:val="center"/>
                </w:tcPr>
                <w:p w14:paraId="26BCA483">
                  <w:pPr>
                    <w:keepNext/>
                    <w:keepLines w:val="0"/>
                    <w:pageBreakBefore w:val="0"/>
                    <w:kinsoku/>
                    <w:wordWrap/>
                    <w:overflowPunct/>
                    <w:topLinePunct w:val="0"/>
                    <w:autoSpaceDE w:val="0"/>
                    <w:autoSpaceDN w:val="0"/>
                    <w:bidi w:val="0"/>
                    <w:spacing w:line="240" w:lineRule="auto"/>
                    <w:ind w:left="0"/>
                    <w:jc w:val="center"/>
                    <w:rPr>
                      <w:rFonts w:hint="eastAsia" w:ascii="宋体" w:hAnsi="宋体" w:eastAsia="宋体" w:cs="宋体"/>
                      <w:color w:val="auto"/>
                      <w:sz w:val="21"/>
                      <w:szCs w:val="21"/>
                      <w:lang w:val="en-US" w:eastAsia="zh-CN"/>
                    </w:rPr>
                  </w:pPr>
                </w:p>
              </w:tc>
              <w:tc>
                <w:tcPr>
                  <w:tcW w:w="405" w:type="pct"/>
                  <w:tcBorders>
                    <w:tl2br w:val="nil"/>
                    <w:tr2bl w:val="nil"/>
                  </w:tcBorders>
                  <w:vAlign w:val="center"/>
                </w:tcPr>
                <w:p w14:paraId="70F33FD1">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G</w:t>
                  </w:r>
                  <w:r>
                    <w:rPr>
                      <w:rFonts w:hint="eastAsia" w:ascii="Times New Roman" w:hAnsi="Times New Roman" w:eastAsia="宋体" w:cs="Times New Roman"/>
                      <w:color w:val="auto"/>
                      <w:sz w:val="21"/>
                      <w:szCs w:val="21"/>
                      <w:lang w:val="en-US" w:eastAsia="zh-CN"/>
                    </w:rPr>
                    <w:t>4</w:t>
                  </w:r>
                </w:p>
              </w:tc>
              <w:tc>
                <w:tcPr>
                  <w:tcW w:w="1145" w:type="pct"/>
                  <w:tcBorders>
                    <w:tl2br w:val="nil"/>
                    <w:tr2bl w:val="nil"/>
                  </w:tcBorders>
                  <w:vAlign w:val="center"/>
                </w:tcPr>
                <w:p w14:paraId="43EB7DAB">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珍珠岩上料</w:t>
                  </w:r>
                </w:p>
              </w:tc>
              <w:tc>
                <w:tcPr>
                  <w:tcW w:w="1168" w:type="pct"/>
                  <w:tcBorders>
                    <w:tl2br w:val="nil"/>
                    <w:tr2bl w:val="nil"/>
                  </w:tcBorders>
                  <w:vAlign w:val="center"/>
                </w:tcPr>
                <w:p w14:paraId="2223C723">
                  <w:pPr>
                    <w:keepNext/>
                    <w:keepLines w:val="0"/>
                    <w:pageBreakBefore w:val="0"/>
                    <w:kinsoku/>
                    <w:wordWrap/>
                    <w:overflowPunct/>
                    <w:topLinePunct w:val="0"/>
                    <w:autoSpaceDE w:val="0"/>
                    <w:autoSpaceDN w:val="0"/>
                    <w:bidi w:val="0"/>
                    <w:spacing w:line="240" w:lineRule="auto"/>
                    <w:ind w:left="0" w:lef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颗粒物</w:t>
                  </w:r>
                </w:p>
              </w:tc>
              <w:tc>
                <w:tcPr>
                  <w:tcW w:w="1121" w:type="pct"/>
                  <w:tcBorders>
                    <w:tl2br w:val="nil"/>
                    <w:tr2bl w:val="nil"/>
                  </w:tcBorders>
                  <w:vAlign w:val="center"/>
                </w:tcPr>
                <w:p w14:paraId="44A97BFC">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无组织排放</w:t>
                  </w:r>
                </w:p>
              </w:tc>
            </w:tr>
            <w:tr w14:paraId="177FE7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1B0768E4">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pacing w:val="5"/>
                      <w:sz w:val="21"/>
                      <w:szCs w:val="21"/>
                    </w:rPr>
                  </w:pPr>
                  <w:bookmarkStart w:id="46" w:name="OLE_LINK7" w:colFirst="4" w:colLast="5"/>
                </w:p>
              </w:tc>
              <w:tc>
                <w:tcPr>
                  <w:tcW w:w="853" w:type="pct"/>
                  <w:vMerge w:val="continue"/>
                  <w:tcBorders>
                    <w:tl2br w:val="nil"/>
                    <w:tr2bl w:val="nil"/>
                  </w:tcBorders>
                  <w:vAlign w:val="center"/>
                </w:tcPr>
                <w:p w14:paraId="694F32F1">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p>
              </w:tc>
              <w:tc>
                <w:tcPr>
                  <w:tcW w:w="405" w:type="pct"/>
                  <w:tcBorders>
                    <w:tl2br w:val="nil"/>
                    <w:tr2bl w:val="nil"/>
                  </w:tcBorders>
                  <w:vAlign w:val="center"/>
                </w:tcPr>
                <w:p w14:paraId="2179BFDD">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w:t>
                  </w:r>
                  <w:r>
                    <w:rPr>
                      <w:rFonts w:hint="eastAsia" w:ascii="Times New Roman" w:hAnsi="Times New Roman" w:eastAsia="宋体" w:cs="Times New Roman"/>
                      <w:color w:val="auto"/>
                      <w:sz w:val="21"/>
                      <w:szCs w:val="21"/>
                      <w:lang w:val="en-US" w:eastAsia="zh-CN"/>
                    </w:rPr>
                    <w:t>5</w:t>
                  </w:r>
                </w:p>
              </w:tc>
              <w:tc>
                <w:tcPr>
                  <w:tcW w:w="1145" w:type="pct"/>
                  <w:tcBorders>
                    <w:tl2br w:val="nil"/>
                    <w:tr2bl w:val="nil"/>
                  </w:tcBorders>
                  <w:vAlign w:val="center"/>
                </w:tcPr>
                <w:p w14:paraId="5D92B8DF">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散料输送</w:t>
                  </w:r>
                </w:p>
              </w:tc>
              <w:tc>
                <w:tcPr>
                  <w:tcW w:w="1168" w:type="pct"/>
                  <w:tcBorders>
                    <w:tl2br w:val="nil"/>
                    <w:tr2bl w:val="nil"/>
                  </w:tcBorders>
                  <w:vAlign w:val="center"/>
                </w:tcPr>
                <w:p w14:paraId="5EDC627E">
                  <w:pPr>
                    <w:keepNext/>
                    <w:keepLines w:val="0"/>
                    <w:pageBreakBefore w:val="0"/>
                    <w:kinsoku/>
                    <w:wordWrap/>
                    <w:overflowPunct/>
                    <w:topLinePunct w:val="0"/>
                    <w:autoSpaceDE w:val="0"/>
                    <w:autoSpaceDN w:val="0"/>
                    <w:bidi w:val="0"/>
                    <w:spacing w:line="240" w:lineRule="auto"/>
                    <w:ind w:left="0" w:left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非甲烷总烃</w:t>
                  </w:r>
                </w:p>
              </w:tc>
              <w:tc>
                <w:tcPr>
                  <w:tcW w:w="1121" w:type="pct"/>
                  <w:tcBorders>
                    <w:tl2br w:val="nil"/>
                    <w:tr2bl w:val="nil"/>
                  </w:tcBorders>
                  <w:vAlign w:val="center"/>
                </w:tcPr>
                <w:p w14:paraId="37DAC92B">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无组织排放</w:t>
                  </w:r>
                </w:p>
              </w:tc>
            </w:tr>
            <w:bookmarkEnd w:id="46"/>
            <w:tr w14:paraId="6CC654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7A1FC49B">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pacing w:val="5"/>
                      <w:sz w:val="21"/>
                      <w:szCs w:val="21"/>
                    </w:rPr>
                  </w:pPr>
                </w:p>
              </w:tc>
              <w:tc>
                <w:tcPr>
                  <w:tcW w:w="853" w:type="pct"/>
                  <w:vMerge w:val="continue"/>
                  <w:tcBorders>
                    <w:tl2br w:val="nil"/>
                    <w:tr2bl w:val="nil"/>
                  </w:tcBorders>
                  <w:vAlign w:val="center"/>
                </w:tcPr>
                <w:p w14:paraId="0E4832BA">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p>
              </w:tc>
              <w:tc>
                <w:tcPr>
                  <w:tcW w:w="405" w:type="pct"/>
                  <w:tcBorders>
                    <w:tl2br w:val="nil"/>
                    <w:tr2bl w:val="nil"/>
                  </w:tcBorders>
                  <w:vAlign w:val="center"/>
                </w:tcPr>
                <w:p w14:paraId="4E7F44E3">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G6</w:t>
                  </w:r>
                </w:p>
              </w:tc>
              <w:tc>
                <w:tcPr>
                  <w:tcW w:w="1145" w:type="pct"/>
                  <w:tcBorders>
                    <w:tl2br w:val="nil"/>
                    <w:tr2bl w:val="nil"/>
                  </w:tcBorders>
                  <w:vAlign w:val="center"/>
                </w:tcPr>
                <w:p w14:paraId="261D26BF">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喷码</w:t>
                  </w:r>
                </w:p>
              </w:tc>
              <w:tc>
                <w:tcPr>
                  <w:tcW w:w="1168" w:type="pct"/>
                  <w:tcBorders>
                    <w:tl2br w:val="nil"/>
                    <w:tr2bl w:val="nil"/>
                  </w:tcBorders>
                  <w:vAlign w:val="center"/>
                </w:tcPr>
                <w:p w14:paraId="7A96BAE1">
                  <w:pPr>
                    <w:keepNext/>
                    <w:keepLines w:val="0"/>
                    <w:pageBreakBefore w:val="0"/>
                    <w:kinsoku/>
                    <w:wordWrap/>
                    <w:overflowPunct/>
                    <w:topLinePunct w:val="0"/>
                    <w:autoSpaceDE w:val="0"/>
                    <w:autoSpaceDN w:val="0"/>
                    <w:bidi w:val="0"/>
                    <w:spacing w:line="240" w:lineRule="auto"/>
                    <w:ind w:left="0" w:lef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非甲烷总烃</w:t>
                  </w:r>
                </w:p>
              </w:tc>
              <w:tc>
                <w:tcPr>
                  <w:tcW w:w="1121" w:type="pct"/>
                  <w:tcBorders>
                    <w:tl2br w:val="nil"/>
                    <w:tr2bl w:val="nil"/>
                  </w:tcBorders>
                  <w:vAlign w:val="center"/>
                </w:tcPr>
                <w:p w14:paraId="5D0348D0">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无组织排放</w:t>
                  </w:r>
                </w:p>
              </w:tc>
            </w:tr>
            <w:tr w14:paraId="3394FF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5DA8984D">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pacing w:val="5"/>
                      <w:sz w:val="21"/>
                      <w:szCs w:val="21"/>
                    </w:rPr>
                  </w:pPr>
                </w:p>
              </w:tc>
              <w:tc>
                <w:tcPr>
                  <w:tcW w:w="853" w:type="pct"/>
                  <w:tcBorders>
                    <w:tl2br w:val="nil"/>
                    <w:tr2bl w:val="nil"/>
                  </w:tcBorders>
                  <w:vAlign w:val="center"/>
                </w:tcPr>
                <w:p w14:paraId="73A82316">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不合格品处理工房</w:t>
                  </w:r>
                </w:p>
              </w:tc>
              <w:tc>
                <w:tcPr>
                  <w:tcW w:w="405" w:type="pct"/>
                  <w:tcBorders>
                    <w:tl2br w:val="nil"/>
                    <w:tr2bl w:val="nil"/>
                  </w:tcBorders>
                  <w:vAlign w:val="center"/>
                </w:tcPr>
                <w:p w14:paraId="1EE4B5A3">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w:t>
                  </w:r>
                  <w:r>
                    <w:rPr>
                      <w:rFonts w:hint="eastAsia" w:cs="Times New Roman"/>
                      <w:color w:val="auto"/>
                      <w:sz w:val="21"/>
                      <w:szCs w:val="21"/>
                      <w:lang w:val="en-US" w:eastAsia="zh-CN"/>
                    </w:rPr>
                    <w:t>7</w:t>
                  </w:r>
                </w:p>
              </w:tc>
              <w:tc>
                <w:tcPr>
                  <w:tcW w:w="1145" w:type="pct"/>
                  <w:tcBorders>
                    <w:tl2br w:val="nil"/>
                    <w:tr2bl w:val="nil"/>
                  </w:tcBorders>
                  <w:vAlign w:val="center"/>
                </w:tcPr>
                <w:p w14:paraId="7BFE2AAE">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珍珠岩上料</w:t>
                  </w:r>
                </w:p>
              </w:tc>
              <w:tc>
                <w:tcPr>
                  <w:tcW w:w="1168" w:type="pct"/>
                  <w:tcBorders>
                    <w:tl2br w:val="nil"/>
                    <w:tr2bl w:val="nil"/>
                  </w:tcBorders>
                  <w:vAlign w:val="center"/>
                </w:tcPr>
                <w:p w14:paraId="03904D4D">
                  <w:pPr>
                    <w:keepNext/>
                    <w:keepLines w:val="0"/>
                    <w:pageBreakBefore w:val="0"/>
                    <w:kinsoku/>
                    <w:wordWrap/>
                    <w:overflowPunct/>
                    <w:topLinePunct w:val="0"/>
                    <w:autoSpaceDE w:val="0"/>
                    <w:autoSpaceDN w:val="0"/>
                    <w:bidi w:val="0"/>
                    <w:spacing w:line="240" w:lineRule="auto"/>
                    <w:ind w:left="0" w:lef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p>
              </w:tc>
              <w:tc>
                <w:tcPr>
                  <w:tcW w:w="1121" w:type="pct"/>
                  <w:tcBorders>
                    <w:tl2br w:val="nil"/>
                    <w:tr2bl w:val="nil"/>
                  </w:tcBorders>
                  <w:vAlign w:val="center"/>
                </w:tcPr>
                <w:p w14:paraId="3CE8C6A1">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无组织排放</w:t>
                  </w:r>
                </w:p>
              </w:tc>
            </w:tr>
            <w:tr w14:paraId="0B0F05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restart"/>
                  <w:tcBorders>
                    <w:tl2br w:val="nil"/>
                    <w:tr2bl w:val="nil"/>
                  </w:tcBorders>
                  <w:vAlign w:val="center"/>
                </w:tcPr>
                <w:p w14:paraId="130DA2E3">
                  <w:pPr>
                    <w:keepNext/>
                    <w:keepLines w:val="0"/>
                    <w:pageBreakBefore w:val="0"/>
                    <w:kinsoku/>
                    <w:wordWrap/>
                    <w:overflowPunct/>
                    <w:topLinePunct w:val="0"/>
                    <w:autoSpaceDE w:val="0"/>
                    <w:autoSpaceDN w:val="0"/>
                    <w:bidi w:val="0"/>
                    <w:spacing w:before="235" w:line="229" w:lineRule="auto"/>
                    <w:ind w:left="45"/>
                    <w:jc w:val="center"/>
                    <w:rPr>
                      <w:rFonts w:hint="eastAsia" w:ascii="宋体" w:hAnsi="宋体" w:eastAsia="宋体" w:cs="宋体"/>
                      <w:color w:val="auto"/>
                      <w:spacing w:val="5"/>
                      <w:sz w:val="21"/>
                      <w:szCs w:val="21"/>
                      <w:lang w:val="en-US" w:eastAsia="zh-CN"/>
                    </w:rPr>
                  </w:pPr>
                  <w:r>
                    <w:rPr>
                      <w:rFonts w:hint="eastAsia" w:ascii="宋体" w:hAnsi="宋体" w:eastAsia="宋体" w:cs="宋体"/>
                      <w:color w:val="auto"/>
                      <w:spacing w:val="5"/>
                      <w:sz w:val="21"/>
                      <w:szCs w:val="21"/>
                      <w:lang w:val="en-US" w:eastAsia="zh-CN"/>
                    </w:rPr>
                    <w:t>废水</w:t>
                  </w:r>
                </w:p>
              </w:tc>
              <w:tc>
                <w:tcPr>
                  <w:tcW w:w="853" w:type="pct"/>
                  <w:tcBorders>
                    <w:tl2br w:val="nil"/>
                    <w:tr2bl w:val="nil"/>
                  </w:tcBorders>
                  <w:vAlign w:val="center"/>
                </w:tcPr>
                <w:p w14:paraId="218F5074">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405" w:type="pct"/>
                  <w:tcBorders>
                    <w:tl2br w:val="nil"/>
                    <w:tr2bl w:val="nil"/>
                  </w:tcBorders>
                  <w:vAlign w:val="center"/>
                </w:tcPr>
                <w:p w14:paraId="5252BF46">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145" w:type="pct"/>
                  <w:tcBorders>
                    <w:tl2br w:val="nil"/>
                    <w:tr2bl w:val="nil"/>
                  </w:tcBorders>
                  <w:vAlign w:val="center"/>
                </w:tcPr>
                <w:p w14:paraId="1093003A">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车间地面清洗废水</w:t>
                  </w:r>
                </w:p>
              </w:tc>
              <w:tc>
                <w:tcPr>
                  <w:tcW w:w="1168" w:type="pct"/>
                  <w:tcBorders>
                    <w:tl2br w:val="nil"/>
                    <w:tr2bl w:val="nil"/>
                  </w:tcBorders>
                  <w:vAlign w:val="center"/>
                </w:tcPr>
                <w:p w14:paraId="12C04056">
                  <w:pPr>
                    <w:keepNext/>
                    <w:keepLines w:val="0"/>
                    <w:pageBreakBefore w:val="0"/>
                    <w:kinsoku/>
                    <w:wordWrap/>
                    <w:overflowPunct/>
                    <w:topLinePunct w:val="0"/>
                    <w:autoSpaceDE w:val="0"/>
                    <w:autoSpaceDN w:val="0"/>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en-US" w:eastAsia="zh-CN"/>
                    </w:rPr>
                    <w:t>、COD</w:t>
                  </w:r>
                  <w:r>
                    <w:rPr>
                      <w:rFonts w:hint="eastAsia" w:ascii="Times New Roman" w:hAnsi="Times New Roman" w:eastAsia="宋体" w:cs="Times New Roman"/>
                      <w:color w:val="auto"/>
                      <w:sz w:val="21"/>
                      <w:szCs w:val="21"/>
                      <w:highlight w:val="none"/>
                      <w:lang w:val="en-US" w:eastAsia="zh-CN"/>
                    </w:rPr>
                    <w:t>c</w:t>
                  </w:r>
                  <w:r>
                    <w:rPr>
                      <w:rFonts w:hint="eastAsia" w:ascii="Times New Roman" w:hAnsi="Times New Roman" w:eastAsia="宋体" w:cs="Times New Roman"/>
                      <w:color w:val="auto"/>
                      <w:sz w:val="21"/>
                      <w:szCs w:val="21"/>
                      <w:highlight w:val="none"/>
                      <w:vertAlign w:val="subscript"/>
                      <w:lang w:val="en-US" w:eastAsia="zh-CN"/>
                    </w:rPr>
                    <w:t>r</w:t>
                  </w:r>
                  <w:r>
                    <w:rPr>
                      <w:rFonts w:hint="default" w:ascii="Times New Roman" w:hAnsi="Times New Roman" w:eastAsia="宋体" w:cs="Times New Roman"/>
                      <w:color w:val="auto"/>
                      <w:sz w:val="21"/>
                      <w:szCs w:val="21"/>
                      <w:highlight w:val="none"/>
                      <w:lang w:val="en-US" w:eastAsia="zh-CN"/>
                    </w:rPr>
                    <w:t>、SS、石油类、</w:t>
                  </w:r>
                  <w:r>
                    <w:rPr>
                      <w:rFonts w:hint="eastAsia" w:ascii="Times New Roman" w:hAnsi="Times New Roman" w:eastAsia="宋体" w:cs="Times New Roman"/>
                      <w:color w:val="auto"/>
                      <w:sz w:val="21"/>
                      <w:szCs w:val="21"/>
                      <w:highlight w:val="none"/>
                      <w:lang w:val="en-US" w:eastAsia="zh-CN"/>
                    </w:rPr>
                    <w:t>氨氮</w:t>
                  </w:r>
                </w:p>
              </w:tc>
              <w:tc>
                <w:tcPr>
                  <w:tcW w:w="1121" w:type="pct"/>
                  <w:tcBorders>
                    <w:tl2br w:val="nil"/>
                    <w:tr2bl w:val="nil"/>
                  </w:tcBorders>
                  <w:vAlign w:val="center"/>
                </w:tcPr>
                <w:p w14:paraId="33CA0CC1">
                  <w:pPr>
                    <w:keepNext/>
                    <w:keepLines w:val="0"/>
                    <w:pageBreakBefore w:val="0"/>
                    <w:kinsoku/>
                    <w:wordWrap/>
                    <w:overflowPunct/>
                    <w:topLinePunct w:val="0"/>
                    <w:autoSpaceDE w:val="0"/>
                    <w:autoSpaceDN w:val="0"/>
                    <w:bidi w:val="0"/>
                    <w:spacing w:line="240" w:lineRule="auto"/>
                    <w:ind w:left="0" w:right="0" w:firstLine="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隔油沉淀和污水处理站处理后用于</w:t>
                  </w:r>
                  <w:r>
                    <w:rPr>
                      <w:rFonts w:hint="eastAsia" w:ascii="宋体" w:hAnsi="宋体" w:cs="宋体"/>
                      <w:color w:val="auto"/>
                      <w:sz w:val="21"/>
                      <w:szCs w:val="21"/>
                      <w:lang w:val="en-US" w:eastAsia="zh-CN"/>
                    </w:rPr>
                    <w:t>厂区</w:t>
                  </w:r>
                  <w:r>
                    <w:rPr>
                      <w:rFonts w:hint="eastAsia" w:ascii="宋体" w:hAnsi="宋体" w:eastAsia="宋体" w:cs="宋体"/>
                      <w:color w:val="auto"/>
                      <w:sz w:val="21"/>
                      <w:szCs w:val="21"/>
                      <w:lang w:val="en-US" w:eastAsia="zh-CN"/>
                    </w:rPr>
                    <w:t>道路洒扫</w:t>
                  </w:r>
                </w:p>
              </w:tc>
            </w:tr>
            <w:tr w14:paraId="4BF2AC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0CC741C2">
                  <w:pPr>
                    <w:keepNext/>
                    <w:keepLines w:val="0"/>
                    <w:pageBreakBefore w:val="0"/>
                    <w:kinsoku/>
                    <w:wordWrap/>
                    <w:overflowPunct/>
                    <w:topLinePunct w:val="0"/>
                    <w:autoSpaceDE w:val="0"/>
                    <w:autoSpaceDN w:val="0"/>
                    <w:bidi w:val="0"/>
                    <w:spacing w:before="235" w:line="229" w:lineRule="auto"/>
                    <w:ind w:left="45"/>
                    <w:rPr>
                      <w:rFonts w:ascii="宋体" w:hAnsi="宋体" w:eastAsia="宋体" w:cs="宋体"/>
                      <w:color w:val="auto"/>
                      <w:spacing w:val="5"/>
                      <w:sz w:val="21"/>
                      <w:szCs w:val="21"/>
                    </w:rPr>
                  </w:pPr>
                </w:p>
              </w:tc>
              <w:tc>
                <w:tcPr>
                  <w:tcW w:w="853" w:type="pct"/>
                  <w:tcBorders>
                    <w:tl2br w:val="nil"/>
                    <w:tr2bl w:val="nil"/>
                  </w:tcBorders>
                  <w:vAlign w:val="center"/>
                </w:tcPr>
                <w:p w14:paraId="40F0B4F8">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405" w:type="pct"/>
                  <w:tcBorders>
                    <w:tl2br w:val="nil"/>
                    <w:tr2bl w:val="nil"/>
                  </w:tcBorders>
                  <w:vAlign w:val="center"/>
                </w:tcPr>
                <w:p w14:paraId="1CAB9BD7">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145" w:type="pct"/>
                  <w:tcBorders>
                    <w:tl2br w:val="nil"/>
                    <w:tr2bl w:val="nil"/>
                  </w:tcBorders>
                  <w:vAlign w:val="center"/>
                </w:tcPr>
                <w:p w14:paraId="50B36EFE">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过滤器冲洗废水</w:t>
                  </w:r>
                </w:p>
              </w:tc>
              <w:tc>
                <w:tcPr>
                  <w:tcW w:w="1168" w:type="pct"/>
                  <w:tcBorders>
                    <w:tl2br w:val="nil"/>
                    <w:tr2bl w:val="nil"/>
                  </w:tcBorders>
                  <w:vAlign w:val="center"/>
                </w:tcPr>
                <w:p w14:paraId="528AEB22">
                  <w:pPr>
                    <w:keepNext/>
                    <w:keepLines w:val="0"/>
                    <w:pageBreakBefore w:val="0"/>
                    <w:kinsoku/>
                    <w:wordWrap/>
                    <w:overflowPunct/>
                    <w:topLinePunct w:val="0"/>
                    <w:autoSpaceDE w:val="0"/>
                    <w:autoSpaceDN w:val="0"/>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w:t>
                  </w:r>
                  <w:r>
                    <w:rPr>
                      <w:rFonts w:hint="default" w:ascii="Times New Roman" w:hAnsi="Times New Roman" w:eastAsia="宋体" w:cs="Times New Roman"/>
                      <w:color w:val="auto"/>
                      <w:sz w:val="21"/>
                      <w:szCs w:val="21"/>
                      <w:highlight w:val="none"/>
                      <w:lang w:val="en-US" w:eastAsia="zh-CN"/>
                    </w:rPr>
                    <w:t>、COD</w:t>
                  </w:r>
                  <w:r>
                    <w:rPr>
                      <w:rFonts w:hint="eastAsia" w:ascii="Times New Roman" w:hAnsi="Times New Roman" w:eastAsia="宋体" w:cs="Times New Roman"/>
                      <w:color w:val="auto"/>
                      <w:sz w:val="21"/>
                      <w:szCs w:val="21"/>
                      <w:highlight w:val="none"/>
                      <w:lang w:val="en-US" w:eastAsia="zh-CN"/>
                    </w:rPr>
                    <w:t>c</w:t>
                  </w:r>
                  <w:r>
                    <w:rPr>
                      <w:rFonts w:hint="eastAsia" w:ascii="Times New Roman" w:hAnsi="Times New Roman" w:eastAsia="宋体" w:cs="Times New Roman"/>
                      <w:color w:val="auto"/>
                      <w:sz w:val="21"/>
                      <w:szCs w:val="21"/>
                      <w:highlight w:val="none"/>
                      <w:vertAlign w:val="subscript"/>
                      <w:lang w:val="en-US" w:eastAsia="zh-CN"/>
                    </w:rPr>
                    <w:t>r</w:t>
                  </w:r>
                  <w:r>
                    <w:rPr>
                      <w:rFonts w:hint="default" w:ascii="Times New Roman" w:hAnsi="Times New Roman" w:eastAsia="宋体" w:cs="Times New Roman"/>
                      <w:color w:val="auto"/>
                      <w:sz w:val="21"/>
                      <w:szCs w:val="21"/>
                      <w:highlight w:val="none"/>
                      <w:lang w:val="en-US" w:eastAsia="zh-CN"/>
                    </w:rPr>
                    <w:t>、SS、石油类、</w:t>
                  </w:r>
                  <w:r>
                    <w:rPr>
                      <w:rFonts w:hint="eastAsia" w:ascii="Times New Roman" w:hAnsi="Times New Roman" w:eastAsia="宋体" w:cs="Times New Roman"/>
                      <w:color w:val="auto"/>
                      <w:sz w:val="21"/>
                      <w:szCs w:val="21"/>
                      <w:highlight w:val="none"/>
                      <w:lang w:val="en-US" w:eastAsia="zh-CN"/>
                    </w:rPr>
                    <w:t>氨氮</w:t>
                  </w:r>
                </w:p>
              </w:tc>
              <w:tc>
                <w:tcPr>
                  <w:tcW w:w="1121" w:type="pct"/>
                  <w:tcBorders>
                    <w:tl2br w:val="nil"/>
                    <w:tr2bl w:val="nil"/>
                  </w:tcBorders>
                  <w:vAlign w:val="center"/>
                </w:tcPr>
                <w:p w14:paraId="022CFEB3">
                  <w:pPr>
                    <w:keepNext/>
                    <w:keepLines w:val="0"/>
                    <w:pageBreakBefore w:val="0"/>
                    <w:kinsoku/>
                    <w:wordWrap/>
                    <w:overflowPunct/>
                    <w:topLinePunct w:val="0"/>
                    <w:autoSpaceDE w:val="0"/>
                    <w:autoSpaceDN w:val="0"/>
                    <w:bidi w:val="0"/>
                    <w:spacing w:line="240" w:lineRule="auto"/>
                    <w:ind w:left="0" w:right="0" w:firstLine="0"/>
                    <w:jc w:val="center"/>
                    <w:rPr>
                      <w:rFonts w:ascii="宋体" w:hAnsi="宋体" w:eastAsia="宋体" w:cs="宋体"/>
                      <w:color w:val="auto"/>
                      <w:sz w:val="21"/>
                      <w:szCs w:val="21"/>
                    </w:rPr>
                  </w:pPr>
                  <w:r>
                    <w:rPr>
                      <w:rFonts w:hint="eastAsia" w:ascii="宋体" w:hAnsi="宋体" w:eastAsia="宋体" w:cs="宋体"/>
                      <w:color w:val="auto"/>
                      <w:sz w:val="21"/>
                      <w:szCs w:val="21"/>
                      <w:lang w:val="en-US" w:eastAsia="zh-CN"/>
                    </w:rPr>
                    <w:t>隔油沉淀和污水处理站处理后用于</w:t>
                  </w:r>
                  <w:r>
                    <w:rPr>
                      <w:rFonts w:hint="eastAsia" w:ascii="宋体" w:hAnsi="宋体" w:cs="宋体"/>
                      <w:color w:val="auto"/>
                      <w:sz w:val="21"/>
                      <w:szCs w:val="21"/>
                      <w:lang w:val="en-US" w:eastAsia="zh-CN"/>
                    </w:rPr>
                    <w:t>厂区</w:t>
                  </w:r>
                  <w:r>
                    <w:rPr>
                      <w:rFonts w:hint="eastAsia" w:ascii="宋体" w:hAnsi="宋体" w:eastAsia="宋体" w:cs="宋体"/>
                      <w:color w:val="auto"/>
                      <w:sz w:val="21"/>
                      <w:szCs w:val="21"/>
                      <w:lang w:val="en-US" w:eastAsia="zh-CN"/>
                    </w:rPr>
                    <w:t>道路洒扫</w:t>
                  </w:r>
                </w:p>
              </w:tc>
            </w:tr>
            <w:tr w14:paraId="2F158D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tcBorders>
                    <w:tl2br w:val="nil"/>
                    <w:tr2bl w:val="nil"/>
                  </w:tcBorders>
                  <w:vAlign w:val="center"/>
                </w:tcPr>
                <w:p w14:paraId="03B3FA37">
                  <w:pPr>
                    <w:keepNext/>
                    <w:keepLines w:val="0"/>
                    <w:pageBreakBefore w:val="0"/>
                    <w:kinsoku/>
                    <w:wordWrap/>
                    <w:overflowPunct/>
                    <w:topLinePunct w:val="0"/>
                    <w:autoSpaceDE w:val="0"/>
                    <w:autoSpaceDN w:val="0"/>
                    <w:bidi w:val="0"/>
                    <w:spacing w:before="236" w:line="229" w:lineRule="auto"/>
                    <w:ind w:left="56"/>
                    <w:rPr>
                      <w:rFonts w:ascii="宋体" w:hAnsi="宋体" w:eastAsia="宋体" w:cs="宋体"/>
                      <w:color w:val="auto"/>
                      <w:sz w:val="21"/>
                      <w:szCs w:val="21"/>
                    </w:rPr>
                  </w:pPr>
                  <w:r>
                    <w:rPr>
                      <w:rFonts w:ascii="宋体" w:hAnsi="宋体" w:eastAsia="宋体" w:cs="宋体"/>
                      <w:color w:val="auto"/>
                      <w:spacing w:val="-1"/>
                      <w:sz w:val="21"/>
                      <w:szCs w:val="21"/>
                    </w:rPr>
                    <w:t>噪</w:t>
                  </w:r>
                  <w:r>
                    <w:rPr>
                      <w:rFonts w:ascii="宋体" w:hAnsi="宋体" w:eastAsia="宋体" w:cs="宋体"/>
                      <w:color w:val="auto"/>
                      <w:sz w:val="21"/>
                      <w:szCs w:val="21"/>
                    </w:rPr>
                    <w:t>声</w:t>
                  </w:r>
                </w:p>
              </w:tc>
              <w:tc>
                <w:tcPr>
                  <w:tcW w:w="853" w:type="pct"/>
                  <w:tcBorders>
                    <w:tl2br w:val="nil"/>
                    <w:tr2bl w:val="nil"/>
                  </w:tcBorders>
                  <w:vAlign w:val="center"/>
                </w:tcPr>
                <w:p w14:paraId="5EB67678">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r>
                    <w:rPr>
                      <w:rFonts w:ascii="宋体" w:hAnsi="宋体" w:eastAsia="宋体" w:cs="宋体"/>
                      <w:color w:val="auto"/>
                      <w:spacing w:val="10"/>
                      <w:sz w:val="21"/>
                      <w:szCs w:val="21"/>
                    </w:rPr>
                    <w:t>各</w:t>
                  </w:r>
                  <w:r>
                    <w:rPr>
                      <w:rFonts w:hint="eastAsia" w:ascii="宋体" w:hAnsi="宋体" w:eastAsia="宋体" w:cs="宋体"/>
                      <w:color w:val="auto"/>
                      <w:spacing w:val="7"/>
                      <w:sz w:val="21"/>
                      <w:szCs w:val="21"/>
                      <w:lang w:val="en-US" w:eastAsia="zh-CN"/>
                    </w:rPr>
                    <w:t>生产和输送</w:t>
                  </w:r>
                  <w:r>
                    <w:rPr>
                      <w:rFonts w:ascii="宋体" w:hAnsi="宋体" w:eastAsia="宋体" w:cs="宋体"/>
                      <w:color w:val="auto"/>
                      <w:spacing w:val="7"/>
                      <w:sz w:val="21"/>
                      <w:szCs w:val="21"/>
                    </w:rPr>
                    <w:t>设备</w:t>
                  </w:r>
                </w:p>
              </w:tc>
              <w:tc>
                <w:tcPr>
                  <w:tcW w:w="405" w:type="pct"/>
                  <w:tcBorders>
                    <w:tl2br w:val="nil"/>
                    <w:tr2bl w:val="nil"/>
                  </w:tcBorders>
                  <w:vAlign w:val="center"/>
                </w:tcPr>
                <w:p w14:paraId="4CBF12DD">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w:t>
                  </w:r>
                </w:p>
              </w:tc>
              <w:tc>
                <w:tcPr>
                  <w:tcW w:w="1145" w:type="pct"/>
                  <w:tcBorders>
                    <w:tl2br w:val="nil"/>
                    <w:tr2bl w:val="nil"/>
                  </w:tcBorders>
                  <w:vAlign w:val="center"/>
                </w:tcPr>
                <w:p w14:paraId="3AF7F95B">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pacing w:val="11"/>
                      <w:sz w:val="21"/>
                      <w:szCs w:val="21"/>
                    </w:rPr>
                  </w:pPr>
                  <w:r>
                    <w:rPr>
                      <w:rFonts w:hint="default" w:ascii="Times New Roman" w:hAnsi="Times New Roman" w:eastAsia="宋体" w:cs="Times New Roman"/>
                      <w:color w:val="auto"/>
                      <w:spacing w:val="11"/>
                      <w:sz w:val="21"/>
                      <w:szCs w:val="21"/>
                    </w:rPr>
                    <w:t>生</w:t>
                  </w:r>
                  <w:r>
                    <w:rPr>
                      <w:rFonts w:hint="default" w:ascii="Times New Roman" w:hAnsi="Times New Roman" w:eastAsia="宋体" w:cs="Times New Roman"/>
                      <w:color w:val="auto"/>
                      <w:spacing w:val="8"/>
                      <w:sz w:val="21"/>
                      <w:szCs w:val="21"/>
                    </w:rPr>
                    <w:t>产过程中设备</w:t>
                  </w:r>
                  <w:r>
                    <w:rPr>
                      <w:rFonts w:hint="default" w:ascii="Times New Roman" w:hAnsi="Times New Roman" w:eastAsia="宋体" w:cs="Times New Roman"/>
                      <w:color w:val="auto"/>
                      <w:spacing w:val="7"/>
                      <w:sz w:val="21"/>
                      <w:szCs w:val="21"/>
                    </w:rPr>
                    <w:t>运行</w:t>
                  </w:r>
                  <w:r>
                    <w:rPr>
                      <w:rFonts w:hint="default" w:ascii="Times New Roman" w:hAnsi="Times New Roman" w:eastAsia="宋体" w:cs="Times New Roman"/>
                      <w:color w:val="auto"/>
                      <w:spacing w:val="6"/>
                      <w:sz w:val="21"/>
                      <w:szCs w:val="21"/>
                    </w:rPr>
                    <w:t>等</w:t>
                  </w:r>
                </w:p>
              </w:tc>
              <w:tc>
                <w:tcPr>
                  <w:tcW w:w="1168" w:type="pct"/>
                  <w:tcBorders>
                    <w:tl2br w:val="nil"/>
                    <w:tr2bl w:val="nil"/>
                  </w:tcBorders>
                  <w:vAlign w:val="center"/>
                </w:tcPr>
                <w:p w14:paraId="3D7D229C">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r>
                    <w:rPr>
                      <w:rFonts w:ascii="宋体" w:hAnsi="宋体" w:eastAsia="宋体" w:cs="宋体"/>
                      <w:color w:val="auto"/>
                      <w:spacing w:val="-1"/>
                      <w:sz w:val="21"/>
                      <w:szCs w:val="21"/>
                    </w:rPr>
                    <w:t>噪</w:t>
                  </w:r>
                  <w:r>
                    <w:rPr>
                      <w:rFonts w:ascii="宋体" w:hAnsi="宋体" w:eastAsia="宋体" w:cs="宋体"/>
                      <w:color w:val="auto"/>
                      <w:sz w:val="21"/>
                      <w:szCs w:val="21"/>
                    </w:rPr>
                    <w:t>声</w:t>
                  </w:r>
                </w:p>
              </w:tc>
              <w:tc>
                <w:tcPr>
                  <w:tcW w:w="1121" w:type="pct"/>
                  <w:tcBorders>
                    <w:tl2br w:val="nil"/>
                    <w:tr2bl w:val="nil"/>
                  </w:tcBorders>
                  <w:vAlign w:val="center"/>
                </w:tcPr>
                <w:p w14:paraId="04214602">
                  <w:pPr>
                    <w:keepNext/>
                    <w:keepLines w:val="0"/>
                    <w:pageBreakBefore w:val="0"/>
                    <w:kinsoku/>
                    <w:wordWrap/>
                    <w:overflowPunct/>
                    <w:topLinePunct w:val="0"/>
                    <w:autoSpaceDE w:val="0"/>
                    <w:autoSpaceDN w:val="0"/>
                    <w:bidi w:val="0"/>
                    <w:spacing w:line="240" w:lineRule="auto"/>
                    <w:ind w:left="0" w:right="0" w:firstLine="0"/>
                    <w:jc w:val="center"/>
                    <w:rPr>
                      <w:rFonts w:ascii="宋体" w:hAnsi="宋体" w:eastAsia="宋体" w:cs="宋体"/>
                      <w:color w:val="auto"/>
                      <w:sz w:val="21"/>
                      <w:szCs w:val="21"/>
                    </w:rPr>
                  </w:pPr>
                  <w:r>
                    <w:rPr>
                      <w:rFonts w:ascii="宋体" w:hAnsi="宋体" w:eastAsia="宋体" w:cs="宋体"/>
                      <w:color w:val="auto"/>
                      <w:spacing w:val="7"/>
                      <w:sz w:val="21"/>
                      <w:szCs w:val="21"/>
                    </w:rPr>
                    <w:t>隔</w:t>
                  </w:r>
                  <w:r>
                    <w:rPr>
                      <w:rFonts w:ascii="宋体" w:hAnsi="宋体" w:eastAsia="宋体" w:cs="宋体"/>
                      <w:color w:val="auto"/>
                      <w:spacing w:val="6"/>
                      <w:sz w:val="21"/>
                      <w:szCs w:val="21"/>
                    </w:rPr>
                    <w:t>声、减震等</w:t>
                  </w:r>
                </w:p>
              </w:tc>
            </w:tr>
            <w:tr w14:paraId="4A538C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restart"/>
                  <w:tcBorders>
                    <w:tl2br w:val="nil"/>
                    <w:tr2bl w:val="nil"/>
                  </w:tcBorders>
                  <w:vAlign w:val="center"/>
                </w:tcPr>
                <w:p w14:paraId="36175C18">
                  <w:pPr>
                    <w:keepNext/>
                    <w:keepLines w:val="0"/>
                    <w:pageBreakBefore w:val="0"/>
                    <w:kinsoku/>
                    <w:wordWrap/>
                    <w:overflowPunct/>
                    <w:topLinePunct w:val="0"/>
                    <w:autoSpaceDE w:val="0"/>
                    <w:autoSpaceDN w:val="0"/>
                    <w:bidi w:val="0"/>
                    <w:spacing w:before="65" w:line="229" w:lineRule="auto"/>
                    <w:ind w:left="64"/>
                    <w:rPr>
                      <w:rFonts w:ascii="宋体" w:hAnsi="宋体" w:eastAsia="宋体" w:cs="宋体"/>
                      <w:color w:val="auto"/>
                      <w:sz w:val="21"/>
                      <w:szCs w:val="21"/>
                    </w:rPr>
                  </w:pPr>
                  <w:r>
                    <w:rPr>
                      <w:rFonts w:ascii="宋体" w:hAnsi="宋体" w:eastAsia="宋体" w:cs="宋体"/>
                      <w:color w:val="auto"/>
                      <w:spacing w:val="-5"/>
                      <w:sz w:val="21"/>
                      <w:szCs w:val="21"/>
                    </w:rPr>
                    <w:t>固</w:t>
                  </w:r>
                  <w:r>
                    <w:rPr>
                      <w:rFonts w:ascii="宋体" w:hAnsi="宋体" w:eastAsia="宋体" w:cs="宋体"/>
                      <w:color w:val="auto"/>
                      <w:spacing w:val="-4"/>
                      <w:sz w:val="21"/>
                      <w:szCs w:val="21"/>
                    </w:rPr>
                    <w:t>废</w:t>
                  </w:r>
                </w:p>
              </w:tc>
              <w:tc>
                <w:tcPr>
                  <w:tcW w:w="853" w:type="pct"/>
                  <w:vMerge w:val="restart"/>
                  <w:tcBorders>
                    <w:tl2br w:val="nil"/>
                    <w:tr2bl w:val="nil"/>
                  </w:tcBorders>
                  <w:vAlign w:val="center"/>
                </w:tcPr>
                <w:p w14:paraId="3E42A1FD">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default" w:ascii="宋体" w:hAnsi="宋体" w:eastAsia="宋体" w:cs="宋体"/>
                      <w:color w:val="auto"/>
                      <w:sz w:val="21"/>
                      <w:szCs w:val="21"/>
                      <w:lang w:val="en-US" w:eastAsia="zh-CN"/>
                    </w:rPr>
                    <w:t>水油相制备工房</w:t>
                  </w:r>
                </w:p>
              </w:tc>
              <w:tc>
                <w:tcPr>
                  <w:tcW w:w="405" w:type="pct"/>
                  <w:tcBorders>
                    <w:tl2br w:val="nil"/>
                    <w:tr2bl w:val="nil"/>
                  </w:tcBorders>
                  <w:vAlign w:val="center"/>
                </w:tcPr>
                <w:p w14:paraId="51903653">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S1</w:t>
                  </w:r>
                </w:p>
              </w:tc>
              <w:tc>
                <w:tcPr>
                  <w:tcW w:w="1145" w:type="pct"/>
                  <w:tcBorders>
                    <w:tl2br w:val="nil"/>
                    <w:tr2bl w:val="nil"/>
                  </w:tcBorders>
                  <w:vAlign w:val="center"/>
                </w:tcPr>
                <w:p w14:paraId="07DDE40F">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水相过滤</w:t>
                  </w:r>
                </w:p>
              </w:tc>
              <w:tc>
                <w:tcPr>
                  <w:tcW w:w="1168" w:type="pct"/>
                  <w:tcBorders>
                    <w:tl2br w:val="nil"/>
                    <w:tr2bl w:val="nil"/>
                  </w:tcBorders>
                  <w:vAlign w:val="center"/>
                </w:tcPr>
                <w:p w14:paraId="7BC06F55">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滤渣、废过滤</w:t>
                  </w:r>
                  <w:r>
                    <w:rPr>
                      <w:rFonts w:hint="eastAsia" w:ascii="宋体" w:hAnsi="宋体" w:eastAsia="宋体" w:cs="宋体"/>
                      <w:color w:val="auto"/>
                      <w:sz w:val="21"/>
                      <w:szCs w:val="21"/>
                      <w:highlight w:val="none"/>
                      <w:lang w:val="en-US" w:eastAsia="zh-CN"/>
                    </w:rPr>
                    <w:t>网</w:t>
                  </w:r>
                </w:p>
              </w:tc>
              <w:tc>
                <w:tcPr>
                  <w:tcW w:w="1121" w:type="pct"/>
                  <w:tcBorders>
                    <w:tl2br w:val="nil"/>
                    <w:tr2bl w:val="nil"/>
                  </w:tcBorders>
                  <w:vAlign w:val="center"/>
                </w:tcPr>
                <w:p w14:paraId="303E4733">
                  <w:pPr>
                    <w:keepNext/>
                    <w:keepLines w:val="0"/>
                    <w:pageBreakBefore w:val="0"/>
                    <w:kinsoku/>
                    <w:wordWrap/>
                    <w:overflowPunct/>
                    <w:topLinePunct w:val="0"/>
                    <w:autoSpaceDE w:val="0"/>
                    <w:autoSpaceDN w:val="0"/>
                    <w:bidi w:val="0"/>
                    <w:spacing w:line="240" w:lineRule="auto"/>
                    <w:ind w:left="0" w:right="0" w:firstLine="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暂存后</w:t>
                  </w:r>
                  <w:r>
                    <w:rPr>
                      <w:rFonts w:hint="eastAsia" w:ascii="宋体" w:hAnsi="宋体" w:cs="宋体"/>
                      <w:color w:val="auto"/>
                      <w:sz w:val="21"/>
                      <w:szCs w:val="21"/>
                      <w:lang w:val="en-US" w:eastAsia="zh-CN"/>
                    </w:rPr>
                    <w:t>由</w:t>
                  </w:r>
                  <w:r>
                    <w:rPr>
                      <w:rFonts w:hint="eastAsia" w:ascii="宋体" w:hAnsi="宋体" w:eastAsia="宋体" w:cs="宋体"/>
                      <w:color w:val="auto"/>
                      <w:sz w:val="21"/>
                      <w:szCs w:val="21"/>
                      <w:lang w:val="en-US" w:eastAsia="zh-CN"/>
                    </w:rPr>
                    <w:t>有资质单位处置</w:t>
                  </w:r>
                </w:p>
              </w:tc>
            </w:tr>
            <w:tr w14:paraId="593972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789D1463">
                  <w:pPr>
                    <w:keepNext/>
                    <w:keepLines w:val="0"/>
                    <w:pageBreakBefore w:val="0"/>
                    <w:kinsoku/>
                    <w:wordWrap/>
                    <w:overflowPunct/>
                    <w:topLinePunct w:val="0"/>
                    <w:autoSpaceDE w:val="0"/>
                    <w:autoSpaceDN w:val="0"/>
                    <w:bidi w:val="0"/>
                    <w:spacing w:before="65" w:line="229" w:lineRule="auto"/>
                    <w:ind w:left="64"/>
                    <w:rPr>
                      <w:rFonts w:ascii="宋体" w:hAnsi="宋体" w:eastAsia="宋体" w:cs="宋体"/>
                      <w:color w:val="auto"/>
                      <w:spacing w:val="-5"/>
                      <w:sz w:val="21"/>
                      <w:szCs w:val="21"/>
                    </w:rPr>
                  </w:pPr>
                </w:p>
              </w:tc>
              <w:tc>
                <w:tcPr>
                  <w:tcW w:w="853" w:type="pct"/>
                  <w:vMerge w:val="continue"/>
                  <w:tcBorders>
                    <w:tl2br w:val="nil"/>
                    <w:tr2bl w:val="nil"/>
                  </w:tcBorders>
                  <w:vAlign w:val="center"/>
                </w:tcPr>
                <w:p w14:paraId="0F744470">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p>
              </w:tc>
              <w:tc>
                <w:tcPr>
                  <w:tcW w:w="405" w:type="pct"/>
                  <w:tcBorders>
                    <w:tl2br w:val="nil"/>
                    <w:tr2bl w:val="nil"/>
                  </w:tcBorders>
                  <w:vAlign w:val="center"/>
                </w:tcPr>
                <w:p w14:paraId="30812BA1">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S2</w:t>
                  </w:r>
                </w:p>
              </w:tc>
              <w:tc>
                <w:tcPr>
                  <w:tcW w:w="1145" w:type="pct"/>
                  <w:tcBorders>
                    <w:tl2br w:val="nil"/>
                    <w:tr2bl w:val="nil"/>
                  </w:tcBorders>
                  <w:vAlign w:val="center"/>
                </w:tcPr>
                <w:p w14:paraId="0DAE3E4D">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油相过滤</w:t>
                  </w:r>
                </w:p>
              </w:tc>
              <w:tc>
                <w:tcPr>
                  <w:tcW w:w="1168" w:type="pct"/>
                  <w:tcBorders>
                    <w:tl2br w:val="nil"/>
                    <w:tr2bl w:val="nil"/>
                  </w:tcBorders>
                  <w:vAlign w:val="center"/>
                </w:tcPr>
                <w:p w14:paraId="31E88022">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滤渣、废过滤网</w:t>
                  </w:r>
                </w:p>
              </w:tc>
              <w:tc>
                <w:tcPr>
                  <w:tcW w:w="1121" w:type="pct"/>
                  <w:tcBorders>
                    <w:tl2br w:val="nil"/>
                    <w:tr2bl w:val="nil"/>
                  </w:tcBorders>
                  <w:vAlign w:val="center"/>
                </w:tcPr>
                <w:p w14:paraId="1270D584">
                  <w:pPr>
                    <w:keepNext/>
                    <w:keepLines w:val="0"/>
                    <w:pageBreakBefore w:val="0"/>
                    <w:kinsoku/>
                    <w:wordWrap/>
                    <w:overflowPunct/>
                    <w:topLinePunct w:val="0"/>
                    <w:autoSpaceDE w:val="0"/>
                    <w:autoSpaceDN w:val="0"/>
                    <w:bidi w:val="0"/>
                    <w:spacing w:line="240" w:lineRule="auto"/>
                    <w:ind w:left="0" w:right="0" w:firstLine="0"/>
                    <w:jc w:val="center"/>
                    <w:rPr>
                      <w:rFonts w:ascii="宋体" w:hAnsi="宋体" w:eastAsia="宋体" w:cs="宋体"/>
                      <w:color w:val="auto"/>
                      <w:sz w:val="21"/>
                      <w:szCs w:val="21"/>
                    </w:rPr>
                  </w:pPr>
                  <w:r>
                    <w:rPr>
                      <w:rFonts w:hint="eastAsia" w:ascii="宋体" w:hAnsi="宋体" w:eastAsia="宋体" w:cs="宋体"/>
                      <w:color w:val="auto"/>
                      <w:sz w:val="21"/>
                      <w:szCs w:val="21"/>
                      <w:lang w:val="en-US" w:eastAsia="zh-CN"/>
                    </w:rPr>
                    <w:t>暂存后</w:t>
                  </w:r>
                  <w:r>
                    <w:rPr>
                      <w:rFonts w:hint="eastAsia" w:ascii="宋体" w:hAnsi="宋体" w:cs="宋体"/>
                      <w:color w:val="auto"/>
                      <w:sz w:val="21"/>
                      <w:szCs w:val="21"/>
                      <w:lang w:val="en-US" w:eastAsia="zh-CN"/>
                    </w:rPr>
                    <w:t>由</w:t>
                  </w:r>
                  <w:r>
                    <w:rPr>
                      <w:rFonts w:hint="eastAsia" w:ascii="宋体" w:hAnsi="宋体" w:eastAsia="宋体" w:cs="宋体"/>
                      <w:color w:val="auto"/>
                      <w:sz w:val="21"/>
                      <w:szCs w:val="21"/>
                      <w:lang w:val="en-US" w:eastAsia="zh-CN"/>
                    </w:rPr>
                    <w:t>有资质单位处置</w:t>
                  </w:r>
                </w:p>
              </w:tc>
            </w:tr>
            <w:tr w14:paraId="4C80D8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17E32FD6">
                  <w:pPr>
                    <w:keepNext/>
                    <w:keepLines w:val="0"/>
                    <w:pageBreakBefore w:val="0"/>
                    <w:kinsoku/>
                    <w:wordWrap/>
                    <w:overflowPunct/>
                    <w:topLinePunct w:val="0"/>
                    <w:autoSpaceDE w:val="0"/>
                    <w:autoSpaceDN w:val="0"/>
                    <w:bidi w:val="0"/>
                    <w:spacing w:before="65" w:line="229" w:lineRule="auto"/>
                    <w:ind w:left="64"/>
                    <w:rPr>
                      <w:rFonts w:ascii="宋体" w:hAnsi="宋体" w:eastAsia="宋体" w:cs="宋体"/>
                      <w:color w:val="auto"/>
                      <w:spacing w:val="-5"/>
                      <w:sz w:val="21"/>
                      <w:szCs w:val="21"/>
                    </w:rPr>
                  </w:pPr>
                </w:p>
              </w:tc>
              <w:tc>
                <w:tcPr>
                  <w:tcW w:w="853" w:type="pct"/>
                  <w:vMerge w:val="restart"/>
                  <w:tcBorders>
                    <w:tl2br w:val="nil"/>
                    <w:tr2bl w:val="nil"/>
                  </w:tcBorders>
                  <w:vAlign w:val="center"/>
                </w:tcPr>
                <w:p w14:paraId="1691D7F8">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r>
                    <w:rPr>
                      <w:rFonts w:hint="default" w:ascii="宋体" w:hAnsi="宋体" w:eastAsia="宋体" w:cs="宋体"/>
                      <w:color w:val="auto"/>
                      <w:sz w:val="21"/>
                      <w:szCs w:val="21"/>
                      <w:lang w:val="en-US" w:eastAsia="zh-CN"/>
                    </w:rPr>
                    <w:t>乳化炸药震源药柱生产工房</w:t>
                  </w:r>
                </w:p>
              </w:tc>
              <w:tc>
                <w:tcPr>
                  <w:tcW w:w="405" w:type="pct"/>
                  <w:tcBorders>
                    <w:tl2br w:val="nil"/>
                    <w:tr2bl w:val="nil"/>
                  </w:tcBorders>
                  <w:vAlign w:val="center"/>
                </w:tcPr>
                <w:p w14:paraId="33D27E5A">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S3</w:t>
                  </w:r>
                </w:p>
              </w:tc>
              <w:tc>
                <w:tcPr>
                  <w:tcW w:w="1145" w:type="pct"/>
                  <w:tcBorders>
                    <w:tl2br w:val="nil"/>
                    <w:tr2bl w:val="nil"/>
                  </w:tcBorders>
                  <w:vAlign w:val="center"/>
                </w:tcPr>
                <w:p w14:paraId="05E85471">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乳化及钢带冷却</w:t>
                  </w:r>
                </w:p>
              </w:tc>
              <w:tc>
                <w:tcPr>
                  <w:tcW w:w="1168" w:type="pct"/>
                  <w:tcBorders>
                    <w:tl2br w:val="nil"/>
                    <w:tr2bl w:val="nil"/>
                  </w:tcBorders>
                  <w:vAlign w:val="center"/>
                </w:tcPr>
                <w:p w14:paraId="204D328F">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不合格品</w:t>
                  </w:r>
                </w:p>
              </w:tc>
              <w:tc>
                <w:tcPr>
                  <w:tcW w:w="1121" w:type="pct"/>
                  <w:vMerge w:val="restart"/>
                  <w:tcBorders>
                    <w:tl2br w:val="nil"/>
                    <w:tr2bl w:val="nil"/>
                  </w:tcBorders>
                  <w:vAlign w:val="center"/>
                </w:tcPr>
                <w:p w14:paraId="2DB6D978">
                  <w:pPr>
                    <w:keepNext/>
                    <w:keepLines w:val="0"/>
                    <w:pageBreakBefore w:val="0"/>
                    <w:kinsoku/>
                    <w:wordWrap/>
                    <w:overflowPunct/>
                    <w:topLinePunct w:val="0"/>
                    <w:autoSpaceDE w:val="0"/>
                    <w:autoSpaceDN w:val="0"/>
                    <w:bidi w:val="0"/>
                    <w:spacing w:line="240" w:lineRule="auto"/>
                    <w:ind w:left="0" w:right="0" w:firstLine="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加工后作为产品外售</w:t>
                  </w:r>
                </w:p>
              </w:tc>
            </w:tr>
            <w:tr w14:paraId="28F9F8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306" w:type="pct"/>
                  <w:vMerge w:val="continue"/>
                  <w:tcBorders>
                    <w:tl2br w:val="nil"/>
                    <w:tr2bl w:val="nil"/>
                  </w:tcBorders>
                  <w:vAlign w:val="center"/>
                </w:tcPr>
                <w:p w14:paraId="4C0C3C62">
                  <w:pPr>
                    <w:keepNext/>
                    <w:keepLines w:val="0"/>
                    <w:pageBreakBefore w:val="0"/>
                    <w:kinsoku/>
                    <w:wordWrap/>
                    <w:overflowPunct/>
                    <w:topLinePunct w:val="0"/>
                    <w:autoSpaceDE w:val="0"/>
                    <w:autoSpaceDN w:val="0"/>
                    <w:bidi w:val="0"/>
                    <w:spacing w:before="65" w:line="229" w:lineRule="auto"/>
                    <w:ind w:left="64"/>
                    <w:rPr>
                      <w:rFonts w:ascii="宋体" w:hAnsi="宋体" w:eastAsia="宋体" w:cs="宋体"/>
                      <w:color w:val="auto"/>
                      <w:spacing w:val="-5"/>
                      <w:sz w:val="21"/>
                      <w:szCs w:val="21"/>
                    </w:rPr>
                  </w:pPr>
                </w:p>
              </w:tc>
              <w:tc>
                <w:tcPr>
                  <w:tcW w:w="853" w:type="pct"/>
                  <w:vMerge w:val="continue"/>
                  <w:tcBorders>
                    <w:tl2br w:val="nil"/>
                    <w:tr2bl w:val="nil"/>
                  </w:tcBorders>
                  <w:vAlign w:val="center"/>
                </w:tcPr>
                <w:p w14:paraId="10C1ABFE">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p>
              </w:tc>
              <w:tc>
                <w:tcPr>
                  <w:tcW w:w="405" w:type="pct"/>
                  <w:tcBorders>
                    <w:tl2br w:val="nil"/>
                    <w:tr2bl w:val="nil"/>
                  </w:tcBorders>
                  <w:vAlign w:val="center"/>
                </w:tcPr>
                <w:p w14:paraId="336AEBA9">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S4</w:t>
                  </w:r>
                </w:p>
              </w:tc>
              <w:tc>
                <w:tcPr>
                  <w:tcW w:w="1145" w:type="pct"/>
                  <w:tcBorders>
                    <w:tl2br w:val="nil"/>
                    <w:tr2bl w:val="nil"/>
                  </w:tcBorders>
                  <w:vAlign w:val="center"/>
                </w:tcPr>
                <w:p w14:paraId="0DAA51AC">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敏化及散料输送</w:t>
                  </w:r>
                </w:p>
              </w:tc>
              <w:tc>
                <w:tcPr>
                  <w:tcW w:w="1168" w:type="pct"/>
                  <w:tcBorders>
                    <w:tl2br w:val="nil"/>
                    <w:tr2bl w:val="nil"/>
                  </w:tcBorders>
                  <w:vAlign w:val="center"/>
                </w:tcPr>
                <w:p w14:paraId="20A5C1BF">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r>
                    <w:rPr>
                      <w:rFonts w:hint="eastAsia" w:ascii="宋体" w:hAnsi="宋体" w:eastAsia="宋体" w:cs="宋体"/>
                      <w:color w:val="auto"/>
                      <w:sz w:val="21"/>
                      <w:szCs w:val="21"/>
                      <w:lang w:val="en-US" w:eastAsia="zh-CN"/>
                    </w:rPr>
                    <w:t>不合格品</w:t>
                  </w:r>
                </w:p>
              </w:tc>
              <w:tc>
                <w:tcPr>
                  <w:tcW w:w="1121" w:type="pct"/>
                  <w:vMerge w:val="continue"/>
                  <w:tcBorders>
                    <w:tl2br w:val="nil"/>
                    <w:tr2bl w:val="nil"/>
                  </w:tcBorders>
                  <w:vAlign w:val="center"/>
                </w:tcPr>
                <w:p w14:paraId="57E4DDA6">
                  <w:pPr>
                    <w:keepNext/>
                    <w:keepLines w:val="0"/>
                    <w:pageBreakBefore w:val="0"/>
                    <w:kinsoku/>
                    <w:wordWrap/>
                    <w:overflowPunct/>
                    <w:topLinePunct w:val="0"/>
                    <w:autoSpaceDE w:val="0"/>
                    <w:autoSpaceDN w:val="0"/>
                    <w:bidi w:val="0"/>
                    <w:spacing w:line="240" w:lineRule="auto"/>
                    <w:ind w:left="0" w:right="0" w:firstLine="0"/>
                    <w:jc w:val="center"/>
                    <w:rPr>
                      <w:rFonts w:ascii="宋体" w:hAnsi="宋体" w:eastAsia="宋体" w:cs="宋体"/>
                      <w:color w:val="auto"/>
                      <w:sz w:val="21"/>
                      <w:szCs w:val="21"/>
                    </w:rPr>
                  </w:pPr>
                </w:p>
              </w:tc>
            </w:tr>
            <w:tr w14:paraId="0A9D68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67" w:hRule="atLeast"/>
              </w:trPr>
              <w:tc>
                <w:tcPr>
                  <w:tcW w:w="306" w:type="pct"/>
                  <w:vMerge w:val="continue"/>
                  <w:tcBorders>
                    <w:tl2br w:val="nil"/>
                    <w:tr2bl w:val="nil"/>
                  </w:tcBorders>
                  <w:vAlign w:val="center"/>
                </w:tcPr>
                <w:p w14:paraId="2C94AF4E">
                  <w:pPr>
                    <w:keepNext/>
                    <w:keepLines w:val="0"/>
                    <w:pageBreakBefore w:val="0"/>
                    <w:kinsoku/>
                    <w:wordWrap/>
                    <w:overflowPunct/>
                    <w:topLinePunct w:val="0"/>
                    <w:autoSpaceDE w:val="0"/>
                    <w:autoSpaceDN w:val="0"/>
                    <w:bidi w:val="0"/>
                    <w:rPr>
                      <w:rFonts w:ascii="Arial"/>
                      <w:color w:val="auto"/>
                      <w:sz w:val="21"/>
                      <w:szCs w:val="21"/>
                    </w:rPr>
                  </w:pPr>
                </w:p>
              </w:tc>
              <w:tc>
                <w:tcPr>
                  <w:tcW w:w="853" w:type="pct"/>
                  <w:vMerge w:val="continue"/>
                  <w:tcBorders>
                    <w:tl2br w:val="nil"/>
                    <w:tr2bl w:val="nil"/>
                  </w:tcBorders>
                  <w:vAlign w:val="center"/>
                </w:tcPr>
                <w:p w14:paraId="2B70A347">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p>
              </w:tc>
              <w:tc>
                <w:tcPr>
                  <w:tcW w:w="405" w:type="pct"/>
                  <w:tcBorders>
                    <w:tl2br w:val="nil"/>
                    <w:tr2bl w:val="nil"/>
                  </w:tcBorders>
                  <w:vAlign w:val="center"/>
                </w:tcPr>
                <w:p w14:paraId="3D3A6640">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S5</w:t>
                  </w:r>
                </w:p>
              </w:tc>
              <w:tc>
                <w:tcPr>
                  <w:tcW w:w="1145" w:type="pct"/>
                  <w:tcBorders>
                    <w:tl2br w:val="nil"/>
                    <w:tr2bl w:val="nil"/>
                  </w:tcBorders>
                  <w:vAlign w:val="center"/>
                </w:tcPr>
                <w:p w14:paraId="6DA66920">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装药过程</w:t>
                  </w:r>
                </w:p>
              </w:tc>
              <w:tc>
                <w:tcPr>
                  <w:tcW w:w="1168" w:type="pct"/>
                  <w:tcBorders>
                    <w:tl2br w:val="nil"/>
                    <w:tr2bl w:val="nil"/>
                  </w:tcBorders>
                  <w:vAlign w:val="center"/>
                </w:tcPr>
                <w:p w14:paraId="18BF3031">
                  <w:pPr>
                    <w:keepNext/>
                    <w:keepLines w:val="0"/>
                    <w:pageBreakBefore w:val="0"/>
                    <w:kinsoku/>
                    <w:wordWrap/>
                    <w:overflowPunct/>
                    <w:topLinePunct w:val="0"/>
                    <w:autoSpaceDE w:val="0"/>
                    <w:autoSpaceDN w:val="0"/>
                    <w:bidi w:val="0"/>
                    <w:spacing w:line="240" w:lineRule="auto"/>
                    <w:ind w:left="0"/>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不合格品</w:t>
                  </w:r>
                </w:p>
              </w:tc>
              <w:tc>
                <w:tcPr>
                  <w:tcW w:w="1121" w:type="pct"/>
                  <w:vMerge w:val="continue"/>
                  <w:tcBorders>
                    <w:tl2br w:val="nil"/>
                    <w:tr2bl w:val="nil"/>
                  </w:tcBorders>
                  <w:vAlign w:val="center"/>
                </w:tcPr>
                <w:p w14:paraId="776FA101">
                  <w:pPr>
                    <w:keepNext/>
                    <w:keepLines w:val="0"/>
                    <w:pageBreakBefore w:val="0"/>
                    <w:kinsoku/>
                    <w:wordWrap/>
                    <w:overflowPunct/>
                    <w:topLinePunct w:val="0"/>
                    <w:autoSpaceDE w:val="0"/>
                    <w:autoSpaceDN w:val="0"/>
                    <w:bidi w:val="0"/>
                    <w:spacing w:line="240" w:lineRule="auto"/>
                    <w:ind w:left="0" w:right="0" w:firstLine="0"/>
                    <w:jc w:val="center"/>
                    <w:rPr>
                      <w:rFonts w:ascii="宋体" w:hAnsi="宋体" w:eastAsia="宋体" w:cs="宋体"/>
                      <w:color w:val="auto"/>
                      <w:sz w:val="21"/>
                      <w:szCs w:val="21"/>
                    </w:rPr>
                  </w:pPr>
                </w:p>
              </w:tc>
            </w:tr>
            <w:tr w14:paraId="3D337C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trPr>
              <w:tc>
                <w:tcPr>
                  <w:tcW w:w="306" w:type="pct"/>
                  <w:vMerge w:val="continue"/>
                  <w:tcBorders>
                    <w:tl2br w:val="nil"/>
                    <w:tr2bl w:val="nil"/>
                  </w:tcBorders>
                  <w:vAlign w:val="center"/>
                </w:tcPr>
                <w:p w14:paraId="43793019">
                  <w:pPr>
                    <w:keepNext/>
                    <w:keepLines w:val="0"/>
                    <w:pageBreakBefore w:val="0"/>
                    <w:kinsoku/>
                    <w:wordWrap/>
                    <w:overflowPunct/>
                    <w:topLinePunct w:val="0"/>
                    <w:autoSpaceDE w:val="0"/>
                    <w:autoSpaceDN w:val="0"/>
                    <w:bidi w:val="0"/>
                    <w:rPr>
                      <w:rFonts w:ascii="Arial"/>
                      <w:color w:val="auto"/>
                      <w:sz w:val="21"/>
                      <w:szCs w:val="21"/>
                    </w:rPr>
                  </w:pPr>
                </w:p>
              </w:tc>
              <w:tc>
                <w:tcPr>
                  <w:tcW w:w="853" w:type="pct"/>
                  <w:vMerge w:val="continue"/>
                  <w:tcBorders>
                    <w:tl2br w:val="nil"/>
                    <w:tr2bl w:val="nil"/>
                  </w:tcBorders>
                  <w:vAlign w:val="center"/>
                </w:tcPr>
                <w:p w14:paraId="466C17E6">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p>
              </w:tc>
              <w:tc>
                <w:tcPr>
                  <w:tcW w:w="405" w:type="pct"/>
                  <w:tcBorders>
                    <w:tl2br w:val="nil"/>
                    <w:tr2bl w:val="nil"/>
                  </w:tcBorders>
                  <w:vAlign w:val="center"/>
                </w:tcPr>
                <w:p w14:paraId="40D2E239">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S6</w:t>
                  </w:r>
                </w:p>
              </w:tc>
              <w:tc>
                <w:tcPr>
                  <w:tcW w:w="1145" w:type="pct"/>
                  <w:tcBorders>
                    <w:tl2br w:val="nil"/>
                    <w:tr2bl w:val="nil"/>
                  </w:tcBorders>
                  <w:vAlign w:val="center"/>
                </w:tcPr>
                <w:p w14:paraId="38C2A800">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压盖、封口、装配连接套程过程</w:t>
                  </w:r>
                </w:p>
              </w:tc>
              <w:tc>
                <w:tcPr>
                  <w:tcW w:w="1168" w:type="pct"/>
                  <w:tcBorders>
                    <w:tl2br w:val="nil"/>
                    <w:tr2bl w:val="nil"/>
                  </w:tcBorders>
                  <w:vAlign w:val="center"/>
                </w:tcPr>
                <w:p w14:paraId="00CFBA6D">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不合格品</w:t>
                  </w:r>
                </w:p>
              </w:tc>
              <w:tc>
                <w:tcPr>
                  <w:tcW w:w="1121" w:type="pct"/>
                  <w:vMerge w:val="continue"/>
                  <w:tcBorders>
                    <w:tl2br w:val="nil"/>
                    <w:tr2bl w:val="nil"/>
                  </w:tcBorders>
                  <w:vAlign w:val="center"/>
                </w:tcPr>
                <w:p w14:paraId="63722AF9">
                  <w:pPr>
                    <w:keepNext/>
                    <w:keepLines w:val="0"/>
                    <w:pageBreakBefore w:val="0"/>
                    <w:kinsoku/>
                    <w:wordWrap/>
                    <w:overflowPunct/>
                    <w:topLinePunct w:val="0"/>
                    <w:autoSpaceDE w:val="0"/>
                    <w:autoSpaceDN w:val="0"/>
                    <w:bidi w:val="0"/>
                    <w:spacing w:line="240" w:lineRule="auto"/>
                    <w:ind w:left="0" w:right="0" w:firstLine="0"/>
                    <w:jc w:val="center"/>
                    <w:rPr>
                      <w:rFonts w:ascii="宋体" w:hAnsi="宋体" w:eastAsia="宋体" w:cs="宋体"/>
                      <w:color w:val="auto"/>
                      <w:sz w:val="21"/>
                      <w:szCs w:val="21"/>
                    </w:rPr>
                  </w:pPr>
                </w:p>
              </w:tc>
            </w:tr>
            <w:tr w14:paraId="055836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trPr>
              <w:tc>
                <w:tcPr>
                  <w:tcW w:w="306" w:type="pct"/>
                  <w:vMerge w:val="continue"/>
                  <w:tcBorders>
                    <w:tl2br w:val="nil"/>
                    <w:tr2bl w:val="nil"/>
                  </w:tcBorders>
                  <w:vAlign w:val="center"/>
                </w:tcPr>
                <w:p w14:paraId="2D12D504">
                  <w:pPr>
                    <w:keepNext/>
                    <w:keepLines w:val="0"/>
                    <w:pageBreakBefore w:val="0"/>
                    <w:kinsoku/>
                    <w:wordWrap/>
                    <w:overflowPunct/>
                    <w:topLinePunct w:val="0"/>
                    <w:autoSpaceDE w:val="0"/>
                    <w:autoSpaceDN w:val="0"/>
                    <w:bidi w:val="0"/>
                    <w:rPr>
                      <w:rFonts w:ascii="Arial"/>
                      <w:color w:val="auto"/>
                      <w:sz w:val="21"/>
                      <w:szCs w:val="21"/>
                    </w:rPr>
                  </w:pPr>
                </w:p>
              </w:tc>
              <w:tc>
                <w:tcPr>
                  <w:tcW w:w="853" w:type="pct"/>
                  <w:vMerge w:val="continue"/>
                  <w:tcBorders>
                    <w:tl2br w:val="nil"/>
                    <w:tr2bl w:val="nil"/>
                  </w:tcBorders>
                  <w:vAlign w:val="center"/>
                </w:tcPr>
                <w:p w14:paraId="43026B59">
                  <w:pPr>
                    <w:keepNext/>
                    <w:keepLines w:val="0"/>
                    <w:pageBreakBefore w:val="0"/>
                    <w:kinsoku/>
                    <w:wordWrap/>
                    <w:overflowPunct/>
                    <w:topLinePunct w:val="0"/>
                    <w:autoSpaceDE w:val="0"/>
                    <w:autoSpaceDN w:val="0"/>
                    <w:bidi w:val="0"/>
                    <w:spacing w:line="240" w:lineRule="auto"/>
                    <w:ind w:left="0"/>
                    <w:jc w:val="center"/>
                    <w:rPr>
                      <w:rFonts w:ascii="宋体" w:hAnsi="宋体" w:eastAsia="宋体" w:cs="宋体"/>
                      <w:color w:val="auto"/>
                      <w:sz w:val="21"/>
                      <w:szCs w:val="21"/>
                    </w:rPr>
                  </w:pPr>
                </w:p>
              </w:tc>
              <w:tc>
                <w:tcPr>
                  <w:tcW w:w="405" w:type="pct"/>
                  <w:tcBorders>
                    <w:tl2br w:val="nil"/>
                    <w:tr2bl w:val="nil"/>
                  </w:tcBorders>
                  <w:vAlign w:val="center"/>
                </w:tcPr>
                <w:p w14:paraId="4F8473BC">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S7</w:t>
                  </w:r>
                </w:p>
              </w:tc>
              <w:tc>
                <w:tcPr>
                  <w:tcW w:w="1145" w:type="pct"/>
                  <w:tcBorders>
                    <w:tl2br w:val="nil"/>
                    <w:tr2bl w:val="nil"/>
                  </w:tcBorders>
                  <w:vAlign w:val="center"/>
                </w:tcPr>
                <w:p w14:paraId="051C0145">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不合格品处理</w:t>
                  </w:r>
                </w:p>
              </w:tc>
              <w:tc>
                <w:tcPr>
                  <w:tcW w:w="1168" w:type="pct"/>
                  <w:tcBorders>
                    <w:tl2br w:val="nil"/>
                    <w:tr2bl w:val="nil"/>
                  </w:tcBorders>
                  <w:vAlign w:val="center"/>
                </w:tcPr>
                <w:p w14:paraId="677C201C">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废炸药包装</w:t>
                  </w:r>
                </w:p>
              </w:tc>
              <w:tc>
                <w:tcPr>
                  <w:tcW w:w="1121" w:type="pct"/>
                  <w:tcBorders>
                    <w:tl2br w:val="nil"/>
                    <w:tr2bl w:val="nil"/>
                  </w:tcBorders>
                  <w:vAlign w:val="center"/>
                </w:tcPr>
                <w:p w14:paraId="096EE848">
                  <w:pPr>
                    <w:keepNext/>
                    <w:keepLines w:val="0"/>
                    <w:pageBreakBefore w:val="0"/>
                    <w:kinsoku/>
                    <w:wordWrap/>
                    <w:overflowPunct/>
                    <w:topLinePunct w:val="0"/>
                    <w:autoSpaceDE w:val="0"/>
                    <w:autoSpaceDN w:val="0"/>
                    <w:bidi w:val="0"/>
                    <w:spacing w:line="240" w:lineRule="auto"/>
                    <w:ind w:left="0" w:right="0" w:firstLine="0"/>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销毁场销毁</w:t>
                  </w:r>
                </w:p>
              </w:tc>
            </w:tr>
            <w:tr w14:paraId="56081E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trPr>
              <w:tc>
                <w:tcPr>
                  <w:tcW w:w="306" w:type="pct"/>
                  <w:vMerge w:val="continue"/>
                  <w:tcBorders>
                    <w:tl2br w:val="nil"/>
                    <w:tr2bl w:val="nil"/>
                  </w:tcBorders>
                  <w:vAlign w:val="center"/>
                </w:tcPr>
                <w:p w14:paraId="3E05F575">
                  <w:pPr>
                    <w:keepNext/>
                    <w:keepLines w:val="0"/>
                    <w:pageBreakBefore w:val="0"/>
                    <w:kinsoku/>
                    <w:wordWrap/>
                    <w:overflowPunct/>
                    <w:topLinePunct w:val="0"/>
                    <w:autoSpaceDE w:val="0"/>
                    <w:autoSpaceDN w:val="0"/>
                    <w:bidi w:val="0"/>
                    <w:rPr>
                      <w:rFonts w:ascii="Arial"/>
                      <w:color w:val="auto"/>
                      <w:sz w:val="21"/>
                      <w:szCs w:val="21"/>
                    </w:rPr>
                  </w:pPr>
                </w:p>
              </w:tc>
              <w:tc>
                <w:tcPr>
                  <w:tcW w:w="853" w:type="pct"/>
                  <w:tcBorders>
                    <w:tl2br w:val="nil"/>
                    <w:tr2bl w:val="nil"/>
                  </w:tcBorders>
                  <w:vAlign w:val="center"/>
                </w:tcPr>
                <w:p w14:paraId="2E17944E">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405" w:type="pct"/>
                  <w:tcBorders>
                    <w:tl2br w:val="nil"/>
                    <w:tr2bl w:val="nil"/>
                  </w:tcBorders>
                  <w:vAlign w:val="center"/>
                </w:tcPr>
                <w:p w14:paraId="105BACD3">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145" w:type="pct"/>
                  <w:tcBorders>
                    <w:tl2br w:val="nil"/>
                    <w:tr2bl w:val="nil"/>
                  </w:tcBorders>
                  <w:vAlign w:val="center"/>
                </w:tcPr>
                <w:p w14:paraId="110AA030">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原料包装</w:t>
                  </w:r>
                </w:p>
              </w:tc>
              <w:tc>
                <w:tcPr>
                  <w:tcW w:w="1168" w:type="pct"/>
                  <w:tcBorders>
                    <w:tl2br w:val="nil"/>
                    <w:tr2bl w:val="nil"/>
                  </w:tcBorders>
                  <w:vAlign w:val="center"/>
                </w:tcPr>
                <w:p w14:paraId="6FDE7AA2">
                  <w:pPr>
                    <w:keepNext/>
                    <w:keepLines w:val="0"/>
                    <w:pageBreakBefore w:val="0"/>
                    <w:kinsoku/>
                    <w:wordWrap/>
                    <w:overflowPunct/>
                    <w:topLinePunct w:val="0"/>
                    <w:autoSpaceDE w:val="0"/>
                    <w:autoSpaceDN w:val="0"/>
                    <w:bidi w:val="0"/>
                    <w:spacing w:line="240" w:lineRule="auto"/>
                    <w:ind w:left="0"/>
                    <w:jc w:val="center"/>
                    <w:rPr>
                      <w:rFonts w:hint="eastAsia" w:ascii="宋体" w:hAnsi="宋体" w:eastAsia="宋体" w:cs="宋体"/>
                      <w:color w:val="auto"/>
                      <w:sz w:val="21"/>
                      <w:szCs w:val="21"/>
                      <w:lang w:val="en-US" w:eastAsia="zh-CN"/>
                    </w:rPr>
                  </w:pPr>
                  <w:r>
                    <w:rPr>
                      <w:rFonts w:hint="eastAsia" w:ascii="Times New Roman" w:hAnsi="Times New Roman" w:eastAsia="宋体" w:cs="Times New Roman"/>
                      <w:color w:val="auto"/>
                      <w:sz w:val="21"/>
                      <w:szCs w:val="21"/>
                      <w:lang w:val="en-US" w:eastAsia="zh-CN"/>
                    </w:rPr>
                    <w:t>废包装袋</w:t>
                  </w:r>
                </w:p>
              </w:tc>
              <w:tc>
                <w:tcPr>
                  <w:tcW w:w="1121" w:type="pct"/>
                  <w:tcBorders>
                    <w:tl2br w:val="nil"/>
                    <w:tr2bl w:val="nil"/>
                  </w:tcBorders>
                  <w:vAlign w:val="center"/>
                </w:tcPr>
                <w:p w14:paraId="0D115577">
                  <w:pPr>
                    <w:keepNext/>
                    <w:keepLines w:val="0"/>
                    <w:pageBreakBefore w:val="0"/>
                    <w:kinsoku/>
                    <w:wordWrap/>
                    <w:overflowPunct/>
                    <w:topLinePunct w:val="0"/>
                    <w:autoSpaceDE w:val="0"/>
                    <w:autoSpaceDN w:val="0"/>
                    <w:bidi w:val="0"/>
                    <w:spacing w:line="240" w:lineRule="auto"/>
                    <w:ind w:left="0" w:right="0" w:firstLine="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一般固废外售。危险废物暂存后由有资质单位处置</w:t>
                  </w:r>
                </w:p>
              </w:tc>
            </w:tr>
            <w:tr w14:paraId="0B41EA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trPr>
              <w:tc>
                <w:tcPr>
                  <w:tcW w:w="306" w:type="pct"/>
                  <w:vMerge w:val="continue"/>
                  <w:tcBorders>
                    <w:tl2br w:val="nil"/>
                    <w:tr2bl w:val="nil"/>
                  </w:tcBorders>
                  <w:vAlign w:val="center"/>
                </w:tcPr>
                <w:p w14:paraId="76B0F829">
                  <w:pPr>
                    <w:keepNext/>
                    <w:keepLines w:val="0"/>
                    <w:pageBreakBefore w:val="0"/>
                    <w:kinsoku/>
                    <w:wordWrap/>
                    <w:overflowPunct/>
                    <w:topLinePunct w:val="0"/>
                    <w:autoSpaceDE w:val="0"/>
                    <w:autoSpaceDN w:val="0"/>
                    <w:bidi w:val="0"/>
                    <w:rPr>
                      <w:rFonts w:ascii="Arial"/>
                      <w:color w:val="auto"/>
                      <w:sz w:val="21"/>
                      <w:szCs w:val="21"/>
                    </w:rPr>
                  </w:pPr>
                </w:p>
              </w:tc>
              <w:tc>
                <w:tcPr>
                  <w:tcW w:w="1419" w:type="dxa"/>
                  <w:tcBorders>
                    <w:tl2br w:val="nil"/>
                    <w:tr2bl w:val="nil"/>
                  </w:tcBorders>
                  <w:vAlign w:val="center"/>
                </w:tcPr>
                <w:p w14:paraId="6AD19119">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674" w:type="dxa"/>
                  <w:tcBorders>
                    <w:tl2br w:val="nil"/>
                    <w:tr2bl w:val="nil"/>
                  </w:tcBorders>
                  <w:vAlign w:val="center"/>
                </w:tcPr>
                <w:p w14:paraId="688C9204">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145" w:type="pct"/>
                  <w:tcBorders>
                    <w:tl2br w:val="nil"/>
                    <w:tr2bl w:val="nil"/>
                  </w:tcBorders>
                  <w:vAlign w:val="center"/>
                </w:tcPr>
                <w:p w14:paraId="2FAA113D">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喷码</w:t>
                  </w:r>
                </w:p>
              </w:tc>
              <w:tc>
                <w:tcPr>
                  <w:tcW w:w="1168" w:type="pct"/>
                  <w:tcBorders>
                    <w:tl2br w:val="nil"/>
                    <w:tr2bl w:val="nil"/>
                  </w:tcBorders>
                  <w:vAlign w:val="center"/>
                </w:tcPr>
                <w:p w14:paraId="6BED32B0">
                  <w:pPr>
                    <w:keepNext/>
                    <w:keepLines w:val="0"/>
                    <w:pageBreakBefore w:val="0"/>
                    <w:kinsoku/>
                    <w:wordWrap/>
                    <w:overflowPunct/>
                    <w:topLinePunct w:val="0"/>
                    <w:autoSpaceDE w:val="0"/>
                    <w:autoSpaceDN w:val="0"/>
                    <w:bidi w:val="0"/>
                    <w:spacing w:line="240" w:lineRule="auto"/>
                    <w:ind w:lef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废包装瓶</w:t>
                  </w:r>
                </w:p>
              </w:tc>
              <w:tc>
                <w:tcPr>
                  <w:tcW w:w="1121" w:type="pct"/>
                  <w:tcBorders>
                    <w:tl2br w:val="nil"/>
                    <w:tr2bl w:val="nil"/>
                  </w:tcBorders>
                  <w:vAlign w:val="center"/>
                </w:tcPr>
                <w:p w14:paraId="45498AA1">
                  <w:pPr>
                    <w:keepNext/>
                    <w:keepLines w:val="0"/>
                    <w:pageBreakBefore w:val="0"/>
                    <w:kinsoku/>
                    <w:wordWrap/>
                    <w:overflowPunct/>
                    <w:topLinePunct w:val="0"/>
                    <w:autoSpaceDE w:val="0"/>
                    <w:autoSpaceDN w:val="0"/>
                    <w:bidi w:val="0"/>
                    <w:spacing w:line="240" w:lineRule="auto"/>
                    <w:ind w:left="0" w:right="0" w:firstLine="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暂存后由有资质单位处置</w:t>
                  </w:r>
                </w:p>
              </w:tc>
            </w:tr>
            <w:tr w14:paraId="4C9096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trPr>
              <w:tc>
                <w:tcPr>
                  <w:tcW w:w="306" w:type="pct"/>
                  <w:vMerge w:val="continue"/>
                  <w:tcBorders>
                    <w:tl2br w:val="nil"/>
                    <w:tr2bl w:val="nil"/>
                  </w:tcBorders>
                  <w:vAlign w:val="center"/>
                </w:tcPr>
                <w:p w14:paraId="2043AB52">
                  <w:pPr>
                    <w:keepNext/>
                    <w:keepLines w:val="0"/>
                    <w:pageBreakBefore w:val="0"/>
                    <w:kinsoku/>
                    <w:wordWrap/>
                    <w:overflowPunct/>
                    <w:topLinePunct w:val="0"/>
                    <w:autoSpaceDE w:val="0"/>
                    <w:autoSpaceDN w:val="0"/>
                    <w:bidi w:val="0"/>
                    <w:rPr>
                      <w:rFonts w:ascii="Arial"/>
                      <w:color w:val="auto"/>
                      <w:sz w:val="21"/>
                      <w:szCs w:val="21"/>
                    </w:rPr>
                  </w:pPr>
                </w:p>
              </w:tc>
              <w:tc>
                <w:tcPr>
                  <w:tcW w:w="853" w:type="pct"/>
                  <w:tcBorders>
                    <w:tl2br w:val="nil"/>
                    <w:tr2bl w:val="nil"/>
                  </w:tcBorders>
                  <w:vAlign w:val="center"/>
                </w:tcPr>
                <w:p w14:paraId="7340B6A4">
                  <w:pPr>
                    <w:keepNext/>
                    <w:keepLines w:val="0"/>
                    <w:pageBreakBefore w:val="0"/>
                    <w:kinsoku/>
                    <w:wordWrap/>
                    <w:overflowPunct/>
                    <w:topLinePunct w:val="0"/>
                    <w:autoSpaceDE w:val="0"/>
                    <w:autoSpaceDN w:val="0"/>
                    <w:bidi w:val="0"/>
                    <w:spacing w:line="240" w:lineRule="auto"/>
                    <w:ind w:left="0" w:leftChars="0"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405" w:type="pct"/>
                  <w:tcBorders>
                    <w:tl2br w:val="nil"/>
                    <w:tr2bl w:val="nil"/>
                  </w:tcBorders>
                  <w:vAlign w:val="center"/>
                </w:tcPr>
                <w:p w14:paraId="2A8F113B">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145" w:type="pct"/>
                  <w:tcBorders>
                    <w:tl2br w:val="nil"/>
                    <w:tr2bl w:val="nil"/>
                  </w:tcBorders>
                  <w:vAlign w:val="center"/>
                </w:tcPr>
                <w:p w14:paraId="597358E2">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设备维护</w:t>
                  </w:r>
                  <w:r>
                    <w:rPr>
                      <w:rFonts w:hint="eastAsia" w:cs="Times New Roman"/>
                      <w:color w:val="auto"/>
                      <w:sz w:val="21"/>
                      <w:szCs w:val="21"/>
                      <w:lang w:val="en-US" w:eastAsia="zh-CN"/>
                    </w:rPr>
                    <w:t>保养</w:t>
                  </w:r>
                </w:p>
              </w:tc>
              <w:tc>
                <w:tcPr>
                  <w:tcW w:w="1168" w:type="pct"/>
                  <w:tcBorders>
                    <w:tl2br w:val="nil"/>
                    <w:tr2bl w:val="nil"/>
                  </w:tcBorders>
                  <w:vAlign w:val="center"/>
                </w:tcPr>
                <w:p w14:paraId="0684028B">
                  <w:pPr>
                    <w:keepNext/>
                    <w:keepLines w:val="0"/>
                    <w:pageBreakBefore w:val="0"/>
                    <w:kinsoku/>
                    <w:wordWrap/>
                    <w:overflowPunct/>
                    <w:topLinePunct w:val="0"/>
                    <w:autoSpaceDE w:val="0"/>
                    <w:autoSpaceDN w:val="0"/>
                    <w:bidi w:val="0"/>
                    <w:spacing w:line="240" w:lineRule="auto"/>
                    <w:ind w:left="0" w:right="0" w:firstLine="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废机油、机油桶、含油抹布</w:t>
                  </w:r>
                </w:p>
              </w:tc>
              <w:tc>
                <w:tcPr>
                  <w:tcW w:w="1121" w:type="pct"/>
                  <w:tcBorders>
                    <w:tl2br w:val="nil"/>
                    <w:tr2bl w:val="nil"/>
                  </w:tcBorders>
                  <w:vAlign w:val="center"/>
                </w:tcPr>
                <w:p w14:paraId="7E521ECB">
                  <w:pPr>
                    <w:keepNext/>
                    <w:keepLines w:val="0"/>
                    <w:pageBreakBefore w:val="0"/>
                    <w:kinsoku/>
                    <w:wordWrap/>
                    <w:overflowPunct/>
                    <w:topLinePunct w:val="0"/>
                    <w:autoSpaceDE w:val="0"/>
                    <w:autoSpaceDN w:val="0"/>
                    <w:bidi w:val="0"/>
                    <w:spacing w:line="240" w:lineRule="auto"/>
                    <w:ind w:left="0" w:right="0" w:firstLine="0"/>
                    <w:jc w:val="center"/>
                    <w:rPr>
                      <w:rFonts w:ascii="宋体" w:hAnsi="宋体" w:eastAsia="宋体" w:cs="宋体"/>
                      <w:color w:val="auto"/>
                      <w:sz w:val="21"/>
                      <w:szCs w:val="21"/>
                    </w:rPr>
                  </w:pPr>
                  <w:r>
                    <w:rPr>
                      <w:rFonts w:hint="eastAsia" w:ascii="宋体" w:hAnsi="宋体" w:eastAsia="宋体" w:cs="宋体"/>
                      <w:color w:val="auto"/>
                      <w:sz w:val="21"/>
                      <w:szCs w:val="21"/>
                      <w:lang w:val="en-US" w:eastAsia="zh-CN"/>
                    </w:rPr>
                    <w:t>暂存后</w:t>
                  </w:r>
                  <w:r>
                    <w:rPr>
                      <w:rFonts w:hint="eastAsia" w:ascii="宋体" w:hAnsi="宋体" w:cs="宋体"/>
                      <w:color w:val="auto"/>
                      <w:sz w:val="21"/>
                      <w:szCs w:val="21"/>
                      <w:lang w:val="en-US" w:eastAsia="zh-CN"/>
                    </w:rPr>
                    <w:t>由</w:t>
                  </w:r>
                  <w:r>
                    <w:rPr>
                      <w:rFonts w:hint="eastAsia" w:ascii="宋体" w:hAnsi="宋体" w:eastAsia="宋体" w:cs="宋体"/>
                      <w:color w:val="auto"/>
                      <w:sz w:val="21"/>
                      <w:szCs w:val="21"/>
                      <w:lang w:val="en-US" w:eastAsia="zh-CN"/>
                    </w:rPr>
                    <w:t>有资质单位处置</w:t>
                  </w:r>
                </w:p>
              </w:tc>
            </w:tr>
            <w:tr w14:paraId="47089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7" w:hRule="atLeast"/>
              </w:trPr>
              <w:tc>
                <w:tcPr>
                  <w:tcW w:w="306" w:type="pct"/>
                  <w:vMerge w:val="continue"/>
                  <w:tcBorders>
                    <w:tl2br w:val="nil"/>
                    <w:tr2bl w:val="nil"/>
                  </w:tcBorders>
                  <w:vAlign w:val="center"/>
                </w:tcPr>
                <w:p w14:paraId="68A3ECAA">
                  <w:pPr>
                    <w:keepNext/>
                    <w:keepLines w:val="0"/>
                    <w:pageBreakBefore w:val="0"/>
                    <w:kinsoku/>
                    <w:wordWrap/>
                    <w:overflowPunct/>
                    <w:topLinePunct w:val="0"/>
                    <w:autoSpaceDE w:val="0"/>
                    <w:autoSpaceDN w:val="0"/>
                    <w:bidi w:val="0"/>
                    <w:rPr>
                      <w:rFonts w:ascii="Arial"/>
                      <w:color w:val="auto"/>
                      <w:sz w:val="21"/>
                      <w:szCs w:val="21"/>
                    </w:rPr>
                  </w:pPr>
                </w:p>
              </w:tc>
              <w:tc>
                <w:tcPr>
                  <w:tcW w:w="853" w:type="pct"/>
                  <w:tcBorders>
                    <w:tl2br w:val="nil"/>
                    <w:tr2bl w:val="nil"/>
                  </w:tcBorders>
                  <w:vAlign w:val="center"/>
                </w:tcPr>
                <w:p w14:paraId="5D190CD3">
                  <w:pPr>
                    <w:keepNext/>
                    <w:keepLines w:val="0"/>
                    <w:pageBreakBefore w:val="0"/>
                    <w:kinsoku/>
                    <w:wordWrap/>
                    <w:overflowPunct/>
                    <w:topLinePunct w:val="0"/>
                    <w:autoSpaceDE w:val="0"/>
                    <w:autoSpaceDN w:val="0"/>
                    <w:bidi w:val="0"/>
                    <w:spacing w:line="240" w:lineRule="auto"/>
                    <w:ind w:left="0" w:leftChars="0" w:firstLine="0" w:firstLine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405" w:type="pct"/>
                  <w:tcBorders>
                    <w:tl2br w:val="nil"/>
                    <w:tr2bl w:val="nil"/>
                  </w:tcBorders>
                  <w:vAlign w:val="center"/>
                </w:tcPr>
                <w:p w14:paraId="7921D60D">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145" w:type="pct"/>
                  <w:tcBorders>
                    <w:tl2br w:val="nil"/>
                    <w:tr2bl w:val="nil"/>
                  </w:tcBorders>
                  <w:vAlign w:val="center"/>
                </w:tcPr>
                <w:p w14:paraId="77350CDC">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废水处理</w:t>
                  </w:r>
                </w:p>
              </w:tc>
              <w:tc>
                <w:tcPr>
                  <w:tcW w:w="1168" w:type="pct"/>
                  <w:tcBorders>
                    <w:tl2br w:val="nil"/>
                    <w:tr2bl w:val="nil"/>
                  </w:tcBorders>
                  <w:vAlign w:val="center"/>
                </w:tcPr>
                <w:p w14:paraId="1694CB0F">
                  <w:pPr>
                    <w:keepNext/>
                    <w:keepLines w:val="0"/>
                    <w:pageBreakBefore w:val="0"/>
                    <w:kinsoku/>
                    <w:wordWrap/>
                    <w:overflowPunct/>
                    <w:topLinePunct w:val="0"/>
                    <w:autoSpaceDE w:val="0"/>
                    <w:autoSpaceDN w:val="0"/>
                    <w:bidi w:val="0"/>
                    <w:spacing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隔油沉淀池污泥</w:t>
                  </w:r>
                </w:p>
              </w:tc>
              <w:tc>
                <w:tcPr>
                  <w:tcW w:w="1121" w:type="pct"/>
                  <w:tcBorders>
                    <w:tl2br w:val="nil"/>
                    <w:tr2bl w:val="nil"/>
                  </w:tcBorders>
                  <w:vAlign w:val="center"/>
                </w:tcPr>
                <w:p w14:paraId="4B0C84A2">
                  <w:pPr>
                    <w:keepNext/>
                    <w:keepLines w:val="0"/>
                    <w:pageBreakBefore w:val="0"/>
                    <w:kinsoku/>
                    <w:wordWrap/>
                    <w:overflowPunct/>
                    <w:topLinePunct w:val="0"/>
                    <w:autoSpaceDE w:val="0"/>
                    <w:autoSpaceDN w:val="0"/>
                    <w:bidi w:val="0"/>
                    <w:spacing w:line="240" w:lineRule="auto"/>
                    <w:ind w:left="0" w:right="0" w:firstLine="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暂存后</w:t>
                  </w:r>
                  <w:r>
                    <w:rPr>
                      <w:rFonts w:hint="eastAsia" w:ascii="宋体" w:hAnsi="宋体" w:cs="宋体"/>
                      <w:color w:val="auto"/>
                      <w:sz w:val="21"/>
                      <w:szCs w:val="21"/>
                      <w:lang w:val="en-US" w:eastAsia="zh-CN"/>
                    </w:rPr>
                    <w:t>由</w:t>
                  </w:r>
                  <w:r>
                    <w:rPr>
                      <w:rFonts w:hint="eastAsia" w:ascii="宋体" w:hAnsi="宋体" w:eastAsia="宋体" w:cs="宋体"/>
                      <w:color w:val="auto"/>
                      <w:sz w:val="21"/>
                      <w:szCs w:val="21"/>
                      <w:lang w:val="en-US" w:eastAsia="zh-CN"/>
                    </w:rPr>
                    <w:t>有资质单位处置</w:t>
                  </w:r>
                </w:p>
              </w:tc>
            </w:tr>
          </w:tbl>
          <w:p w14:paraId="43464526">
            <w:pPr>
              <w:keepNext/>
              <w:keepLines w:val="0"/>
              <w:pageBreakBefore w:val="0"/>
              <w:kinsoku/>
              <w:wordWrap/>
              <w:overflowPunct/>
              <w:topLinePunct w:val="0"/>
              <w:bidi w:val="0"/>
              <w:spacing w:line="360" w:lineRule="auto"/>
              <w:rPr>
                <w:color w:val="auto"/>
              </w:rPr>
            </w:pPr>
          </w:p>
          <w:p w14:paraId="424F4138">
            <w:pPr>
              <w:keepNext/>
              <w:keepLines w:val="0"/>
              <w:pageBreakBefore w:val="0"/>
              <w:kinsoku/>
              <w:wordWrap/>
              <w:overflowPunct/>
              <w:topLinePunct w:val="0"/>
              <w:bidi w:val="0"/>
              <w:spacing w:line="360" w:lineRule="auto"/>
              <w:rPr>
                <w:color w:val="auto"/>
              </w:rPr>
            </w:pPr>
          </w:p>
          <w:p w14:paraId="14026795">
            <w:pPr>
              <w:keepNext/>
              <w:keepLines w:val="0"/>
              <w:pageBreakBefore w:val="0"/>
              <w:kinsoku/>
              <w:wordWrap/>
              <w:overflowPunct/>
              <w:topLinePunct w:val="0"/>
              <w:bidi w:val="0"/>
              <w:spacing w:line="360" w:lineRule="auto"/>
              <w:rPr>
                <w:color w:val="auto"/>
              </w:rPr>
            </w:pPr>
          </w:p>
          <w:p w14:paraId="683B8503">
            <w:pPr>
              <w:keepNext/>
              <w:keepLines w:val="0"/>
              <w:pageBreakBefore w:val="0"/>
              <w:kinsoku/>
              <w:wordWrap/>
              <w:overflowPunct/>
              <w:topLinePunct w:val="0"/>
              <w:bidi w:val="0"/>
              <w:spacing w:line="360" w:lineRule="auto"/>
              <w:rPr>
                <w:color w:val="auto"/>
              </w:rPr>
            </w:pPr>
          </w:p>
          <w:p w14:paraId="5C839A60">
            <w:pPr>
              <w:keepNext/>
              <w:keepLines w:val="0"/>
              <w:pageBreakBefore w:val="0"/>
              <w:kinsoku/>
              <w:wordWrap/>
              <w:overflowPunct/>
              <w:topLinePunct w:val="0"/>
              <w:bidi w:val="0"/>
              <w:spacing w:line="360" w:lineRule="auto"/>
              <w:rPr>
                <w:color w:val="auto"/>
              </w:rPr>
            </w:pPr>
          </w:p>
          <w:p w14:paraId="374208A7">
            <w:pPr>
              <w:keepNext/>
              <w:keepLines w:val="0"/>
              <w:pageBreakBefore w:val="0"/>
              <w:kinsoku/>
              <w:wordWrap/>
              <w:overflowPunct/>
              <w:topLinePunct w:val="0"/>
              <w:bidi w:val="0"/>
              <w:spacing w:line="360" w:lineRule="auto"/>
              <w:rPr>
                <w:color w:val="auto"/>
              </w:rPr>
            </w:pPr>
          </w:p>
          <w:p w14:paraId="20F50390">
            <w:pPr>
              <w:keepNext/>
              <w:keepLines w:val="0"/>
              <w:pageBreakBefore w:val="0"/>
              <w:kinsoku/>
              <w:wordWrap/>
              <w:overflowPunct/>
              <w:topLinePunct w:val="0"/>
              <w:bidi w:val="0"/>
              <w:spacing w:line="360" w:lineRule="auto"/>
              <w:rPr>
                <w:color w:val="auto"/>
              </w:rPr>
            </w:pPr>
          </w:p>
          <w:p w14:paraId="52CAE1F1">
            <w:pPr>
              <w:keepNext/>
              <w:keepLines w:val="0"/>
              <w:pageBreakBefore w:val="0"/>
              <w:kinsoku/>
              <w:wordWrap/>
              <w:overflowPunct/>
              <w:topLinePunct w:val="0"/>
              <w:bidi w:val="0"/>
              <w:spacing w:line="360" w:lineRule="auto"/>
              <w:rPr>
                <w:color w:val="auto"/>
              </w:rPr>
            </w:pPr>
          </w:p>
          <w:p w14:paraId="09B64252">
            <w:pPr>
              <w:keepNext/>
              <w:keepLines w:val="0"/>
              <w:pageBreakBefore w:val="0"/>
              <w:kinsoku/>
              <w:wordWrap/>
              <w:overflowPunct/>
              <w:topLinePunct w:val="0"/>
              <w:bidi w:val="0"/>
              <w:spacing w:line="360" w:lineRule="auto"/>
              <w:rPr>
                <w:color w:val="auto"/>
              </w:rPr>
            </w:pPr>
          </w:p>
          <w:p w14:paraId="27A87B97">
            <w:pPr>
              <w:keepNext/>
              <w:keepLines w:val="0"/>
              <w:pageBreakBefore w:val="0"/>
              <w:kinsoku/>
              <w:wordWrap/>
              <w:overflowPunct/>
              <w:topLinePunct w:val="0"/>
              <w:bidi w:val="0"/>
              <w:spacing w:line="360" w:lineRule="auto"/>
              <w:rPr>
                <w:color w:val="auto"/>
              </w:rPr>
            </w:pPr>
          </w:p>
          <w:p w14:paraId="57A25EF4">
            <w:pPr>
              <w:keepNext/>
              <w:keepLines w:val="0"/>
              <w:pageBreakBefore w:val="0"/>
              <w:kinsoku/>
              <w:wordWrap/>
              <w:overflowPunct/>
              <w:topLinePunct w:val="0"/>
              <w:bidi w:val="0"/>
              <w:spacing w:line="360" w:lineRule="auto"/>
              <w:rPr>
                <w:color w:val="auto"/>
              </w:rPr>
            </w:pPr>
          </w:p>
          <w:p w14:paraId="332A21E5">
            <w:pPr>
              <w:keepNext/>
              <w:keepLines w:val="0"/>
              <w:pageBreakBefore w:val="0"/>
              <w:kinsoku/>
              <w:wordWrap/>
              <w:overflowPunct/>
              <w:topLinePunct w:val="0"/>
              <w:bidi w:val="0"/>
              <w:spacing w:line="360" w:lineRule="auto"/>
              <w:rPr>
                <w:color w:val="auto"/>
              </w:rPr>
            </w:pPr>
          </w:p>
          <w:p w14:paraId="131A0517">
            <w:pPr>
              <w:keepNext/>
              <w:keepLines w:val="0"/>
              <w:pageBreakBefore w:val="0"/>
              <w:kinsoku/>
              <w:wordWrap/>
              <w:overflowPunct/>
              <w:topLinePunct w:val="0"/>
              <w:bidi w:val="0"/>
              <w:spacing w:line="360" w:lineRule="auto"/>
              <w:rPr>
                <w:color w:val="auto"/>
              </w:rPr>
            </w:pPr>
          </w:p>
          <w:p w14:paraId="7214D6D2">
            <w:pPr>
              <w:keepNext/>
              <w:keepLines w:val="0"/>
              <w:pageBreakBefore w:val="0"/>
              <w:kinsoku/>
              <w:wordWrap/>
              <w:overflowPunct/>
              <w:topLinePunct w:val="0"/>
              <w:bidi w:val="0"/>
              <w:spacing w:line="360" w:lineRule="auto"/>
              <w:rPr>
                <w:color w:val="auto"/>
              </w:rPr>
            </w:pPr>
          </w:p>
          <w:p w14:paraId="160DACCF">
            <w:pPr>
              <w:keepNext/>
              <w:keepLines w:val="0"/>
              <w:pageBreakBefore w:val="0"/>
              <w:kinsoku/>
              <w:wordWrap/>
              <w:overflowPunct/>
              <w:topLinePunct w:val="0"/>
              <w:bidi w:val="0"/>
              <w:spacing w:line="360" w:lineRule="auto"/>
              <w:rPr>
                <w:color w:val="auto"/>
              </w:rPr>
            </w:pPr>
          </w:p>
          <w:p w14:paraId="428111E5">
            <w:pPr>
              <w:keepNext/>
              <w:keepLines w:val="0"/>
              <w:pageBreakBefore w:val="0"/>
              <w:kinsoku/>
              <w:wordWrap/>
              <w:overflowPunct/>
              <w:topLinePunct w:val="0"/>
              <w:bidi w:val="0"/>
              <w:spacing w:line="360" w:lineRule="auto"/>
              <w:rPr>
                <w:color w:val="auto"/>
              </w:rPr>
            </w:pPr>
          </w:p>
        </w:tc>
      </w:tr>
      <w:tr w14:paraId="15D3B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59" w:hRule="atLeast"/>
          <w:jc w:val="center"/>
        </w:trPr>
        <w:tc>
          <w:tcPr>
            <w:tcW w:w="284" w:type="pct"/>
            <w:vAlign w:val="center"/>
          </w:tcPr>
          <w:p w14:paraId="4AE5EDAE">
            <w:pPr>
              <w:pStyle w:val="29"/>
              <w:keepNext/>
              <w:keepLines w:val="0"/>
              <w:pageBreakBefore w:val="0"/>
              <w:kinsoku/>
              <w:wordWrap/>
              <w:overflowPunct/>
              <w:topLinePunct w:val="0"/>
              <w:bidi w:val="0"/>
              <w:adjustRightInd w:val="0"/>
              <w:snapToGrid w:val="0"/>
              <w:spacing w:before="0" w:beforeAutospacing="0" w:after="0" w:afterAutospacing="0"/>
              <w:outlineLvl w:val="9"/>
              <w:rPr>
                <w:rFonts w:cs="宋体"/>
                <w:color w:val="auto"/>
                <w:sz w:val="21"/>
                <w:szCs w:val="21"/>
              </w:rPr>
            </w:pPr>
            <w:r>
              <w:rPr>
                <w:rFonts w:hint="eastAsia" w:cs="宋体"/>
                <w:bCs/>
                <w:color w:val="auto"/>
                <w:kern w:val="2"/>
                <w:szCs w:val="24"/>
              </w:rPr>
              <w:t>与项目有关的原有环境污染问题</w:t>
            </w:r>
          </w:p>
        </w:tc>
        <w:tc>
          <w:tcPr>
            <w:tcW w:w="4715" w:type="pct"/>
          </w:tcPr>
          <w:p w14:paraId="7C3B38D2">
            <w:pPr>
              <w:keepNext/>
              <w:keepLines w:val="0"/>
              <w:pageBreakBefore w:val="0"/>
              <w:widowControl/>
              <w:kinsoku/>
              <w:wordWrap/>
              <w:overflowPunct/>
              <w:topLinePunct w:val="0"/>
              <w:bidi w:val="0"/>
              <w:spacing w:line="360" w:lineRule="auto"/>
              <w:jc w:val="left"/>
              <w:outlineLvl w:val="9"/>
              <w:rPr>
                <w:b/>
                <w:bCs/>
                <w:color w:val="auto"/>
                <w:kern w:val="0"/>
                <w:sz w:val="24"/>
                <w:lang w:bidi="ar"/>
              </w:rPr>
            </w:pPr>
            <w:r>
              <w:rPr>
                <w:b/>
                <w:bCs/>
                <w:color w:val="auto"/>
                <w:kern w:val="0"/>
                <w:sz w:val="24"/>
                <w:lang w:bidi="ar"/>
              </w:rPr>
              <w:t>1、现有项目情况</w:t>
            </w:r>
          </w:p>
          <w:p w14:paraId="4F869BCF">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朝阳红山化工有限责任公司</w:t>
            </w:r>
            <w:r>
              <w:rPr>
                <w:rFonts w:hint="eastAsia" w:ascii="Times New Roman" w:hAnsi="Times New Roman" w:cs="Times New Roman"/>
                <w:color w:val="auto"/>
                <w:sz w:val="24"/>
                <w:szCs w:val="24"/>
                <w:highlight w:val="none"/>
                <w:lang w:val="en-US" w:eastAsia="zh-CN"/>
              </w:rPr>
              <w:t>成立于2021年12月，目前为辽宁红山化工股份有限公司和</w:t>
            </w:r>
            <w:r>
              <w:rPr>
                <w:rFonts w:hint="default" w:ascii="Times New Roman" w:hAnsi="Times New Roman" w:cs="Times New Roman"/>
                <w:color w:val="auto"/>
                <w:sz w:val="24"/>
                <w:szCs w:val="24"/>
                <w:highlight w:val="none"/>
                <w:lang w:val="en-US" w:eastAsia="zh-CN"/>
              </w:rPr>
              <w:t>中国兵器工业特能集团安徽江南化工股份有限公司</w:t>
            </w:r>
            <w:r>
              <w:rPr>
                <w:rFonts w:hint="eastAsia" w:ascii="Times New Roman" w:hAnsi="Times New Roman" w:cs="Times New Roman"/>
                <w:color w:val="auto"/>
                <w:sz w:val="24"/>
                <w:szCs w:val="24"/>
                <w:highlight w:val="none"/>
                <w:lang w:val="en-US" w:eastAsia="zh-CN"/>
              </w:rPr>
              <w:t>（江南化工）共同持股管理的子公司</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企业</w:t>
            </w:r>
            <w:r>
              <w:rPr>
                <w:rFonts w:hint="eastAsia" w:ascii="Times New Roman" w:hAnsi="Times New Roman" w:cs="Times New Roman"/>
                <w:color w:val="auto"/>
                <w:sz w:val="24"/>
                <w:szCs w:val="24"/>
                <w:highlight w:val="none"/>
                <w:lang w:val="en-US" w:eastAsia="zh-CN"/>
              </w:rPr>
              <w:t>现</w:t>
            </w:r>
            <w:r>
              <w:rPr>
                <w:rFonts w:hint="default" w:ascii="Times New Roman" w:hAnsi="Times New Roman" w:cs="Times New Roman"/>
                <w:color w:val="auto"/>
                <w:sz w:val="24"/>
                <w:szCs w:val="24"/>
                <w:highlight w:val="none"/>
                <w:lang w:val="en-US" w:eastAsia="zh-CN"/>
              </w:rPr>
              <w:t>拥有1条</w:t>
            </w:r>
            <w:r>
              <w:rPr>
                <w:rFonts w:hint="eastAsia" w:ascii="Times New Roman" w:hAnsi="Times New Roman" w:cs="Times New Roman"/>
                <w:color w:val="auto"/>
                <w:sz w:val="24"/>
                <w:szCs w:val="24"/>
                <w:highlight w:val="none"/>
                <w:lang w:val="en-US" w:eastAsia="zh-CN"/>
              </w:rPr>
              <w:t>年产21000吨乳化粒状铵油炸药生产线（含9000吨乳胶基质）</w:t>
            </w:r>
            <w:r>
              <w:rPr>
                <w:rFonts w:hint="eastAsia" w:cs="Times New Roman"/>
                <w:color w:val="auto"/>
                <w:sz w:val="24"/>
                <w:szCs w:val="24"/>
                <w:highlight w:val="none"/>
                <w:lang w:val="en-US" w:eastAsia="zh-CN"/>
              </w:rPr>
              <w:t>和</w:t>
            </w:r>
            <w:r>
              <w:rPr>
                <w:rFonts w:hint="default" w:ascii="Times New Roman" w:hAnsi="Times New Roman" w:cs="Times New Roman"/>
                <w:color w:val="auto"/>
                <w:sz w:val="24"/>
                <w:szCs w:val="24"/>
                <w:highlight w:val="none"/>
                <w:lang w:val="en-US" w:eastAsia="zh-CN"/>
              </w:rPr>
              <w:t>1条年产</w:t>
            </w:r>
            <w:r>
              <w:rPr>
                <w:rFonts w:hint="eastAsia" w:cs="Times New Roman"/>
                <w:color w:val="auto"/>
                <w:sz w:val="24"/>
                <w:szCs w:val="24"/>
                <w:highlight w:val="none"/>
                <w:lang w:val="en-US" w:eastAsia="zh-CN"/>
              </w:rPr>
              <w:t>20</w:t>
            </w:r>
            <w:r>
              <w:rPr>
                <w:rFonts w:hint="default" w:ascii="Times New Roman" w:hAnsi="Times New Roman" w:cs="Times New Roman"/>
                <w:color w:val="auto"/>
                <w:sz w:val="24"/>
                <w:szCs w:val="24"/>
                <w:highlight w:val="none"/>
                <w:lang w:val="en-US" w:eastAsia="zh-CN"/>
              </w:rPr>
              <w:t>000t乳化炸药</w:t>
            </w:r>
            <w:r>
              <w:rPr>
                <w:rFonts w:hint="eastAsia" w:cs="Times New Roman"/>
                <w:color w:val="auto"/>
                <w:sz w:val="24"/>
                <w:szCs w:val="24"/>
                <w:highlight w:val="none"/>
                <w:lang w:val="en-US" w:eastAsia="zh-CN"/>
              </w:rPr>
              <w:t>（胶状）</w:t>
            </w:r>
            <w:r>
              <w:rPr>
                <w:rFonts w:hint="default" w:ascii="Times New Roman" w:hAnsi="Times New Roman" w:cs="Times New Roman"/>
                <w:color w:val="auto"/>
                <w:sz w:val="24"/>
                <w:szCs w:val="24"/>
                <w:highlight w:val="none"/>
                <w:lang w:val="en-US" w:eastAsia="zh-CN"/>
              </w:rPr>
              <w:t>生产线</w:t>
            </w:r>
            <w:r>
              <w:rPr>
                <w:rFonts w:hint="eastAsia" w:ascii="Times New Roman" w:hAnsi="Times New Roman" w:cs="Times New Roman"/>
                <w:color w:val="auto"/>
                <w:sz w:val="24"/>
                <w:szCs w:val="24"/>
                <w:highlight w:val="none"/>
                <w:lang w:val="en-US" w:eastAsia="zh-CN"/>
              </w:rPr>
              <w:t>。</w:t>
            </w:r>
          </w:p>
          <w:p w14:paraId="46F93814">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2010年</w:t>
            </w:r>
            <w:r>
              <w:rPr>
                <w:rFonts w:hint="default" w:ascii="Times New Roman" w:hAnsi="Times New Roman" w:cs="Times New Roman"/>
                <w:color w:val="auto"/>
                <w:sz w:val="24"/>
                <w:szCs w:val="24"/>
                <w:highlight w:val="none"/>
                <w:lang w:val="en-US" w:eastAsia="zh-CN"/>
              </w:rPr>
              <w:t>辽宁红山化工股份有限公司</w:t>
            </w:r>
            <w:r>
              <w:rPr>
                <w:rFonts w:hint="eastAsia" w:ascii="Times New Roman" w:hAnsi="Times New Roman" w:cs="Times New Roman"/>
                <w:color w:val="auto"/>
                <w:sz w:val="24"/>
                <w:szCs w:val="24"/>
                <w:highlight w:val="none"/>
                <w:lang w:val="en-US" w:eastAsia="zh-CN"/>
              </w:rPr>
              <w:t>委托阜新市环境科学研究所编制了《辽宁红山化工股份有限公司新建胶状乳化炸药生产线项目环境影响报告书》，并于2010年8月23日取得原朝阳市环境保护局对该环评报告书的批复，文号为朝环审</w:t>
            </w:r>
            <w:r>
              <w:rPr>
                <w:rFonts w:hint="eastAsia" w:cs="Times New Roman"/>
                <w:color w:val="auto"/>
                <w:sz w:val="24"/>
                <w:szCs w:val="24"/>
                <w:highlight w:val="none"/>
                <w:lang w:val="en-US" w:eastAsia="zh-CN"/>
              </w:rPr>
              <w:t>〔2010〕138号</w:t>
            </w:r>
            <w:r>
              <w:rPr>
                <w:rFonts w:hint="eastAsia" w:ascii="Times New Roman" w:hAnsi="Times New Roman" w:cs="Times New Roman"/>
                <w:color w:val="auto"/>
                <w:sz w:val="24"/>
                <w:szCs w:val="24"/>
                <w:highlight w:val="none"/>
                <w:lang w:val="en-US" w:eastAsia="zh-CN"/>
              </w:rPr>
              <w:t>，并于2011年2月15日通过原朝阳市环境保护局组织的竣工环保验收，验收审查意见文号为朝环验</w:t>
            </w:r>
            <w:r>
              <w:rPr>
                <w:rFonts w:hint="eastAsia" w:cs="Times New Roman"/>
                <w:color w:val="auto"/>
                <w:sz w:val="24"/>
                <w:szCs w:val="24"/>
                <w:highlight w:val="none"/>
                <w:lang w:val="en-US" w:eastAsia="zh-CN"/>
              </w:rPr>
              <w:t>〔2011〕4号</w:t>
            </w:r>
            <w:r>
              <w:rPr>
                <w:rFonts w:hint="eastAsia" w:ascii="Times New Roman" w:hAnsi="Times New Roman" w:cs="Times New Roman"/>
                <w:color w:val="auto"/>
                <w:sz w:val="24"/>
                <w:szCs w:val="24"/>
                <w:highlight w:val="none"/>
                <w:lang w:val="en-US" w:eastAsia="zh-CN"/>
              </w:rPr>
              <w:t>。</w:t>
            </w:r>
          </w:p>
          <w:p w14:paraId="643B0491">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2024年3月</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朝阳红山化工有限责任公司</w:t>
            </w:r>
            <w:r>
              <w:rPr>
                <w:rFonts w:hint="eastAsia" w:ascii="Times New Roman" w:hAnsi="Times New Roman" w:cs="Times New Roman"/>
                <w:color w:val="auto"/>
                <w:sz w:val="24"/>
                <w:szCs w:val="24"/>
                <w:highlight w:val="none"/>
                <w:lang w:val="en-US" w:eastAsia="zh-CN"/>
              </w:rPr>
              <w:t>委托辽宁中信项目管理有限公司完成《年产21000吨乳化粒状铵油炸药生产线（含9000吨乳胶基质）建设项目》的编制，并于2024年5月13日取得朝阳市生态环境局喀左分局的批复，文号为朝喀环审</w:t>
            </w:r>
            <w:r>
              <w:rPr>
                <w:rFonts w:hint="eastAsia" w:cs="Times New Roman"/>
                <w:color w:val="auto"/>
                <w:sz w:val="24"/>
                <w:szCs w:val="24"/>
                <w:highlight w:val="none"/>
                <w:lang w:val="en-US" w:eastAsia="zh-CN"/>
              </w:rPr>
              <w:t>〔2024〕6号</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目前该生产线</w:t>
            </w:r>
            <w:r>
              <w:rPr>
                <w:rFonts w:hint="eastAsia" w:ascii="Times New Roman" w:hAnsi="Times New Roman" w:cs="Times New Roman"/>
                <w:color w:val="auto"/>
                <w:sz w:val="24"/>
                <w:szCs w:val="24"/>
                <w:highlight w:val="none"/>
                <w:lang w:val="en-US" w:eastAsia="zh-CN"/>
              </w:rPr>
              <w:t>已完成自主验收，验收意见见附件</w:t>
            </w:r>
            <w:r>
              <w:rPr>
                <w:rFonts w:hint="default" w:ascii="Times New Roman" w:hAnsi="Times New Roman" w:cs="Times New Roman"/>
                <w:color w:val="auto"/>
                <w:sz w:val="24"/>
                <w:szCs w:val="24"/>
                <w:highlight w:val="none"/>
                <w:lang w:val="en-US" w:eastAsia="zh-CN"/>
              </w:rPr>
              <w:t>。</w:t>
            </w:r>
          </w:p>
          <w:p w14:paraId="21B0D1B0">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2025年3月</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朝阳红山化工有限责任公司</w:t>
            </w:r>
            <w:r>
              <w:rPr>
                <w:rFonts w:hint="eastAsia" w:cs="Times New Roman"/>
                <w:color w:val="auto"/>
                <w:sz w:val="24"/>
                <w:szCs w:val="24"/>
                <w:highlight w:val="none"/>
                <w:lang w:val="en-US" w:eastAsia="zh-CN"/>
              </w:rPr>
              <w:t>对</w:t>
            </w:r>
            <w:r>
              <w:rPr>
                <w:rFonts w:hint="eastAsia" w:ascii="Times New Roman" w:hAnsi="Times New Roman" w:cs="Times New Roman"/>
                <w:color w:val="auto"/>
                <w:sz w:val="24"/>
                <w:szCs w:val="24"/>
                <w:highlight w:val="none"/>
                <w:lang w:val="en-US" w:eastAsia="zh-CN"/>
              </w:rPr>
              <w:t>年产15000t乳化炸药生产线</w:t>
            </w:r>
            <w:r>
              <w:rPr>
                <w:rFonts w:hint="eastAsia" w:cs="Times New Roman"/>
                <w:color w:val="auto"/>
                <w:sz w:val="24"/>
                <w:szCs w:val="24"/>
                <w:highlight w:val="none"/>
                <w:lang w:val="en-US" w:eastAsia="zh-CN"/>
              </w:rPr>
              <w:t>进行扩能升级改造，</w:t>
            </w:r>
            <w:r>
              <w:rPr>
                <w:rFonts w:hint="eastAsia" w:ascii="Times New Roman" w:hAnsi="Times New Roman" w:cs="Times New Roman"/>
                <w:color w:val="auto"/>
                <w:sz w:val="24"/>
                <w:szCs w:val="24"/>
                <w:highlight w:val="none"/>
                <w:lang w:val="en-US" w:eastAsia="zh-CN"/>
              </w:rPr>
              <w:t xml:space="preserve">委托辽宁绿管家环保科技有限公司编制了《朝阳红山化工有限责任公司年产 </w:t>
            </w:r>
            <w:r>
              <w:rPr>
                <w:rFonts w:hint="default" w:ascii="Times New Roman" w:hAnsi="Times New Roman" w:cs="Times New Roman"/>
                <w:color w:val="auto"/>
                <w:sz w:val="24"/>
                <w:szCs w:val="24"/>
                <w:highlight w:val="none"/>
                <w:lang w:val="en-US" w:eastAsia="zh-CN"/>
              </w:rPr>
              <w:t xml:space="preserve">20000t </w:t>
            </w:r>
            <w:r>
              <w:rPr>
                <w:rFonts w:hint="eastAsia" w:ascii="Times New Roman" w:hAnsi="Times New Roman" w:cs="Times New Roman"/>
                <w:color w:val="auto"/>
                <w:sz w:val="24"/>
                <w:szCs w:val="24"/>
                <w:highlight w:val="none"/>
                <w:lang w:val="en-US" w:eastAsia="zh-CN"/>
              </w:rPr>
              <w:t>乳化炸药生产线扩能升级改造项目环境影响报告书》，并于</w:t>
            </w:r>
            <w:r>
              <w:rPr>
                <w:rFonts w:hint="default" w:ascii="Times New Roman" w:hAnsi="Times New Roman" w:cs="Times New Roman"/>
                <w:color w:val="auto"/>
                <w:sz w:val="24"/>
                <w:szCs w:val="24"/>
                <w:highlight w:val="none"/>
                <w:lang w:val="en-US" w:eastAsia="zh-CN"/>
              </w:rPr>
              <w:t>2025</w:t>
            </w:r>
            <w:r>
              <w:rPr>
                <w:rFonts w:hint="eastAsia" w:ascii="Times New Roman" w:hAnsi="Times New Roman" w:cs="Times New Roman"/>
                <w:color w:val="auto"/>
                <w:sz w:val="24"/>
                <w:szCs w:val="24"/>
                <w:highlight w:val="none"/>
                <w:lang w:val="en-US" w:eastAsia="zh-CN"/>
              </w:rPr>
              <w:t>年</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月</w:t>
            </w:r>
            <w:r>
              <w:rPr>
                <w:rFonts w:hint="default" w:ascii="Times New Roman" w:hAnsi="Times New Roman" w:cs="Times New Roman"/>
                <w:color w:val="auto"/>
                <w:sz w:val="24"/>
                <w:szCs w:val="24"/>
                <w:highlight w:val="none"/>
                <w:lang w:val="en-US" w:eastAsia="zh-CN"/>
              </w:rPr>
              <w:t>28</w:t>
            </w:r>
            <w:r>
              <w:rPr>
                <w:rFonts w:hint="eastAsia" w:ascii="Times New Roman" w:hAnsi="Times New Roman" w:cs="Times New Roman"/>
                <w:color w:val="auto"/>
                <w:sz w:val="24"/>
                <w:szCs w:val="24"/>
                <w:highlight w:val="none"/>
                <w:lang w:val="en-US" w:eastAsia="zh-CN"/>
              </w:rPr>
              <w:t>日取得朝阳市生态环境局对该环评报告书的批复，文号为朝环建字</w:t>
            </w:r>
            <w:r>
              <w:rPr>
                <w:rFonts w:hint="eastAsia" w:cs="Times New Roman"/>
                <w:color w:val="auto"/>
                <w:sz w:val="24"/>
                <w:szCs w:val="24"/>
                <w:highlight w:val="none"/>
                <w:lang w:val="en-US" w:eastAsia="zh-CN"/>
              </w:rPr>
              <w:t>〔2025〕8号</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目前该生产线</w:t>
            </w:r>
            <w:r>
              <w:rPr>
                <w:rFonts w:hint="eastAsia" w:ascii="Times New Roman" w:hAnsi="Times New Roman" w:cs="Times New Roman"/>
                <w:color w:val="auto"/>
                <w:sz w:val="24"/>
                <w:szCs w:val="24"/>
                <w:highlight w:val="none"/>
                <w:lang w:val="en-US" w:eastAsia="zh-CN"/>
              </w:rPr>
              <w:t>已完成自主验收，验收意见见附件</w:t>
            </w:r>
            <w:r>
              <w:rPr>
                <w:rFonts w:hint="default" w:ascii="Times New Roman" w:hAnsi="Times New Roman" w:cs="Times New Roman"/>
                <w:color w:val="auto"/>
                <w:sz w:val="24"/>
                <w:szCs w:val="24"/>
                <w:highlight w:val="none"/>
                <w:lang w:val="en-US" w:eastAsia="zh-CN"/>
              </w:rPr>
              <w:t>。</w:t>
            </w:r>
          </w:p>
          <w:p w14:paraId="0D85CB76">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企业已获得排污许可登记回执，</w:t>
            </w:r>
            <w:bookmarkStart w:id="47" w:name="OLE_LINK167"/>
            <w:r>
              <w:rPr>
                <w:rFonts w:hint="default" w:ascii="Times New Roman" w:hAnsi="Times New Roman" w:cs="Times New Roman"/>
                <w:color w:val="auto"/>
                <w:sz w:val="24"/>
                <w:szCs w:val="24"/>
                <w:highlight w:val="none"/>
                <w:lang w:val="en-US" w:eastAsia="zh-CN"/>
              </w:rPr>
              <w:t xml:space="preserve">有效期为2025 </w:t>
            </w:r>
            <w:r>
              <w:rPr>
                <w:rFonts w:hint="eastAsia" w:ascii="Times New Roman" w:hAnsi="Times New Roman" w:cs="Times New Roman"/>
                <w:color w:val="auto"/>
                <w:sz w:val="24"/>
                <w:szCs w:val="24"/>
                <w:highlight w:val="none"/>
                <w:lang w:val="en-US" w:eastAsia="zh-CN"/>
              </w:rPr>
              <w:t xml:space="preserve">年 </w:t>
            </w:r>
            <w:r>
              <w:rPr>
                <w:rFonts w:hint="default" w:ascii="Times New Roman" w:hAnsi="Times New Roman" w:cs="Times New Roman"/>
                <w:color w:val="auto"/>
                <w:sz w:val="24"/>
                <w:szCs w:val="24"/>
                <w:highlight w:val="none"/>
                <w:lang w:val="en-US" w:eastAsia="zh-CN"/>
              </w:rPr>
              <w:t xml:space="preserve">04 </w:t>
            </w:r>
            <w:r>
              <w:rPr>
                <w:rFonts w:hint="eastAsia" w:ascii="Times New Roman" w:hAnsi="Times New Roman" w:cs="Times New Roman"/>
                <w:color w:val="auto"/>
                <w:sz w:val="24"/>
                <w:szCs w:val="24"/>
                <w:highlight w:val="none"/>
                <w:lang w:val="en-US" w:eastAsia="zh-CN"/>
              </w:rPr>
              <w:t xml:space="preserve">月 </w:t>
            </w:r>
            <w:r>
              <w:rPr>
                <w:rFonts w:hint="default" w:ascii="Times New Roman" w:hAnsi="Times New Roman" w:cs="Times New Roman"/>
                <w:color w:val="auto"/>
                <w:sz w:val="24"/>
                <w:szCs w:val="24"/>
                <w:highlight w:val="none"/>
                <w:lang w:val="en-US" w:eastAsia="zh-CN"/>
              </w:rPr>
              <w:t xml:space="preserve">02 </w:t>
            </w:r>
            <w:r>
              <w:rPr>
                <w:rFonts w:hint="eastAsia" w:ascii="Times New Roman" w:hAnsi="Times New Roman" w:cs="Times New Roman"/>
                <w:color w:val="auto"/>
                <w:sz w:val="24"/>
                <w:szCs w:val="24"/>
                <w:highlight w:val="none"/>
                <w:lang w:val="en-US" w:eastAsia="zh-CN"/>
              </w:rPr>
              <w:t xml:space="preserve">日至 </w:t>
            </w:r>
            <w:r>
              <w:rPr>
                <w:rFonts w:hint="default" w:ascii="Times New Roman" w:hAnsi="Times New Roman" w:cs="Times New Roman"/>
                <w:color w:val="auto"/>
                <w:sz w:val="24"/>
                <w:szCs w:val="24"/>
                <w:highlight w:val="none"/>
                <w:lang w:val="en-US" w:eastAsia="zh-CN"/>
              </w:rPr>
              <w:t xml:space="preserve">2030 </w:t>
            </w:r>
            <w:r>
              <w:rPr>
                <w:rFonts w:hint="eastAsia" w:ascii="Times New Roman" w:hAnsi="Times New Roman" w:cs="Times New Roman"/>
                <w:color w:val="auto"/>
                <w:sz w:val="24"/>
                <w:szCs w:val="24"/>
                <w:highlight w:val="none"/>
                <w:lang w:val="en-US" w:eastAsia="zh-CN"/>
              </w:rPr>
              <w:t xml:space="preserve">年 </w:t>
            </w:r>
            <w:r>
              <w:rPr>
                <w:rFonts w:hint="default" w:ascii="Times New Roman" w:hAnsi="Times New Roman" w:cs="Times New Roman"/>
                <w:color w:val="auto"/>
                <w:sz w:val="24"/>
                <w:szCs w:val="24"/>
                <w:highlight w:val="none"/>
                <w:lang w:val="en-US" w:eastAsia="zh-CN"/>
              </w:rPr>
              <w:t xml:space="preserve">04 </w:t>
            </w:r>
            <w:r>
              <w:rPr>
                <w:rFonts w:hint="eastAsia" w:ascii="Times New Roman" w:hAnsi="Times New Roman" w:cs="Times New Roman"/>
                <w:color w:val="auto"/>
                <w:sz w:val="24"/>
                <w:szCs w:val="24"/>
                <w:highlight w:val="none"/>
                <w:lang w:val="en-US" w:eastAsia="zh-CN"/>
              </w:rPr>
              <w:t xml:space="preserve">月 </w:t>
            </w:r>
            <w:r>
              <w:rPr>
                <w:rFonts w:hint="default" w:ascii="Times New Roman" w:hAnsi="Times New Roman" w:cs="Times New Roman"/>
                <w:color w:val="auto"/>
                <w:sz w:val="24"/>
                <w:szCs w:val="24"/>
                <w:highlight w:val="none"/>
                <w:lang w:val="en-US" w:eastAsia="zh-CN"/>
              </w:rPr>
              <w:t xml:space="preserve">01 </w:t>
            </w:r>
            <w:r>
              <w:rPr>
                <w:rFonts w:hint="eastAsia" w:ascii="Times New Roman" w:hAnsi="Times New Roman" w:cs="Times New Roman"/>
                <w:color w:val="auto"/>
                <w:sz w:val="24"/>
                <w:szCs w:val="24"/>
                <w:highlight w:val="none"/>
                <w:lang w:val="en-US" w:eastAsia="zh-CN"/>
              </w:rPr>
              <w:t>日</w:t>
            </w:r>
            <w:r>
              <w:rPr>
                <w:rFonts w:hint="default" w:ascii="Times New Roman" w:hAnsi="Times New Roman" w:cs="Times New Roman"/>
                <w:color w:val="auto"/>
                <w:sz w:val="24"/>
                <w:szCs w:val="24"/>
                <w:highlight w:val="none"/>
                <w:lang w:val="en-US" w:eastAsia="zh-CN"/>
              </w:rPr>
              <w:t>。登记编号为91211324MA7EXU3970001X。</w:t>
            </w:r>
            <w:bookmarkEnd w:id="47"/>
          </w:p>
          <w:p w14:paraId="5BCDBE53">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 xml:space="preserve">企业已编制突发环境事件应急预案并在朝阳市生态环境局喀左分局完成备案，备案号为 </w:t>
            </w:r>
            <w:r>
              <w:rPr>
                <w:rFonts w:hint="default" w:ascii="Times New Roman" w:hAnsi="Times New Roman" w:cs="Times New Roman"/>
                <w:color w:val="auto"/>
                <w:sz w:val="24"/>
                <w:szCs w:val="24"/>
                <w:highlight w:val="none"/>
                <w:lang w:val="en-US" w:eastAsia="zh-CN"/>
              </w:rPr>
              <w:t>211324-2024-010-M</w:t>
            </w:r>
            <w:r>
              <w:rPr>
                <w:rFonts w:hint="eastAsia" w:ascii="Times New Roman" w:hAnsi="Times New Roman" w:cs="Times New Roman"/>
                <w:color w:val="auto"/>
                <w:sz w:val="24"/>
                <w:szCs w:val="24"/>
                <w:highlight w:val="none"/>
                <w:lang w:val="en-US" w:eastAsia="zh-CN"/>
              </w:rPr>
              <w:t>。</w:t>
            </w:r>
          </w:p>
          <w:p w14:paraId="53B822AF">
            <w:pPr>
              <w:keepNext/>
              <w:keepLines w:val="0"/>
              <w:pageBreakBefore w:val="0"/>
              <w:widowControl/>
              <w:kinsoku/>
              <w:wordWrap/>
              <w:overflowPunct/>
              <w:topLinePunct w:val="0"/>
              <w:bidi w:val="0"/>
              <w:spacing w:line="360" w:lineRule="auto"/>
              <w:ind w:firstLine="480" w:firstLineChars="200"/>
              <w:jc w:val="left"/>
              <w:outlineLvl w:val="9"/>
              <w:rPr>
                <w:color w:val="auto"/>
                <w:sz w:val="24"/>
              </w:rPr>
            </w:pPr>
            <w:r>
              <w:rPr>
                <w:color w:val="auto"/>
                <w:sz w:val="24"/>
              </w:rPr>
              <w:t>公司</w:t>
            </w:r>
            <w:r>
              <w:rPr>
                <w:rFonts w:hint="eastAsia"/>
                <w:color w:val="auto"/>
                <w:sz w:val="24"/>
              </w:rPr>
              <w:t>已</w:t>
            </w:r>
            <w:r>
              <w:rPr>
                <w:color w:val="auto"/>
                <w:sz w:val="24"/>
              </w:rPr>
              <w:t>建设</w:t>
            </w:r>
            <w:r>
              <w:rPr>
                <w:rFonts w:hint="eastAsia"/>
                <w:color w:val="auto"/>
                <w:sz w:val="24"/>
                <w:lang w:val="en-US" w:eastAsia="zh-CN"/>
              </w:rPr>
              <w:t>3</w:t>
            </w:r>
            <w:r>
              <w:rPr>
                <w:color w:val="auto"/>
                <w:sz w:val="24"/>
              </w:rPr>
              <w:t>个项目，在项目建设过程中，依据环境保护法和建设项目管理的相关规定，执行环境影响评价制度，各建设项目审批验收情况见下表。</w:t>
            </w:r>
          </w:p>
          <w:p w14:paraId="252E61C2">
            <w:pPr>
              <w:keepNext/>
              <w:keepLines w:val="0"/>
              <w:pageBreakBefore w:val="0"/>
              <w:kinsoku/>
              <w:wordWrap/>
              <w:overflowPunct/>
              <w:topLinePunct w:val="0"/>
              <w:bidi w:val="0"/>
              <w:spacing w:line="440" w:lineRule="exact"/>
              <w:ind w:firstLine="422" w:firstLineChars="200"/>
              <w:jc w:val="center"/>
              <w:outlineLvl w:val="9"/>
              <w:rPr>
                <w:b/>
                <w:bCs/>
                <w:color w:val="auto"/>
                <w:szCs w:val="21"/>
              </w:rPr>
            </w:pPr>
            <w:r>
              <w:rPr>
                <w:b/>
                <w:bCs/>
                <w:color w:val="auto"/>
                <w:szCs w:val="21"/>
              </w:rPr>
              <w:t>表2-</w:t>
            </w:r>
            <w:r>
              <w:rPr>
                <w:rFonts w:hint="eastAsia"/>
                <w:b/>
                <w:bCs/>
                <w:color w:val="auto"/>
                <w:szCs w:val="21"/>
              </w:rPr>
              <w:t>1</w:t>
            </w:r>
            <w:r>
              <w:rPr>
                <w:rFonts w:hint="eastAsia"/>
                <w:b/>
                <w:bCs/>
                <w:color w:val="auto"/>
                <w:szCs w:val="21"/>
                <w:lang w:val="en-US" w:eastAsia="zh-CN"/>
              </w:rPr>
              <w:t>5</w:t>
            </w:r>
            <w:r>
              <w:rPr>
                <w:b/>
                <w:bCs/>
                <w:color w:val="auto"/>
                <w:szCs w:val="21"/>
              </w:rPr>
              <w:t xml:space="preserve">  项目环评批复及验收情况一览表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2599"/>
              <w:gridCol w:w="2456"/>
              <w:gridCol w:w="2438"/>
            </w:tblGrid>
            <w:tr w14:paraId="19E6E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95" w:type="pct"/>
                  <w:tcBorders>
                    <w:tl2br w:val="nil"/>
                    <w:tr2bl w:val="nil"/>
                  </w:tcBorders>
                  <w:tcMar>
                    <w:left w:w="0" w:type="dxa"/>
                    <w:right w:w="0" w:type="dxa"/>
                  </w:tcMar>
                  <w:vAlign w:val="center"/>
                </w:tcPr>
                <w:p w14:paraId="272D9EF0">
                  <w:pPr>
                    <w:pStyle w:val="87"/>
                    <w:keepNext/>
                    <w:keepLines w:val="0"/>
                    <w:pageBreakBefore w:val="0"/>
                    <w:kinsoku/>
                    <w:wordWrap/>
                    <w:overflowPunct/>
                    <w:topLinePunct w:val="0"/>
                    <w:bidi w:val="0"/>
                    <w:outlineLvl w:val="9"/>
                    <w:rPr>
                      <w:color w:val="auto"/>
                      <w:sz w:val="21"/>
                      <w:szCs w:val="21"/>
                    </w:rPr>
                  </w:pPr>
                  <w:r>
                    <w:rPr>
                      <w:color w:val="auto"/>
                      <w:sz w:val="21"/>
                      <w:szCs w:val="21"/>
                    </w:rPr>
                    <w:t>序号</w:t>
                  </w:r>
                </w:p>
              </w:tc>
              <w:tc>
                <w:tcPr>
                  <w:tcW w:w="1562" w:type="pct"/>
                  <w:tcBorders>
                    <w:tl2br w:val="nil"/>
                    <w:tr2bl w:val="nil"/>
                  </w:tcBorders>
                  <w:tcMar>
                    <w:left w:w="0" w:type="dxa"/>
                    <w:right w:w="0" w:type="dxa"/>
                  </w:tcMar>
                  <w:vAlign w:val="center"/>
                </w:tcPr>
                <w:p w14:paraId="72E25EF2">
                  <w:pPr>
                    <w:pStyle w:val="87"/>
                    <w:keepNext/>
                    <w:keepLines w:val="0"/>
                    <w:pageBreakBefore w:val="0"/>
                    <w:kinsoku/>
                    <w:wordWrap/>
                    <w:overflowPunct/>
                    <w:topLinePunct w:val="0"/>
                    <w:bidi w:val="0"/>
                    <w:outlineLvl w:val="9"/>
                    <w:rPr>
                      <w:color w:val="auto"/>
                      <w:sz w:val="21"/>
                      <w:szCs w:val="21"/>
                    </w:rPr>
                  </w:pPr>
                  <w:r>
                    <w:rPr>
                      <w:color w:val="auto"/>
                      <w:sz w:val="21"/>
                      <w:szCs w:val="21"/>
                    </w:rPr>
                    <w:t>项目</w:t>
                  </w:r>
                </w:p>
              </w:tc>
              <w:tc>
                <w:tcPr>
                  <w:tcW w:w="1476" w:type="pct"/>
                  <w:tcBorders>
                    <w:tl2br w:val="nil"/>
                    <w:tr2bl w:val="nil"/>
                  </w:tcBorders>
                  <w:tcMar>
                    <w:left w:w="0" w:type="dxa"/>
                    <w:right w:w="0" w:type="dxa"/>
                  </w:tcMar>
                  <w:vAlign w:val="center"/>
                </w:tcPr>
                <w:p w14:paraId="18D0C504">
                  <w:pPr>
                    <w:pStyle w:val="87"/>
                    <w:keepNext/>
                    <w:keepLines w:val="0"/>
                    <w:pageBreakBefore w:val="0"/>
                    <w:kinsoku/>
                    <w:wordWrap/>
                    <w:overflowPunct/>
                    <w:topLinePunct w:val="0"/>
                    <w:bidi w:val="0"/>
                    <w:outlineLvl w:val="9"/>
                    <w:rPr>
                      <w:color w:val="auto"/>
                      <w:sz w:val="21"/>
                      <w:szCs w:val="21"/>
                    </w:rPr>
                  </w:pPr>
                  <w:r>
                    <w:rPr>
                      <w:color w:val="auto"/>
                      <w:sz w:val="21"/>
                      <w:szCs w:val="21"/>
                    </w:rPr>
                    <w:t>环评审批部门及文号</w:t>
                  </w:r>
                </w:p>
              </w:tc>
              <w:tc>
                <w:tcPr>
                  <w:tcW w:w="1465" w:type="pct"/>
                  <w:tcBorders>
                    <w:tl2br w:val="nil"/>
                    <w:tr2bl w:val="nil"/>
                  </w:tcBorders>
                  <w:tcMar>
                    <w:left w:w="0" w:type="dxa"/>
                    <w:right w:w="0" w:type="dxa"/>
                  </w:tcMar>
                  <w:vAlign w:val="center"/>
                </w:tcPr>
                <w:p w14:paraId="399C4099">
                  <w:pPr>
                    <w:pStyle w:val="90"/>
                    <w:keepNext/>
                    <w:keepLines w:val="0"/>
                    <w:pageBreakBefore w:val="0"/>
                    <w:kinsoku/>
                    <w:wordWrap/>
                    <w:overflowPunct/>
                    <w:topLinePunct w:val="0"/>
                    <w:bidi w:val="0"/>
                    <w:spacing w:line="240" w:lineRule="auto"/>
                    <w:ind w:firstLine="0" w:firstLineChars="0"/>
                    <w:jc w:val="center"/>
                    <w:outlineLvl w:val="9"/>
                    <w:rPr>
                      <w:color w:val="auto"/>
                      <w:sz w:val="21"/>
                      <w:szCs w:val="21"/>
                    </w:rPr>
                  </w:pPr>
                  <w:r>
                    <w:rPr>
                      <w:color w:val="auto"/>
                      <w:sz w:val="21"/>
                      <w:szCs w:val="21"/>
                    </w:rPr>
                    <w:t>验收文号</w:t>
                  </w:r>
                </w:p>
              </w:tc>
            </w:tr>
            <w:tr w14:paraId="369EA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5" w:type="pct"/>
                  <w:tcBorders>
                    <w:tl2br w:val="nil"/>
                    <w:tr2bl w:val="nil"/>
                  </w:tcBorders>
                  <w:tcMar>
                    <w:left w:w="0" w:type="dxa"/>
                    <w:right w:w="0" w:type="dxa"/>
                  </w:tcMar>
                  <w:vAlign w:val="center"/>
                </w:tcPr>
                <w:p w14:paraId="5DD0B733">
                  <w:pPr>
                    <w:pStyle w:val="87"/>
                    <w:keepNext/>
                    <w:keepLines w:val="0"/>
                    <w:pageBreakBefore w:val="0"/>
                    <w:kinsoku/>
                    <w:wordWrap/>
                    <w:overflowPunct/>
                    <w:topLinePunct w:val="0"/>
                    <w:bidi w:val="0"/>
                    <w:outlineLvl w:val="9"/>
                    <w:rPr>
                      <w:color w:val="auto"/>
                      <w:sz w:val="21"/>
                      <w:szCs w:val="21"/>
                      <w:lang w:bidi="ar"/>
                    </w:rPr>
                  </w:pPr>
                  <w:r>
                    <w:rPr>
                      <w:color w:val="auto"/>
                      <w:sz w:val="21"/>
                      <w:szCs w:val="21"/>
                      <w:lang w:bidi="ar"/>
                    </w:rPr>
                    <w:t>1</w:t>
                  </w:r>
                </w:p>
              </w:tc>
              <w:tc>
                <w:tcPr>
                  <w:tcW w:w="1562" w:type="pct"/>
                  <w:tcBorders>
                    <w:tl2br w:val="nil"/>
                    <w:tr2bl w:val="nil"/>
                  </w:tcBorders>
                  <w:tcMar>
                    <w:left w:w="0" w:type="dxa"/>
                    <w:right w:w="0" w:type="dxa"/>
                  </w:tcMar>
                  <w:vAlign w:val="center"/>
                </w:tcPr>
                <w:p w14:paraId="034080B3">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辽宁红山化工股份有限公司新建胶状乳化炸药生产线项目</w:t>
                  </w:r>
                </w:p>
              </w:tc>
              <w:tc>
                <w:tcPr>
                  <w:tcW w:w="1476" w:type="pct"/>
                  <w:tcBorders>
                    <w:tl2br w:val="nil"/>
                    <w:tr2bl w:val="nil"/>
                  </w:tcBorders>
                  <w:tcMar>
                    <w:left w:w="0" w:type="dxa"/>
                    <w:right w:w="0" w:type="dxa"/>
                  </w:tcMar>
                  <w:vAlign w:val="center"/>
                </w:tcPr>
                <w:p w14:paraId="4D1B764B">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原朝阳市环境保护局</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朝环审</w:t>
                  </w:r>
                  <w:r>
                    <w:rPr>
                      <w:rFonts w:hint="eastAsia" w:cs="Times New Roman"/>
                      <w:color w:val="auto"/>
                      <w:sz w:val="21"/>
                      <w:szCs w:val="21"/>
                      <w:highlight w:val="none"/>
                      <w:lang w:val="en-US" w:eastAsia="zh-CN"/>
                    </w:rPr>
                    <w:t>〔2010〕138号</w:t>
                  </w:r>
                </w:p>
              </w:tc>
              <w:tc>
                <w:tcPr>
                  <w:tcW w:w="1465" w:type="pct"/>
                  <w:tcBorders>
                    <w:tl2br w:val="nil"/>
                    <w:tr2bl w:val="nil"/>
                  </w:tcBorders>
                  <w:tcMar>
                    <w:left w:w="0" w:type="dxa"/>
                    <w:right w:w="0" w:type="dxa"/>
                  </w:tcMar>
                  <w:vAlign w:val="center"/>
                </w:tcPr>
                <w:p w14:paraId="62530041">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朝环验</w:t>
                  </w:r>
                  <w:r>
                    <w:rPr>
                      <w:rFonts w:hint="eastAsia" w:cs="Times New Roman"/>
                      <w:color w:val="auto"/>
                      <w:sz w:val="21"/>
                      <w:szCs w:val="21"/>
                      <w:highlight w:val="none"/>
                      <w:lang w:val="en-US" w:eastAsia="zh-CN"/>
                    </w:rPr>
                    <w:t>〔2011〕4号</w:t>
                  </w:r>
                </w:p>
              </w:tc>
            </w:tr>
            <w:tr w14:paraId="07FB4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5" w:type="pct"/>
                  <w:tcBorders>
                    <w:tl2br w:val="nil"/>
                    <w:tr2bl w:val="nil"/>
                  </w:tcBorders>
                  <w:tcMar>
                    <w:left w:w="0" w:type="dxa"/>
                    <w:right w:w="0" w:type="dxa"/>
                  </w:tcMar>
                  <w:vAlign w:val="center"/>
                </w:tcPr>
                <w:p w14:paraId="481BDB22">
                  <w:pPr>
                    <w:pStyle w:val="87"/>
                    <w:keepNext/>
                    <w:keepLines w:val="0"/>
                    <w:pageBreakBefore w:val="0"/>
                    <w:kinsoku/>
                    <w:wordWrap/>
                    <w:overflowPunct/>
                    <w:topLinePunct w:val="0"/>
                    <w:bidi w:val="0"/>
                    <w:outlineLvl w:val="9"/>
                    <w:rPr>
                      <w:rFonts w:hint="eastAsia" w:eastAsia="宋体"/>
                      <w:color w:val="auto"/>
                      <w:sz w:val="21"/>
                      <w:szCs w:val="21"/>
                      <w:lang w:val="en-US" w:eastAsia="zh-CN" w:bidi="ar"/>
                    </w:rPr>
                  </w:pPr>
                  <w:r>
                    <w:rPr>
                      <w:rFonts w:hint="eastAsia"/>
                      <w:color w:val="auto"/>
                      <w:sz w:val="21"/>
                      <w:szCs w:val="21"/>
                      <w:lang w:val="en-US" w:eastAsia="zh-CN" w:bidi="ar"/>
                    </w:rPr>
                    <w:t>2</w:t>
                  </w:r>
                </w:p>
              </w:tc>
              <w:tc>
                <w:tcPr>
                  <w:tcW w:w="1562" w:type="pct"/>
                  <w:tcBorders>
                    <w:tl2br w:val="nil"/>
                    <w:tr2bl w:val="nil"/>
                  </w:tcBorders>
                  <w:tcMar>
                    <w:left w:w="0" w:type="dxa"/>
                    <w:right w:w="0" w:type="dxa"/>
                  </w:tcMar>
                  <w:vAlign w:val="center"/>
                </w:tcPr>
                <w:p w14:paraId="41C963AD">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年产21000吨乳化粒状铵油炸药生产线（含9000吨乳胶基质）建设项目</w:t>
                  </w:r>
                </w:p>
              </w:tc>
              <w:tc>
                <w:tcPr>
                  <w:tcW w:w="1476" w:type="pct"/>
                  <w:tcBorders>
                    <w:tl2br w:val="nil"/>
                    <w:tr2bl w:val="nil"/>
                  </w:tcBorders>
                  <w:tcMar>
                    <w:left w:w="0" w:type="dxa"/>
                    <w:right w:w="0" w:type="dxa"/>
                  </w:tcMar>
                  <w:vAlign w:val="center"/>
                </w:tcPr>
                <w:p w14:paraId="2B470CCD">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朝阳市生态环境局喀左分局</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朝喀环审</w:t>
                  </w:r>
                  <w:r>
                    <w:rPr>
                      <w:rFonts w:hint="eastAsia" w:cs="Times New Roman"/>
                      <w:color w:val="auto"/>
                      <w:sz w:val="21"/>
                      <w:szCs w:val="21"/>
                      <w:highlight w:val="none"/>
                      <w:lang w:val="en-US" w:eastAsia="zh-CN"/>
                    </w:rPr>
                    <w:t>〔2024〕6号</w:t>
                  </w:r>
                </w:p>
              </w:tc>
              <w:tc>
                <w:tcPr>
                  <w:tcW w:w="1465" w:type="pct"/>
                  <w:tcBorders>
                    <w:tl2br w:val="nil"/>
                    <w:tr2bl w:val="nil"/>
                  </w:tcBorders>
                  <w:tcMar>
                    <w:left w:w="0" w:type="dxa"/>
                    <w:right w:w="0" w:type="dxa"/>
                  </w:tcMar>
                  <w:vAlign w:val="center"/>
                </w:tcPr>
                <w:p w14:paraId="6773703F">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自主验收</w:t>
                  </w:r>
                </w:p>
              </w:tc>
            </w:tr>
            <w:tr w14:paraId="3AFE2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5" w:type="pct"/>
                  <w:tcBorders>
                    <w:tl2br w:val="nil"/>
                    <w:tr2bl w:val="nil"/>
                  </w:tcBorders>
                  <w:tcMar>
                    <w:left w:w="0" w:type="dxa"/>
                    <w:right w:w="0" w:type="dxa"/>
                  </w:tcMar>
                  <w:vAlign w:val="center"/>
                </w:tcPr>
                <w:p w14:paraId="602DAB7C">
                  <w:pPr>
                    <w:pStyle w:val="87"/>
                    <w:keepNext/>
                    <w:keepLines w:val="0"/>
                    <w:pageBreakBefore w:val="0"/>
                    <w:kinsoku/>
                    <w:wordWrap/>
                    <w:overflowPunct/>
                    <w:topLinePunct w:val="0"/>
                    <w:bidi w:val="0"/>
                    <w:outlineLvl w:val="9"/>
                    <w:rPr>
                      <w:rFonts w:hint="eastAsia" w:eastAsia="宋体"/>
                      <w:color w:val="auto"/>
                      <w:sz w:val="21"/>
                      <w:szCs w:val="21"/>
                      <w:lang w:val="en-US" w:eastAsia="zh-CN" w:bidi="ar"/>
                    </w:rPr>
                  </w:pPr>
                  <w:r>
                    <w:rPr>
                      <w:rFonts w:hint="eastAsia"/>
                      <w:color w:val="auto"/>
                      <w:sz w:val="21"/>
                      <w:szCs w:val="21"/>
                      <w:lang w:val="en-US" w:eastAsia="zh-CN" w:bidi="ar"/>
                    </w:rPr>
                    <w:t>3</w:t>
                  </w:r>
                </w:p>
              </w:tc>
              <w:tc>
                <w:tcPr>
                  <w:tcW w:w="1562" w:type="pct"/>
                  <w:tcBorders>
                    <w:tl2br w:val="nil"/>
                    <w:tr2bl w:val="nil"/>
                  </w:tcBorders>
                  <w:tcMar>
                    <w:left w:w="0" w:type="dxa"/>
                    <w:right w:w="0" w:type="dxa"/>
                  </w:tcMar>
                  <w:vAlign w:val="center"/>
                </w:tcPr>
                <w:p w14:paraId="264A49DE">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 xml:space="preserve">朝阳红山化工有限责任公司年产 </w:t>
                  </w:r>
                  <w:r>
                    <w:rPr>
                      <w:rFonts w:hint="default" w:ascii="Times New Roman" w:hAnsi="Times New Roman" w:cs="Times New Roman"/>
                      <w:color w:val="auto"/>
                      <w:sz w:val="21"/>
                      <w:szCs w:val="21"/>
                      <w:highlight w:val="none"/>
                      <w:lang w:val="en-US" w:eastAsia="zh-CN"/>
                    </w:rPr>
                    <w:t xml:space="preserve">20000t </w:t>
                  </w:r>
                  <w:r>
                    <w:rPr>
                      <w:rFonts w:hint="eastAsia" w:ascii="Times New Roman" w:hAnsi="Times New Roman" w:cs="Times New Roman"/>
                      <w:color w:val="auto"/>
                      <w:sz w:val="21"/>
                      <w:szCs w:val="21"/>
                      <w:highlight w:val="none"/>
                      <w:lang w:val="en-US" w:eastAsia="zh-CN"/>
                    </w:rPr>
                    <w:t>乳化炸药生产线扩能升级改造项目</w:t>
                  </w:r>
                </w:p>
              </w:tc>
              <w:tc>
                <w:tcPr>
                  <w:tcW w:w="1476" w:type="pct"/>
                  <w:tcBorders>
                    <w:tl2br w:val="nil"/>
                    <w:tr2bl w:val="nil"/>
                  </w:tcBorders>
                  <w:tcMar>
                    <w:left w:w="0" w:type="dxa"/>
                    <w:right w:w="0" w:type="dxa"/>
                  </w:tcMar>
                  <w:vAlign w:val="center"/>
                </w:tcPr>
                <w:p w14:paraId="326D3064">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朝阳市生态环境局</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朝环建字</w:t>
                  </w:r>
                  <w:r>
                    <w:rPr>
                      <w:rFonts w:hint="eastAsia" w:cs="Times New Roman"/>
                      <w:color w:val="auto"/>
                      <w:sz w:val="21"/>
                      <w:szCs w:val="21"/>
                      <w:highlight w:val="none"/>
                      <w:lang w:val="en-US" w:eastAsia="zh-CN"/>
                    </w:rPr>
                    <w:t>〔2025〕8号</w:t>
                  </w:r>
                </w:p>
              </w:tc>
              <w:tc>
                <w:tcPr>
                  <w:tcW w:w="1465" w:type="pct"/>
                  <w:tcBorders>
                    <w:tl2br w:val="nil"/>
                    <w:tr2bl w:val="nil"/>
                  </w:tcBorders>
                  <w:tcMar>
                    <w:left w:w="0" w:type="dxa"/>
                    <w:right w:w="0" w:type="dxa"/>
                  </w:tcMar>
                  <w:vAlign w:val="center"/>
                </w:tcPr>
                <w:p w14:paraId="7D5323AA">
                  <w:pPr>
                    <w:pStyle w:val="87"/>
                    <w:keepNext/>
                    <w:keepLines w:val="0"/>
                    <w:pageBreakBefore w:val="0"/>
                    <w:kinsoku/>
                    <w:wordWrap/>
                    <w:overflowPunct/>
                    <w:topLinePunct w:val="0"/>
                    <w:bidi w:val="0"/>
                    <w:outlineLvl w:val="9"/>
                    <w:rPr>
                      <w:color w:val="auto"/>
                      <w:sz w:val="21"/>
                      <w:szCs w:val="21"/>
                      <w:lang w:bidi="ar"/>
                    </w:rPr>
                  </w:pPr>
                  <w:r>
                    <w:rPr>
                      <w:rFonts w:hint="eastAsia" w:ascii="Times New Roman" w:hAnsi="Times New Roman" w:cs="Times New Roman"/>
                      <w:color w:val="auto"/>
                      <w:sz w:val="21"/>
                      <w:szCs w:val="21"/>
                      <w:highlight w:val="none"/>
                      <w:lang w:val="en-US" w:eastAsia="zh-CN"/>
                    </w:rPr>
                    <w:t>自主验收</w:t>
                  </w:r>
                </w:p>
              </w:tc>
            </w:tr>
            <w:tr w14:paraId="269DE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495" w:type="pct"/>
                  <w:tcBorders>
                    <w:tl2br w:val="nil"/>
                    <w:tr2bl w:val="nil"/>
                  </w:tcBorders>
                  <w:tcMar>
                    <w:left w:w="0" w:type="dxa"/>
                    <w:right w:w="0" w:type="dxa"/>
                  </w:tcMar>
                  <w:vAlign w:val="center"/>
                </w:tcPr>
                <w:p w14:paraId="319C8953">
                  <w:pPr>
                    <w:pStyle w:val="87"/>
                    <w:keepNext/>
                    <w:keepLines w:val="0"/>
                    <w:pageBreakBefore w:val="0"/>
                    <w:kinsoku/>
                    <w:wordWrap/>
                    <w:overflowPunct/>
                    <w:topLinePunct w:val="0"/>
                    <w:bidi w:val="0"/>
                    <w:outlineLvl w:val="9"/>
                    <w:rPr>
                      <w:rFonts w:hint="eastAsia" w:eastAsia="宋体"/>
                      <w:color w:val="auto"/>
                      <w:sz w:val="21"/>
                      <w:szCs w:val="21"/>
                      <w:lang w:eastAsia="zh-CN" w:bidi="ar"/>
                    </w:rPr>
                  </w:pPr>
                  <w:r>
                    <w:rPr>
                      <w:rFonts w:hint="eastAsia"/>
                      <w:color w:val="auto"/>
                      <w:sz w:val="21"/>
                      <w:szCs w:val="21"/>
                      <w:lang w:val="en-US" w:eastAsia="zh-CN" w:bidi="ar"/>
                    </w:rPr>
                    <w:t>4</w:t>
                  </w:r>
                </w:p>
              </w:tc>
              <w:tc>
                <w:tcPr>
                  <w:tcW w:w="1562" w:type="pct"/>
                  <w:tcBorders>
                    <w:tl2br w:val="nil"/>
                    <w:tr2bl w:val="nil"/>
                  </w:tcBorders>
                  <w:tcMar>
                    <w:left w:w="0" w:type="dxa"/>
                    <w:right w:w="0" w:type="dxa"/>
                  </w:tcMar>
                  <w:vAlign w:val="center"/>
                </w:tcPr>
                <w:p w14:paraId="1B14C1A6">
                  <w:pPr>
                    <w:pStyle w:val="87"/>
                    <w:keepNext/>
                    <w:keepLines w:val="0"/>
                    <w:pageBreakBefore w:val="0"/>
                    <w:kinsoku/>
                    <w:wordWrap/>
                    <w:overflowPunct/>
                    <w:topLinePunct w:val="0"/>
                    <w:bidi w:val="0"/>
                    <w:outlineLvl w:val="9"/>
                    <w:rPr>
                      <w:color w:val="auto"/>
                      <w:sz w:val="21"/>
                      <w:szCs w:val="21"/>
                      <w:lang w:bidi="ar"/>
                    </w:rPr>
                  </w:pPr>
                  <w:r>
                    <w:rPr>
                      <w:rFonts w:hint="eastAsia"/>
                      <w:color w:val="auto"/>
                      <w:kern w:val="2"/>
                      <w:sz w:val="21"/>
                      <w:szCs w:val="21"/>
                    </w:rPr>
                    <w:t>排污登记证</w:t>
                  </w:r>
                </w:p>
              </w:tc>
              <w:tc>
                <w:tcPr>
                  <w:tcW w:w="2941" w:type="pct"/>
                  <w:gridSpan w:val="2"/>
                  <w:tcBorders>
                    <w:tl2br w:val="nil"/>
                    <w:tr2bl w:val="nil"/>
                  </w:tcBorders>
                  <w:tcMar>
                    <w:left w:w="0" w:type="dxa"/>
                    <w:right w:w="0" w:type="dxa"/>
                  </w:tcMar>
                  <w:vAlign w:val="center"/>
                </w:tcPr>
                <w:p w14:paraId="5A075AE8">
                  <w:pPr>
                    <w:pStyle w:val="87"/>
                    <w:keepNext/>
                    <w:keepLines w:val="0"/>
                    <w:pageBreakBefore w:val="0"/>
                    <w:kinsoku/>
                    <w:wordWrap/>
                    <w:overflowPunct/>
                    <w:topLinePunct w:val="0"/>
                    <w:bidi w:val="0"/>
                    <w:jc w:val="left"/>
                    <w:outlineLvl w:val="9"/>
                    <w:rPr>
                      <w:color w:val="auto"/>
                      <w:sz w:val="21"/>
                      <w:szCs w:val="21"/>
                      <w:lang w:bidi="ar"/>
                    </w:rPr>
                  </w:pPr>
                  <w:r>
                    <w:rPr>
                      <w:rFonts w:hint="eastAsia"/>
                      <w:color w:val="auto"/>
                      <w:sz w:val="21"/>
                      <w:szCs w:val="21"/>
                      <w:lang w:bidi="ar"/>
                    </w:rPr>
                    <w:t>登记</w:t>
                  </w:r>
                  <w:r>
                    <w:rPr>
                      <w:color w:val="auto"/>
                      <w:sz w:val="21"/>
                      <w:szCs w:val="21"/>
                      <w:lang w:bidi="ar"/>
                    </w:rPr>
                    <w:t>编号</w:t>
                  </w:r>
                  <w:r>
                    <w:rPr>
                      <w:rFonts w:hint="default" w:ascii="Times New Roman" w:hAnsi="Times New Roman" w:cs="Times New Roman"/>
                      <w:color w:val="auto"/>
                      <w:sz w:val="21"/>
                      <w:szCs w:val="21"/>
                      <w:highlight w:val="none"/>
                      <w:lang w:val="en-US" w:eastAsia="zh-CN"/>
                    </w:rPr>
                    <w:t>91211324MA7EXU3970001X</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 xml:space="preserve">有效期为2025 </w:t>
                  </w:r>
                  <w:r>
                    <w:rPr>
                      <w:rFonts w:hint="eastAsia" w:ascii="Times New Roman" w:hAnsi="Times New Roman" w:cs="Times New Roman"/>
                      <w:color w:val="auto"/>
                      <w:sz w:val="21"/>
                      <w:szCs w:val="21"/>
                      <w:highlight w:val="none"/>
                      <w:lang w:val="en-US" w:eastAsia="zh-CN"/>
                    </w:rPr>
                    <w:t xml:space="preserve">年 </w:t>
                  </w:r>
                  <w:r>
                    <w:rPr>
                      <w:rFonts w:hint="default" w:ascii="Times New Roman" w:hAnsi="Times New Roman" w:cs="Times New Roman"/>
                      <w:color w:val="auto"/>
                      <w:sz w:val="21"/>
                      <w:szCs w:val="21"/>
                      <w:highlight w:val="none"/>
                      <w:lang w:val="en-US" w:eastAsia="zh-CN"/>
                    </w:rPr>
                    <w:t xml:space="preserve">04 </w:t>
                  </w:r>
                  <w:r>
                    <w:rPr>
                      <w:rFonts w:hint="eastAsia" w:ascii="Times New Roman" w:hAnsi="Times New Roman" w:cs="Times New Roman"/>
                      <w:color w:val="auto"/>
                      <w:sz w:val="21"/>
                      <w:szCs w:val="21"/>
                      <w:highlight w:val="none"/>
                      <w:lang w:val="en-US" w:eastAsia="zh-CN"/>
                    </w:rPr>
                    <w:t xml:space="preserve">月 </w:t>
                  </w:r>
                  <w:r>
                    <w:rPr>
                      <w:rFonts w:hint="default" w:ascii="Times New Roman" w:hAnsi="Times New Roman" w:cs="Times New Roman"/>
                      <w:color w:val="auto"/>
                      <w:sz w:val="21"/>
                      <w:szCs w:val="21"/>
                      <w:highlight w:val="none"/>
                      <w:lang w:val="en-US" w:eastAsia="zh-CN"/>
                    </w:rPr>
                    <w:t xml:space="preserve">02 </w:t>
                  </w:r>
                  <w:r>
                    <w:rPr>
                      <w:rFonts w:hint="eastAsia" w:ascii="Times New Roman" w:hAnsi="Times New Roman" w:cs="Times New Roman"/>
                      <w:color w:val="auto"/>
                      <w:sz w:val="21"/>
                      <w:szCs w:val="21"/>
                      <w:highlight w:val="none"/>
                      <w:lang w:val="en-US" w:eastAsia="zh-CN"/>
                    </w:rPr>
                    <w:t xml:space="preserve">日至 </w:t>
                  </w:r>
                  <w:r>
                    <w:rPr>
                      <w:rFonts w:hint="default" w:ascii="Times New Roman" w:hAnsi="Times New Roman" w:cs="Times New Roman"/>
                      <w:color w:val="auto"/>
                      <w:sz w:val="21"/>
                      <w:szCs w:val="21"/>
                      <w:highlight w:val="none"/>
                      <w:lang w:val="en-US" w:eastAsia="zh-CN"/>
                    </w:rPr>
                    <w:t xml:space="preserve">2030 </w:t>
                  </w:r>
                  <w:r>
                    <w:rPr>
                      <w:rFonts w:hint="eastAsia" w:ascii="Times New Roman" w:hAnsi="Times New Roman" w:cs="Times New Roman"/>
                      <w:color w:val="auto"/>
                      <w:sz w:val="21"/>
                      <w:szCs w:val="21"/>
                      <w:highlight w:val="none"/>
                      <w:lang w:val="en-US" w:eastAsia="zh-CN"/>
                    </w:rPr>
                    <w:t xml:space="preserve">年 </w:t>
                  </w:r>
                  <w:r>
                    <w:rPr>
                      <w:rFonts w:hint="default" w:ascii="Times New Roman" w:hAnsi="Times New Roman" w:cs="Times New Roman"/>
                      <w:color w:val="auto"/>
                      <w:sz w:val="21"/>
                      <w:szCs w:val="21"/>
                      <w:highlight w:val="none"/>
                      <w:lang w:val="en-US" w:eastAsia="zh-CN"/>
                    </w:rPr>
                    <w:t xml:space="preserve">04 </w:t>
                  </w:r>
                  <w:r>
                    <w:rPr>
                      <w:rFonts w:hint="eastAsia" w:ascii="Times New Roman" w:hAnsi="Times New Roman" w:cs="Times New Roman"/>
                      <w:color w:val="auto"/>
                      <w:sz w:val="21"/>
                      <w:szCs w:val="21"/>
                      <w:highlight w:val="none"/>
                      <w:lang w:val="en-US" w:eastAsia="zh-CN"/>
                    </w:rPr>
                    <w:t xml:space="preserve">月 </w:t>
                  </w:r>
                  <w:r>
                    <w:rPr>
                      <w:rFonts w:hint="default" w:ascii="Times New Roman" w:hAnsi="Times New Roman" w:cs="Times New Roman"/>
                      <w:color w:val="auto"/>
                      <w:sz w:val="21"/>
                      <w:szCs w:val="21"/>
                      <w:highlight w:val="none"/>
                      <w:lang w:val="en-US" w:eastAsia="zh-CN"/>
                    </w:rPr>
                    <w:t xml:space="preserve">01 </w:t>
                  </w:r>
                  <w:r>
                    <w:rPr>
                      <w:rFonts w:hint="eastAsia" w:ascii="Times New Roman" w:hAnsi="Times New Roman" w:cs="Times New Roman"/>
                      <w:color w:val="auto"/>
                      <w:sz w:val="21"/>
                      <w:szCs w:val="21"/>
                      <w:highlight w:val="none"/>
                      <w:lang w:val="en-US" w:eastAsia="zh-CN"/>
                    </w:rPr>
                    <w:t>日</w:t>
                  </w:r>
                </w:p>
              </w:tc>
            </w:tr>
            <w:tr w14:paraId="6D52A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5" w:type="pct"/>
                  <w:tcBorders>
                    <w:tl2br w:val="nil"/>
                    <w:tr2bl w:val="nil"/>
                  </w:tcBorders>
                  <w:tcMar>
                    <w:left w:w="0" w:type="dxa"/>
                    <w:right w:w="0" w:type="dxa"/>
                  </w:tcMar>
                  <w:vAlign w:val="center"/>
                </w:tcPr>
                <w:p w14:paraId="4B07F1D7">
                  <w:pPr>
                    <w:pStyle w:val="87"/>
                    <w:keepNext/>
                    <w:keepLines w:val="0"/>
                    <w:pageBreakBefore w:val="0"/>
                    <w:kinsoku/>
                    <w:wordWrap/>
                    <w:overflowPunct/>
                    <w:topLinePunct w:val="0"/>
                    <w:bidi w:val="0"/>
                    <w:outlineLvl w:val="9"/>
                    <w:rPr>
                      <w:rFonts w:hint="default"/>
                      <w:color w:val="auto"/>
                      <w:sz w:val="21"/>
                      <w:szCs w:val="21"/>
                      <w:lang w:val="en-US" w:eastAsia="zh-CN" w:bidi="ar"/>
                    </w:rPr>
                  </w:pPr>
                  <w:r>
                    <w:rPr>
                      <w:rFonts w:hint="eastAsia"/>
                      <w:color w:val="auto"/>
                      <w:sz w:val="21"/>
                      <w:szCs w:val="21"/>
                      <w:lang w:val="en-US" w:eastAsia="zh-CN" w:bidi="ar"/>
                    </w:rPr>
                    <w:t>5</w:t>
                  </w:r>
                </w:p>
              </w:tc>
              <w:tc>
                <w:tcPr>
                  <w:tcW w:w="1562" w:type="pct"/>
                  <w:tcBorders>
                    <w:tl2br w:val="nil"/>
                    <w:tr2bl w:val="nil"/>
                  </w:tcBorders>
                  <w:tcMar>
                    <w:left w:w="0" w:type="dxa"/>
                    <w:right w:w="0" w:type="dxa"/>
                  </w:tcMar>
                  <w:vAlign w:val="center"/>
                </w:tcPr>
                <w:p w14:paraId="3364A300">
                  <w:pPr>
                    <w:pStyle w:val="87"/>
                    <w:keepNext/>
                    <w:keepLines w:val="0"/>
                    <w:pageBreakBefore w:val="0"/>
                    <w:kinsoku/>
                    <w:wordWrap/>
                    <w:overflowPunct/>
                    <w:topLinePunct w:val="0"/>
                    <w:bidi w:val="0"/>
                    <w:outlineLvl w:val="9"/>
                    <w:rPr>
                      <w:rFonts w:hint="eastAsia"/>
                      <w:color w:val="auto"/>
                      <w:kern w:val="2"/>
                      <w:sz w:val="21"/>
                      <w:szCs w:val="21"/>
                    </w:rPr>
                  </w:pPr>
                  <w:r>
                    <w:rPr>
                      <w:rFonts w:hint="default" w:ascii="Times New Roman" w:hAnsi="Times New Roman" w:cs="Times New Roman"/>
                      <w:snapToGrid/>
                      <w:color w:val="auto"/>
                      <w:kern w:val="2"/>
                      <w:sz w:val="21"/>
                      <w:szCs w:val="21"/>
                      <w:highlight w:val="none"/>
                      <w:vertAlign w:val="baseline"/>
                      <w:lang w:val="en-US" w:eastAsia="zh-CN"/>
                    </w:rPr>
                    <w:t>应急预案</w:t>
                  </w:r>
                </w:p>
              </w:tc>
              <w:tc>
                <w:tcPr>
                  <w:tcW w:w="2941" w:type="pct"/>
                  <w:gridSpan w:val="2"/>
                  <w:tcBorders>
                    <w:tl2br w:val="nil"/>
                    <w:tr2bl w:val="nil"/>
                  </w:tcBorders>
                  <w:tcMar>
                    <w:left w:w="0" w:type="dxa"/>
                    <w:right w:w="0" w:type="dxa"/>
                  </w:tcMar>
                  <w:vAlign w:val="center"/>
                </w:tcPr>
                <w:p w14:paraId="0C1D35CC">
                  <w:pPr>
                    <w:pStyle w:val="87"/>
                    <w:keepNext/>
                    <w:keepLines w:val="0"/>
                    <w:pageBreakBefore w:val="0"/>
                    <w:kinsoku/>
                    <w:wordWrap/>
                    <w:overflowPunct/>
                    <w:topLinePunct w:val="0"/>
                    <w:bidi w:val="0"/>
                    <w:jc w:val="left"/>
                    <w:outlineLvl w:val="9"/>
                    <w:rPr>
                      <w:rFonts w:hint="eastAsia" w:cs="Times New Roman"/>
                      <w:snapToGrid/>
                      <w:color w:val="auto"/>
                      <w:kern w:val="2"/>
                      <w:sz w:val="21"/>
                      <w:szCs w:val="21"/>
                      <w:highlight w:val="none"/>
                      <w:vertAlign w:val="baseline"/>
                      <w:lang w:val="en-US" w:eastAsia="zh-CN"/>
                    </w:rPr>
                  </w:pPr>
                  <w:r>
                    <w:rPr>
                      <w:rFonts w:hint="default" w:ascii="Times New Roman" w:hAnsi="Times New Roman" w:cs="Times New Roman"/>
                      <w:snapToGrid/>
                      <w:color w:val="auto"/>
                      <w:kern w:val="2"/>
                      <w:sz w:val="21"/>
                      <w:szCs w:val="21"/>
                      <w:highlight w:val="none"/>
                      <w:vertAlign w:val="baseline"/>
                      <w:lang w:val="en-US" w:eastAsia="zh-CN"/>
                    </w:rPr>
                    <w:t>朝阳市生态环境局喀左分局</w:t>
                  </w:r>
                  <w:r>
                    <w:rPr>
                      <w:rFonts w:hint="eastAsia" w:cs="Times New Roman"/>
                      <w:snapToGrid/>
                      <w:color w:val="auto"/>
                      <w:kern w:val="2"/>
                      <w:sz w:val="21"/>
                      <w:szCs w:val="21"/>
                      <w:highlight w:val="none"/>
                      <w:vertAlign w:val="baseline"/>
                      <w:lang w:val="en-US" w:eastAsia="zh-CN"/>
                    </w:rPr>
                    <w:t>，</w:t>
                  </w:r>
                </w:p>
                <w:p w14:paraId="41DE8786">
                  <w:pPr>
                    <w:pStyle w:val="87"/>
                    <w:keepNext/>
                    <w:keepLines w:val="0"/>
                    <w:pageBreakBefore w:val="0"/>
                    <w:kinsoku/>
                    <w:wordWrap/>
                    <w:overflowPunct/>
                    <w:topLinePunct w:val="0"/>
                    <w:bidi w:val="0"/>
                    <w:jc w:val="left"/>
                    <w:outlineLvl w:val="9"/>
                    <w:rPr>
                      <w:rFonts w:hint="eastAsia"/>
                      <w:color w:val="auto"/>
                      <w:sz w:val="21"/>
                      <w:szCs w:val="21"/>
                      <w:lang w:bidi="ar"/>
                    </w:rPr>
                  </w:pPr>
                  <w:r>
                    <w:rPr>
                      <w:rFonts w:hint="eastAsia" w:ascii="Times New Roman" w:hAnsi="Times New Roman" w:cs="Times New Roman"/>
                      <w:color w:val="auto"/>
                      <w:sz w:val="21"/>
                      <w:szCs w:val="21"/>
                      <w:highlight w:val="none"/>
                      <w:lang w:val="en-US" w:eastAsia="zh-CN"/>
                    </w:rPr>
                    <w:t xml:space="preserve">备案号为 </w:t>
                  </w:r>
                  <w:r>
                    <w:rPr>
                      <w:rFonts w:hint="default" w:ascii="Times New Roman" w:hAnsi="Times New Roman" w:cs="Times New Roman"/>
                      <w:color w:val="auto"/>
                      <w:sz w:val="21"/>
                      <w:szCs w:val="21"/>
                      <w:highlight w:val="none"/>
                      <w:lang w:val="en-US" w:eastAsia="zh-CN"/>
                    </w:rPr>
                    <w:t>211324-2024-010-M</w:t>
                  </w:r>
                </w:p>
              </w:tc>
            </w:tr>
          </w:tbl>
          <w:p w14:paraId="30A223B3">
            <w:pPr>
              <w:keepNext/>
              <w:keepLines w:val="0"/>
              <w:pageBreakBefore w:val="0"/>
              <w:widowControl/>
              <w:kinsoku/>
              <w:wordWrap/>
              <w:overflowPunct/>
              <w:topLinePunct w:val="0"/>
              <w:bidi w:val="0"/>
              <w:spacing w:line="360" w:lineRule="auto"/>
              <w:ind w:firstLine="480" w:firstLineChars="200"/>
              <w:jc w:val="left"/>
              <w:outlineLvl w:val="9"/>
              <w:rPr>
                <w:color w:val="auto"/>
                <w:sz w:val="24"/>
              </w:rPr>
            </w:pPr>
            <w:r>
              <w:rPr>
                <w:color w:val="auto"/>
                <w:sz w:val="24"/>
              </w:rPr>
              <w:t>综上所述，</w:t>
            </w:r>
            <w:r>
              <w:rPr>
                <w:rFonts w:hint="default" w:ascii="Times New Roman" w:hAnsi="Times New Roman" w:cs="Times New Roman"/>
                <w:color w:val="auto"/>
                <w:sz w:val="24"/>
                <w:szCs w:val="24"/>
                <w:highlight w:val="none"/>
                <w:lang w:val="en-US" w:eastAsia="zh-CN"/>
              </w:rPr>
              <w:t>朝阳红山化工有限责任公司</w:t>
            </w:r>
            <w:r>
              <w:rPr>
                <w:color w:val="auto"/>
                <w:sz w:val="24"/>
              </w:rPr>
              <w:t>现有项目环评、验收、排污许可等环保手续均齐全。</w:t>
            </w:r>
          </w:p>
          <w:p w14:paraId="02ABBD59">
            <w:pPr>
              <w:keepNext/>
              <w:keepLines w:val="0"/>
              <w:pageBreakBefore w:val="0"/>
              <w:widowControl/>
              <w:kinsoku/>
              <w:wordWrap/>
              <w:overflowPunct/>
              <w:topLinePunct w:val="0"/>
              <w:bidi w:val="0"/>
              <w:spacing w:line="360" w:lineRule="auto"/>
              <w:jc w:val="left"/>
              <w:outlineLvl w:val="9"/>
              <w:rPr>
                <w:rFonts w:hint="eastAsia" w:ascii="Times New Roman" w:hAnsi="Times New Roman" w:cs="Times New Roman"/>
                <w:color w:val="auto"/>
                <w:sz w:val="24"/>
                <w:szCs w:val="24"/>
                <w:lang w:val="en-US" w:eastAsia="zh-CN"/>
              </w:rPr>
            </w:pPr>
            <w:r>
              <w:rPr>
                <w:b/>
                <w:bCs/>
                <w:color w:val="auto"/>
                <w:kern w:val="0"/>
                <w:sz w:val="24"/>
                <w:lang w:bidi="ar"/>
              </w:rPr>
              <w:t>2、现有项目工艺流程</w:t>
            </w:r>
          </w:p>
          <w:p w14:paraId="336BAEF7">
            <w:pPr>
              <w:keepNext/>
              <w:keepLines w:val="0"/>
              <w:pageBreakBefore w:val="0"/>
              <w:kinsoku/>
              <w:wordWrap/>
              <w:overflowPunct/>
              <w:topLinePunct w:val="0"/>
              <w:bidi w:val="0"/>
              <w:spacing w:line="360" w:lineRule="auto"/>
              <w:ind w:firstLine="482" w:firstLineChars="200"/>
              <w:outlineLvl w:val="9"/>
              <w:rPr>
                <w:rFonts w:hint="default"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（一）乳化粒状铵油炸药</w:t>
            </w:r>
          </w:p>
          <w:p w14:paraId="2757B0EE">
            <w:pPr>
              <w:keepNext/>
              <w:keepLines w:val="0"/>
              <w:pageBreakBefore w:val="0"/>
              <w:widowControl w:val="0"/>
              <w:kinsoku/>
              <w:wordWrap/>
              <w:overflowPunct/>
              <w:topLinePunct w:val="0"/>
              <w:autoSpaceDE/>
              <w:autoSpaceDN/>
              <w:bidi w:val="0"/>
              <w:adjustRightInd/>
              <w:spacing w:line="360" w:lineRule="auto"/>
              <w:ind w:firstLine="482" w:firstLineChars="200"/>
              <w:textAlignment w:val="auto"/>
              <w:outlineLvl w:val="9"/>
              <w:rPr>
                <w:rFonts w:hint="default" w:ascii="Times New Roman" w:hAnsi="Times New Roman" w:cs="Times New Roman" w:eastAsiaTheme="minorEastAsia"/>
                <w:b/>
                <w:bCs/>
                <w:color w:val="auto"/>
                <w:sz w:val="24"/>
                <w:szCs w:val="24"/>
                <w:lang w:val="en-US" w:eastAsia="zh-CN"/>
              </w:rPr>
            </w:pPr>
            <w:bookmarkStart w:id="48" w:name="_Toc26442"/>
            <w:r>
              <w:rPr>
                <w:rFonts w:hint="eastAsia" w:cs="Times New Roman"/>
                <w:b/>
                <w:bCs/>
                <w:color w:val="auto"/>
                <w:sz w:val="24"/>
                <w:szCs w:val="24"/>
                <w:lang w:val="en-US" w:eastAsia="zh-CN"/>
              </w:rPr>
              <w:t>1）</w:t>
            </w:r>
            <w:r>
              <w:rPr>
                <w:rFonts w:hint="eastAsia" w:ascii="Times New Roman" w:hAnsi="Times New Roman" w:cs="Times New Roman"/>
                <w:b/>
                <w:bCs/>
                <w:color w:val="auto"/>
                <w:sz w:val="24"/>
                <w:szCs w:val="24"/>
                <w:lang w:val="en-US" w:eastAsia="zh-CN"/>
              </w:rPr>
              <w:t>现场混装乳化炸药</w:t>
            </w:r>
            <w:bookmarkEnd w:id="48"/>
          </w:p>
          <w:p w14:paraId="40F85F29">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49" w:name="_Toc12123"/>
            <w:r>
              <w:rPr>
                <w:rFonts w:hint="default" w:ascii="Times New Roman" w:hAnsi="Times New Roman" w:cs="Times New Roman" w:eastAsiaTheme="minorEastAsia"/>
                <w:color w:val="auto"/>
                <w:sz w:val="24"/>
                <w:szCs w:val="24"/>
                <w:lang w:val="en-US" w:eastAsia="zh-CN"/>
              </w:rPr>
              <w:t>（1）水、油相溶液制备</w:t>
            </w:r>
            <w:bookmarkEnd w:id="49"/>
          </w:p>
          <w:p w14:paraId="270E6FB7">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水相制备：将硝酸铵等原料由硝酸铵库通过叉车运至水相投料间备用。硝酸铵经计量后加入水相制备罐制备，待温度达到工艺要求温度后保温备用。水相制备罐的温度通过电动调节阀自动调节控制，使水相溶液温度控制在工艺要求范围内。</w:t>
            </w:r>
          </w:p>
          <w:p w14:paraId="41F65A54">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油相制备：利用保温罐装车将一体化油相溶液从公司化工区运至工房内，人工将油相 溶液经输送管道送入油相熔化罐内，打开油相熔化罐控温阀，用热水对油相熔化罐进行预热保温，使油相溶液温度控制在工艺要求范围内。</w:t>
            </w:r>
          </w:p>
          <w:p w14:paraId="2B76AA6F">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0" w:name="_Toc13304"/>
            <w:r>
              <w:rPr>
                <w:rFonts w:hint="default" w:ascii="Times New Roman" w:hAnsi="Times New Roman" w:cs="Times New Roman" w:eastAsiaTheme="minorEastAsia"/>
                <w:color w:val="auto"/>
                <w:sz w:val="24"/>
                <w:szCs w:val="24"/>
                <w:lang w:val="en-US" w:eastAsia="zh-CN"/>
              </w:rPr>
              <w:t>（2）粗乳、精乳</w:t>
            </w:r>
            <w:bookmarkEnd w:id="50"/>
          </w:p>
          <w:p w14:paraId="5CBE998A">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配制好的水相溶液经水相管路、水相过滤器，由水相输送泵经水相流量计计量，按工艺配比由微机自动测控，连续送入粗乳器。</w:t>
            </w:r>
          </w:p>
          <w:p w14:paraId="64665397">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配制好的油相溶液经油相管路、油相过滤器，由油相输送泵经油相流量计计量，按工 艺配比由微机自动测控，连续送入粗乳器。</w:t>
            </w:r>
          </w:p>
          <w:p w14:paraId="088773B5">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水相溶液和油相溶液进入粗乳器进行粗乳后，再由新增的电缸活塞式容积泵送入精乳器进行精乳。</w:t>
            </w:r>
          </w:p>
          <w:p w14:paraId="2BDA3D3C">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1" w:name="_Toc28446"/>
            <w:r>
              <w:rPr>
                <w:rFonts w:hint="default" w:ascii="Times New Roman" w:hAnsi="Times New Roman" w:cs="Times New Roman" w:eastAsiaTheme="minorEastAsia"/>
                <w:color w:val="auto"/>
                <w:sz w:val="24"/>
                <w:szCs w:val="24"/>
                <w:lang w:val="en-US" w:eastAsia="zh-CN"/>
              </w:rPr>
              <w:t>（3）发泡剂配制</w:t>
            </w:r>
            <w:bookmarkEnd w:id="51"/>
          </w:p>
          <w:p w14:paraId="1445BCAD">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将亚硝酸钠按配比和生产水配制后泵送至混装车专用料仓内。</w:t>
            </w:r>
          </w:p>
          <w:p w14:paraId="42B8FB8D">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2" w:name="_Toc1126"/>
            <w:r>
              <w:rPr>
                <w:rFonts w:hint="default" w:ascii="Times New Roman" w:hAnsi="Times New Roman" w:cs="Times New Roman" w:eastAsiaTheme="minorEastAsia"/>
                <w:color w:val="auto"/>
                <w:sz w:val="24"/>
                <w:szCs w:val="24"/>
                <w:lang w:val="en-US" w:eastAsia="zh-CN"/>
              </w:rPr>
              <w:t>（4）乳胶基质泵送装车</w:t>
            </w:r>
            <w:bookmarkEnd w:id="52"/>
          </w:p>
          <w:p w14:paraId="3EAA3D2B">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经精乳器出来的乳胶基质由基质输送泵送至乳胶基质暂存罐内，乳胶基质经计量重力流入混装车后运至爆破现场。</w:t>
            </w:r>
          </w:p>
          <w:p w14:paraId="514AA04D">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乳化炸药现场混装炸药车内设动态监控信息系统，实时控制显示装药流量及速度。</w:t>
            </w:r>
            <w:bookmarkStart w:id="53" w:name="_Toc19281"/>
          </w:p>
          <w:p w14:paraId="4B738B0B">
            <w:pPr>
              <w:keepNext/>
              <w:keepLines w:val="0"/>
              <w:pageBreakBefore w:val="0"/>
              <w:widowControl w:val="0"/>
              <w:kinsoku/>
              <w:wordWrap/>
              <w:overflowPunct/>
              <w:topLinePunct w:val="0"/>
              <w:autoSpaceDE/>
              <w:autoSpaceDN/>
              <w:bidi w:val="0"/>
              <w:adjustRightInd/>
              <w:spacing w:line="360" w:lineRule="auto"/>
              <w:ind w:firstLine="420" w:firstLineChars="200"/>
              <w:jc w:val="center"/>
              <w:textAlignment w:val="auto"/>
              <w:outlineLvl w:val="9"/>
              <w:rPr>
                <w:color w:val="auto"/>
              </w:rPr>
            </w:pPr>
            <w:r>
              <w:rPr>
                <w:color w:val="auto"/>
              </w:rPr>
              <w:drawing>
                <wp:inline distT="0" distB="0" distL="114300" distR="114300">
                  <wp:extent cx="4656455" cy="5107940"/>
                  <wp:effectExtent l="0" t="0" r="10795" b="16510"/>
                  <wp:docPr id="3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4"/>
                          <pic:cNvPicPr>
                            <a:picLocks noChangeAspect="1"/>
                          </pic:cNvPicPr>
                        </pic:nvPicPr>
                        <pic:blipFill>
                          <a:blip r:embed="rId35"/>
                          <a:stretch>
                            <a:fillRect/>
                          </a:stretch>
                        </pic:blipFill>
                        <pic:spPr>
                          <a:xfrm>
                            <a:off x="0" y="0"/>
                            <a:ext cx="4656455" cy="5107940"/>
                          </a:xfrm>
                          <a:prstGeom prst="rect">
                            <a:avLst/>
                          </a:prstGeom>
                          <a:noFill/>
                          <a:ln>
                            <a:noFill/>
                          </a:ln>
                        </pic:spPr>
                      </pic:pic>
                    </a:graphicData>
                  </a:graphic>
                </wp:inline>
              </w:drawing>
            </w:r>
          </w:p>
          <w:p w14:paraId="062999E5">
            <w:pPr>
              <w:keepNext/>
              <w:keepLines w:val="0"/>
              <w:pageBreakBefore w:val="0"/>
              <w:widowControl w:val="0"/>
              <w:kinsoku/>
              <w:wordWrap/>
              <w:overflowPunct/>
              <w:topLinePunct w:val="0"/>
              <w:autoSpaceDE/>
              <w:autoSpaceDN/>
              <w:bidi w:val="0"/>
              <w:adjustRightInd/>
              <w:spacing w:line="360" w:lineRule="auto"/>
              <w:ind w:firstLine="446" w:firstLineChars="200"/>
              <w:jc w:val="center"/>
              <w:textAlignment w:val="auto"/>
              <w:outlineLvl w:val="9"/>
              <w:rPr>
                <w:rFonts w:hint="default"/>
                <w:color w:val="auto"/>
                <w:sz w:val="21"/>
                <w:szCs w:val="21"/>
                <w:lang w:val="en-US" w:eastAsia="zh-CN"/>
              </w:rPr>
            </w:pPr>
            <w:r>
              <w:rPr>
                <w:b/>
                <w:bCs/>
                <w:color w:val="auto"/>
                <w:spacing w:val="6"/>
                <w:sz w:val="21"/>
                <w:szCs w:val="21"/>
              </w:rPr>
              <w:t>图</w:t>
            </w:r>
            <w:r>
              <w:rPr>
                <w:color w:val="auto"/>
                <w:spacing w:val="-31"/>
                <w:sz w:val="21"/>
                <w:szCs w:val="21"/>
              </w:rPr>
              <w:t xml:space="preserve"> </w:t>
            </w:r>
            <w:r>
              <w:rPr>
                <w:rFonts w:ascii="Times New Roman" w:hAnsi="Times New Roman" w:eastAsia="Times New Roman" w:cs="Times New Roman"/>
                <w:b/>
                <w:bCs/>
                <w:color w:val="auto"/>
                <w:spacing w:val="6"/>
                <w:sz w:val="21"/>
                <w:szCs w:val="21"/>
              </w:rPr>
              <w:t>2-</w:t>
            </w:r>
            <w:r>
              <w:rPr>
                <w:rFonts w:hint="eastAsia" w:eastAsia="宋体" w:cs="Times New Roman"/>
                <w:b/>
                <w:bCs/>
                <w:color w:val="auto"/>
                <w:spacing w:val="6"/>
                <w:sz w:val="21"/>
                <w:szCs w:val="21"/>
                <w:lang w:val="en-US" w:eastAsia="zh-CN"/>
              </w:rPr>
              <w:t>6</w:t>
            </w:r>
            <w:r>
              <w:rPr>
                <w:rFonts w:ascii="Times New Roman" w:hAnsi="Times New Roman" w:eastAsia="Times New Roman" w:cs="Times New Roman"/>
                <w:b/>
                <w:bCs/>
                <w:color w:val="auto"/>
                <w:spacing w:val="6"/>
                <w:sz w:val="21"/>
                <w:szCs w:val="21"/>
              </w:rPr>
              <w:t xml:space="preserve"> </w:t>
            </w:r>
            <w:r>
              <w:rPr>
                <w:b/>
                <w:bCs/>
                <w:color w:val="auto"/>
                <w:spacing w:val="6"/>
                <w:sz w:val="21"/>
                <w:szCs w:val="21"/>
              </w:rPr>
              <w:t>现场混装乳化炸药生产工艺流程及排污节点图</w:t>
            </w:r>
          </w:p>
          <w:p w14:paraId="22153099">
            <w:pPr>
              <w:keepNext/>
              <w:keepLines w:val="0"/>
              <w:pageBreakBefore w:val="0"/>
              <w:widowControl w:val="0"/>
              <w:kinsoku/>
              <w:wordWrap/>
              <w:overflowPunct/>
              <w:topLinePunct w:val="0"/>
              <w:autoSpaceDE/>
              <w:autoSpaceDN/>
              <w:bidi w:val="0"/>
              <w:adjustRightInd/>
              <w:spacing w:line="360" w:lineRule="auto"/>
              <w:ind w:firstLine="482" w:firstLineChars="200"/>
              <w:textAlignment w:val="auto"/>
              <w:outlineLvl w:val="9"/>
              <w:rPr>
                <w:rFonts w:hint="default" w:ascii="Times New Roman" w:hAnsi="Times New Roman" w:cs="Times New Roman" w:eastAsiaTheme="minorEastAsia"/>
                <w:b/>
                <w:bCs/>
                <w:color w:val="auto"/>
                <w:sz w:val="24"/>
                <w:szCs w:val="24"/>
                <w:lang w:val="en-US" w:eastAsia="zh-CN"/>
              </w:rPr>
            </w:pPr>
            <w:r>
              <w:rPr>
                <w:rFonts w:hint="eastAsia" w:cs="Times New Roman" w:eastAsiaTheme="minorEastAsia"/>
                <w:b/>
                <w:bCs/>
                <w:color w:val="auto"/>
                <w:sz w:val="24"/>
                <w:szCs w:val="24"/>
                <w:lang w:val="en-US" w:eastAsia="zh-CN"/>
              </w:rPr>
              <w:t>2）</w:t>
            </w:r>
            <w:r>
              <w:rPr>
                <w:rFonts w:hint="eastAsia" w:ascii="Times New Roman" w:hAnsi="Times New Roman" w:eastAsia="宋体" w:cs="Times New Roman"/>
                <w:b/>
                <w:bCs/>
                <w:color w:val="auto"/>
                <w:kern w:val="2"/>
                <w:sz w:val="24"/>
                <w:szCs w:val="24"/>
                <w:lang w:val="en-US" w:eastAsia="zh-CN" w:bidi="ar-SA"/>
              </w:rPr>
              <w:t>现场混装乳化粒状铵油炸药</w:t>
            </w:r>
            <w:bookmarkEnd w:id="53"/>
          </w:p>
          <w:p w14:paraId="2C3C9DFC">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现场混装乳化粒状铵油炸药生产包括乳胶基质制备、装车、多孔粒状硝酸铵计量、装 车、柴油计量、装车和现场混制等工序。</w:t>
            </w:r>
          </w:p>
          <w:p w14:paraId="4516FC2B">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4" w:name="_Toc4475"/>
            <w:r>
              <w:rPr>
                <w:rFonts w:hint="default" w:ascii="Times New Roman" w:hAnsi="Times New Roman" w:cs="Times New Roman" w:eastAsiaTheme="minorEastAsia"/>
                <w:color w:val="auto"/>
                <w:sz w:val="24"/>
                <w:szCs w:val="24"/>
                <w:lang w:val="en-US" w:eastAsia="zh-CN"/>
              </w:rPr>
              <w:t>（1）乳胶基质制备</w:t>
            </w:r>
            <w:bookmarkEnd w:id="54"/>
          </w:p>
          <w:p w14:paraId="7C6A0917">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现场混装乳化粒状铵油炸药生产系统所需的乳胶基质由现有乳胶制备工房内 JWL-S 型 乳胶基质制备设备提供，乳胶基质的组分、制备工艺相同。</w:t>
            </w:r>
          </w:p>
          <w:p w14:paraId="2B5F7E5C">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5" w:name="_Toc8367"/>
            <w:r>
              <w:rPr>
                <w:rFonts w:hint="default" w:ascii="Times New Roman" w:hAnsi="Times New Roman" w:cs="Times New Roman" w:eastAsiaTheme="minorEastAsia"/>
                <w:color w:val="auto"/>
                <w:sz w:val="24"/>
                <w:szCs w:val="24"/>
                <w:lang w:val="en-US" w:eastAsia="zh-CN"/>
              </w:rPr>
              <w:t>（2）乳胶基质装车</w:t>
            </w:r>
            <w:bookmarkEnd w:id="55"/>
          </w:p>
          <w:p w14:paraId="0D73DAFD">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将现场混装重铵油车开到乳胶基质制备工房装车间内，乳胶基质经计量装载入混装车料仓内。</w:t>
            </w:r>
          </w:p>
          <w:p w14:paraId="1C08E252">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6" w:name="_Toc30379"/>
            <w:r>
              <w:rPr>
                <w:rFonts w:hint="default" w:ascii="Times New Roman" w:hAnsi="Times New Roman" w:cs="Times New Roman" w:eastAsiaTheme="minorEastAsia"/>
                <w:color w:val="auto"/>
                <w:sz w:val="24"/>
                <w:szCs w:val="24"/>
                <w:lang w:val="en-US" w:eastAsia="zh-CN"/>
              </w:rPr>
              <w:t>（3）多孔粒状硝酸铵计量装车</w:t>
            </w:r>
            <w:bookmarkEnd w:id="56"/>
          </w:p>
          <w:p w14:paraId="7D90EA77">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多孔粒状硝酸铵经防爆叉车从硝酸铵库运至多孔粒状硝酸铵装车工房二层投料口内，经过螺旋输送至料仓内。将现场混装重铵油车开至多孔粒状硝酸铵装车工房内料仓下方，设定装载量后，开启卸料阀门，多孔粒状硝酸铵自流至混装车料仓内。</w:t>
            </w:r>
          </w:p>
          <w:p w14:paraId="6AC468F1">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7" w:name="_Toc12253"/>
            <w:r>
              <w:rPr>
                <w:rFonts w:hint="default" w:ascii="Times New Roman" w:hAnsi="Times New Roman" w:cs="Times New Roman" w:eastAsiaTheme="minorEastAsia"/>
                <w:color w:val="auto"/>
                <w:sz w:val="24"/>
                <w:szCs w:val="24"/>
                <w:lang w:val="en-US" w:eastAsia="zh-CN"/>
              </w:rPr>
              <w:t>（4）柴油计量装车</w:t>
            </w:r>
            <w:bookmarkEnd w:id="57"/>
          </w:p>
          <w:p w14:paraId="4EA415F7">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装载完多孔粒状硝酸铵后将混装车开至柴油储罐处，将加油机的加油软管与混装车的 专用柴油料仓相连，从控制系统输入需要加入的柴油量后，控制系统自动启动加油泵，将 柴油计量后加入到混装车的柴油料箱。</w:t>
            </w:r>
          </w:p>
          <w:p w14:paraId="1EDEF0AC">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58" w:name="_Toc16647"/>
            <w:r>
              <w:rPr>
                <w:rFonts w:hint="default" w:ascii="Times New Roman" w:hAnsi="Times New Roman" w:cs="Times New Roman" w:eastAsiaTheme="minorEastAsia"/>
                <w:color w:val="auto"/>
                <w:sz w:val="24"/>
                <w:szCs w:val="24"/>
                <w:lang w:val="en-US" w:eastAsia="zh-CN"/>
              </w:rPr>
              <w:t>（5）现场混制</w:t>
            </w:r>
            <w:bookmarkEnd w:id="58"/>
          </w:p>
          <w:p w14:paraId="369A36D2">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在爆破现场，通过螺旋把乳胶基质、多孔粒状硝酸铵输入混装车箱体后端的斜螺旋，再由斜螺旋把物料提升到侧螺旋内，同时油泵把一定比例的柴油送到侧螺旋内，进行混拌后输入炮孔。</w:t>
            </w:r>
          </w:p>
          <w:p w14:paraId="50BB95C9">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现场混装重铵油车内设动态监控信息系统，实时控制显示装药流量及速度。</w:t>
            </w:r>
          </w:p>
          <w:p w14:paraId="0335CFBB">
            <w:pPr>
              <w:keepNext/>
              <w:keepLines w:val="0"/>
              <w:pageBreakBefore w:val="0"/>
              <w:widowControl w:val="0"/>
              <w:kinsoku/>
              <w:wordWrap/>
              <w:overflowPunct/>
              <w:topLinePunct w:val="0"/>
              <w:autoSpaceDE/>
              <w:autoSpaceDN/>
              <w:bidi w:val="0"/>
              <w:adjustRightInd/>
              <w:spacing w:line="360" w:lineRule="auto"/>
              <w:ind w:firstLine="420" w:firstLineChars="200"/>
              <w:jc w:val="center"/>
              <w:textAlignment w:val="auto"/>
              <w:outlineLvl w:val="9"/>
              <w:rPr>
                <w:color w:val="auto"/>
              </w:rPr>
            </w:pPr>
            <w:r>
              <w:rPr>
                <w:color w:val="auto"/>
              </w:rPr>
              <w:drawing>
                <wp:inline distT="0" distB="0" distL="114300" distR="114300">
                  <wp:extent cx="2740660" cy="2512695"/>
                  <wp:effectExtent l="0" t="0" r="2540" b="1905"/>
                  <wp:docPr id="3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5"/>
                          <pic:cNvPicPr>
                            <a:picLocks noChangeAspect="1"/>
                          </pic:cNvPicPr>
                        </pic:nvPicPr>
                        <pic:blipFill>
                          <a:blip r:embed="rId36"/>
                          <a:stretch>
                            <a:fillRect/>
                          </a:stretch>
                        </pic:blipFill>
                        <pic:spPr>
                          <a:xfrm>
                            <a:off x="0" y="0"/>
                            <a:ext cx="2740660" cy="2512695"/>
                          </a:xfrm>
                          <a:prstGeom prst="rect">
                            <a:avLst/>
                          </a:prstGeom>
                          <a:noFill/>
                          <a:ln>
                            <a:noFill/>
                          </a:ln>
                        </pic:spPr>
                      </pic:pic>
                    </a:graphicData>
                  </a:graphic>
                </wp:inline>
              </w:drawing>
            </w:r>
          </w:p>
          <w:p w14:paraId="4E093CE5">
            <w:pPr>
              <w:pStyle w:val="115"/>
              <w:keepNext/>
              <w:keepLines w:val="0"/>
              <w:pageBreakBefore w:val="0"/>
              <w:kinsoku/>
              <w:wordWrap/>
              <w:overflowPunct/>
              <w:topLinePunct w:val="0"/>
              <w:bidi w:val="0"/>
              <w:spacing w:before="51" w:line="228" w:lineRule="auto"/>
              <w:ind w:left="1444"/>
              <w:outlineLvl w:val="9"/>
              <w:rPr>
                <w:rFonts w:hint="default" w:ascii="Times New Roman" w:hAnsi="Times New Roman" w:cs="Times New Roman" w:eastAsiaTheme="minorEastAsia"/>
                <w:color w:val="auto"/>
                <w:sz w:val="21"/>
                <w:szCs w:val="21"/>
                <w:lang w:val="en-US" w:eastAsia="zh-CN"/>
              </w:rPr>
            </w:pPr>
            <w:r>
              <w:rPr>
                <w:b/>
                <w:bCs/>
                <w:color w:val="auto"/>
                <w:spacing w:val="7"/>
                <w:sz w:val="21"/>
                <w:szCs w:val="21"/>
              </w:rPr>
              <w:t>图</w:t>
            </w:r>
            <w:r>
              <w:rPr>
                <w:color w:val="auto"/>
                <w:spacing w:val="-40"/>
                <w:sz w:val="21"/>
                <w:szCs w:val="21"/>
              </w:rPr>
              <w:t xml:space="preserve"> </w:t>
            </w:r>
            <w:r>
              <w:rPr>
                <w:rFonts w:ascii="Times New Roman" w:hAnsi="Times New Roman" w:eastAsia="Times New Roman" w:cs="Times New Roman"/>
                <w:b/>
                <w:bCs/>
                <w:color w:val="auto"/>
                <w:spacing w:val="7"/>
                <w:sz w:val="21"/>
                <w:szCs w:val="21"/>
              </w:rPr>
              <w:t>2-</w:t>
            </w:r>
            <w:r>
              <w:rPr>
                <w:rFonts w:hint="eastAsia" w:ascii="Times New Roman" w:hAnsi="Times New Roman" w:eastAsia="宋体" w:cs="Times New Roman"/>
                <w:b/>
                <w:bCs/>
                <w:color w:val="auto"/>
                <w:spacing w:val="7"/>
                <w:sz w:val="21"/>
                <w:szCs w:val="21"/>
                <w:lang w:val="en-US" w:eastAsia="zh-CN"/>
              </w:rPr>
              <w:t>7</w:t>
            </w:r>
            <w:r>
              <w:rPr>
                <w:rFonts w:ascii="Times New Roman" w:hAnsi="Times New Roman" w:eastAsia="Times New Roman" w:cs="Times New Roman"/>
                <w:b/>
                <w:bCs/>
                <w:color w:val="auto"/>
                <w:spacing w:val="7"/>
                <w:sz w:val="21"/>
                <w:szCs w:val="21"/>
              </w:rPr>
              <w:t xml:space="preserve"> </w:t>
            </w:r>
            <w:r>
              <w:rPr>
                <w:b/>
                <w:bCs/>
                <w:color w:val="auto"/>
                <w:spacing w:val="7"/>
                <w:sz w:val="21"/>
                <w:szCs w:val="21"/>
              </w:rPr>
              <w:t>现场混装乳化粒状铵油炸药生产</w:t>
            </w:r>
            <w:r>
              <w:rPr>
                <w:b/>
                <w:bCs/>
                <w:color w:val="auto"/>
                <w:spacing w:val="6"/>
                <w:sz w:val="21"/>
                <w:szCs w:val="21"/>
              </w:rPr>
              <w:t>工艺流程及排污节点图</w:t>
            </w:r>
          </w:p>
          <w:p w14:paraId="771F43ED">
            <w:pPr>
              <w:keepNext/>
              <w:keepLines w:val="0"/>
              <w:pageBreakBefore w:val="0"/>
              <w:widowControl w:val="0"/>
              <w:kinsoku/>
              <w:wordWrap/>
              <w:overflowPunct/>
              <w:topLinePunct w:val="0"/>
              <w:autoSpaceDE/>
              <w:autoSpaceDN/>
              <w:bidi w:val="0"/>
              <w:adjustRightInd/>
              <w:spacing w:line="360" w:lineRule="auto"/>
              <w:ind w:firstLine="482" w:firstLineChars="200"/>
              <w:textAlignment w:val="auto"/>
              <w:outlineLvl w:val="9"/>
              <w:rPr>
                <w:rFonts w:hint="default" w:ascii="Times New Roman" w:hAnsi="Times New Roman" w:cs="Times New Roman" w:eastAsiaTheme="minorEastAsia"/>
                <w:b/>
                <w:bCs/>
                <w:color w:val="auto"/>
                <w:sz w:val="24"/>
                <w:szCs w:val="24"/>
                <w:lang w:val="en-US" w:eastAsia="zh-CN"/>
              </w:rPr>
            </w:pPr>
            <w:bookmarkStart w:id="59" w:name="_Toc19645"/>
            <w:r>
              <w:rPr>
                <w:rFonts w:hint="eastAsia" w:cs="Times New Roman" w:eastAsiaTheme="minorEastAsia"/>
                <w:b/>
                <w:bCs/>
                <w:color w:val="auto"/>
                <w:sz w:val="24"/>
                <w:szCs w:val="24"/>
                <w:lang w:val="en-US" w:eastAsia="zh-CN"/>
              </w:rPr>
              <w:t>3）</w:t>
            </w:r>
            <w:r>
              <w:rPr>
                <w:rFonts w:hint="eastAsia" w:ascii="Times New Roman" w:hAnsi="Times New Roman" w:cs="Times New Roman" w:eastAsiaTheme="minorEastAsia"/>
                <w:b/>
                <w:bCs/>
                <w:color w:val="auto"/>
                <w:sz w:val="24"/>
                <w:szCs w:val="24"/>
                <w:lang w:val="en-US" w:eastAsia="zh-CN"/>
              </w:rPr>
              <w:t>乳化粒状铵油炸药</w:t>
            </w:r>
            <w:bookmarkEnd w:id="59"/>
          </w:p>
          <w:p w14:paraId="1C63F884">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60" w:name="_Toc19374"/>
            <w:r>
              <w:rPr>
                <w:rFonts w:hint="default" w:ascii="Times New Roman" w:hAnsi="Times New Roman" w:cs="Times New Roman" w:eastAsiaTheme="minorEastAsia"/>
                <w:color w:val="auto"/>
                <w:sz w:val="24"/>
                <w:szCs w:val="24"/>
                <w:lang w:val="en-US" w:eastAsia="zh-CN"/>
              </w:rPr>
              <w:t>（1）原材料准备</w:t>
            </w:r>
            <w:bookmarkEnd w:id="60"/>
          </w:p>
          <w:p w14:paraId="50C29307">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多孔粒状硝酸铵由硝酸铵库通过防爆叉车运送至乳化粒状铵油炸药生产工房多孔粒状硝酸铵投料口。</w:t>
            </w:r>
          </w:p>
          <w:p w14:paraId="7DE446A0">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班前将生产所需的添加剂由综合材料库通过叉车运送至乳化粒状铵油炸药生产工房各自料仓/储罐内。</w:t>
            </w:r>
          </w:p>
          <w:p w14:paraId="3191C721">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61" w:name="_Toc2448"/>
            <w:r>
              <w:rPr>
                <w:rFonts w:hint="default" w:ascii="Times New Roman" w:hAnsi="Times New Roman" w:cs="Times New Roman" w:eastAsiaTheme="minorEastAsia"/>
                <w:color w:val="auto"/>
                <w:sz w:val="24"/>
                <w:szCs w:val="24"/>
                <w:lang w:val="en-US" w:eastAsia="zh-CN"/>
              </w:rPr>
              <w:t>（2）乳胶基质制备</w:t>
            </w:r>
            <w:bookmarkEnd w:id="61"/>
          </w:p>
          <w:p w14:paraId="12BE99AF">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生产乳化粒状铵油炸药所需的乳胶基质由现有乳胶基质制备工房内JWL-S 型乳胶基质制备设备提供，乳胶基质的组分、制备工艺相同。</w:t>
            </w:r>
          </w:p>
          <w:p w14:paraId="3DDD3D32">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62" w:name="_Toc31994"/>
            <w:r>
              <w:rPr>
                <w:rFonts w:hint="default" w:ascii="Times New Roman" w:hAnsi="Times New Roman" w:cs="Times New Roman" w:eastAsiaTheme="minorEastAsia"/>
                <w:color w:val="auto"/>
                <w:sz w:val="24"/>
                <w:szCs w:val="24"/>
                <w:lang w:val="en-US" w:eastAsia="zh-CN"/>
              </w:rPr>
              <w:t>（3）乳化粒状铵油炸药制备</w:t>
            </w:r>
            <w:bookmarkEnd w:id="62"/>
          </w:p>
          <w:p w14:paraId="2E03B985">
            <w:pPr>
              <w:keepNext/>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将多孔粒状硝酸铵通过计量送入混油螺旋，在混油螺旋内与经计量的基础油充分混合 后加入添加剂 1 继续混合，混合后输送至连续双轴混合机。随后，将乳胶基质计量、泵送至双轴混合机进行混拌，混拌完成后再根据配方加入木粉、添加剂 2 继续混合，通过输送螺旋送入自动包装系统进行自动计量装</w:t>
            </w:r>
            <w:r>
              <w:rPr>
                <w:rFonts w:hint="eastAsia" w:ascii="Times New Roman" w:hAnsi="Times New Roman" w:cs="Times New Roman"/>
                <w:color w:val="auto"/>
                <w:sz w:val="24"/>
                <w:szCs w:val="24"/>
                <w:lang w:val="en-US" w:eastAsia="zh-CN"/>
              </w:rPr>
              <w:t>打包</w:t>
            </w:r>
            <w:r>
              <w:rPr>
                <w:rFonts w:hint="default" w:ascii="Times New Roman" w:hAnsi="Times New Roman" w:cs="Times New Roman" w:eastAsiaTheme="minorEastAsia"/>
                <w:color w:val="auto"/>
                <w:sz w:val="24"/>
                <w:szCs w:val="24"/>
                <w:lang w:val="en-US" w:eastAsia="zh-CN"/>
              </w:rPr>
              <w:t>，包装完成后的乳化粒状铵油炸药成品由皮带 输送运至乳化粒状铵油炸药成品中转站台，由机器人装车系统装车后转运至总仓库。</w:t>
            </w:r>
          </w:p>
          <w:p w14:paraId="1768499C">
            <w:pPr>
              <w:keepNext/>
              <w:keepLines w:val="0"/>
              <w:pageBreakBefore w:val="0"/>
              <w:widowControl w:val="0"/>
              <w:kinsoku/>
              <w:wordWrap/>
              <w:overflowPunct/>
              <w:topLinePunct w:val="0"/>
              <w:autoSpaceDE/>
              <w:autoSpaceDN/>
              <w:bidi w:val="0"/>
              <w:adjustRightInd/>
              <w:spacing w:line="360" w:lineRule="auto"/>
              <w:jc w:val="center"/>
              <w:textAlignment w:val="auto"/>
              <w:outlineLvl w:val="9"/>
              <w:rPr>
                <w:rFonts w:hint="default" w:ascii="Times New Roman" w:hAnsi="Times New Roman" w:cs="Times New Roman" w:eastAsiaTheme="minorEastAsia"/>
                <w:color w:val="auto"/>
                <w:sz w:val="24"/>
                <w:szCs w:val="24"/>
                <w:lang w:val="en-US" w:eastAsia="zh-CN"/>
              </w:rPr>
            </w:pPr>
            <w:r>
              <w:rPr>
                <w:color w:val="auto"/>
              </w:rPr>
              <w:drawing>
                <wp:inline distT="0" distB="0" distL="114300" distR="114300">
                  <wp:extent cx="4818380" cy="5194300"/>
                  <wp:effectExtent l="0" t="0" r="1270" b="6350"/>
                  <wp:docPr id="39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6"/>
                          <pic:cNvPicPr>
                            <a:picLocks noChangeAspect="1"/>
                          </pic:cNvPicPr>
                        </pic:nvPicPr>
                        <pic:blipFill>
                          <a:blip r:embed="rId37"/>
                          <a:stretch>
                            <a:fillRect/>
                          </a:stretch>
                        </pic:blipFill>
                        <pic:spPr>
                          <a:xfrm>
                            <a:off x="0" y="0"/>
                            <a:ext cx="4818380" cy="5194300"/>
                          </a:xfrm>
                          <a:prstGeom prst="rect">
                            <a:avLst/>
                          </a:prstGeom>
                          <a:noFill/>
                          <a:ln>
                            <a:noFill/>
                          </a:ln>
                        </pic:spPr>
                      </pic:pic>
                    </a:graphicData>
                  </a:graphic>
                </wp:inline>
              </w:drawing>
            </w:r>
          </w:p>
          <w:p w14:paraId="3B74C636">
            <w:pPr>
              <w:pStyle w:val="115"/>
              <w:keepNext/>
              <w:keepLines w:val="0"/>
              <w:pageBreakBefore w:val="0"/>
              <w:kinsoku/>
              <w:wordWrap/>
              <w:overflowPunct/>
              <w:topLinePunct w:val="0"/>
              <w:bidi w:val="0"/>
              <w:spacing w:before="211" w:line="228" w:lineRule="auto"/>
              <w:ind w:left="1867"/>
              <w:outlineLvl w:val="9"/>
              <w:rPr>
                <w:color w:val="auto"/>
                <w:sz w:val="20"/>
                <w:szCs w:val="20"/>
              </w:rPr>
            </w:pPr>
            <w:r>
              <w:rPr>
                <w:b/>
                <w:bCs/>
                <w:color w:val="auto"/>
                <w:spacing w:val="6"/>
                <w:sz w:val="20"/>
                <w:szCs w:val="20"/>
              </w:rPr>
              <w:t>图</w:t>
            </w:r>
            <w:r>
              <w:rPr>
                <w:color w:val="auto"/>
                <w:spacing w:val="-31"/>
                <w:sz w:val="20"/>
                <w:szCs w:val="20"/>
              </w:rPr>
              <w:t xml:space="preserve"> </w:t>
            </w:r>
            <w:r>
              <w:rPr>
                <w:rFonts w:ascii="Times New Roman" w:hAnsi="Times New Roman" w:eastAsia="Times New Roman" w:cs="Times New Roman"/>
                <w:b/>
                <w:bCs/>
                <w:color w:val="auto"/>
                <w:spacing w:val="6"/>
                <w:sz w:val="20"/>
                <w:szCs w:val="20"/>
              </w:rPr>
              <w:t>2-</w:t>
            </w:r>
            <w:r>
              <w:rPr>
                <w:rFonts w:hint="eastAsia" w:ascii="Times New Roman" w:hAnsi="Times New Roman" w:eastAsia="宋体" w:cs="Times New Roman"/>
                <w:b/>
                <w:bCs/>
                <w:color w:val="auto"/>
                <w:spacing w:val="6"/>
                <w:sz w:val="20"/>
                <w:szCs w:val="20"/>
                <w:lang w:val="en-US" w:eastAsia="zh-CN"/>
              </w:rPr>
              <w:t xml:space="preserve">8 </w:t>
            </w:r>
            <w:r>
              <w:rPr>
                <w:rFonts w:ascii="Times New Roman" w:hAnsi="Times New Roman" w:eastAsia="Times New Roman" w:cs="Times New Roman"/>
                <w:b/>
                <w:bCs/>
                <w:color w:val="auto"/>
                <w:spacing w:val="6"/>
                <w:sz w:val="20"/>
                <w:szCs w:val="20"/>
              </w:rPr>
              <w:t xml:space="preserve"> </w:t>
            </w:r>
            <w:r>
              <w:rPr>
                <w:b/>
                <w:bCs/>
                <w:color w:val="auto"/>
                <w:spacing w:val="6"/>
                <w:sz w:val="20"/>
                <w:szCs w:val="20"/>
              </w:rPr>
              <w:t>乳化粒状铵油炸药生产工艺流程及排污节点图</w:t>
            </w:r>
          </w:p>
          <w:p w14:paraId="69F047C4">
            <w:pPr>
              <w:keepNext/>
              <w:keepLines w:val="0"/>
              <w:pageBreakBefore w:val="0"/>
              <w:kinsoku/>
              <w:wordWrap/>
              <w:overflowPunct/>
              <w:topLinePunct w:val="0"/>
              <w:bidi w:val="0"/>
              <w:spacing w:line="360" w:lineRule="auto"/>
              <w:ind w:firstLine="482" w:firstLineChars="200"/>
              <w:outlineLvl w:val="9"/>
              <w:rPr>
                <w:rFonts w:hint="default"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（二）</w:t>
            </w:r>
            <w:r>
              <w:rPr>
                <w:rFonts w:hint="default" w:asciiTheme="minorEastAsia" w:hAnsiTheme="minorEastAsia" w:eastAsiaTheme="minorEastAsia" w:cstheme="minorEastAsia"/>
                <w:b/>
                <w:bCs/>
                <w:color w:val="auto"/>
                <w:sz w:val="24"/>
                <w:szCs w:val="24"/>
                <w:lang w:val="en-US" w:eastAsia="zh-CN"/>
              </w:rPr>
              <w:t>乳化炸药</w:t>
            </w:r>
          </w:p>
          <w:p w14:paraId="0D13E3FB">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1）</w:t>
            </w:r>
            <w:r>
              <w:rPr>
                <w:rFonts w:hint="default" w:ascii="Times New Roman" w:hAnsi="Times New Roman" w:cs="Times New Roman" w:eastAsiaTheme="minorEastAsia"/>
                <w:color w:val="auto"/>
                <w:sz w:val="24"/>
                <w:szCs w:val="24"/>
                <w:lang w:val="en-US" w:eastAsia="zh-CN"/>
              </w:rPr>
              <w:t xml:space="preserve"> 水相溶液配制、暂存</w:t>
            </w:r>
          </w:p>
          <w:p w14:paraId="0E4D65C8">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硝酸钠</w:t>
            </w:r>
            <w:r>
              <w:rPr>
                <w:rFonts w:hint="eastAsia" w:ascii="Times New Roman" w:hAnsi="Times New Roman" w:cs="Times New Roman"/>
                <w:color w:val="auto"/>
                <w:sz w:val="24"/>
                <w:szCs w:val="24"/>
                <w:lang w:val="en-US" w:eastAsia="zh-CN"/>
              </w:rPr>
              <w:t>、氯化钾</w:t>
            </w:r>
            <w:r>
              <w:rPr>
                <w:rFonts w:hint="default" w:ascii="Times New Roman" w:hAnsi="Times New Roman" w:cs="Times New Roman" w:eastAsiaTheme="minorEastAsia"/>
                <w:color w:val="auto"/>
                <w:sz w:val="24"/>
                <w:szCs w:val="24"/>
                <w:lang w:val="en-US" w:eastAsia="zh-CN"/>
              </w:rPr>
              <w:t>运至水相制备工房投料间内备用</w:t>
            </w:r>
            <w:r>
              <w:rPr>
                <w:rFonts w:hint="eastAsia" w:ascii="Times New Roman" w:hAnsi="Times New Roman" w:cs="Times New Roman"/>
                <w:color w:val="auto"/>
                <w:sz w:val="24"/>
                <w:szCs w:val="24"/>
                <w:lang w:val="en-US" w:eastAsia="zh-CN"/>
              </w:rPr>
              <w:t>，其中氯化钾仅生产煤矿型炸药时使用</w:t>
            </w:r>
            <w:r>
              <w:rPr>
                <w:rFonts w:hint="default" w:ascii="Times New Roman" w:hAnsi="Times New Roman" w:cs="Times New Roman" w:eastAsiaTheme="minorEastAsia"/>
                <w:color w:val="auto"/>
                <w:sz w:val="24"/>
                <w:szCs w:val="24"/>
                <w:lang w:val="en-US" w:eastAsia="zh-CN"/>
              </w:rPr>
              <w:t>。水相溶液配制时，将生产水</w:t>
            </w:r>
            <w:r>
              <w:rPr>
                <w:rFonts w:hint="eastAsia" w:ascii="Times New Roman" w:hAnsi="Times New Roman" w:cs="Times New Roman"/>
                <w:color w:val="auto"/>
                <w:sz w:val="24"/>
                <w:szCs w:val="24"/>
                <w:lang w:val="en-US" w:eastAsia="zh-CN"/>
              </w:rPr>
              <w:t>从热水罐</w:t>
            </w:r>
            <w:r>
              <w:rPr>
                <w:rFonts w:hint="default" w:ascii="Times New Roman" w:hAnsi="Times New Roman" w:cs="Times New Roman" w:eastAsiaTheme="minorEastAsia"/>
                <w:color w:val="auto"/>
                <w:sz w:val="24"/>
                <w:szCs w:val="24"/>
                <w:lang w:val="en-US" w:eastAsia="zh-CN"/>
              </w:rPr>
              <w:t>经计量后自动加入水相制备罐中，硝酸钠经人工拆袋后加入水相制备罐直至全部溶化</w:t>
            </w:r>
            <w:r>
              <w:rPr>
                <w:rFonts w:hint="eastAsia" w:ascii="Times New Roman" w:hAnsi="Times New Roman" w:cs="Times New Roman"/>
                <w:color w:val="auto"/>
                <w:sz w:val="24"/>
                <w:szCs w:val="24"/>
                <w:lang w:val="en-US" w:eastAsia="zh-CN"/>
              </w:rPr>
              <w:t>，少量结块需破碎后使用；92%的</w:t>
            </w:r>
            <w:r>
              <w:rPr>
                <w:rFonts w:hint="default" w:ascii="Times New Roman" w:hAnsi="Times New Roman" w:cs="Times New Roman" w:eastAsiaTheme="minorEastAsia"/>
                <w:color w:val="auto"/>
                <w:sz w:val="24"/>
                <w:szCs w:val="24"/>
                <w:lang w:val="en-US" w:eastAsia="zh-CN"/>
              </w:rPr>
              <w:t>硝酸铵溶液</w:t>
            </w:r>
            <w:r>
              <w:rPr>
                <w:rFonts w:hint="eastAsia" w:ascii="Times New Roman" w:hAnsi="Times New Roman" w:cs="Times New Roman"/>
                <w:color w:val="auto"/>
                <w:sz w:val="24"/>
                <w:szCs w:val="24"/>
                <w:lang w:val="en-US" w:eastAsia="zh-CN"/>
              </w:rPr>
              <w:t>从保温储罐中</w:t>
            </w:r>
            <w:r>
              <w:rPr>
                <w:rFonts w:hint="default" w:ascii="Times New Roman" w:hAnsi="Times New Roman" w:cs="Times New Roman" w:eastAsiaTheme="minorEastAsia"/>
                <w:color w:val="auto"/>
                <w:sz w:val="24"/>
                <w:szCs w:val="24"/>
                <w:lang w:val="en-US" w:eastAsia="zh-CN"/>
              </w:rPr>
              <w:t>经计量泵送加入到水相制备罐中，开启搅拌。达到工艺要求后，停止搅拌，</w:t>
            </w:r>
            <w:r>
              <w:rPr>
                <w:rFonts w:hint="eastAsia" w:ascii="Times New Roman" w:hAnsi="Times New Roman" w:cs="Times New Roman"/>
                <w:color w:val="auto"/>
                <w:sz w:val="24"/>
                <w:szCs w:val="24"/>
                <w:lang w:val="en-US" w:eastAsia="zh-CN"/>
              </w:rPr>
              <w:t>经过滤器过程后</w:t>
            </w:r>
            <w:r>
              <w:rPr>
                <w:rFonts w:hint="default" w:ascii="Times New Roman" w:hAnsi="Times New Roman" w:cs="Times New Roman" w:eastAsiaTheme="minorEastAsia"/>
                <w:color w:val="auto"/>
                <w:sz w:val="24"/>
                <w:szCs w:val="24"/>
                <w:lang w:val="en-US" w:eastAsia="zh-CN"/>
              </w:rPr>
              <w:t>泵送至乳化炸药生产工房内的水相储罐</w:t>
            </w:r>
            <w:r>
              <w:rPr>
                <w:rFonts w:hint="eastAsia" w:ascii="Times New Roman" w:hAnsi="Times New Roman" w:cs="Times New Roman"/>
                <w:color w:val="auto"/>
                <w:sz w:val="24"/>
                <w:szCs w:val="24"/>
                <w:lang w:val="en-US" w:eastAsia="zh-CN"/>
              </w:rPr>
              <w:t>保温</w:t>
            </w:r>
            <w:r>
              <w:rPr>
                <w:rFonts w:hint="default" w:ascii="Times New Roman" w:hAnsi="Times New Roman" w:cs="Times New Roman" w:eastAsiaTheme="minorEastAsia"/>
                <w:color w:val="auto"/>
                <w:sz w:val="24"/>
                <w:szCs w:val="24"/>
                <w:lang w:val="en-US" w:eastAsia="zh-CN"/>
              </w:rPr>
              <w:t>暂存</w:t>
            </w:r>
            <w:bookmarkStart w:id="63" w:name="OLE_LINK57"/>
            <w:r>
              <w:rPr>
                <w:rFonts w:hint="eastAsia" w:ascii="Times New Roman" w:hAnsi="Times New Roman" w:cs="Times New Roman"/>
                <w:color w:val="auto"/>
                <w:sz w:val="24"/>
                <w:szCs w:val="24"/>
                <w:lang w:val="en-US" w:eastAsia="zh-CN"/>
              </w:rPr>
              <w:t>（</w:t>
            </w:r>
            <w:bookmarkStart w:id="64" w:name="OLE_LINK224"/>
            <w:r>
              <w:rPr>
                <w:rFonts w:hint="eastAsia" w:ascii="Times New Roman" w:hAnsi="Times New Roman" w:cs="Times New Roman"/>
                <w:color w:val="auto"/>
                <w:sz w:val="24"/>
                <w:szCs w:val="24"/>
                <w:lang w:val="en-US" w:eastAsia="zh-CN"/>
              </w:rPr>
              <w:t>90-10</w:t>
            </w:r>
            <w:r>
              <w:rPr>
                <w:rFonts w:hint="default" w:ascii="Times New Roman" w:hAnsi="Times New Roman" w:cs="Times New Roman" w:eastAsiaTheme="minorEastAsia"/>
                <w:color w:val="auto"/>
                <w:sz w:val="24"/>
                <w:szCs w:val="24"/>
                <w:lang w:val="en-US" w:eastAsia="zh-CN"/>
              </w:rPr>
              <w:t>0℃</w:t>
            </w:r>
            <w:bookmarkEnd w:id="64"/>
            <w:r>
              <w:rPr>
                <w:rFonts w:hint="eastAsia" w:ascii="Times New Roman" w:hAnsi="Times New Roman" w:cs="Times New Roman"/>
                <w:color w:val="auto"/>
                <w:sz w:val="24"/>
                <w:szCs w:val="24"/>
                <w:lang w:val="en-US" w:eastAsia="zh-CN"/>
              </w:rPr>
              <w:t>）</w:t>
            </w:r>
            <w:bookmarkEnd w:id="63"/>
            <w:r>
              <w:rPr>
                <w:rFonts w:hint="default" w:ascii="Times New Roman" w:hAnsi="Times New Roman" w:cs="Times New Roman" w:eastAsiaTheme="minorEastAsia"/>
                <w:color w:val="auto"/>
                <w:sz w:val="24"/>
                <w:szCs w:val="24"/>
                <w:lang w:val="en-US" w:eastAsia="zh-CN"/>
              </w:rPr>
              <w:t>。本项目硝酸</w:t>
            </w:r>
            <w:r>
              <w:rPr>
                <w:rFonts w:hint="eastAsia" w:ascii="Times New Roman" w:hAnsi="Times New Roman" w:cs="Times New Roman"/>
                <w:color w:val="auto"/>
                <w:sz w:val="24"/>
                <w:szCs w:val="24"/>
                <w:lang w:val="en-US" w:eastAsia="zh-CN"/>
              </w:rPr>
              <w:t>铵</w:t>
            </w:r>
            <w:r>
              <w:rPr>
                <w:rFonts w:hint="default" w:ascii="Times New Roman" w:hAnsi="Times New Roman" w:cs="Times New Roman" w:eastAsiaTheme="minorEastAsia"/>
                <w:color w:val="auto"/>
                <w:sz w:val="24"/>
                <w:szCs w:val="24"/>
                <w:lang w:val="en-US" w:eastAsia="zh-CN"/>
              </w:rPr>
              <w:t>溶液投入使用后，原硝酸铵固体作为备用。</w:t>
            </w:r>
          </w:p>
          <w:p w14:paraId="1A9E0C48">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产污环节：根据</w:t>
            </w:r>
            <w:r>
              <w:rPr>
                <w:rFonts w:hint="eastAsia" w:ascii="Times New Roman" w:hAnsi="Times New Roman" w:cs="Times New Roman"/>
                <w:color w:val="auto"/>
                <w:sz w:val="24"/>
                <w:szCs w:val="24"/>
                <w:lang w:val="en-US" w:eastAsia="zh-CN"/>
              </w:rPr>
              <w:t>理化特性</w:t>
            </w:r>
            <w:r>
              <w:rPr>
                <w:rFonts w:hint="default" w:ascii="Times New Roman" w:hAnsi="Times New Roman" w:cs="Times New Roman" w:eastAsiaTheme="minorEastAsia"/>
                <w:color w:val="auto"/>
                <w:sz w:val="24"/>
                <w:szCs w:val="24"/>
                <w:lang w:val="en-US" w:eastAsia="zh-CN"/>
              </w:rPr>
              <w:t>，硝酸铵分解温度为210℃，</w:t>
            </w:r>
            <w:r>
              <w:rPr>
                <w:rFonts w:hint="eastAsia" w:ascii="Times New Roman" w:hAnsi="Times New Roman" w:cs="Times New Roman"/>
                <w:color w:val="auto"/>
                <w:sz w:val="24"/>
                <w:szCs w:val="24"/>
                <w:lang w:val="en-US" w:eastAsia="zh-CN"/>
              </w:rPr>
              <w:t>本项目工艺操作温度均未高于100</w:t>
            </w:r>
            <w:r>
              <w:rPr>
                <w:rFonts w:hint="default" w:ascii="Times New Roman" w:hAnsi="Times New Roman" w:cs="Times New Roman" w:eastAsiaTheme="minorEastAsia"/>
                <w:color w:val="auto"/>
                <w:sz w:val="24"/>
                <w:szCs w:val="24"/>
                <w:lang w:val="en-US" w:eastAsia="zh-CN"/>
              </w:rPr>
              <w:t>℃</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因此，本环评不考虑硝酸铵的分解。</w:t>
            </w:r>
            <w:r>
              <w:rPr>
                <w:rFonts w:hint="eastAsia" w:ascii="Times New Roman" w:hAnsi="Times New Roman" w:cs="Times New Roman"/>
                <w:color w:val="auto"/>
                <w:sz w:val="24"/>
                <w:szCs w:val="24"/>
                <w:lang w:val="en-US" w:eastAsia="zh-CN"/>
              </w:rPr>
              <w:t>该工艺过程硝酸钠、氯化钾人工拆袋上料过程产生粉尘G1，少量结块硝酸钠需破碎后使用，破碎机和螺旋输送机均封闭，上料粉尘计入G1。水相过滤产生滤渣S1。配制过程和热水输送产生机泵噪声N。</w:t>
            </w:r>
          </w:p>
          <w:p w14:paraId="6234D193">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lang w:val="en-US" w:eastAsia="zh-CN"/>
              </w:rPr>
              <w:t xml:space="preserve"> 油相</w:t>
            </w:r>
            <w:r>
              <w:rPr>
                <w:rFonts w:hint="eastAsia" w:ascii="Times New Roman" w:hAnsi="Times New Roman" w:cs="Times New Roman"/>
                <w:color w:val="auto"/>
                <w:sz w:val="24"/>
                <w:szCs w:val="24"/>
                <w:lang w:val="en-US" w:eastAsia="zh-CN"/>
              </w:rPr>
              <w:t>上料准备</w:t>
            </w:r>
          </w:p>
          <w:p w14:paraId="311AA3AC">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生产前，利用油相溶液槽车将</w:t>
            </w:r>
            <w:r>
              <w:rPr>
                <w:rFonts w:hint="eastAsia" w:ascii="Times New Roman" w:hAnsi="Times New Roman" w:cs="Times New Roman"/>
                <w:color w:val="auto"/>
                <w:sz w:val="24"/>
                <w:szCs w:val="24"/>
                <w:lang w:val="en-US" w:eastAsia="zh-CN"/>
              </w:rPr>
              <w:t>复合</w:t>
            </w:r>
            <w:r>
              <w:rPr>
                <w:rFonts w:hint="default" w:ascii="Times New Roman" w:hAnsi="Times New Roman" w:cs="Times New Roman" w:eastAsiaTheme="minorEastAsia"/>
                <w:color w:val="auto"/>
                <w:sz w:val="24"/>
                <w:szCs w:val="24"/>
                <w:lang w:val="en-US" w:eastAsia="zh-CN"/>
              </w:rPr>
              <w:t>油相溶液直接泵送至乳化炸药生产工房内</w:t>
            </w:r>
            <w:r>
              <w:rPr>
                <w:rFonts w:hint="eastAsia" w:ascii="Times New Roman" w:hAnsi="Times New Roman" w:cs="Times New Roman"/>
                <w:color w:val="auto"/>
                <w:sz w:val="24"/>
                <w:szCs w:val="24"/>
                <w:lang w:val="en-US" w:eastAsia="zh-CN"/>
              </w:rPr>
              <w:t>2m</w:t>
            </w:r>
            <w:r>
              <w:rPr>
                <w:rFonts w:hint="eastAsia" w:ascii="Times New Roman" w:hAnsi="Times New Roman" w:cs="Times New Roman"/>
                <w:color w:val="auto"/>
                <w:sz w:val="24"/>
                <w:szCs w:val="24"/>
                <w:vertAlign w:val="superscript"/>
                <w:lang w:val="en-US" w:eastAsia="zh-CN"/>
              </w:rPr>
              <w:t>3</w:t>
            </w:r>
            <w:r>
              <w:rPr>
                <w:rFonts w:hint="default" w:ascii="Times New Roman" w:hAnsi="Times New Roman" w:cs="Times New Roman" w:eastAsiaTheme="minorEastAsia"/>
                <w:color w:val="auto"/>
                <w:sz w:val="24"/>
                <w:szCs w:val="24"/>
                <w:lang w:val="en-US" w:eastAsia="zh-CN"/>
              </w:rPr>
              <w:t>油相储罐</w:t>
            </w:r>
            <w:r>
              <w:rPr>
                <w:rFonts w:hint="eastAsia" w:ascii="Times New Roman" w:hAnsi="Times New Roman" w:cs="Times New Roman"/>
                <w:color w:val="auto"/>
                <w:sz w:val="24"/>
                <w:szCs w:val="24"/>
                <w:lang w:val="en-US" w:eastAsia="zh-CN"/>
              </w:rPr>
              <w:t>（生产用中间罐）保温</w:t>
            </w:r>
            <w:r>
              <w:rPr>
                <w:rFonts w:hint="default" w:ascii="Times New Roman" w:hAnsi="Times New Roman" w:cs="Times New Roman" w:eastAsiaTheme="minorEastAsia"/>
                <w:color w:val="auto"/>
                <w:sz w:val="24"/>
                <w:szCs w:val="24"/>
                <w:lang w:val="en-US" w:eastAsia="zh-CN"/>
              </w:rPr>
              <w:t>暂存</w:t>
            </w:r>
            <w:r>
              <w:rPr>
                <w:rFonts w:hint="eastAsia"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highlight w:val="none"/>
                <w:lang w:val="en-US" w:eastAsia="zh-CN"/>
              </w:rPr>
              <w:t>90-10</w:t>
            </w:r>
            <w:r>
              <w:rPr>
                <w:rFonts w:hint="default" w:ascii="Times New Roman" w:hAnsi="Times New Roman" w:cs="Times New Roman" w:eastAsiaTheme="minorEastAsia"/>
                <w:color w:val="auto"/>
                <w:sz w:val="24"/>
                <w:szCs w:val="24"/>
                <w:highlight w:val="none"/>
                <w:lang w:val="en-US" w:eastAsia="zh-CN"/>
              </w:rPr>
              <w:t>0℃</w:t>
            </w:r>
            <w:r>
              <w:rPr>
                <w:rFonts w:hint="eastAsia"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lang w:val="en-US" w:eastAsia="zh-CN"/>
              </w:rPr>
              <w:t>，再将油相经过过滤器过滤后泵送至另一个2m</w:t>
            </w:r>
            <w:r>
              <w:rPr>
                <w:rFonts w:hint="eastAsia" w:ascii="Times New Roman" w:hAnsi="Times New Roman" w:cs="Times New Roman"/>
                <w:color w:val="auto"/>
                <w:sz w:val="24"/>
                <w:szCs w:val="24"/>
                <w:vertAlign w:val="superscript"/>
                <w:lang w:val="en-US" w:eastAsia="zh-CN"/>
              </w:rPr>
              <w:t>3</w:t>
            </w:r>
            <w:r>
              <w:rPr>
                <w:rFonts w:hint="default" w:ascii="Times New Roman" w:hAnsi="Times New Roman" w:cs="Times New Roman" w:eastAsiaTheme="minorEastAsia"/>
                <w:color w:val="auto"/>
                <w:sz w:val="24"/>
                <w:szCs w:val="24"/>
                <w:lang w:val="en-US" w:eastAsia="zh-CN"/>
              </w:rPr>
              <w:t>油相储罐</w:t>
            </w:r>
            <w:r>
              <w:rPr>
                <w:rFonts w:hint="eastAsia" w:ascii="Times New Roman" w:hAnsi="Times New Roman" w:cs="Times New Roman"/>
                <w:color w:val="auto"/>
                <w:sz w:val="24"/>
                <w:szCs w:val="24"/>
                <w:lang w:val="en-US" w:eastAsia="zh-CN"/>
              </w:rPr>
              <w:t>（生产用中间罐）备用。</w:t>
            </w:r>
            <w:r>
              <w:rPr>
                <w:rFonts w:hint="default" w:ascii="Times New Roman" w:hAnsi="Times New Roman" w:cs="Times New Roman" w:eastAsiaTheme="minorEastAsia"/>
                <w:color w:val="auto"/>
                <w:sz w:val="24"/>
                <w:szCs w:val="24"/>
                <w:lang w:val="en-US" w:eastAsia="zh-CN"/>
              </w:rPr>
              <w:t>油相储罐容积满足当班所需用量</w:t>
            </w:r>
            <w:r>
              <w:rPr>
                <w:rFonts w:hint="eastAsia" w:ascii="Times New Roman" w:hAnsi="Times New Roman" w:cs="Times New Roman"/>
                <w:color w:val="auto"/>
                <w:sz w:val="24"/>
                <w:szCs w:val="24"/>
                <w:lang w:val="en-US" w:eastAsia="zh-CN"/>
              </w:rPr>
              <w:t>。</w:t>
            </w:r>
          </w:p>
          <w:p w14:paraId="138CC8BB">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yellow"/>
                <w:lang w:val="en-US" w:eastAsia="zh-CN"/>
              </w:rPr>
            </w:pPr>
            <w:r>
              <w:rPr>
                <w:rFonts w:hint="eastAsia" w:ascii="Times New Roman" w:hAnsi="Times New Roman" w:cs="Times New Roman"/>
                <w:color w:val="auto"/>
                <w:sz w:val="24"/>
                <w:szCs w:val="24"/>
                <w:lang w:val="en-US" w:eastAsia="zh-CN"/>
              </w:rPr>
              <w:t>该过程油相上料输送均为密闭连接，上料过程中储罐产生少量废气排放G2，以非甲烷总烃计。油相过滤产生滤渣S2。上料和输送产生泵类噪声N。</w:t>
            </w:r>
          </w:p>
          <w:p w14:paraId="4726C7CB">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eastAsia" w:cs="Times New Roman" w:eastAsiaTheme="minorEastAsia"/>
                <w:color w:val="auto"/>
                <w:sz w:val="24"/>
                <w:szCs w:val="24"/>
                <w:highlight w:val="none"/>
                <w:lang w:val="en-US" w:eastAsia="zh-CN"/>
              </w:rPr>
              <w:t>3）</w:t>
            </w:r>
            <w:r>
              <w:rPr>
                <w:rFonts w:hint="default" w:ascii="Times New Roman" w:hAnsi="Times New Roman" w:cs="Times New Roman" w:eastAsiaTheme="minorEastAsia"/>
                <w:color w:val="auto"/>
                <w:sz w:val="24"/>
                <w:szCs w:val="24"/>
                <w:highlight w:val="none"/>
                <w:lang w:val="en-US" w:eastAsia="zh-CN"/>
              </w:rPr>
              <w:t xml:space="preserve"> 发泡剂配制</w:t>
            </w:r>
          </w:p>
          <w:p w14:paraId="5EAB83FF">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按一定顺序将水、发泡剂加入发泡剂配制罐，待充分溶解均匀后备用。</w:t>
            </w:r>
          </w:p>
          <w:p w14:paraId="2907F0B7">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产污环节：此工序主要产生的污染物为</w:t>
            </w:r>
            <w:r>
              <w:rPr>
                <w:rFonts w:hint="eastAsia" w:ascii="Times New Roman" w:hAnsi="Times New Roman" w:cs="Times New Roman"/>
                <w:color w:val="auto"/>
                <w:sz w:val="24"/>
                <w:szCs w:val="24"/>
                <w:highlight w:val="none"/>
                <w:lang w:val="en-US" w:eastAsia="zh-CN"/>
              </w:rPr>
              <w:t>上料粉尘G4和</w:t>
            </w:r>
            <w:r>
              <w:rPr>
                <w:rFonts w:hint="default" w:ascii="Times New Roman" w:hAnsi="Times New Roman" w:cs="Times New Roman" w:eastAsiaTheme="minorEastAsia"/>
                <w:color w:val="auto"/>
                <w:sz w:val="24"/>
                <w:szCs w:val="24"/>
                <w:highlight w:val="none"/>
                <w:lang w:val="en-US" w:eastAsia="zh-CN"/>
              </w:rPr>
              <w:t>配制搅拌噪声N。</w:t>
            </w:r>
          </w:p>
          <w:p w14:paraId="49FED79B">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eastAsia" w:cs="Times New Roman"/>
                <w:color w:val="auto"/>
                <w:sz w:val="24"/>
                <w:szCs w:val="24"/>
                <w:highlight w:val="none"/>
                <w:lang w:val="en-US" w:eastAsia="zh-CN"/>
              </w:rPr>
              <w:t>4）</w:t>
            </w:r>
            <w:r>
              <w:rPr>
                <w:rFonts w:hint="default" w:ascii="Times New Roman" w:hAnsi="Times New Roman" w:cs="Times New Roman" w:eastAsiaTheme="minorEastAsia"/>
                <w:color w:val="auto"/>
                <w:sz w:val="24"/>
                <w:szCs w:val="24"/>
                <w:highlight w:val="none"/>
                <w:lang w:val="en-US" w:eastAsia="zh-CN"/>
              </w:rPr>
              <w:t xml:space="preserve"> </w:t>
            </w:r>
            <w:r>
              <w:rPr>
                <w:rFonts w:hint="eastAsia" w:ascii="Times New Roman" w:hAnsi="Times New Roman" w:cs="Times New Roman"/>
                <w:color w:val="auto"/>
                <w:sz w:val="24"/>
                <w:szCs w:val="24"/>
                <w:highlight w:val="none"/>
                <w:lang w:val="en-US" w:eastAsia="zh-CN"/>
              </w:rPr>
              <w:t>促进</w:t>
            </w:r>
            <w:r>
              <w:rPr>
                <w:rFonts w:hint="default" w:ascii="Times New Roman" w:hAnsi="Times New Roman" w:cs="Times New Roman" w:eastAsiaTheme="minorEastAsia"/>
                <w:color w:val="auto"/>
                <w:sz w:val="24"/>
                <w:szCs w:val="24"/>
                <w:highlight w:val="none"/>
                <w:lang w:val="en-US" w:eastAsia="zh-CN"/>
              </w:rPr>
              <w:t>剂配制</w:t>
            </w:r>
          </w:p>
          <w:p w14:paraId="6E350086">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按一定顺序将水、</w:t>
            </w:r>
            <w:r>
              <w:rPr>
                <w:rFonts w:hint="eastAsia" w:ascii="Times New Roman" w:hAnsi="Times New Roman" w:cs="Times New Roman"/>
                <w:color w:val="auto"/>
                <w:sz w:val="24"/>
                <w:szCs w:val="24"/>
                <w:highlight w:val="none"/>
                <w:lang w:val="en-US" w:eastAsia="zh-CN"/>
              </w:rPr>
              <w:t>促进</w:t>
            </w:r>
            <w:r>
              <w:rPr>
                <w:rFonts w:hint="default" w:ascii="Times New Roman" w:hAnsi="Times New Roman" w:cs="Times New Roman" w:eastAsiaTheme="minorEastAsia"/>
                <w:color w:val="auto"/>
                <w:sz w:val="24"/>
                <w:szCs w:val="24"/>
                <w:highlight w:val="none"/>
                <w:lang w:val="en-US" w:eastAsia="zh-CN"/>
              </w:rPr>
              <w:t>剂加入</w:t>
            </w:r>
            <w:r>
              <w:rPr>
                <w:rFonts w:hint="eastAsia" w:ascii="Times New Roman" w:hAnsi="Times New Roman" w:cs="Times New Roman"/>
                <w:color w:val="auto"/>
                <w:sz w:val="24"/>
                <w:szCs w:val="24"/>
                <w:highlight w:val="none"/>
                <w:lang w:val="en-US" w:eastAsia="zh-CN"/>
              </w:rPr>
              <w:t>促进</w:t>
            </w:r>
            <w:r>
              <w:rPr>
                <w:rFonts w:hint="default" w:ascii="Times New Roman" w:hAnsi="Times New Roman" w:cs="Times New Roman" w:eastAsiaTheme="minorEastAsia"/>
                <w:color w:val="auto"/>
                <w:sz w:val="24"/>
                <w:szCs w:val="24"/>
                <w:highlight w:val="none"/>
                <w:lang w:val="en-US" w:eastAsia="zh-CN"/>
              </w:rPr>
              <w:t>剂配制罐，待充分溶解均匀后备用。</w:t>
            </w:r>
          </w:p>
          <w:p w14:paraId="4491EF8B">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产污环节：此工序主要产生的污染物为</w:t>
            </w:r>
            <w:r>
              <w:rPr>
                <w:rFonts w:hint="eastAsia" w:ascii="Times New Roman" w:hAnsi="Times New Roman" w:cs="Times New Roman"/>
                <w:color w:val="auto"/>
                <w:sz w:val="24"/>
                <w:szCs w:val="24"/>
                <w:highlight w:val="none"/>
                <w:lang w:val="en-US" w:eastAsia="zh-CN"/>
              </w:rPr>
              <w:t>上料粉尘G4和</w:t>
            </w:r>
            <w:r>
              <w:rPr>
                <w:rFonts w:hint="default" w:ascii="Times New Roman" w:hAnsi="Times New Roman" w:cs="Times New Roman" w:eastAsiaTheme="minorEastAsia"/>
                <w:color w:val="auto"/>
                <w:sz w:val="24"/>
                <w:szCs w:val="24"/>
                <w:highlight w:val="none"/>
                <w:lang w:val="en-US" w:eastAsia="zh-CN"/>
              </w:rPr>
              <w:t>配制搅拌噪声N。</w:t>
            </w:r>
          </w:p>
          <w:p w14:paraId="6605899A">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eastAsia" w:cs="Times New Roman"/>
                <w:color w:val="auto"/>
                <w:sz w:val="24"/>
                <w:szCs w:val="24"/>
                <w:highlight w:val="none"/>
                <w:lang w:val="en-US" w:eastAsia="zh-CN"/>
              </w:rPr>
              <w:t>5）</w:t>
            </w:r>
            <w:r>
              <w:rPr>
                <w:rFonts w:hint="default" w:ascii="Times New Roman" w:hAnsi="Times New Roman" w:cs="Times New Roman" w:eastAsiaTheme="minorEastAsia"/>
                <w:color w:val="auto"/>
                <w:sz w:val="24"/>
                <w:szCs w:val="24"/>
                <w:highlight w:val="none"/>
                <w:lang w:val="en-US" w:eastAsia="zh-CN"/>
              </w:rPr>
              <w:t xml:space="preserve"> </w:t>
            </w:r>
            <w:r>
              <w:rPr>
                <w:rFonts w:hint="eastAsia" w:ascii="Times New Roman" w:hAnsi="Times New Roman" w:cs="Times New Roman"/>
                <w:color w:val="auto"/>
                <w:sz w:val="24"/>
                <w:szCs w:val="24"/>
                <w:highlight w:val="none"/>
                <w:lang w:val="en-US" w:eastAsia="zh-CN"/>
              </w:rPr>
              <w:t>珍珠岩准备</w:t>
            </w:r>
          </w:p>
          <w:p w14:paraId="4212F713">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按每班生产需求将珍珠岩上料至车间内珍珠岩料仓备用。</w:t>
            </w:r>
          </w:p>
          <w:p w14:paraId="1CFE195F">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产污环节：此工序主要产生的污染物为</w:t>
            </w:r>
            <w:r>
              <w:rPr>
                <w:rFonts w:hint="eastAsia" w:ascii="Times New Roman" w:hAnsi="Times New Roman" w:cs="Times New Roman"/>
                <w:color w:val="auto"/>
                <w:sz w:val="24"/>
                <w:szCs w:val="24"/>
                <w:highlight w:val="none"/>
                <w:lang w:val="en-US" w:eastAsia="zh-CN"/>
              </w:rPr>
              <w:t>上料粉尘G4</w:t>
            </w:r>
            <w:r>
              <w:rPr>
                <w:rFonts w:hint="default" w:ascii="Times New Roman" w:hAnsi="Times New Roman" w:cs="Times New Roman" w:eastAsiaTheme="minorEastAsia"/>
                <w:color w:val="auto"/>
                <w:sz w:val="24"/>
                <w:szCs w:val="24"/>
                <w:highlight w:val="none"/>
                <w:lang w:val="en-US" w:eastAsia="zh-CN"/>
              </w:rPr>
              <w:t>。</w:t>
            </w:r>
          </w:p>
          <w:p w14:paraId="299940AC">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color w:val="auto"/>
                <w:sz w:val="24"/>
                <w:szCs w:val="24"/>
                <w:lang w:val="en-US" w:eastAsia="zh-CN"/>
              </w:rPr>
              <w:t>6）</w:t>
            </w:r>
            <w:r>
              <w:rPr>
                <w:rFonts w:hint="default" w:ascii="Times New Roman" w:hAnsi="Times New Roman" w:cs="Times New Roman" w:eastAsiaTheme="minorEastAsia"/>
                <w:color w:val="auto"/>
                <w:sz w:val="24"/>
                <w:szCs w:val="24"/>
                <w:lang w:val="en-US" w:eastAsia="zh-CN"/>
              </w:rPr>
              <w:t xml:space="preserve"> 乳化</w:t>
            </w:r>
          </w:p>
          <w:p w14:paraId="3905D048">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水、油相储罐内的溶液经过输送泵经计量仪表，按工艺要求配比进入静态乳化系统，在静态精乳器的作用下制成乳胶基质。</w:t>
            </w:r>
          </w:p>
          <w:p w14:paraId="64530F07">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本项目选用湖南金聚能提供的KNJR型静态乳化系统，主体设备由KN_H预混罐、KN_S系列双缸活塞泵、KN_JR静态精乳器这3部分组成，适应于静态乳化工艺，实现连续化、智能化、本质安全的自动制乳工艺过程。整个制乳生产过程能实现关键设备的自动控制操作，各关键设备能有效进行安全联锁。包装型乳化炸药产能3t/h~6t/h。在生产过程中，由前段工序配制合格的油/水相经过流量计精确计量通过油/水相泵的泵送入KN_H预混罐。在低转速的KN_H预混罐中油水相混合液经过剪切</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搅拌形成粗乳乳胶基质，通过下料气动蝶阀进入双缸中，在活塞泵的直线低速推动下，进入KN_JR静态精乳器中进行静态剪切乳化，形成粒径均匀、合适的乳胶基质，并进入下一工序。</w:t>
            </w:r>
          </w:p>
          <w:p w14:paraId="64E49192">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eastAsiaTheme="minorEastAsia"/>
                <w:color w:val="auto"/>
                <w:sz w:val="24"/>
                <w:szCs w:val="24"/>
                <w:lang w:val="en-US" w:eastAsia="zh-CN"/>
              </w:rPr>
              <w:t>产污环节：</w:t>
            </w:r>
            <w:r>
              <w:rPr>
                <w:rFonts w:hint="eastAsia" w:ascii="Times New Roman" w:hAnsi="Times New Roman" w:cs="Times New Roman"/>
                <w:color w:val="auto"/>
                <w:sz w:val="24"/>
                <w:szCs w:val="24"/>
                <w:lang w:val="en-US" w:eastAsia="zh-CN"/>
              </w:rPr>
              <w:t>该工艺过程水相、油相输送均为密闭输送，静态乳化系统为密闭运行，不产生废气。乳化和物料输送产生机泵噪声N。乳化产生少量不合格品S3。</w:t>
            </w:r>
          </w:p>
          <w:p w14:paraId="2E9ED2F4">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color w:val="auto"/>
                <w:sz w:val="24"/>
                <w:szCs w:val="24"/>
                <w:lang w:val="en-US" w:eastAsia="zh-CN"/>
              </w:rPr>
              <w:t>7）</w:t>
            </w:r>
            <w:r>
              <w:rPr>
                <w:rFonts w:hint="default" w:ascii="Times New Roman" w:hAnsi="Times New Roman" w:cs="Times New Roman" w:eastAsiaTheme="minorEastAsia"/>
                <w:color w:val="auto"/>
                <w:sz w:val="24"/>
                <w:szCs w:val="24"/>
                <w:lang w:val="en-US" w:eastAsia="zh-CN"/>
              </w:rPr>
              <w:t xml:space="preserve"> 冷却</w:t>
            </w:r>
          </w:p>
          <w:p w14:paraId="629DF543">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静态乳化</w:t>
            </w:r>
            <w:r>
              <w:rPr>
                <w:rFonts w:hint="eastAsia" w:ascii="Times New Roman" w:hAnsi="Times New Roman" w:cs="Times New Roman"/>
                <w:color w:val="auto"/>
                <w:sz w:val="24"/>
                <w:szCs w:val="24"/>
                <w:lang w:val="en-US" w:eastAsia="zh-CN"/>
              </w:rPr>
              <w:t>器</w:t>
            </w:r>
            <w:r>
              <w:rPr>
                <w:rFonts w:hint="default" w:ascii="Times New Roman" w:hAnsi="Times New Roman" w:cs="Times New Roman" w:eastAsiaTheme="minorEastAsia"/>
                <w:color w:val="auto"/>
                <w:sz w:val="24"/>
                <w:szCs w:val="24"/>
                <w:lang w:val="en-US" w:eastAsia="zh-CN"/>
              </w:rPr>
              <w:t>中流出的乳胶基质平铺到冷却器</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钢带</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上，进行凉药输送，</w:t>
            </w:r>
            <w:r>
              <w:rPr>
                <w:rFonts w:hint="eastAsia" w:ascii="Times New Roman" w:hAnsi="Times New Roman" w:cs="Times New Roman"/>
                <w:color w:val="auto"/>
                <w:sz w:val="24"/>
                <w:szCs w:val="24"/>
                <w:lang w:val="en-US" w:eastAsia="zh-CN"/>
              </w:rPr>
              <w:t>钢带下方设置冷却水系统，</w:t>
            </w:r>
            <w:r>
              <w:rPr>
                <w:rFonts w:hint="default" w:ascii="Times New Roman" w:hAnsi="Times New Roman" w:cs="Times New Roman" w:eastAsiaTheme="minorEastAsia"/>
                <w:color w:val="auto"/>
                <w:sz w:val="24"/>
                <w:szCs w:val="24"/>
                <w:lang w:val="en-US" w:eastAsia="zh-CN"/>
              </w:rPr>
              <w:t>通过冷却器</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钢带</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使乳胶基质温度达到工艺要求</w:t>
            </w:r>
            <w:r>
              <w:rPr>
                <w:rFonts w:hint="eastAsia" w:ascii="Times New Roman" w:hAnsi="Times New Roman" w:cs="Times New Roman"/>
                <w:color w:val="auto"/>
                <w:sz w:val="24"/>
                <w:szCs w:val="24"/>
                <w:lang w:val="en-US" w:eastAsia="zh-CN"/>
              </w:rPr>
              <w:t>（约50</w:t>
            </w:r>
            <w:r>
              <w:rPr>
                <w:rFonts w:hint="default" w:ascii="Times New Roman" w:hAnsi="Times New Roman" w:cs="Times New Roman" w:eastAsiaTheme="minorEastAsia"/>
                <w:color w:val="auto"/>
                <w:sz w:val="24"/>
                <w:szCs w:val="24"/>
                <w:lang w:val="en-US" w:eastAsia="zh-CN"/>
              </w:rPr>
              <w:t>℃</w:t>
            </w:r>
            <w:r>
              <w:rPr>
                <w:rFonts w:hint="eastAsia" w:ascii="Times New Roman" w:hAnsi="Times New Roman" w:cs="Times New Roman"/>
                <w:color w:val="auto"/>
                <w:sz w:val="24"/>
                <w:szCs w:val="24"/>
                <w:lang w:val="en-US" w:eastAsia="zh-CN"/>
              </w:rPr>
              <w:t>），冷却方式采用循环冷却水间接冷却，钢带冷却基质厚度小于20mm</w:t>
            </w:r>
            <w:r>
              <w:rPr>
                <w:rFonts w:hint="default" w:ascii="Times New Roman" w:hAnsi="Times New Roman" w:cs="Times New Roman" w:eastAsiaTheme="minorEastAsia"/>
                <w:color w:val="auto"/>
                <w:sz w:val="24"/>
                <w:szCs w:val="24"/>
                <w:lang w:val="en-US" w:eastAsia="zh-CN"/>
              </w:rPr>
              <w:t>。</w:t>
            </w:r>
          </w:p>
          <w:p w14:paraId="187B7E4E">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bookmarkStart w:id="65" w:name="OLE_LINK60"/>
            <w:r>
              <w:rPr>
                <w:rFonts w:hint="default" w:ascii="Times New Roman" w:hAnsi="Times New Roman" w:cs="Times New Roman" w:eastAsiaTheme="minorEastAsia"/>
                <w:color w:val="auto"/>
                <w:sz w:val="24"/>
                <w:szCs w:val="24"/>
                <w:lang w:val="en-US" w:eastAsia="zh-CN"/>
              </w:rPr>
              <w:t>产污环节：</w:t>
            </w:r>
            <w:bookmarkEnd w:id="65"/>
            <w:r>
              <w:rPr>
                <w:rFonts w:hint="eastAsia" w:ascii="Times New Roman" w:hAnsi="Times New Roman" w:cs="Times New Roman"/>
                <w:color w:val="auto"/>
                <w:sz w:val="24"/>
                <w:szCs w:val="24"/>
                <w:lang w:val="en-US" w:eastAsia="zh-CN"/>
              </w:rPr>
              <w:t>该工艺过程在凉药输送过程中产生挥发性有机废气G3，以非甲烷总烃计。钢带清理产生药渣作为不合格品计入S3。设备运行产生噪声N。</w:t>
            </w:r>
          </w:p>
          <w:p w14:paraId="3C161F5A">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color w:val="auto"/>
                <w:sz w:val="24"/>
                <w:szCs w:val="24"/>
                <w:lang w:val="en-US" w:eastAsia="zh-CN"/>
              </w:rPr>
              <w:t>8）</w:t>
            </w:r>
            <w:r>
              <w:rPr>
                <w:rFonts w:hint="default" w:ascii="Times New Roman" w:hAnsi="Times New Roman" w:cs="Times New Roman" w:eastAsiaTheme="minorEastAsia"/>
                <w:color w:val="auto"/>
                <w:sz w:val="24"/>
                <w:szCs w:val="24"/>
                <w:lang w:val="en-US" w:eastAsia="zh-CN"/>
              </w:rPr>
              <w:t xml:space="preserve"> 敏化</w:t>
            </w:r>
          </w:p>
          <w:p w14:paraId="76FCBB4D">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乳化炸药生产过程中敏化的目的是向基质中引进微小气泡，并使其按一定的大小和数量均匀分布，在一定的周期内保持稳定性，防止气泡聚集和逃逸。按照炸药起爆的灼热核理论，均匀分布的微小气泡在外界起爆能量的强力作用下，被绝热压缩并进行能量转换和传递，从而激发炸药爆炸。</w:t>
            </w:r>
          </w:p>
          <w:p w14:paraId="324E4EBF">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乳化过程形成的水油相乳化基质密度较大（一般在1.40g/cm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vertAlign w:val="baseline"/>
                <w:lang w:val="en-US" w:eastAsia="zh-CN"/>
              </w:rPr>
              <w:t>左右</w:t>
            </w:r>
            <w:r>
              <w:rPr>
                <w:rFonts w:hint="eastAsia" w:ascii="Times New Roman" w:hAnsi="Times New Roman" w:cs="Times New Roman"/>
                <w:color w:val="auto"/>
                <w:sz w:val="24"/>
                <w:szCs w:val="24"/>
                <w:lang w:val="en-US" w:eastAsia="zh-CN"/>
              </w:rPr>
              <w:t>），基本不具备雷管感度，要想使其成为可满足使用要求的炸药，须对其进行敏化，向乳化基质内掺进气泡。</w:t>
            </w:r>
            <w:r>
              <w:rPr>
                <w:rFonts w:hint="default" w:ascii="Times New Roman" w:hAnsi="Times New Roman" w:cs="Times New Roman" w:eastAsiaTheme="minorEastAsia"/>
                <w:color w:val="auto"/>
                <w:sz w:val="24"/>
                <w:szCs w:val="24"/>
                <w:lang w:val="en-US" w:eastAsia="zh-CN"/>
              </w:rPr>
              <w:t>乳化炸药生产线可以采用化学敏化、物理敏化，</w:t>
            </w:r>
            <w:r>
              <w:rPr>
                <w:rFonts w:hint="eastAsia" w:ascii="Times New Roman" w:hAnsi="Times New Roman" w:cs="Times New Roman"/>
                <w:color w:val="auto"/>
                <w:sz w:val="24"/>
                <w:szCs w:val="24"/>
                <w:lang w:val="en-US" w:eastAsia="zh-CN"/>
              </w:rPr>
              <w:t>或复合敏化。</w:t>
            </w:r>
          </w:p>
          <w:p w14:paraId="1E8DCB6B">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本项目根据不同产品类别分别采用化学敏化和物理敏化。</w:t>
            </w:r>
            <w:r>
              <w:rPr>
                <w:rFonts w:hint="default" w:ascii="Times New Roman" w:hAnsi="Times New Roman" w:cs="Times New Roman" w:eastAsiaTheme="minorEastAsia"/>
                <w:color w:val="auto"/>
                <w:sz w:val="24"/>
                <w:szCs w:val="24"/>
                <w:lang w:val="en-US" w:eastAsia="zh-CN"/>
              </w:rPr>
              <w:t>化学敏化方式主要用于生产小直径药卷产品，物理敏化方式主要用于生产大直径药卷产品。</w:t>
            </w:r>
          </w:p>
          <w:p w14:paraId="59486988">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化学敏化：</w:t>
            </w:r>
            <w:r>
              <w:rPr>
                <w:rFonts w:hint="eastAsia" w:ascii="Times New Roman" w:hAnsi="Times New Roman" w:cs="Times New Roman"/>
                <w:color w:val="auto"/>
                <w:sz w:val="24"/>
                <w:szCs w:val="24"/>
                <w:highlight w:val="none"/>
                <w:lang w:val="en-US" w:eastAsia="zh-CN"/>
              </w:rPr>
              <w:t>化学敏化是在乳胶基质中加入化学发泡剂，使其反应后在乳胶基质中形成大量微小气泡，并均匀分布，来达到敏化目的。本项目</w:t>
            </w:r>
            <w:r>
              <w:rPr>
                <w:rFonts w:hint="default" w:ascii="Times New Roman" w:hAnsi="Times New Roman" w:cs="Times New Roman" w:eastAsiaTheme="minorEastAsia"/>
                <w:color w:val="auto"/>
                <w:sz w:val="24"/>
                <w:szCs w:val="24"/>
                <w:highlight w:val="none"/>
                <w:lang w:val="en-US" w:eastAsia="zh-CN"/>
              </w:rPr>
              <w:t>冷却后的乳胶基质和经计量后的化学促进剂、发泡剂一同送入敏化器内，在敏化器的充分搅拌和分散作用下得到密度稳定的乳化炸药半成品。</w:t>
            </w:r>
            <w:bookmarkStart w:id="66" w:name="OLE_LINK307"/>
            <w:r>
              <w:rPr>
                <w:rFonts w:hint="eastAsia" w:ascii="Times New Roman" w:hAnsi="Times New Roman" w:cs="Times New Roman"/>
                <w:color w:val="auto"/>
                <w:sz w:val="24"/>
                <w:szCs w:val="24"/>
                <w:highlight w:val="none"/>
                <w:lang w:val="en-US" w:eastAsia="zh-CN"/>
              </w:rPr>
              <w:t>敏化反应温度约为65</w:t>
            </w: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w:t>
            </w:r>
          </w:p>
          <w:bookmarkEnd w:id="66"/>
          <w:p w14:paraId="53ED51A4">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物理敏化：</w:t>
            </w:r>
            <w:r>
              <w:rPr>
                <w:rFonts w:hint="eastAsia" w:ascii="Times New Roman" w:hAnsi="Times New Roman" w:cs="Times New Roman"/>
                <w:color w:val="auto"/>
                <w:sz w:val="24"/>
                <w:szCs w:val="24"/>
                <w:highlight w:val="none"/>
                <w:lang w:val="en-US" w:eastAsia="zh-CN"/>
              </w:rPr>
              <w:t>物理敏化是通过向基质中加入挟带气体的微小载体来达到敏化目的。本项目物理敏化采用膨胀珍珠岩，</w:t>
            </w:r>
            <w:r>
              <w:rPr>
                <w:rFonts w:hint="default" w:ascii="Times New Roman" w:hAnsi="Times New Roman" w:cs="Times New Roman" w:eastAsiaTheme="minorEastAsia"/>
                <w:color w:val="auto"/>
                <w:sz w:val="24"/>
                <w:szCs w:val="24"/>
                <w:highlight w:val="none"/>
                <w:lang w:val="en-US" w:eastAsia="zh-CN"/>
              </w:rPr>
              <w:t>将膨胀珍珠岩计量输送到敏化机中与乳胶基质进行混合敏化</w:t>
            </w:r>
            <w:r>
              <w:rPr>
                <w:rFonts w:hint="eastAsia" w:ascii="Times New Roman" w:hAnsi="Times New Roman" w:cs="Times New Roman"/>
                <w:color w:val="auto"/>
                <w:sz w:val="24"/>
                <w:szCs w:val="24"/>
                <w:highlight w:val="none"/>
                <w:lang w:val="en-US" w:eastAsia="zh-CN"/>
              </w:rPr>
              <w:t>，利用其空穴内气体，在引爆药作用下绝热压缩形成“热点”，实现敏化</w:t>
            </w: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敏化反应温度约为45~55</w:t>
            </w: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w:t>
            </w:r>
          </w:p>
          <w:p w14:paraId="54989C3C">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敏化后的炸药通过散料输送皮带进入到装药机</w:t>
            </w:r>
            <w:r>
              <w:rPr>
                <w:rFonts w:hint="eastAsia" w:ascii="Times New Roman" w:hAnsi="Times New Roman" w:cs="Times New Roman"/>
                <w:color w:val="auto"/>
                <w:sz w:val="24"/>
                <w:szCs w:val="24"/>
                <w:lang w:val="en-US" w:eastAsia="zh-CN"/>
              </w:rPr>
              <w:t>，根据不同规格要求</w:t>
            </w:r>
            <w:r>
              <w:rPr>
                <w:rFonts w:hint="default" w:ascii="Times New Roman" w:hAnsi="Times New Roman" w:cs="Times New Roman" w:eastAsiaTheme="minorEastAsia"/>
                <w:color w:val="auto"/>
                <w:sz w:val="24"/>
                <w:szCs w:val="24"/>
                <w:lang w:val="en-US" w:eastAsia="zh-CN"/>
              </w:rPr>
              <w:t>装药。</w:t>
            </w:r>
          </w:p>
          <w:p w14:paraId="3EEB0017">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产污环节：</w:t>
            </w:r>
            <w:r>
              <w:rPr>
                <w:rFonts w:hint="eastAsia" w:ascii="Times New Roman" w:hAnsi="Times New Roman" w:cs="Times New Roman"/>
                <w:color w:val="auto"/>
                <w:sz w:val="24"/>
                <w:szCs w:val="24"/>
                <w:lang w:val="en-US" w:eastAsia="zh-CN"/>
              </w:rPr>
              <w:t>该工艺过程敏化器为密闭运行，不产生废气。</w:t>
            </w:r>
            <w:r>
              <w:rPr>
                <w:rFonts w:hint="default" w:ascii="Times New Roman" w:hAnsi="Times New Roman" w:cs="Times New Roman" w:eastAsiaTheme="minorEastAsia"/>
                <w:color w:val="auto"/>
                <w:sz w:val="24"/>
                <w:szCs w:val="24"/>
                <w:lang w:val="en-US" w:eastAsia="zh-CN"/>
              </w:rPr>
              <w:t>散料输送皮带</w:t>
            </w:r>
            <w:r>
              <w:rPr>
                <w:rFonts w:hint="eastAsia" w:ascii="Times New Roman" w:hAnsi="Times New Roman" w:cs="Times New Roman"/>
                <w:color w:val="auto"/>
                <w:sz w:val="24"/>
                <w:szCs w:val="24"/>
                <w:lang w:val="en-US" w:eastAsia="zh-CN"/>
              </w:rPr>
              <w:t>输送过程中产生挥发性有机废气G5，以非甲烷总烃计。敏化产生少量不合格品S4，输送过程产生皮带清理药渣作为不合格品计入S4。敏化和物料输送过程产生设备噪声N。</w:t>
            </w:r>
          </w:p>
          <w:p w14:paraId="1E360EEF">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color w:val="auto"/>
                <w:sz w:val="24"/>
                <w:szCs w:val="24"/>
                <w:lang w:val="en-US" w:eastAsia="zh-CN"/>
              </w:rPr>
              <w:t>9）</w:t>
            </w:r>
            <w:r>
              <w:rPr>
                <w:rFonts w:hint="default" w:ascii="Times New Roman" w:hAnsi="Times New Roman" w:cs="Times New Roman" w:eastAsiaTheme="minorEastAsia"/>
                <w:color w:val="auto"/>
                <w:sz w:val="24"/>
                <w:szCs w:val="24"/>
                <w:lang w:val="en-US" w:eastAsia="zh-CN"/>
              </w:rPr>
              <w:t xml:space="preserve"> 装药</w:t>
            </w:r>
          </w:p>
          <w:p w14:paraId="3AF93A01">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乳化炸药半成品通过散料输送皮带至装药平台，通过下料口输送至装药机内，装填成各种规格的药卷。本项目生产小直径药卷时，采用新增的1台DKJ-5型小直径装药机装填小直径药卷；当生产大直径药卷时，采用</w:t>
            </w:r>
            <w:r>
              <w:rPr>
                <w:rFonts w:hint="eastAsia" w:ascii="Times New Roman" w:hAnsi="Times New Roman" w:cs="Times New Roman"/>
                <w:color w:val="auto"/>
                <w:sz w:val="24"/>
                <w:szCs w:val="24"/>
                <w:lang w:val="en-US" w:eastAsia="zh-CN"/>
              </w:rPr>
              <w:t>现有</w:t>
            </w:r>
            <w:r>
              <w:rPr>
                <w:rFonts w:hint="default" w:ascii="Times New Roman" w:hAnsi="Times New Roman" w:cs="Times New Roman" w:eastAsiaTheme="minorEastAsia"/>
                <w:color w:val="auto"/>
                <w:sz w:val="24"/>
                <w:szCs w:val="24"/>
                <w:lang w:val="en-US" w:eastAsia="zh-CN"/>
              </w:rPr>
              <w:t>的1台DKJ-5型大直径装药机装填大直径药卷。</w:t>
            </w:r>
            <w:bookmarkStart w:id="67" w:name="OLE_LINK64"/>
          </w:p>
          <w:p w14:paraId="4BCB0543">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装药机物料输送方式采用双活塞输送泵，避免了设备与物料之间的剪切，物料输送稳定，装药精度高。关键技术参数</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装药压力、温度、料斗料位等</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具有安全联锁保护，提高了本质安全水平。采用膜张力控制与自动对接技术和膜纠偏技术，在药卷输送过程中，可同时完成送料、供膜、合模、卡扣、切断、出药等工序。</w:t>
            </w:r>
          </w:p>
          <w:p w14:paraId="158F3E2C">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产污环节：</w:t>
            </w:r>
            <w:r>
              <w:rPr>
                <w:rFonts w:hint="eastAsia" w:ascii="Times New Roman" w:hAnsi="Times New Roman" w:cs="Times New Roman"/>
                <w:color w:val="auto"/>
                <w:sz w:val="24"/>
                <w:szCs w:val="24"/>
                <w:lang w:val="en-US" w:eastAsia="zh-CN"/>
              </w:rPr>
              <w:t>该工艺过程</w:t>
            </w:r>
            <w:bookmarkEnd w:id="67"/>
            <w:r>
              <w:rPr>
                <w:rFonts w:hint="eastAsia" w:ascii="Times New Roman" w:hAnsi="Times New Roman" w:cs="Times New Roman"/>
                <w:color w:val="auto"/>
                <w:sz w:val="24"/>
                <w:szCs w:val="24"/>
                <w:lang w:val="en-US" w:eastAsia="zh-CN"/>
              </w:rPr>
              <w:t>冷却水定期补水，不外排。装药过程产生不合格品S5。包装设备产生噪声N。</w:t>
            </w:r>
          </w:p>
          <w:p w14:paraId="2786A498">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color w:val="auto"/>
                <w:sz w:val="24"/>
                <w:szCs w:val="24"/>
                <w:lang w:val="en-US" w:eastAsia="zh-CN"/>
              </w:rPr>
              <w:t>10）</w:t>
            </w:r>
            <w:r>
              <w:rPr>
                <w:rFonts w:hint="default" w:ascii="Times New Roman" w:hAnsi="Times New Roman" w:cs="Times New Roman" w:eastAsiaTheme="minorEastAsia"/>
                <w:color w:val="auto"/>
                <w:sz w:val="24"/>
                <w:szCs w:val="24"/>
                <w:lang w:val="en-US" w:eastAsia="zh-CN"/>
              </w:rPr>
              <w:t xml:space="preserve"> 包装、成品转运</w:t>
            </w:r>
          </w:p>
          <w:p w14:paraId="7290A50A">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装药机装好的药卷由输送皮带送入包装间，小直径药卷由自动包装机包装成中包后，装入纸塑袋/纸箱，大直径药卷由包装机排列整理后直接装入纸塑袋内。成品由输送皮带送至成品中转站台自动装车后运入总库区。</w:t>
            </w:r>
          </w:p>
          <w:p w14:paraId="2DC64E51">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产污环节：</w:t>
            </w:r>
            <w:r>
              <w:rPr>
                <w:rFonts w:hint="eastAsia" w:ascii="Times New Roman" w:hAnsi="Times New Roman" w:cs="Times New Roman"/>
                <w:color w:val="auto"/>
                <w:sz w:val="24"/>
                <w:szCs w:val="24"/>
                <w:lang w:val="en-US" w:eastAsia="zh-CN"/>
              </w:rPr>
              <w:t>该工艺过程产生不合格品S6。包装、转运产生设备噪声N。</w:t>
            </w:r>
          </w:p>
          <w:p w14:paraId="1C4D9DD3">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eastAsia" w:cs="Times New Roman"/>
                <w:color w:val="auto"/>
                <w:sz w:val="24"/>
                <w:szCs w:val="24"/>
                <w:lang w:val="en-US" w:eastAsia="zh-CN"/>
              </w:rPr>
              <w:t>11）</w:t>
            </w:r>
            <w:r>
              <w:rPr>
                <w:rFonts w:hint="default" w:ascii="Times New Roman" w:hAnsi="Times New Roman" w:cs="Times New Roman" w:eastAsiaTheme="minorEastAsia"/>
                <w:color w:val="auto"/>
                <w:sz w:val="24"/>
                <w:szCs w:val="24"/>
                <w:lang w:val="en-US" w:eastAsia="zh-CN"/>
              </w:rPr>
              <w:t xml:space="preserve"> 不合格品处理</w:t>
            </w:r>
          </w:p>
          <w:p w14:paraId="1256DE70">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lang w:val="en-US" w:eastAsia="zh-CN"/>
              </w:rPr>
              <w:t>本项目</w:t>
            </w:r>
            <w:r>
              <w:rPr>
                <w:rFonts w:hint="eastAsia" w:ascii="Times New Roman" w:hAnsi="Times New Roman" w:cs="Times New Roman"/>
                <w:color w:val="auto"/>
                <w:sz w:val="24"/>
                <w:szCs w:val="24"/>
                <w:lang w:val="en-US" w:eastAsia="zh-CN"/>
              </w:rPr>
              <w:t>乳化、敏</w:t>
            </w:r>
            <w:r>
              <w:rPr>
                <w:rFonts w:hint="eastAsia" w:ascii="Times New Roman" w:hAnsi="Times New Roman" w:cs="Times New Roman"/>
                <w:color w:val="auto"/>
                <w:sz w:val="24"/>
                <w:szCs w:val="24"/>
                <w:highlight w:val="none"/>
                <w:lang w:val="en-US" w:eastAsia="zh-CN"/>
              </w:rPr>
              <w:t>化、输送、</w:t>
            </w:r>
            <w:r>
              <w:rPr>
                <w:rFonts w:hint="default" w:ascii="Times New Roman" w:hAnsi="Times New Roman" w:cs="Times New Roman" w:eastAsiaTheme="minorEastAsia"/>
                <w:color w:val="auto"/>
                <w:sz w:val="24"/>
                <w:szCs w:val="24"/>
                <w:highlight w:val="none"/>
                <w:lang w:val="en-US" w:eastAsia="zh-CN"/>
              </w:rPr>
              <w:t>装药和自动包装过程中会产生</w:t>
            </w:r>
            <w:r>
              <w:rPr>
                <w:rFonts w:hint="eastAsia" w:ascii="Times New Roman" w:hAnsi="Times New Roman" w:cs="Times New Roman"/>
                <w:color w:val="auto"/>
                <w:sz w:val="24"/>
                <w:szCs w:val="24"/>
                <w:highlight w:val="none"/>
                <w:lang w:val="en-US" w:eastAsia="zh-CN"/>
              </w:rPr>
              <w:t>不合格品、</w:t>
            </w:r>
            <w:r>
              <w:rPr>
                <w:rFonts w:hint="default" w:ascii="Times New Roman" w:hAnsi="Times New Roman" w:cs="Times New Roman" w:eastAsiaTheme="minorEastAsia"/>
                <w:color w:val="auto"/>
                <w:sz w:val="24"/>
                <w:szCs w:val="24"/>
                <w:highlight w:val="none"/>
                <w:lang w:val="en-US" w:eastAsia="zh-CN"/>
              </w:rPr>
              <w:t>包装不合格或包装破裂的废药卷，</w:t>
            </w:r>
            <w:r>
              <w:rPr>
                <w:rFonts w:hint="eastAsia" w:ascii="Times New Roman" w:hAnsi="Times New Roman" w:cs="Times New Roman"/>
                <w:color w:val="auto"/>
                <w:sz w:val="24"/>
                <w:szCs w:val="24"/>
                <w:highlight w:val="none"/>
                <w:lang w:val="en-US" w:eastAsia="zh-CN"/>
              </w:rPr>
              <w:t>所有</w:t>
            </w:r>
            <w:r>
              <w:rPr>
                <w:rFonts w:hint="default" w:ascii="Times New Roman" w:hAnsi="Times New Roman" w:cs="Times New Roman" w:eastAsiaTheme="minorEastAsia"/>
                <w:color w:val="auto"/>
                <w:sz w:val="24"/>
                <w:szCs w:val="24"/>
                <w:highlight w:val="none"/>
                <w:lang w:val="en-US" w:eastAsia="zh-CN"/>
              </w:rPr>
              <w:t>不合格品进入不合格品处理工房</w:t>
            </w:r>
            <w:r>
              <w:rPr>
                <w:rFonts w:hint="eastAsia" w:ascii="Times New Roman" w:hAnsi="Times New Roman" w:cs="Times New Roman"/>
                <w:color w:val="auto"/>
                <w:sz w:val="24"/>
                <w:szCs w:val="24"/>
                <w:highlight w:val="none"/>
                <w:lang w:val="en-US" w:eastAsia="zh-CN"/>
              </w:rPr>
              <w:t>，根据需要混拌少量膨胀珍珠岩</w:t>
            </w:r>
            <w:r>
              <w:rPr>
                <w:rFonts w:hint="default" w:ascii="Times New Roman" w:hAnsi="Times New Roman" w:cs="Times New Roman" w:eastAsiaTheme="minorEastAsia"/>
                <w:color w:val="auto"/>
                <w:sz w:val="24"/>
                <w:szCs w:val="24"/>
                <w:highlight w:val="none"/>
                <w:lang w:val="en-US" w:eastAsia="zh-CN"/>
              </w:rPr>
              <w:t>进行</w:t>
            </w:r>
            <w:r>
              <w:rPr>
                <w:rFonts w:hint="eastAsia" w:ascii="Times New Roman" w:hAnsi="Times New Roman" w:cs="Times New Roman"/>
                <w:color w:val="auto"/>
                <w:sz w:val="24"/>
                <w:szCs w:val="24"/>
                <w:highlight w:val="none"/>
                <w:lang w:val="en-US" w:eastAsia="zh-CN"/>
              </w:rPr>
              <w:t>再次低温物理</w:t>
            </w:r>
            <w:r>
              <w:rPr>
                <w:rFonts w:hint="default" w:ascii="Times New Roman" w:hAnsi="Times New Roman" w:cs="Times New Roman" w:eastAsiaTheme="minorEastAsia"/>
                <w:color w:val="auto"/>
                <w:sz w:val="24"/>
                <w:szCs w:val="24"/>
                <w:highlight w:val="none"/>
                <w:lang w:val="en-US" w:eastAsia="zh-CN"/>
              </w:rPr>
              <w:t xml:space="preserve">敏化 </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eastAsiaTheme="minorEastAsia"/>
                <w:color w:val="auto"/>
                <w:sz w:val="24"/>
                <w:szCs w:val="24"/>
                <w:highlight w:val="none"/>
                <w:lang w:val="en-US" w:eastAsia="zh-CN"/>
              </w:rPr>
              <w:t>温度约40℃</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eastAsiaTheme="minorEastAsia"/>
                <w:color w:val="auto"/>
                <w:sz w:val="24"/>
                <w:szCs w:val="24"/>
                <w:highlight w:val="none"/>
                <w:lang w:val="en-US" w:eastAsia="zh-CN"/>
              </w:rPr>
              <w:t xml:space="preserve"> </w:t>
            </w:r>
            <w:r>
              <w:rPr>
                <w:rFonts w:hint="eastAsia" w:ascii="Times New Roman" w:hAnsi="Times New Roman" w:cs="Times New Roman"/>
                <w:color w:val="auto"/>
                <w:sz w:val="24"/>
                <w:szCs w:val="24"/>
                <w:highlight w:val="none"/>
                <w:lang w:val="en-US" w:eastAsia="zh-CN"/>
              </w:rPr>
              <w:t>，重新</w:t>
            </w:r>
            <w:r>
              <w:rPr>
                <w:rFonts w:hint="default" w:ascii="Times New Roman" w:hAnsi="Times New Roman" w:cs="Times New Roman" w:eastAsiaTheme="minorEastAsia"/>
                <w:color w:val="auto"/>
                <w:sz w:val="24"/>
                <w:szCs w:val="24"/>
                <w:highlight w:val="none"/>
                <w:lang w:val="en-US" w:eastAsia="zh-CN"/>
              </w:rPr>
              <w:t>装药后，改装成大直径或大包装规格产品</w:t>
            </w:r>
            <w:r>
              <w:rPr>
                <w:rFonts w:hint="eastAsia" w:ascii="Times New Roman" w:hAnsi="Times New Roman" w:cs="Times New Roman"/>
                <w:color w:val="auto"/>
                <w:sz w:val="24"/>
                <w:szCs w:val="24"/>
                <w:highlight w:val="none"/>
                <w:lang w:val="en-US" w:eastAsia="zh-CN"/>
              </w:rPr>
              <w:t>外售</w:t>
            </w:r>
            <w:r>
              <w:rPr>
                <w:rFonts w:hint="default" w:ascii="Times New Roman" w:hAnsi="Times New Roman" w:cs="Times New Roman" w:eastAsiaTheme="minorEastAsia"/>
                <w:color w:val="auto"/>
                <w:sz w:val="24"/>
                <w:szCs w:val="24"/>
                <w:highlight w:val="none"/>
                <w:lang w:val="en-US" w:eastAsia="zh-CN"/>
              </w:rPr>
              <w:t>。</w:t>
            </w:r>
          </w:p>
          <w:p w14:paraId="2C7A0098">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产污环节：该工艺过程产生</w:t>
            </w:r>
            <w:r>
              <w:rPr>
                <w:rFonts w:hint="eastAsia" w:ascii="Times New Roman" w:hAnsi="Times New Roman" w:cs="Times New Roman"/>
                <w:color w:val="auto"/>
                <w:sz w:val="24"/>
                <w:szCs w:val="24"/>
                <w:highlight w:val="none"/>
                <w:lang w:val="en-US" w:eastAsia="zh-CN"/>
              </w:rPr>
              <w:t>较少量珍珠岩上料废气G</w:t>
            </w:r>
            <w:r>
              <w:rPr>
                <w:rFonts w:hint="default" w:ascii="Times New Roman" w:hAnsi="Times New Roman" w:cs="Times New Roman" w:eastAsiaTheme="minorEastAsia"/>
                <w:color w:val="auto"/>
                <w:sz w:val="24"/>
                <w:szCs w:val="24"/>
                <w:highlight w:val="none"/>
                <w:lang w:val="en-US" w:eastAsia="zh-CN"/>
              </w:rPr>
              <w:t>6。</w:t>
            </w:r>
            <w:r>
              <w:rPr>
                <w:rFonts w:hint="eastAsia" w:ascii="Times New Roman" w:hAnsi="Times New Roman" w:cs="Times New Roman"/>
                <w:color w:val="auto"/>
                <w:sz w:val="24"/>
                <w:szCs w:val="24"/>
                <w:highlight w:val="none"/>
                <w:lang w:val="en-US" w:eastAsia="zh-CN"/>
              </w:rPr>
              <w:t>混拌机和包装机</w:t>
            </w:r>
            <w:r>
              <w:rPr>
                <w:rFonts w:hint="default" w:ascii="Times New Roman" w:hAnsi="Times New Roman" w:cs="Times New Roman" w:eastAsiaTheme="minorEastAsia"/>
                <w:color w:val="auto"/>
                <w:sz w:val="24"/>
                <w:szCs w:val="24"/>
                <w:highlight w:val="none"/>
                <w:lang w:val="en-US" w:eastAsia="zh-CN"/>
              </w:rPr>
              <w:t>产生设备噪声N。</w:t>
            </w:r>
          </w:p>
          <w:p w14:paraId="41B87BAE">
            <w:pPr>
              <w:pStyle w:val="41"/>
              <w:keepNext/>
              <w:keepLines w:val="0"/>
              <w:pageBreakBefore w:val="0"/>
              <w:kinsoku/>
              <w:wordWrap/>
              <w:overflowPunct/>
              <w:topLinePunct w:val="0"/>
              <w:bidi w:val="0"/>
              <w:ind w:left="0" w:leftChars="0" w:firstLine="0" w:firstLineChars="0"/>
              <w:outlineLvl w:val="9"/>
              <w:rPr>
                <w:color w:val="auto"/>
              </w:rPr>
            </w:pPr>
            <w:r>
              <w:rPr>
                <w:color w:val="auto"/>
              </w:rPr>
              <w:drawing>
                <wp:inline distT="0" distB="0" distL="114300" distR="114300">
                  <wp:extent cx="5219065" cy="5970270"/>
                  <wp:effectExtent l="0" t="0" r="635" b="11430"/>
                  <wp:docPr id="3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2"/>
                          <pic:cNvPicPr>
                            <a:picLocks noChangeAspect="1"/>
                          </pic:cNvPicPr>
                        </pic:nvPicPr>
                        <pic:blipFill>
                          <a:blip r:embed="rId38"/>
                          <a:stretch>
                            <a:fillRect/>
                          </a:stretch>
                        </pic:blipFill>
                        <pic:spPr>
                          <a:xfrm>
                            <a:off x="0" y="0"/>
                            <a:ext cx="5219065" cy="5970270"/>
                          </a:xfrm>
                          <a:prstGeom prst="rect">
                            <a:avLst/>
                          </a:prstGeom>
                          <a:noFill/>
                          <a:ln>
                            <a:noFill/>
                          </a:ln>
                        </pic:spPr>
                      </pic:pic>
                    </a:graphicData>
                  </a:graphic>
                </wp:inline>
              </w:drawing>
            </w:r>
          </w:p>
          <w:p w14:paraId="0F3FAA4F">
            <w:pPr>
              <w:keepNext/>
              <w:keepLines w:val="0"/>
              <w:pageBreakBefore w:val="0"/>
              <w:kinsoku/>
              <w:wordWrap/>
              <w:overflowPunct/>
              <w:topLinePunct w:val="0"/>
              <w:bidi w:val="0"/>
              <w:jc w:val="center"/>
              <w:outlineLvl w:val="9"/>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lang w:val="en-US" w:eastAsia="zh-CN"/>
              </w:rPr>
              <w:t>图</w:t>
            </w:r>
            <w:r>
              <w:rPr>
                <w:rFonts w:hint="eastAsia" w:cs="Times New Roman"/>
                <w:b/>
                <w:bCs/>
                <w:color w:val="auto"/>
                <w:sz w:val="21"/>
                <w:szCs w:val="21"/>
                <w:lang w:val="en-US" w:eastAsia="zh-CN"/>
              </w:rPr>
              <w:t>2-9</w:t>
            </w:r>
            <w:r>
              <w:rPr>
                <w:rFonts w:hint="default" w:ascii="Times New Roman" w:hAnsi="Times New Roman" w:cs="Times New Roman"/>
                <w:b/>
                <w:bCs/>
                <w:color w:val="auto"/>
                <w:sz w:val="21"/>
                <w:szCs w:val="21"/>
                <w:lang w:val="en-US" w:eastAsia="zh-CN"/>
              </w:rPr>
              <w:t xml:space="preserve">  乳化炸药工艺流程及</w:t>
            </w:r>
            <w:r>
              <w:rPr>
                <w:rFonts w:hint="default" w:ascii="Times New Roman" w:hAnsi="Times New Roman" w:cs="Times New Roman"/>
                <w:b/>
                <w:bCs/>
                <w:color w:val="auto"/>
                <w:sz w:val="21"/>
                <w:szCs w:val="21"/>
                <w:highlight w:val="none"/>
                <w:lang w:val="en-US" w:eastAsia="zh-CN"/>
              </w:rPr>
              <w:t>产污节点图</w:t>
            </w:r>
          </w:p>
          <w:p w14:paraId="1607D9C0">
            <w:pPr>
              <w:keepNext/>
              <w:keepLines w:val="0"/>
              <w:pageBreakBefore w:val="0"/>
              <w:kinsoku/>
              <w:wordWrap/>
              <w:overflowPunct/>
              <w:topLinePunct w:val="0"/>
              <w:bidi w:val="0"/>
              <w:jc w:val="center"/>
              <w:outlineLvl w:val="9"/>
              <w:rPr>
                <w:rFonts w:hint="default" w:ascii="Times New Roman" w:hAnsi="Times New Roman" w:cs="Times New Roman"/>
                <w:b/>
                <w:bCs/>
                <w:color w:val="auto"/>
                <w:sz w:val="24"/>
                <w:szCs w:val="24"/>
                <w:highlight w:val="none"/>
                <w:lang w:val="en-US" w:eastAsia="zh-CN"/>
              </w:rPr>
            </w:pPr>
          </w:p>
          <w:p w14:paraId="7E629689">
            <w:pPr>
              <w:pStyle w:val="118"/>
              <w:keepNext/>
              <w:keepLines w:val="0"/>
              <w:pageBreakBefore w:val="0"/>
              <w:numPr>
                <w:ilvl w:val="0"/>
                <w:numId w:val="6"/>
              </w:numPr>
              <w:kinsoku/>
              <w:wordWrap/>
              <w:overflowPunct/>
              <w:topLinePunct w:val="0"/>
              <w:bidi w:val="0"/>
              <w:spacing w:line="360" w:lineRule="auto"/>
              <w:ind w:firstLine="0" w:firstLineChars="0"/>
              <w:outlineLvl w:val="9"/>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现有工程环保措施</w:t>
            </w:r>
          </w:p>
          <w:p w14:paraId="6F343333">
            <w:pPr>
              <w:keepNext/>
              <w:keepLines w:val="0"/>
              <w:pageBreakBefore w:val="0"/>
              <w:kinsoku/>
              <w:wordWrap/>
              <w:overflowPunct/>
              <w:topLinePunct w:val="0"/>
              <w:bidi w:val="0"/>
              <w:spacing w:line="360" w:lineRule="auto"/>
              <w:ind w:firstLine="480" w:firstLineChars="200"/>
              <w:outlineLvl w:val="9"/>
              <w:rPr>
                <w:rFonts w:hint="eastAsia" w:ascii="Times New Roman" w:hAnsi="Times New Roman" w:cs="Times New Roman" w:eastAsiaTheme="minorEastAsia"/>
                <w:color w:val="auto"/>
                <w:sz w:val="24"/>
                <w:szCs w:val="24"/>
                <w:highlight w:val="none"/>
                <w:lang w:val="en-US" w:eastAsia="zh-CN"/>
              </w:rPr>
            </w:pPr>
            <w:r>
              <w:rPr>
                <w:rFonts w:hint="eastAsia" w:ascii="Times New Roman" w:hAnsi="Times New Roman" w:cs="Times New Roman" w:eastAsiaTheme="minorEastAsia"/>
                <w:color w:val="auto"/>
                <w:sz w:val="24"/>
                <w:szCs w:val="24"/>
                <w:highlight w:val="none"/>
                <w:lang w:val="en-US" w:eastAsia="zh-CN"/>
              </w:rPr>
              <w:t>现有工程均已完成环保验收，主要环保措施现状汇总如下：</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2113"/>
              <w:gridCol w:w="2571"/>
              <w:gridCol w:w="2850"/>
            </w:tblGrid>
            <w:tr w14:paraId="281EC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1" w:type="pct"/>
                  <w:vAlign w:val="center"/>
                </w:tcPr>
                <w:p w14:paraId="7A8DF19D">
                  <w:pPr>
                    <w:keepNext/>
                    <w:keepLines w:val="0"/>
                    <w:pageBreakBefore w:val="0"/>
                    <w:widowControl/>
                    <w:kinsoku/>
                    <w:wordWrap/>
                    <w:overflowPunct/>
                    <w:topLinePunct w:val="0"/>
                    <w:bidi w:val="0"/>
                    <w:adjustRightInd/>
                    <w:snapToGrid/>
                    <w:spacing w:line="240" w:lineRule="auto"/>
                    <w:ind w:firstLine="0"/>
                    <w:jc w:val="center"/>
                    <w:textAlignment w:val="auto"/>
                    <w:outlineLvl w:val="9"/>
                    <w:rPr>
                      <w:b/>
                      <w:bCs/>
                      <w:snapToGrid/>
                      <w:color w:val="auto"/>
                      <w:sz w:val="21"/>
                      <w:szCs w:val="21"/>
                    </w:rPr>
                  </w:pPr>
                  <w:r>
                    <w:rPr>
                      <w:b/>
                      <w:bCs/>
                      <w:snapToGrid/>
                      <w:color w:val="auto"/>
                      <w:sz w:val="21"/>
                      <w:szCs w:val="21"/>
                    </w:rPr>
                    <w:t>类别</w:t>
                  </w:r>
                </w:p>
              </w:tc>
              <w:tc>
                <w:tcPr>
                  <w:tcW w:w="1270" w:type="pct"/>
                  <w:vAlign w:val="center"/>
                </w:tcPr>
                <w:p w14:paraId="11E47B03">
                  <w:pPr>
                    <w:keepNext/>
                    <w:keepLines w:val="0"/>
                    <w:pageBreakBefore w:val="0"/>
                    <w:widowControl/>
                    <w:kinsoku/>
                    <w:wordWrap/>
                    <w:overflowPunct/>
                    <w:topLinePunct w:val="0"/>
                    <w:bidi w:val="0"/>
                    <w:adjustRightInd/>
                    <w:snapToGrid/>
                    <w:spacing w:line="240" w:lineRule="auto"/>
                    <w:jc w:val="center"/>
                    <w:textAlignment w:val="auto"/>
                    <w:outlineLvl w:val="9"/>
                    <w:rPr>
                      <w:b/>
                      <w:bCs/>
                      <w:snapToGrid/>
                      <w:color w:val="auto"/>
                      <w:sz w:val="21"/>
                      <w:szCs w:val="21"/>
                    </w:rPr>
                  </w:pPr>
                  <w:r>
                    <w:rPr>
                      <w:b/>
                      <w:bCs/>
                      <w:snapToGrid/>
                      <w:color w:val="auto"/>
                      <w:sz w:val="21"/>
                      <w:szCs w:val="21"/>
                    </w:rPr>
                    <w:t>污染源</w:t>
                  </w:r>
                </w:p>
              </w:tc>
              <w:tc>
                <w:tcPr>
                  <w:tcW w:w="1545" w:type="pct"/>
                  <w:shd w:val="clear" w:color="auto" w:fill="auto"/>
                  <w:vAlign w:val="center"/>
                </w:tcPr>
                <w:p w14:paraId="5C33F336">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default" w:ascii="Times New Roman" w:hAnsi="Times New Roman" w:eastAsia="宋体" w:cs="Times New Roman"/>
                      <w:b/>
                      <w:bCs/>
                      <w:snapToGrid/>
                      <w:color w:val="auto"/>
                      <w:kern w:val="2"/>
                      <w:sz w:val="21"/>
                      <w:szCs w:val="21"/>
                      <w:lang w:val="en-US" w:eastAsia="zh-CN" w:bidi="ar-SA"/>
                    </w:rPr>
                  </w:pPr>
                  <w:r>
                    <w:rPr>
                      <w:rFonts w:hint="eastAsia" w:ascii="Times New Roman" w:hAnsi="Times New Roman" w:cs="Times New Roman"/>
                      <w:b/>
                      <w:bCs/>
                      <w:snapToGrid/>
                      <w:color w:val="auto"/>
                      <w:sz w:val="21"/>
                      <w:szCs w:val="21"/>
                      <w:highlight w:val="none"/>
                      <w:lang w:val="en-US" w:eastAsia="zh-CN"/>
                    </w:rPr>
                    <w:t>21000t乳化粒状铵油炸药生产线</w:t>
                  </w:r>
                </w:p>
              </w:tc>
              <w:tc>
                <w:tcPr>
                  <w:tcW w:w="1713" w:type="pct"/>
                  <w:vAlign w:val="center"/>
                </w:tcPr>
                <w:p w14:paraId="22E4C7BA">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default" w:eastAsia="宋体"/>
                      <w:b/>
                      <w:bCs/>
                      <w:snapToGrid/>
                      <w:color w:val="auto"/>
                      <w:sz w:val="21"/>
                      <w:szCs w:val="21"/>
                      <w:lang w:val="en-US" w:eastAsia="zh-CN"/>
                    </w:rPr>
                  </w:pPr>
                  <w:r>
                    <w:rPr>
                      <w:rFonts w:hint="default" w:ascii="Times New Roman" w:hAnsi="Times New Roman" w:cs="Times New Roman"/>
                      <w:b/>
                      <w:bCs/>
                      <w:snapToGrid/>
                      <w:color w:val="auto"/>
                      <w:sz w:val="21"/>
                      <w:szCs w:val="21"/>
                      <w:highlight w:val="none"/>
                      <w:lang w:val="en-US" w:eastAsia="zh-CN"/>
                    </w:rPr>
                    <w:t>20000t乳化炸药生产线</w:t>
                  </w:r>
                </w:p>
              </w:tc>
            </w:tr>
            <w:tr w14:paraId="52E67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71" w:type="pct"/>
                  <w:vMerge w:val="restart"/>
                  <w:vAlign w:val="center"/>
                </w:tcPr>
                <w:p w14:paraId="381AE053">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r>
                    <w:rPr>
                      <w:snapToGrid/>
                      <w:color w:val="auto"/>
                      <w:sz w:val="21"/>
                      <w:szCs w:val="21"/>
                      <w:highlight w:val="none"/>
                    </w:rPr>
                    <w:t>无组织排放</w:t>
                  </w:r>
                </w:p>
              </w:tc>
              <w:tc>
                <w:tcPr>
                  <w:tcW w:w="1270" w:type="pct"/>
                  <w:vAlign w:val="center"/>
                </w:tcPr>
                <w:p w14:paraId="6DAF452D">
                  <w:pPr>
                    <w:keepNext/>
                    <w:keepLines w:val="0"/>
                    <w:pageBreakBefore w:val="0"/>
                    <w:widowControl/>
                    <w:kinsoku/>
                    <w:wordWrap/>
                    <w:overflowPunct/>
                    <w:topLinePunct w:val="0"/>
                    <w:bidi w:val="0"/>
                    <w:adjustRightInd/>
                    <w:spacing w:line="240" w:lineRule="auto"/>
                    <w:ind w:firstLine="0" w:firstLineChars="0"/>
                    <w:jc w:val="center"/>
                    <w:textAlignment w:val="auto"/>
                    <w:outlineLvl w:val="9"/>
                    <w:rPr>
                      <w:rFonts w:hint="default" w:ascii="Times New Roman" w:hAnsi="Times New Roman" w:eastAsia="宋体" w:cs="Times New Roman"/>
                      <w:snapToGrid/>
                      <w:color w:val="auto"/>
                      <w:sz w:val="21"/>
                      <w:szCs w:val="21"/>
                      <w:highlight w:val="none"/>
                      <w:lang w:val="en-US" w:eastAsia="zh-CN" w:bidi="ar-SA"/>
                    </w:rPr>
                  </w:pPr>
                  <w:r>
                    <w:rPr>
                      <w:rFonts w:hint="eastAsia" w:cs="Times New Roman"/>
                      <w:snapToGrid/>
                      <w:color w:val="auto"/>
                      <w:sz w:val="21"/>
                      <w:szCs w:val="21"/>
                      <w:highlight w:val="none"/>
                      <w:lang w:val="en-US" w:eastAsia="zh-CN" w:bidi="ar-SA"/>
                    </w:rPr>
                    <w:t>车间粉尘</w:t>
                  </w:r>
                </w:p>
              </w:tc>
              <w:tc>
                <w:tcPr>
                  <w:tcW w:w="1545" w:type="pct"/>
                  <w:shd w:val="clear" w:color="auto" w:fill="auto"/>
                  <w:vAlign w:val="center"/>
                </w:tcPr>
                <w:p w14:paraId="69B354FF">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sz w:val="21"/>
                      <w:szCs w:val="21"/>
                      <w:highlight w:val="none"/>
                      <w:lang w:val="en-US" w:eastAsia="zh-CN" w:bidi="ar-SA"/>
                    </w:rPr>
                    <w:t>硝酸铵加料过程、多孔粒状硝酸铵装车和加料、木粉投料产生的硝酸铵粉尘经过布帘遮挡和空间沉降，通过投料间轴流风机无组织排放。</w:t>
                  </w:r>
                </w:p>
              </w:tc>
              <w:tc>
                <w:tcPr>
                  <w:tcW w:w="1713" w:type="pct"/>
                  <w:vAlign w:val="center"/>
                </w:tcPr>
                <w:p w14:paraId="58D39407">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水相制备工房硝酸钠、氯化钾上料产生粉尘，少量硝酸钠因结块需要进行破碎，破碎和输送设备封闭</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仅识别上料粉尘，均</w:t>
                  </w:r>
                  <w:r>
                    <w:rPr>
                      <w:rFonts w:hint="eastAsia" w:ascii="Times New Roman" w:hAnsi="Times New Roman" w:cs="Times New Roman"/>
                      <w:color w:val="auto"/>
                      <w:sz w:val="21"/>
                      <w:szCs w:val="21"/>
                      <w:highlight w:val="none"/>
                      <w:lang w:val="en-US" w:eastAsia="zh-CN"/>
                    </w:rPr>
                    <w:t>通过封闭工房阻隔后无组织排放。</w:t>
                  </w:r>
                </w:p>
                <w:p w14:paraId="222D1A88">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乳化炸药生产工房生产过程中产生珍珠岩和发泡剂、促进剂上料粉尘，</w:t>
                  </w:r>
                  <w:r>
                    <w:rPr>
                      <w:rFonts w:hint="eastAsia" w:ascii="Times New Roman" w:hAnsi="Times New Roman" w:cs="Times New Roman"/>
                      <w:color w:val="auto"/>
                      <w:sz w:val="21"/>
                      <w:szCs w:val="21"/>
                      <w:highlight w:val="none"/>
                      <w:lang w:val="en-US" w:eastAsia="zh-CN"/>
                    </w:rPr>
                    <w:t>通过封闭工房阻隔后无组织排放。</w:t>
                  </w:r>
                </w:p>
              </w:tc>
            </w:tr>
            <w:tr w14:paraId="66D92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71" w:type="pct"/>
                  <w:vMerge w:val="continue"/>
                  <w:vAlign w:val="center"/>
                </w:tcPr>
                <w:p w14:paraId="3A057E70">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p>
              </w:tc>
              <w:tc>
                <w:tcPr>
                  <w:tcW w:w="1270" w:type="pct"/>
                  <w:vAlign w:val="center"/>
                </w:tcPr>
                <w:p w14:paraId="28A5E28B">
                  <w:pPr>
                    <w:keepNext/>
                    <w:keepLines w:val="0"/>
                    <w:pageBreakBefore w:val="0"/>
                    <w:widowControl/>
                    <w:kinsoku/>
                    <w:wordWrap/>
                    <w:overflowPunct/>
                    <w:topLinePunct w:val="0"/>
                    <w:bidi w:val="0"/>
                    <w:adjustRightInd/>
                    <w:spacing w:line="240" w:lineRule="auto"/>
                    <w:ind w:firstLine="0" w:firstLineChars="0"/>
                    <w:jc w:val="center"/>
                    <w:textAlignment w:val="auto"/>
                    <w:outlineLvl w:val="9"/>
                    <w:rPr>
                      <w:rFonts w:hint="default" w:ascii="Times New Roman" w:hAnsi="Times New Roman" w:eastAsia="宋体" w:cs="Times New Roman"/>
                      <w:snapToGrid/>
                      <w:color w:val="auto"/>
                      <w:sz w:val="21"/>
                      <w:szCs w:val="21"/>
                      <w:highlight w:val="none"/>
                      <w:lang w:val="en-US" w:eastAsia="zh-CN" w:bidi="ar-SA"/>
                    </w:rPr>
                  </w:pPr>
                  <w:r>
                    <w:rPr>
                      <w:rFonts w:hint="eastAsia" w:cs="Times New Roman"/>
                      <w:snapToGrid/>
                      <w:color w:val="auto"/>
                      <w:sz w:val="21"/>
                      <w:szCs w:val="21"/>
                      <w:highlight w:val="none"/>
                      <w:lang w:val="en-US" w:eastAsia="zh-CN" w:bidi="ar-SA"/>
                    </w:rPr>
                    <w:t>逸散有机废气</w:t>
                  </w:r>
                </w:p>
              </w:tc>
              <w:tc>
                <w:tcPr>
                  <w:tcW w:w="1545" w:type="pct"/>
                  <w:shd w:val="clear" w:color="auto" w:fill="auto"/>
                  <w:vAlign w:val="center"/>
                </w:tcPr>
                <w:p w14:paraId="4E505C63">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eastAsia" w:ascii="Times New Roman" w:hAnsi="Times New Roman" w:eastAsia="宋体" w:cs="Times New Roman"/>
                      <w:snapToGrid/>
                      <w:color w:val="auto"/>
                      <w:sz w:val="21"/>
                      <w:szCs w:val="21"/>
                      <w:highlight w:val="none"/>
                      <w:lang w:val="en-US" w:eastAsia="zh-CN" w:bidi="ar-SA"/>
                    </w:rPr>
                  </w:pPr>
                  <w:r>
                    <w:rPr>
                      <w:rFonts w:hint="eastAsia" w:ascii="Times New Roman" w:hAnsi="Times New Roman" w:eastAsia="宋体" w:cs="Times New Roman"/>
                      <w:snapToGrid/>
                      <w:color w:val="auto"/>
                      <w:sz w:val="21"/>
                      <w:szCs w:val="21"/>
                      <w:highlight w:val="none"/>
                      <w:lang w:val="en-US" w:eastAsia="zh-CN" w:bidi="ar-SA"/>
                    </w:rPr>
                    <w:t>液态油相输送过程产生的非甲烷总烃通过加注间轴流风机无组织排放。</w:t>
                  </w:r>
                </w:p>
                <w:p w14:paraId="1AAAD8A4">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eastAsia" w:ascii="Times New Roman" w:hAnsi="Times New Roman" w:eastAsia="宋体" w:cs="Times New Roman"/>
                      <w:snapToGrid/>
                      <w:color w:val="auto"/>
                      <w:sz w:val="21"/>
                      <w:szCs w:val="21"/>
                      <w:highlight w:val="none"/>
                      <w:lang w:val="en-US" w:eastAsia="zh-CN" w:bidi="ar-SA"/>
                    </w:rPr>
                  </w:pPr>
                  <w:r>
                    <w:rPr>
                      <w:rFonts w:hint="eastAsia" w:ascii="Times New Roman" w:hAnsi="Times New Roman" w:eastAsia="宋体" w:cs="Times New Roman"/>
                      <w:snapToGrid/>
                      <w:color w:val="auto"/>
                      <w:sz w:val="21"/>
                      <w:szCs w:val="21"/>
                      <w:highlight w:val="none"/>
                      <w:lang w:val="en-US" w:eastAsia="zh-CN" w:bidi="ar-SA"/>
                    </w:rPr>
                    <w:t>柴油储罐大呼吸及小呼吸产生的非甲烷总烃通过呼吸阀无组织排放。</w:t>
                  </w:r>
                </w:p>
                <w:p w14:paraId="5FA49BF4">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sz w:val="21"/>
                      <w:szCs w:val="21"/>
                      <w:highlight w:val="none"/>
                      <w:lang w:val="en-US" w:eastAsia="zh-CN" w:bidi="ar-SA"/>
                    </w:rPr>
                    <w:t>基础油泵送、基础油储存 过程产生的非甲烷总烃通过呼吸阀无组织排放。</w:t>
                  </w:r>
                </w:p>
              </w:tc>
              <w:tc>
                <w:tcPr>
                  <w:tcW w:w="1713" w:type="pct"/>
                  <w:vAlign w:val="center"/>
                </w:tcPr>
                <w:p w14:paraId="64C923BF">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r>
                    <w:rPr>
                      <w:rFonts w:hint="eastAsia" w:ascii="Times New Roman" w:hAnsi="Times New Roman" w:cs="Times New Roman"/>
                      <w:color w:val="auto"/>
                      <w:sz w:val="21"/>
                      <w:szCs w:val="21"/>
                      <w:highlight w:val="none"/>
                      <w:lang w:val="en-US" w:eastAsia="zh-CN"/>
                    </w:rPr>
                    <w:t>油相上料输送和</w:t>
                  </w:r>
                  <w:r>
                    <w:rPr>
                      <w:rFonts w:hint="default" w:ascii="Times New Roman" w:hAnsi="Times New Roman" w:cs="Times New Roman"/>
                      <w:color w:val="auto"/>
                      <w:sz w:val="21"/>
                      <w:szCs w:val="21"/>
                      <w:highlight w:val="none"/>
                      <w:lang w:val="en-US" w:eastAsia="zh-CN"/>
                    </w:rPr>
                    <w:t>乳化后的物料进行钢带冷却和散料皮带输送过程中产生的挥发性有机</w:t>
                  </w:r>
                  <w:r>
                    <w:rPr>
                      <w:rFonts w:hint="eastAsia" w:ascii="Times New Roman" w:hAnsi="Times New Roman" w:cs="Times New Roman"/>
                      <w:color w:val="auto"/>
                      <w:sz w:val="21"/>
                      <w:szCs w:val="21"/>
                      <w:highlight w:val="none"/>
                      <w:lang w:val="en-US" w:eastAsia="zh-CN"/>
                    </w:rPr>
                    <w:t>废气，以非甲烷总烃计，通过封闭工房阻隔后无组织排放。</w:t>
                  </w:r>
                </w:p>
              </w:tc>
            </w:tr>
            <w:tr w14:paraId="1871C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1" w:type="pct"/>
                  <w:vMerge w:val="continue"/>
                  <w:vAlign w:val="center"/>
                </w:tcPr>
                <w:p w14:paraId="24500775">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p>
              </w:tc>
              <w:tc>
                <w:tcPr>
                  <w:tcW w:w="1270" w:type="pct"/>
                  <w:vAlign w:val="center"/>
                </w:tcPr>
                <w:p w14:paraId="3C5F821C">
                  <w:pPr>
                    <w:keepNext/>
                    <w:keepLines w:val="0"/>
                    <w:pageBreakBefore w:val="0"/>
                    <w:widowControl/>
                    <w:kinsoku/>
                    <w:wordWrap/>
                    <w:overflowPunct/>
                    <w:topLinePunct w:val="0"/>
                    <w:bidi w:val="0"/>
                    <w:adjustRightInd/>
                    <w:spacing w:line="240" w:lineRule="auto"/>
                    <w:ind w:firstLine="0" w:firstLineChars="0"/>
                    <w:jc w:val="center"/>
                    <w:textAlignment w:val="auto"/>
                    <w:outlineLvl w:val="9"/>
                    <w:rPr>
                      <w:rFonts w:hint="default" w:cs="Times New Roman"/>
                      <w:snapToGrid/>
                      <w:color w:val="auto"/>
                      <w:sz w:val="21"/>
                      <w:szCs w:val="21"/>
                      <w:highlight w:val="none"/>
                      <w:lang w:val="en-US" w:eastAsia="zh-CN" w:bidi="ar-SA"/>
                    </w:rPr>
                  </w:pPr>
                  <w:r>
                    <w:rPr>
                      <w:rFonts w:hint="eastAsia" w:cs="Times New Roman"/>
                      <w:snapToGrid/>
                      <w:color w:val="auto"/>
                      <w:sz w:val="21"/>
                      <w:szCs w:val="21"/>
                      <w:highlight w:val="none"/>
                      <w:lang w:val="en-US" w:eastAsia="zh-CN" w:bidi="ar-SA"/>
                    </w:rPr>
                    <w:t>氨</w:t>
                  </w:r>
                </w:p>
              </w:tc>
              <w:tc>
                <w:tcPr>
                  <w:tcW w:w="1545" w:type="pct"/>
                  <w:shd w:val="clear" w:color="auto" w:fill="auto"/>
                  <w:vAlign w:val="center"/>
                </w:tcPr>
                <w:p w14:paraId="035DA64C">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sz w:val="21"/>
                      <w:szCs w:val="21"/>
                      <w:highlight w:val="none"/>
                      <w:lang w:val="en-US" w:eastAsia="zh-CN" w:bidi="ar-SA"/>
                    </w:rPr>
                    <w:t>硝酸铵库由硝酸铵分解产生的氨气通过硝酸铵库无组织排放。</w:t>
                  </w:r>
                </w:p>
              </w:tc>
              <w:tc>
                <w:tcPr>
                  <w:tcW w:w="1713" w:type="pct"/>
                  <w:vAlign w:val="center"/>
                </w:tcPr>
                <w:p w14:paraId="2D813770">
                  <w:pPr>
                    <w:keepNext/>
                    <w:keepLines w:val="0"/>
                    <w:pageBreakBefore w:val="0"/>
                    <w:widowControl/>
                    <w:kinsoku/>
                    <w:wordWrap/>
                    <w:overflowPunct/>
                    <w:topLinePunct w:val="0"/>
                    <w:bidi w:val="0"/>
                    <w:adjustRightInd/>
                    <w:snapToGrid/>
                    <w:spacing w:line="240" w:lineRule="auto"/>
                    <w:ind w:firstLine="0" w:firstLineChars="0"/>
                    <w:jc w:val="center"/>
                    <w:textAlignment w:val="auto"/>
                    <w:outlineLvl w:val="9"/>
                    <w:rPr>
                      <w:rFonts w:hint="eastAsia" w:eastAsia="宋体"/>
                      <w:snapToGrid/>
                      <w:color w:val="auto"/>
                      <w:sz w:val="21"/>
                      <w:szCs w:val="21"/>
                      <w:highlight w:val="none"/>
                      <w:lang w:val="en-US" w:eastAsia="zh-CN"/>
                    </w:rPr>
                  </w:pPr>
                  <w:r>
                    <w:rPr>
                      <w:rFonts w:hint="eastAsia"/>
                      <w:snapToGrid/>
                      <w:color w:val="auto"/>
                      <w:sz w:val="21"/>
                      <w:szCs w:val="21"/>
                      <w:highlight w:val="none"/>
                      <w:lang w:val="en-US" w:eastAsia="zh-CN"/>
                    </w:rPr>
                    <w:t>/</w:t>
                  </w:r>
                </w:p>
              </w:tc>
            </w:tr>
            <w:tr w14:paraId="4D441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restart"/>
                  <w:vAlign w:val="center"/>
                </w:tcPr>
                <w:p w14:paraId="00268CE2">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r>
                    <w:rPr>
                      <w:snapToGrid/>
                      <w:color w:val="auto"/>
                      <w:sz w:val="21"/>
                      <w:szCs w:val="21"/>
                      <w:highlight w:val="none"/>
                    </w:rPr>
                    <w:t>废水</w:t>
                  </w:r>
                </w:p>
              </w:tc>
              <w:tc>
                <w:tcPr>
                  <w:tcW w:w="1270" w:type="pct"/>
                  <w:vAlign w:val="center"/>
                </w:tcPr>
                <w:p w14:paraId="7FE933CA">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Theme="minorEastAsia"/>
                      <w:snapToGrid/>
                      <w:color w:val="auto"/>
                      <w:sz w:val="21"/>
                      <w:szCs w:val="21"/>
                      <w:highlight w:val="none"/>
                      <w:lang w:val="en-US" w:eastAsia="zh-CN"/>
                    </w:rPr>
                  </w:pPr>
                  <w:r>
                    <w:rPr>
                      <w:rFonts w:hint="eastAsia"/>
                      <w:snapToGrid/>
                      <w:color w:val="auto"/>
                      <w:sz w:val="21"/>
                      <w:szCs w:val="21"/>
                      <w:highlight w:val="none"/>
                      <w:lang w:val="en-US" w:eastAsia="zh-CN"/>
                    </w:rPr>
                    <w:t>车间地面清洗和设备冲洗废水</w:t>
                  </w:r>
                </w:p>
              </w:tc>
              <w:tc>
                <w:tcPr>
                  <w:tcW w:w="3258" w:type="pct"/>
                  <w:gridSpan w:val="2"/>
                  <w:vAlign w:val="center"/>
                </w:tcPr>
                <w:p w14:paraId="13B4101D">
                  <w:pPr>
                    <w:keepNext/>
                    <w:keepLines w:val="0"/>
                    <w:pageBreakBefore w:val="0"/>
                    <w:widowControl/>
                    <w:tabs>
                      <w:tab w:val="left" w:pos="4830"/>
                    </w:tabs>
                    <w:kinsoku/>
                    <w:wordWrap/>
                    <w:overflowPunct/>
                    <w:topLinePunct w:val="0"/>
                    <w:bidi w:val="0"/>
                    <w:adjustRightInd/>
                    <w:snapToGrid/>
                    <w:spacing w:line="240" w:lineRule="auto"/>
                    <w:ind w:firstLine="0"/>
                    <w:jc w:val="center"/>
                    <w:textAlignment w:val="auto"/>
                    <w:outlineLvl w:val="9"/>
                    <w:rPr>
                      <w:rFonts w:hint="default" w:ascii="Times New Roman" w:hAnsi="Times New Roman" w:cs="Times New Roman"/>
                      <w:color w:val="auto"/>
                      <w:spacing w:val="-1"/>
                      <w:sz w:val="21"/>
                      <w:szCs w:val="21"/>
                      <w:highlight w:val="none"/>
                    </w:rPr>
                  </w:pPr>
                  <w:r>
                    <w:rPr>
                      <w:rFonts w:hint="default" w:ascii="Times New Roman" w:hAnsi="Times New Roman" w:cs="Times New Roman"/>
                      <w:color w:val="auto"/>
                      <w:spacing w:val="-1"/>
                      <w:sz w:val="21"/>
                      <w:szCs w:val="21"/>
                      <w:highlight w:val="none"/>
                    </w:rPr>
                    <w:t>废水经隔油沉淀池处理后，</w:t>
                  </w:r>
                  <w:r>
                    <w:rPr>
                      <w:rFonts w:hint="eastAsia" w:ascii="Times New Roman" w:hAnsi="Times New Roman" w:cs="Times New Roman"/>
                      <w:color w:val="auto"/>
                      <w:sz w:val="21"/>
                      <w:szCs w:val="21"/>
                      <w:highlight w:val="none"/>
                      <w:lang w:val="en-US" w:eastAsia="zh-CN"/>
                    </w:rPr>
                    <w:t>排入辽宁红山污水处理站处理后</w:t>
                  </w:r>
                  <w:r>
                    <w:rPr>
                      <w:rFonts w:hint="default" w:ascii="Times New Roman" w:hAnsi="Times New Roman" w:cs="Times New Roman"/>
                      <w:color w:val="auto"/>
                      <w:sz w:val="21"/>
                      <w:szCs w:val="21"/>
                      <w:highlight w:val="none"/>
                      <w:lang w:val="en-US" w:eastAsia="zh-CN"/>
                    </w:rPr>
                    <w:t>用于绿化和</w:t>
                  </w:r>
                  <w:r>
                    <w:rPr>
                      <w:rFonts w:hint="eastAsia" w:ascii="Times New Roman" w:hAnsi="Times New Roman" w:cs="Times New Roman"/>
                      <w:color w:val="auto"/>
                      <w:sz w:val="21"/>
                      <w:szCs w:val="21"/>
                      <w:highlight w:val="none"/>
                      <w:lang w:val="en-US" w:eastAsia="zh-CN"/>
                    </w:rPr>
                    <w:t>道路洒扫</w:t>
                  </w:r>
                  <w:r>
                    <w:rPr>
                      <w:rFonts w:hint="default" w:ascii="Times New Roman" w:hAnsi="Times New Roman" w:cs="Times New Roman"/>
                      <w:color w:val="auto"/>
                      <w:sz w:val="21"/>
                      <w:szCs w:val="21"/>
                      <w:highlight w:val="none"/>
                      <w:lang w:val="en-US" w:eastAsia="zh-CN"/>
                    </w:rPr>
                    <w:t>。</w:t>
                  </w:r>
                </w:p>
              </w:tc>
            </w:tr>
            <w:tr w14:paraId="22A31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vAlign w:val="center"/>
                </w:tcPr>
                <w:p w14:paraId="6208725B">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p>
              </w:tc>
              <w:tc>
                <w:tcPr>
                  <w:tcW w:w="1270" w:type="pct"/>
                  <w:vAlign w:val="center"/>
                </w:tcPr>
                <w:p w14:paraId="55F5CEAD">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Theme="minorEastAsia"/>
                      <w:snapToGrid/>
                      <w:color w:val="auto"/>
                      <w:sz w:val="21"/>
                      <w:szCs w:val="21"/>
                      <w:highlight w:val="none"/>
                      <w:lang w:val="en-US" w:eastAsia="zh-CN"/>
                    </w:rPr>
                  </w:pPr>
                  <w:r>
                    <w:rPr>
                      <w:rFonts w:hint="eastAsia"/>
                      <w:snapToGrid/>
                      <w:color w:val="auto"/>
                      <w:sz w:val="21"/>
                      <w:szCs w:val="21"/>
                      <w:highlight w:val="none"/>
                      <w:lang w:val="en-US" w:eastAsia="zh-CN"/>
                    </w:rPr>
                    <w:t>生活污水</w:t>
                  </w:r>
                </w:p>
              </w:tc>
              <w:tc>
                <w:tcPr>
                  <w:tcW w:w="3258" w:type="pct"/>
                  <w:gridSpan w:val="2"/>
                  <w:vAlign w:val="center"/>
                </w:tcPr>
                <w:p w14:paraId="72D64F04">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生活污水依托</w:t>
                  </w:r>
                  <w:r>
                    <w:rPr>
                      <w:rFonts w:hint="eastAsia" w:ascii="Times New Roman" w:hAnsi="Times New Roman" w:cs="Times New Roman"/>
                      <w:color w:val="auto"/>
                      <w:spacing w:val="8"/>
                      <w:sz w:val="21"/>
                      <w:szCs w:val="21"/>
                      <w:highlight w:val="none"/>
                      <w:lang w:eastAsia="zh-CN"/>
                    </w:rPr>
                    <w:t>辽宁红山</w:t>
                  </w:r>
                  <w:r>
                    <w:rPr>
                      <w:rFonts w:hint="default" w:ascii="Times New Roman" w:hAnsi="Times New Roman" w:cs="Times New Roman"/>
                      <w:color w:val="auto"/>
                      <w:spacing w:val="8"/>
                      <w:sz w:val="21"/>
                      <w:szCs w:val="21"/>
                      <w:highlight w:val="none"/>
                    </w:rPr>
                    <w:t>污水</w:t>
                  </w:r>
                  <w:r>
                    <w:rPr>
                      <w:rFonts w:hint="default" w:ascii="Times New Roman" w:hAnsi="Times New Roman" w:cs="Times New Roman"/>
                      <w:color w:val="auto"/>
                      <w:spacing w:val="-1"/>
                      <w:sz w:val="21"/>
                      <w:szCs w:val="21"/>
                      <w:highlight w:val="none"/>
                    </w:rPr>
                    <w:t>处理站，处理后用于</w:t>
                  </w:r>
                  <w:r>
                    <w:rPr>
                      <w:rFonts w:hint="default" w:ascii="Times New Roman" w:hAnsi="Times New Roman" w:cs="Times New Roman"/>
                      <w:color w:val="auto"/>
                      <w:sz w:val="21"/>
                      <w:szCs w:val="21"/>
                      <w:highlight w:val="none"/>
                      <w:lang w:val="en-US" w:eastAsia="zh-CN"/>
                    </w:rPr>
                    <w:t>绿化和</w:t>
                  </w:r>
                  <w:r>
                    <w:rPr>
                      <w:rFonts w:hint="eastAsia" w:ascii="Times New Roman" w:hAnsi="Times New Roman" w:cs="Times New Roman"/>
                      <w:color w:val="auto"/>
                      <w:sz w:val="21"/>
                      <w:szCs w:val="21"/>
                      <w:highlight w:val="none"/>
                      <w:lang w:val="en-US" w:eastAsia="zh-CN"/>
                    </w:rPr>
                    <w:t>道路洒扫</w:t>
                  </w:r>
                  <w:r>
                    <w:rPr>
                      <w:rFonts w:hint="default" w:ascii="Times New Roman" w:hAnsi="Times New Roman" w:cs="Times New Roman"/>
                      <w:color w:val="auto"/>
                      <w:spacing w:val="-1"/>
                      <w:sz w:val="21"/>
                      <w:szCs w:val="21"/>
                      <w:highlight w:val="none"/>
                    </w:rPr>
                    <w:t>。</w:t>
                  </w:r>
                </w:p>
              </w:tc>
            </w:tr>
            <w:tr w14:paraId="1C969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restart"/>
                  <w:vAlign w:val="center"/>
                </w:tcPr>
                <w:p w14:paraId="031A0E3A">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r>
                    <w:rPr>
                      <w:snapToGrid/>
                      <w:color w:val="auto"/>
                      <w:sz w:val="21"/>
                      <w:szCs w:val="21"/>
                      <w:highlight w:val="none"/>
                    </w:rPr>
                    <w:t>固体</w:t>
                  </w:r>
                </w:p>
                <w:p w14:paraId="6E2A2947">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r>
                    <w:rPr>
                      <w:snapToGrid/>
                      <w:color w:val="auto"/>
                      <w:sz w:val="21"/>
                      <w:szCs w:val="21"/>
                      <w:highlight w:val="none"/>
                    </w:rPr>
                    <w:t>废物</w:t>
                  </w:r>
                </w:p>
              </w:tc>
              <w:tc>
                <w:tcPr>
                  <w:tcW w:w="1270" w:type="pct"/>
                  <w:vAlign w:val="center"/>
                </w:tcPr>
                <w:p w14:paraId="7C54F47E">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Theme="minorEastAsia"/>
                      <w:snapToGrid/>
                      <w:color w:val="auto"/>
                      <w:sz w:val="21"/>
                      <w:szCs w:val="21"/>
                      <w:highlight w:val="none"/>
                      <w:lang w:val="en-US" w:eastAsia="zh-CN"/>
                    </w:rPr>
                  </w:pPr>
                  <w:r>
                    <w:rPr>
                      <w:rFonts w:hint="eastAsia"/>
                      <w:snapToGrid/>
                      <w:color w:val="auto"/>
                      <w:sz w:val="21"/>
                      <w:szCs w:val="21"/>
                      <w:highlight w:val="none"/>
                      <w:lang w:val="en-US" w:eastAsia="zh-CN"/>
                    </w:rPr>
                    <w:t>一般固废</w:t>
                  </w:r>
                </w:p>
              </w:tc>
              <w:tc>
                <w:tcPr>
                  <w:tcW w:w="3258" w:type="pct"/>
                  <w:gridSpan w:val="2"/>
                  <w:vAlign w:val="center"/>
                </w:tcPr>
                <w:p w14:paraId="28321622">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eastAsia" w:eastAsia="宋体"/>
                      <w:snapToGrid/>
                      <w:color w:val="auto"/>
                      <w:sz w:val="21"/>
                      <w:szCs w:val="21"/>
                      <w:highlight w:val="none"/>
                      <w:lang w:val="en-US" w:eastAsia="zh-CN"/>
                    </w:rPr>
                  </w:pPr>
                  <w:r>
                    <w:rPr>
                      <w:rFonts w:hint="eastAsia" w:eastAsia="宋体"/>
                      <w:snapToGrid/>
                      <w:color w:val="auto"/>
                      <w:sz w:val="21"/>
                      <w:szCs w:val="21"/>
                      <w:highlight w:val="none"/>
                      <w:lang w:val="en-US" w:eastAsia="zh-CN"/>
                    </w:rPr>
                    <w:t>收集后外售。</w:t>
                  </w:r>
                </w:p>
              </w:tc>
            </w:tr>
            <w:tr w14:paraId="6763D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vAlign w:val="center"/>
                </w:tcPr>
                <w:p w14:paraId="6A2D0D01">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p>
              </w:tc>
              <w:tc>
                <w:tcPr>
                  <w:tcW w:w="1270" w:type="pct"/>
                  <w:vAlign w:val="center"/>
                </w:tcPr>
                <w:p w14:paraId="50D77030">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宋体"/>
                      <w:snapToGrid/>
                      <w:color w:val="auto"/>
                      <w:sz w:val="21"/>
                      <w:szCs w:val="21"/>
                      <w:highlight w:val="none"/>
                      <w:lang w:val="en-US" w:eastAsia="zh-CN"/>
                    </w:rPr>
                  </w:pPr>
                  <w:r>
                    <w:rPr>
                      <w:rFonts w:hint="eastAsia" w:eastAsia="宋体"/>
                      <w:snapToGrid/>
                      <w:color w:val="auto"/>
                      <w:sz w:val="21"/>
                      <w:szCs w:val="21"/>
                      <w:highlight w:val="none"/>
                      <w:lang w:val="en-US" w:eastAsia="zh-CN"/>
                    </w:rPr>
                    <w:t>危险废物</w:t>
                  </w:r>
                </w:p>
              </w:tc>
              <w:tc>
                <w:tcPr>
                  <w:tcW w:w="3258" w:type="pct"/>
                  <w:gridSpan w:val="2"/>
                  <w:vAlign w:val="center"/>
                </w:tcPr>
                <w:p w14:paraId="6EF7EF89">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snapToGrid/>
                      <w:color w:val="auto"/>
                      <w:sz w:val="21"/>
                      <w:szCs w:val="21"/>
                      <w:highlight w:val="none"/>
                      <w:lang w:val="en-US" w:eastAsia="zh-CN"/>
                    </w:rPr>
                  </w:pPr>
                  <w:r>
                    <w:rPr>
                      <w:rFonts w:hint="eastAsia"/>
                      <w:snapToGrid/>
                      <w:color w:val="auto"/>
                      <w:sz w:val="21"/>
                      <w:szCs w:val="21"/>
                      <w:highlight w:val="none"/>
                      <w:lang w:val="en-US" w:eastAsia="zh-CN"/>
                    </w:rPr>
                    <w:t>危险废物分类收集至依托的辽宁红山现有</w:t>
                  </w:r>
                  <w:r>
                    <w:rPr>
                      <w:rFonts w:hint="default" w:ascii="Times New Roman" w:hAnsi="Times New Roman" w:cs="Times New Roman"/>
                      <w:color w:val="auto"/>
                      <w:sz w:val="21"/>
                      <w:szCs w:val="21"/>
                      <w:highlight w:val="none"/>
                    </w:rPr>
                    <w:t>危废</w:t>
                  </w:r>
                  <w:r>
                    <w:rPr>
                      <w:rFonts w:hint="eastAsia"/>
                      <w:snapToGrid/>
                      <w:color w:val="auto"/>
                      <w:sz w:val="21"/>
                      <w:szCs w:val="21"/>
                      <w:highlight w:val="none"/>
                      <w:lang w:val="en-US" w:eastAsia="zh-CN"/>
                    </w:rPr>
                    <w:t>贮存点后，交由有资质单位外运处置。废炸药包装送销毁场销毁。</w:t>
                  </w:r>
                </w:p>
              </w:tc>
            </w:tr>
            <w:tr w14:paraId="36AD8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vAlign w:val="center"/>
                </w:tcPr>
                <w:p w14:paraId="1A472712">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p>
              </w:tc>
              <w:tc>
                <w:tcPr>
                  <w:tcW w:w="1270" w:type="pct"/>
                  <w:vAlign w:val="center"/>
                </w:tcPr>
                <w:p w14:paraId="6E2FAED9">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Theme="minorEastAsia"/>
                      <w:snapToGrid/>
                      <w:color w:val="auto"/>
                      <w:sz w:val="21"/>
                      <w:szCs w:val="21"/>
                      <w:highlight w:val="none"/>
                      <w:lang w:val="en-US" w:eastAsia="zh-CN"/>
                    </w:rPr>
                  </w:pPr>
                  <w:r>
                    <w:rPr>
                      <w:rFonts w:hint="eastAsia"/>
                      <w:snapToGrid/>
                      <w:color w:val="auto"/>
                      <w:sz w:val="21"/>
                      <w:szCs w:val="21"/>
                      <w:highlight w:val="none"/>
                      <w:lang w:val="en-US" w:eastAsia="zh-CN"/>
                    </w:rPr>
                    <w:t>不合格品</w:t>
                  </w:r>
                </w:p>
              </w:tc>
              <w:tc>
                <w:tcPr>
                  <w:tcW w:w="3258" w:type="pct"/>
                  <w:gridSpan w:val="2"/>
                  <w:vAlign w:val="center"/>
                </w:tcPr>
                <w:p w14:paraId="43582B89">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宋体"/>
                      <w:snapToGrid/>
                      <w:color w:val="auto"/>
                      <w:sz w:val="21"/>
                      <w:szCs w:val="21"/>
                      <w:highlight w:val="none"/>
                      <w:lang w:val="en-US" w:eastAsia="zh-CN"/>
                    </w:rPr>
                  </w:pPr>
                  <w:r>
                    <w:rPr>
                      <w:rFonts w:hint="eastAsia"/>
                      <w:snapToGrid/>
                      <w:color w:val="auto"/>
                      <w:sz w:val="21"/>
                      <w:szCs w:val="21"/>
                      <w:highlight w:val="none"/>
                      <w:lang w:val="en-US" w:eastAsia="zh-CN"/>
                    </w:rPr>
                    <w:t>不合格品运至不合格品处理工房处理后外售</w:t>
                  </w:r>
                </w:p>
              </w:tc>
            </w:tr>
            <w:tr w14:paraId="4D047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Merge w:val="continue"/>
                  <w:vAlign w:val="center"/>
                </w:tcPr>
                <w:p w14:paraId="16F4E6BA">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p>
              </w:tc>
              <w:tc>
                <w:tcPr>
                  <w:tcW w:w="1270" w:type="pct"/>
                  <w:vAlign w:val="center"/>
                </w:tcPr>
                <w:p w14:paraId="375E8F2D">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宋体"/>
                      <w:snapToGrid/>
                      <w:color w:val="auto"/>
                      <w:sz w:val="21"/>
                      <w:szCs w:val="21"/>
                      <w:highlight w:val="none"/>
                      <w:lang w:val="en-US" w:eastAsia="zh-CN"/>
                    </w:rPr>
                  </w:pPr>
                  <w:r>
                    <w:rPr>
                      <w:rFonts w:hint="eastAsia" w:eastAsia="宋体"/>
                      <w:snapToGrid/>
                      <w:color w:val="auto"/>
                      <w:sz w:val="21"/>
                      <w:szCs w:val="21"/>
                      <w:highlight w:val="none"/>
                      <w:lang w:val="en-US" w:eastAsia="zh-CN"/>
                    </w:rPr>
                    <w:t>生活垃圾</w:t>
                  </w:r>
                </w:p>
              </w:tc>
              <w:tc>
                <w:tcPr>
                  <w:tcW w:w="3258" w:type="pct"/>
                  <w:gridSpan w:val="2"/>
                  <w:vAlign w:val="center"/>
                </w:tcPr>
                <w:p w14:paraId="26ABC0DD">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Theme="minorEastAsia"/>
                      <w:snapToGrid/>
                      <w:color w:val="auto"/>
                      <w:sz w:val="21"/>
                      <w:szCs w:val="21"/>
                      <w:highlight w:val="none"/>
                      <w:lang w:val="en-US" w:eastAsia="zh-CN"/>
                    </w:rPr>
                  </w:pPr>
                  <w:r>
                    <w:rPr>
                      <w:rFonts w:hint="eastAsia"/>
                      <w:snapToGrid/>
                      <w:color w:val="auto"/>
                      <w:sz w:val="21"/>
                      <w:szCs w:val="21"/>
                      <w:highlight w:val="none"/>
                      <w:lang w:val="en-US" w:eastAsia="zh-CN"/>
                    </w:rPr>
                    <w:t>环卫清运</w:t>
                  </w:r>
                </w:p>
              </w:tc>
            </w:tr>
            <w:tr w14:paraId="653BF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vAlign w:val="center"/>
                </w:tcPr>
                <w:p w14:paraId="63E4E80F">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r>
                    <w:rPr>
                      <w:snapToGrid/>
                      <w:color w:val="auto"/>
                      <w:sz w:val="21"/>
                      <w:szCs w:val="21"/>
                      <w:highlight w:val="none"/>
                    </w:rPr>
                    <w:t>噪声</w:t>
                  </w:r>
                </w:p>
              </w:tc>
              <w:tc>
                <w:tcPr>
                  <w:tcW w:w="1270" w:type="pct"/>
                  <w:vAlign w:val="center"/>
                </w:tcPr>
                <w:p w14:paraId="46280F3B">
                  <w:pPr>
                    <w:keepNext/>
                    <w:keepLines w:val="0"/>
                    <w:pageBreakBefore w:val="0"/>
                    <w:widowControl/>
                    <w:kinsoku/>
                    <w:wordWrap/>
                    <w:overflowPunct/>
                    <w:topLinePunct w:val="0"/>
                    <w:bidi w:val="0"/>
                    <w:adjustRightInd/>
                    <w:snapToGrid/>
                    <w:spacing w:line="240" w:lineRule="auto"/>
                    <w:ind w:firstLine="0"/>
                    <w:jc w:val="center"/>
                    <w:textAlignment w:val="auto"/>
                    <w:outlineLvl w:val="9"/>
                    <w:rPr>
                      <w:rFonts w:hint="default" w:eastAsia="宋体"/>
                      <w:snapToGrid/>
                      <w:color w:val="auto"/>
                      <w:sz w:val="21"/>
                      <w:szCs w:val="21"/>
                      <w:highlight w:val="none"/>
                      <w:lang w:val="en-US" w:eastAsia="zh-CN"/>
                    </w:rPr>
                  </w:pPr>
                  <w:r>
                    <w:rPr>
                      <w:rFonts w:hint="eastAsia" w:eastAsia="宋体"/>
                      <w:snapToGrid/>
                      <w:color w:val="auto"/>
                      <w:sz w:val="21"/>
                      <w:szCs w:val="21"/>
                      <w:highlight w:val="none"/>
                      <w:lang w:val="en-US" w:eastAsia="zh-CN"/>
                    </w:rPr>
                    <w:t>机泵和生产设备噪声</w:t>
                  </w:r>
                </w:p>
              </w:tc>
              <w:tc>
                <w:tcPr>
                  <w:tcW w:w="3258" w:type="pct"/>
                  <w:gridSpan w:val="2"/>
                  <w:vAlign w:val="center"/>
                </w:tcPr>
                <w:p w14:paraId="35EC9748">
                  <w:pPr>
                    <w:keepNext/>
                    <w:keepLines w:val="0"/>
                    <w:pageBreakBefore w:val="0"/>
                    <w:widowControl/>
                    <w:kinsoku/>
                    <w:wordWrap/>
                    <w:overflowPunct/>
                    <w:topLinePunct w:val="0"/>
                    <w:bidi w:val="0"/>
                    <w:adjustRightInd/>
                    <w:snapToGrid/>
                    <w:spacing w:line="240" w:lineRule="auto"/>
                    <w:ind w:firstLine="0"/>
                    <w:jc w:val="center"/>
                    <w:textAlignment w:val="auto"/>
                    <w:outlineLvl w:val="9"/>
                    <w:rPr>
                      <w:snapToGrid/>
                      <w:color w:val="auto"/>
                      <w:sz w:val="21"/>
                      <w:szCs w:val="21"/>
                      <w:highlight w:val="none"/>
                    </w:rPr>
                  </w:pPr>
                  <w:r>
                    <w:rPr>
                      <w:snapToGrid/>
                      <w:color w:val="auto"/>
                      <w:sz w:val="21"/>
                      <w:szCs w:val="21"/>
                      <w:highlight w:val="none"/>
                    </w:rPr>
                    <w:t>低噪设备、</w:t>
                  </w:r>
                  <w:r>
                    <w:rPr>
                      <w:rFonts w:hint="eastAsia"/>
                      <w:snapToGrid/>
                      <w:color w:val="auto"/>
                      <w:sz w:val="21"/>
                      <w:szCs w:val="21"/>
                      <w:highlight w:val="none"/>
                      <w:lang w:val="en-US" w:eastAsia="zh-CN"/>
                    </w:rPr>
                    <w:t>基础</w:t>
                  </w:r>
                  <w:r>
                    <w:rPr>
                      <w:snapToGrid/>
                      <w:color w:val="auto"/>
                      <w:sz w:val="21"/>
                      <w:szCs w:val="21"/>
                      <w:highlight w:val="none"/>
                    </w:rPr>
                    <w:t>减振、</w:t>
                  </w:r>
                  <w:r>
                    <w:rPr>
                      <w:rFonts w:hint="eastAsia"/>
                      <w:snapToGrid/>
                      <w:color w:val="auto"/>
                      <w:sz w:val="21"/>
                      <w:szCs w:val="21"/>
                      <w:highlight w:val="none"/>
                      <w:lang w:val="en-US" w:eastAsia="zh-CN"/>
                    </w:rPr>
                    <w:t>厂房</w:t>
                  </w:r>
                  <w:r>
                    <w:rPr>
                      <w:snapToGrid/>
                      <w:color w:val="auto"/>
                      <w:sz w:val="21"/>
                      <w:szCs w:val="21"/>
                      <w:highlight w:val="none"/>
                    </w:rPr>
                    <w:t>隔声</w:t>
                  </w:r>
                </w:p>
              </w:tc>
            </w:tr>
          </w:tbl>
          <w:p w14:paraId="7734D9FF">
            <w:pPr>
              <w:pStyle w:val="118"/>
              <w:keepNext/>
              <w:keepLines w:val="0"/>
              <w:pageBreakBefore w:val="0"/>
              <w:kinsoku/>
              <w:wordWrap/>
              <w:overflowPunct/>
              <w:topLinePunct w:val="0"/>
              <w:bidi w:val="0"/>
              <w:spacing w:line="360" w:lineRule="auto"/>
              <w:ind w:firstLine="0" w:firstLineChars="0"/>
              <w:outlineLvl w:val="9"/>
              <w:rPr>
                <w:rFonts w:ascii="Times New Roman" w:hAnsi="Times New Roman" w:cs="Times New Roman"/>
                <w:bCs/>
                <w:color w:val="auto"/>
                <w:sz w:val="24"/>
              </w:rPr>
            </w:pPr>
            <w:r>
              <w:rPr>
                <w:rFonts w:hint="eastAsia" w:ascii="Times New Roman" w:hAnsi="Times New Roman" w:cs="Times New Roman"/>
                <w:bCs/>
                <w:color w:val="auto"/>
                <w:sz w:val="24"/>
                <w:lang w:val="en-US" w:eastAsia="zh-CN"/>
              </w:rPr>
              <w:t>4、</w:t>
            </w:r>
            <w:r>
              <w:rPr>
                <w:rFonts w:ascii="Times New Roman" w:hAnsi="Times New Roman" w:cs="Times New Roman"/>
                <w:bCs/>
                <w:color w:val="auto"/>
                <w:sz w:val="24"/>
              </w:rPr>
              <w:t>现有项目污染物排放情况</w:t>
            </w:r>
          </w:p>
          <w:p w14:paraId="7AC0D189">
            <w:pPr>
              <w:keepNext/>
              <w:keepLines w:val="0"/>
              <w:pageBreakBefore w:val="0"/>
              <w:kinsoku/>
              <w:wordWrap/>
              <w:overflowPunct/>
              <w:topLinePunct w:val="0"/>
              <w:bidi w:val="0"/>
              <w:spacing w:line="360" w:lineRule="auto"/>
              <w:ind w:firstLine="480" w:firstLineChars="200"/>
              <w:outlineLvl w:val="9"/>
              <w:rPr>
                <w:color w:val="auto"/>
                <w:sz w:val="24"/>
              </w:rPr>
            </w:pPr>
            <w:r>
              <w:rPr>
                <w:rFonts w:hint="eastAsia"/>
                <w:color w:val="auto"/>
                <w:sz w:val="24"/>
              </w:rPr>
              <w:t>（</w:t>
            </w:r>
            <w:r>
              <w:rPr>
                <w:rFonts w:hint="eastAsia" w:ascii="Times New Roman" w:hAnsi="Times New Roman" w:eastAsia="宋体" w:cs="Times New Roman"/>
                <w:color w:val="auto"/>
                <w:kern w:val="2"/>
                <w:sz w:val="24"/>
                <w:szCs w:val="24"/>
                <w:lang w:val="en-US" w:eastAsia="zh-CN" w:bidi="ar-SA"/>
              </w:rPr>
              <w:t>1）废气</w:t>
            </w:r>
          </w:p>
          <w:p w14:paraId="1A07D99C">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highlight w:val="yellow"/>
                <w:lang w:val="en-US" w:eastAsia="zh-CN"/>
              </w:rPr>
            </w:pPr>
            <w:r>
              <w:rPr>
                <w:rFonts w:hint="eastAsia" w:ascii="Times New Roman" w:hAnsi="Times New Roman" w:cs="Times New Roman"/>
                <w:color w:val="auto"/>
                <w:sz w:val="24"/>
                <w:szCs w:val="24"/>
                <w:lang w:val="en-US" w:eastAsia="zh-CN"/>
              </w:rPr>
              <w:t>本项目现有工程包括21000 吨乳化粒状铵油炸药生产线、</w:t>
            </w:r>
            <w:r>
              <w:rPr>
                <w:rFonts w:hint="default" w:ascii="Times New Roman" w:hAnsi="Times New Roman" w:cs="Times New Roman"/>
                <w:color w:val="auto"/>
                <w:sz w:val="24"/>
                <w:szCs w:val="24"/>
                <w:lang w:val="en-US" w:eastAsia="zh-CN"/>
              </w:rPr>
              <w:t>20000t乳化炸药生产线</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废气</w:t>
            </w:r>
            <w:r>
              <w:rPr>
                <w:rFonts w:hint="eastAsia" w:ascii="Times New Roman" w:hAnsi="Times New Roman" w:cs="Times New Roman"/>
                <w:color w:val="auto"/>
                <w:sz w:val="24"/>
                <w:szCs w:val="24"/>
                <w:lang w:val="en-US" w:eastAsia="zh-CN"/>
              </w:rPr>
              <w:t>污染物排放情况均引用验收期间监测数据</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21000 吨乳化粒状铵油炸药生产线污染物排放</w:t>
            </w:r>
            <w:r>
              <w:rPr>
                <w:rFonts w:hint="eastAsia" w:cs="Times New Roman"/>
                <w:color w:val="auto"/>
                <w:sz w:val="24"/>
                <w:szCs w:val="24"/>
                <w:lang w:val="en-US" w:eastAsia="zh-CN"/>
              </w:rPr>
              <w:t>引用</w:t>
            </w:r>
            <w:r>
              <w:rPr>
                <w:rFonts w:hint="eastAsia" w:ascii="Times New Roman" w:hAnsi="Times New Roman" w:cs="Times New Roman"/>
                <w:color w:val="auto"/>
                <w:sz w:val="24"/>
                <w:szCs w:val="24"/>
                <w:lang w:val="en-US" w:eastAsia="zh-CN"/>
              </w:rPr>
              <w:t>《年产21000吨乳化粒状铵油炸药生产线（含9000 吨乳胶基质）建设项目》</w:t>
            </w:r>
            <w:r>
              <w:rPr>
                <w:rFonts w:hint="eastAsia" w:cs="Times New Roman"/>
                <w:color w:val="auto"/>
                <w:sz w:val="24"/>
                <w:szCs w:val="24"/>
                <w:lang w:val="en-US" w:eastAsia="zh-CN"/>
              </w:rPr>
              <w:t>中监测数据，具体见表2-16。</w:t>
            </w:r>
          </w:p>
          <w:p w14:paraId="6E8E3431">
            <w:pPr>
              <w:pStyle w:val="20"/>
              <w:keepNext/>
              <w:keepLines w:val="0"/>
              <w:pageBreakBefore w:val="0"/>
              <w:tabs>
                <w:tab w:val="center" w:pos="4153"/>
                <w:tab w:val="right" w:pos="8306"/>
              </w:tabs>
              <w:kinsoku/>
              <w:wordWrap/>
              <w:overflowPunct/>
              <w:topLinePunct w:val="0"/>
              <w:bidi w:val="0"/>
              <w:jc w:val="center"/>
              <w:outlineLvl w:val="9"/>
              <w:rPr>
                <w:rFonts w:hint="default" w:ascii="Times New Roman" w:hAnsi="Times New Roman" w:eastAsia="宋体" w:cs="Times New Roman"/>
                <w:b/>
                <w:bCs/>
                <w:color w:val="auto"/>
                <w:sz w:val="21"/>
                <w:szCs w:val="21"/>
                <w:lang w:val="en-US" w:eastAsia="zh-CN"/>
              </w:rPr>
            </w:pPr>
            <w:bookmarkStart w:id="68" w:name="OLE_LINK218"/>
            <w:r>
              <w:rPr>
                <w:rFonts w:hint="default" w:ascii="Times New Roman" w:hAnsi="Times New Roman" w:eastAsia="宋体" w:cs="Times New Roman"/>
                <w:b/>
                <w:bCs/>
                <w:color w:val="auto"/>
                <w:sz w:val="21"/>
                <w:szCs w:val="21"/>
                <w:highlight w:val="none"/>
                <w:lang w:val="en-US" w:eastAsia="zh-CN"/>
              </w:rPr>
              <w:t>表2-1</w:t>
            </w:r>
            <w:r>
              <w:rPr>
                <w:rFonts w:hint="eastAsia"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lang w:val="en-US" w:eastAsia="zh-CN"/>
              </w:rPr>
              <w:t xml:space="preserve"> 21000 吨乳化粒状铵油炸药生产线废气排放情况       </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1056"/>
              <w:gridCol w:w="556"/>
              <w:gridCol w:w="1656"/>
              <w:gridCol w:w="1852"/>
              <w:gridCol w:w="1857"/>
            </w:tblGrid>
            <w:tr w14:paraId="67D71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noWrap w:val="0"/>
                  <w:vAlign w:val="center"/>
                </w:tcPr>
                <w:p w14:paraId="5000838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类别</w:t>
                  </w:r>
                </w:p>
              </w:tc>
              <w:tc>
                <w:tcPr>
                  <w:tcW w:w="956" w:type="pct"/>
                  <w:gridSpan w:val="2"/>
                  <w:noWrap w:val="0"/>
                  <w:vAlign w:val="center"/>
                </w:tcPr>
                <w:p w14:paraId="1E4E741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监测时间</w:t>
                  </w:r>
                </w:p>
              </w:tc>
              <w:tc>
                <w:tcPr>
                  <w:tcW w:w="998" w:type="pct"/>
                  <w:noWrap w:val="0"/>
                  <w:vAlign w:val="center"/>
                </w:tcPr>
                <w:p w14:paraId="5FBC8BC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污染因子</w:t>
                  </w:r>
                </w:p>
              </w:tc>
              <w:tc>
                <w:tcPr>
                  <w:tcW w:w="1116" w:type="pct"/>
                  <w:noWrap w:val="0"/>
                  <w:vAlign w:val="center"/>
                </w:tcPr>
                <w:p w14:paraId="1A9ADBB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监测结果</w:t>
                  </w:r>
                  <w:r>
                    <w:rPr>
                      <w:rFonts w:hint="eastAsia" w:cs="Times New Roman"/>
                      <w:b w:val="0"/>
                      <w:bCs w:val="0"/>
                      <w:color w:val="auto"/>
                      <w:sz w:val="21"/>
                      <w:szCs w:val="21"/>
                      <w:vertAlign w:val="baseline"/>
                      <w:lang w:val="en-US" w:eastAsia="zh-CN"/>
                    </w:rPr>
                    <w:t>（</w:t>
                  </w:r>
                  <w:r>
                    <w:rPr>
                      <w:rFonts w:hint="default" w:ascii="Times New Roman" w:hAnsi="Times New Roman" w:eastAsia="宋体" w:cs="Times New Roman"/>
                      <w:b/>
                      <w:bCs/>
                      <w:color w:val="auto"/>
                      <w:sz w:val="24"/>
                      <w:szCs w:val="24"/>
                      <w:lang w:val="en-US" w:eastAsia="zh-CN"/>
                    </w:rPr>
                    <w:t>mg/m</w:t>
                  </w:r>
                  <w:r>
                    <w:rPr>
                      <w:rFonts w:hint="default" w:ascii="Times New Roman" w:hAnsi="Times New Roman" w:eastAsia="宋体" w:cs="Times New Roman"/>
                      <w:b/>
                      <w:bCs/>
                      <w:color w:val="auto"/>
                      <w:sz w:val="24"/>
                      <w:szCs w:val="24"/>
                      <w:vertAlign w:val="superscript"/>
                      <w:lang w:val="en-US" w:eastAsia="zh-CN"/>
                    </w:rPr>
                    <w:t>3</w:t>
                  </w:r>
                  <w:r>
                    <w:rPr>
                      <w:rFonts w:hint="eastAsia" w:cs="Times New Roman"/>
                      <w:b w:val="0"/>
                      <w:bCs w:val="0"/>
                      <w:color w:val="auto"/>
                      <w:sz w:val="21"/>
                      <w:szCs w:val="21"/>
                      <w:vertAlign w:val="baseline"/>
                      <w:lang w:val="en-US" w:eastAsia="zh-CN"/>
                    </w:rPr>
                    <w:t>）</w:t>
                  </w:r>
                </w:p>
              </w:tc>
              <w:tc>
                <w:tcPr>
                  <w:tcW w:w="1119" w:type="pct"/>
                  <w:noWrap w:val="0"/>
                  <w:vAlign w:val="center"/>
                </w:tcPr>
                <w:p w14:paraId="257A2FB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执行标准</w:t>
                  </w:r>
                  <w:r>
                    <w:rPr>
                      <w:rFonts w:hint="eastAsia" w:cs="Times New Roman"/>
                      <w:b w:val="0"/>
                      <w:bCs w:val="0"/>
                      <w:color w:val="auto"/>
                      <w:sz w:val="21"/>
                      <w:szCs w:val="21"/>
                      <w:vertAlign w:val="baseline"/>
                      <w:lang w:val="en-US" w:eastAsia="zh-CN"/>
                    </w:rPr>
                    <w:t>（</w:t>
                  </w:r>
                  <w:r>
                    <w:rPr>
                      <w:rFonts w:hint="default" w:ascii="Times New Roman" w:hAnsi="Times New Roman" w:eastAsia="宋体" w:cs="Times New Roman"/>
                      <w:b/>
                      <w:bCs/>
                      <w:color w:val="auto"/>
                      <w:sz w:val="24"/>
                      <w:szCs w:val="24"/>
                      <w:lang w:val="en-US" w:eastAsia="zh-CN"/>
                    </w:rPr>
                    <w:t>mg/m</w:t>
                  </w:r>
                  <w:r>
                    <w:rPr>
                      <w:rFonts w:hint="default" w:ascii="Times New Roman" w:hAnsi="Times New Roman" w:eastAsia="宋体" w:cs="Times New Roman"/>
                      <w:b/>
                      <w:bCs/>
                      <w:color w:val="auto"/>
                      <w:sz w:val="24"/>
                      <w:szCs w:val="24"/>
                      <w:vertAlign w:val="superscript"/>
                      <w:lang w:val="en-US" w:eastAsia="zh-CN"/>
                    </w:rPr>
                    <w:t>3</w:t>
                  </w:r>
                  <w:r>
                    <w:rPr>
                      <w:rFonts w:hint="eastAsia" w:cs="Times New Roman"/>
                      <w:b w:val="0"/>
                      <w:bCs w:val="0"/>
                      <w:color w:val="auto"/>
                      <w:sz w:val="21"/>
                      <w:szCs w:val="21"/>
                      <w:vertAlign w:val="baseline"/>
                      <w:lang w:val="en-US" w:eastAsia="zh-CN"/>
                    </w:rPr>
                    <w:t>）</w:t>
                  </w:r>
                </w:p>
              </w:tc>
            </w:tr>
            <w:tr w14:paraId="73546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restart"/>
                  <w:noWrap w:val="0"/>
                  <w:vAlign w:val="center"/>
                </w:tcPr>
                <w:p w14:paraId="016B425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无组织废气</w:t>
                  </w:r>
                </w:p>
              </w:tc>
              <w:tc>
                <w:tcPr>
                  <w:tcW w:w="619" w:type="pct"/>
                  <w:vMerge w:val="restart"/>
                  <w:noWrap w:val="0"/>
                  <w:vAlign w:val="center"/>
                </w:tcPr>
                <w:p w14:paraId="01268BB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2024.</w:t>
                  </w:r>
                  <w:r>
                    <w:rPr>
                      <w:rFonts w:hint="eastAsia" w:ascii="Times New Roman" w:hAnsi="Times New Roman" w:eastAsia="宋体" w:cs="Times New Roman"/>
                      <w:b w:val="0"/>
                      <w:bCs w:val="0"/>
                      <w:color w:val="auto"/>
                      <w:sz w:val="21"/>
                      <w:szCs w:val="21"/>
                      <w:vertAlign w:val="baseline"/>
                      <w:lang w:val="en-US" w:eastAsia="zh-CN"/>
                    </w:rPr>
                    <w:t>8.26</w:t>
                  </w:r>
                </w:p>
              </w:tc>
              <w:tc>
                <w:tcPr>
                  <w:tcW w:w="336" w:type="pct"/>
                  <w:vMerge w:val="restart"/>
                  <w:noWrap w:val="0"/>
                  <w:vAlign w:val="center"/>
                </w:tcPr>
                <w:p w14:paraId="1361572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上风向</w:t>
                  </w:r>
                </w:p>
              </w:tc>
              <w:tc>
                <w:tcPr>
                  <w:tcW w:w="998" w:type="pct"/>
                  <w:noWrap w:val="0"/>
                  <w:vAlign w:val="center"/>
                </w:tcPr>
                <w:p w14:paraId="2B2A016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noWrap w:val="0"/>
                  <w:vAlign w:val="center"/>
                </w:tcPr>
                <w:p w14:paraId="3A5AAD3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0.174~0.185</w:t>
                  </w:r>
                </w:p>
              </w:tc>
              <w:tc>
                <w:tcPr>
                  <w:tcW w:w="1119" w:type="pct"/>
                  <w:noWrap w:val="0"/>
                  <w:vAlign w:val="center"/>
                </w:tcPr>
                <w:p w14:paraId="7330CE5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1.0</w:t>
                  </w:r>
                </w:p>
              </w:tc>
            </w:tr>
            <w:tr w14:paraId="2E8DD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5E2DCA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02D2F2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5470DE1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noWrap w:val="0"/>
                  <w:vAlign w:val="center"/>
                </w:tcPr>
                <w:p w14:paraId="2DB88D8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noWrap w:val="0"/>
                  <w:vAlign w:val="center"/>
                </w:tcPr>
                <w:p w14:paraId="53C0111D">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0.30~0.36</w:t>
                  </w:r>
                </w:p>
              </w:tc>
              <w:tc>
                <w:tcPr>
                  <w:tcW w:w="1119" w:type="pct"/>
                  <w:noWrap w:val="0"/>
                  <w:vAlign w:val="center"/>
                </w:tcPr>
                <w:p w14:paraId="44ECBF0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4.0</w:t>
                  </w:r>
                </w:p>
              </w:tc>
            </w:tr>
            <w:tr w14:paraId="756D8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680FB5E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1A92D3BD">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6801AA7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noWrap w:val="0"/>
                  <w:vAlign w:val="center"/>
                </w:tcPr>
                <w:p w14:paraId="0641F96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noWrap w:val="0"/>
                  <w:vAlign w:val="center"/>
                </w:tcPr>
                <w:p w14:paraId="2426CE8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0.01~0.02</w:t>
                  </w:r>
                </w:p>
              </w:tc>
              <w:tc>
                <w:tcPr>
                  <w:tcW w:w="1119" w:type="pct"/>
                  <w:noWrap w:val="0"/>
                  <w:vAlign w:val="center"/>
                </w:tcPr>
                <w:p w14:paraId="62B553F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1.5</w:t>
                  </w:r>
                </w:p>
              </w:tc>
            </w:tr>
            <w:tr w14:paraId="132B1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D9C8998">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74CCDBE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restart"/>
                  <w:noWrap w:val="0"/>
                  <w:vAlign w:val="center"/>
                </w:tcPr>
                <w:p w14:paraId="6C57B65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下风向1#</w:t>
                  </w:r>
                </w:p>
              </w:tc>
              <w:tc>
                <w:tcPr>
                  <w:tcW w:w="998" w:type="pct"/>
                  <w:shd w:val="clear" w:color="auto" w:fill="auto"/>
                  <w:noWrap w:val="0"/>
                  <w:vAlign w:val="center"/>
                </w:tcPr>
                <w:p w14:paraId="7A8DC81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shd w:val="clear" w:color="auto" w:fill="auto"/>
                  <w:noWrap w:val="0"/>
                  <w:vAlign w:val="center"/>
                </w:tcPr>
                <w:p w14:paraId="132D775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0.297~0.31</w:t>
                  </w:r>
                </w:p>
              </w:tc>
              <w:tc>
                <w:tcPr>
                  <w:tcW w:w="1119" w:type="pct"/>
                  <w:shd w:val="clear" w:color="auto" w:fill="auto"/>
                  <w:noWrap w:val="0"/>
                  <w:vAlign w:val="center"/>
                </w:tcPr>
                <w:p w14:paraId="18FC8DC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1.0</w:t>
                  </w:r>
                </w:p>
              </w:tc>
            </w:tr>
            <w:tr w14:paraId="06D61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6F23BB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268E629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0CB4E02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6AE8936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shd w:val="clear" w:color="auto" w:fill="auto"/>
                  <w:noWrap w:val="0"/>
                  <w:vAlign w:val="center"/>
                </w:tcPr>
                <w:p w14:paraId="19C264F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0.41~0.46</w:t>
                  </w:r>
                </w:p>
              </w:tc>
              <w:tc>
                <w:tcPr>
                  <w:tcW w:w="1119" w:type="pct"/>
                  <w:shd w:val="clear" w:color="auto" w:fill="auto"/>
                  <w:noWrap w:val="0"/>
                  <w:vAlign w:val="center"/>
                </w:tcPr>
                <w:p w14:paraId="7C3C884A">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4.0</w:t>
                  </w:r>
                </w:p>
              </w:tc>
            </w:tr>
            <w:tr w14:paraId="6FB07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1349E13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85BD72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5A11A72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5AAC423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shd w:val="clear" w:color="auto" w:fill="auto"/>
                  <w:noWrap w:val="0"/>
                  <w:vAlign w:val="center"/>
                </w:tcPr>
                <w:p w14:paraId="45650A9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0.03~0.05</w:t>
                  </w:r>
                </w:p>
              </w:tc>
              <w:tc>
                <w:tcPr>
                  <w:tcW w:w="1119" w:type="pct"/>
                  <w:shd w:val="clear" w:color="auto" w:fill="auto"/>
                  <w:noWrap w:val="0"/>
                  <w:vAlign w:val="center"/>
                </w:tcPr>
                <w:p w14:paraId="05C710A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1.5</w:t>
                  </w:r>
                </w:p>
              </w:tc>
            </w:tr>
            <w:tr w14:paraId="7D671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12B3B5A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7A0A1828">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restart"/>
                  <w:noWrap w:val="0"/>
                  <w:vAlign w:val="center"/>
                </w:tcPr>
                <w:p w14:paraId="09B1E32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下风向2#</w:t>
                  </w:r>
                </w:p>
              </w:tc>
              <w:tc>
                <w:tcPr>
                  <w:tcW w:w="998" w:type="pct"/>
                  <w:shd w:val="clear" w:color="auto" w:fill="auto"/>
                  <w:noWrap w:val="0"/>
                  <w:vAlign w:val="center"/>
                </w:tcPr>
                <w:p w14:paraId="52A104EA">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shd w:val="clear" w:color="auto" w:fill="auto"/>
                  <w:noWrap w:val="0"/>
                  <w:vAlign w:val="center"/>
                </w:tcPr>
                <w:p w14:paraId="28DEF73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0.271~0.284</w:t>
                  </w:r>
                </w:p>
              </w:tc>
              <w:tc>
                <w:tcPr>
                  <w:tcW w:w="1119" w:type="pct"/>
                  <w:shd w:val="clear" w:color="auto" w:fill="auto"/>
                  <w:noWrap w:val="0"/>
                  <w:vAlign w:val="center"/>
                </w:tcPr>
                <w:p w14:paraId="1AAD4B1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1.0</w:t>
                  </w:r>
                </w:p>
              </w:tc>
            </w:tr>
            <w:tr w14:paraId="0506A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1201872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32A6BBD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5A5790DD">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08799AB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shd w:val="clear" w:color="auto" w:fill="auto"/>
                  <w:noWrap w:val="0"/>
                  <w:vAlign w:val="center"/>
                </w:tcPr>
                <w:p w14:paraId="25F09186">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0.38~0.41</w:t>
                  </w:r>
                </w:p>
              </w:tc>
              <w:tc>
                <w:tcPr>
                  <w:tcW w:w="1119" w:type="pct"/>
                  <w:shd w:val="clear" w:color="auto" w:fill="auto"/>
                  <w:noWrap w:val="0"/>
                  <w:vAlign w:val="center"/>
                </w:tcPr>
                <w:p w14:paraId="61F6140A">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4.0</w:t>
                  </w:r>
                </w:p>
              </w:tc>
            </w:tr>
            <w:tr w14:paraId="6C11A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6523514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7B0E1FB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2C771E3D">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47FAC8F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shd w:val="clear" w:color="auto" w:fill="auto"/>
                  <w:noWrap w:val="0"/>
                  <w:vAlign w:val="center"/>
                </w:tcPr>
                <w:p w14:paraId="7FE21A6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0.04~0.06</w:t>
                  </w:r>
                </w:p>
              </w:tc>
              <w:tc>
                <w:tcPr>
                  <w:tcW w:w="1119" w:type="pct"/>
                  <w:shd w:val="clear" w:color="auto" w:fill="auto"/>
                  <w:noWrap w:val="0"/>
                  <w:vAlign w:val="center"/>
                </w:tcPr>
                <w:p w14:paraId="67E9FEB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1.5</w:t>
                  </w:r>
                </w:p>
              </w:tc>
            </w:tr>
            <w:tr w14:paraId="52E77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0C24B1B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4CF8E1C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restart"/>
                  <w:noWrap w:val="0"/>
                  <w:vAlign w:val="center"/>
                </w:tcPr>
                <w:p w14:paraId="1F364E58">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下风向3#</w:t>
                  </w:r>
                </w:p>
              </w:tc>
              <w:tc>
                <w:tcPr>
                  <w:tcW w:w="998" w:type="pct"/>
                  <w:shd w:val="clear" w:color="auto" w:fill="auto"/>
                  <w:noWrap w:val="0"/>
                  <w:vAlign w:val="center"/>
                </w:tcPr>
                <w:p w14:paraId="1D88FAC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shd w:val="clear" w:color="auto" w:fill="auto"/>
                  <w:noWrap w:val="0"/>
                  <w:vAlign w:val="center"/>
                </w:tcPr>
                <w:p w14:paraId="0132C78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0.297~0.288</w:t>
                  </w:r>
                </w:p>
              </w:tc>
              <w:tc>
                <w:tcPr>
                  <w:tcW w:w="1119" w:type="pct"/>
                  <w:shd w:val="clear" w:color="auto" w:fill="auto"/>
                  <w:noWrap w:val="0"/>
                  <w:vAlign w:val="center"/>
                </w:tcPr>
                <w:p w14:paraId="6831FC6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1.0</w:t>
                  </w:r>
                </w:p>
              </w:tc>
            </w:tr>
            <w:tr w14:paraId="79423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110F54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3CD4F974">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1D7D115A">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6142148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shd w:val="clear" w:color="auto" w:fill="auto"/>
                  <w:noWrap w:val="0"/>
                  <w:vAlign w:val="center"/>
                </w:tcPr>
                <w:p w14:paraId="0FDFBDB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0.39~0.47</w:t>
                  </w:r>
                </w:p>
              </w:tc>
              <w:tc>
                <w:tcPr>
                  <w:tcW w:w="1119" w:type="pct"/>
                  <w:shd w:val="clear" w:color="auto" w:fill="auto"/>
                  <w:noWrap w:val="0"/>
                  <w:vAlign w:val="center"/>
                </w:tcPr>
                <w:p w14:paraId="0A20CC8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4.0</w:t>
                  </w:r>
                </w:p>
              </w:tc>
            </w:tr>
            <w:tr w14:paraId="64B97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A48BBC8">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14C202B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7E6C160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4A27D74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shd w:val="clear" w:color="auto" w:fill="auto"/>
                  <w:noWrap w:val="0"/>
                  <w:vAlign w:val="center"/>
                </w:tcPr>
                <w:p w14:paraId="3A9C398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0.04~0.06</w:t>
                  </w:r>
                </w:p>
              </w:tc>
              <w:tc>
                <w:tcPr>
                  <w:tcW w:w="1119" w:type="pct"/>
                  <w:shd w:val="clear" w:color="auto" w:fill="auto"/>
                  <w:noWrap w:val="0"/>
                  <w:vAlign w:val="center"/>
                </w:tcPr>
                <w:p w14:paraId="3E39763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1.5</w:t>
                  </w:r>
                </w:p>
              </w:tc>
            </w:tr>
            <w:tr w14:paraId="083AA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28B6E01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restart"/>
                  <w:noWrap w:val="0"/>
                  <w:vAlign w:val="center"/>
                </w:tcPr>
                <w:p w14:paraId="3BEAF5B4">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2024.</w:t>
                  </w:r>
                  <w:r>
                    <w:rPr>
                      <w:rFonts w:hint="eastAsia" w:ascii="Times New Roman" w:hAnsi="Times New Roman" w:eastAsia="宋体" w:cs="Times New Roman"/>
                      <w:b w:val="0"/>
                      <w:bCs w:val="0"/>
                      <w:color w:val="auto"/>
                      <w:sz w:val="21"/>
                      <w:szCs w:val="21"/>
                      <w:vertAlign w:val="baseline"/>
                      <w:lang w:val="en-US" w:eastAsia="zh-CN"/>
                    </w:rPr>
                    <w:t>8.27</w:t>
                  </w:r>
                </w:p>
              </w:tc>
              <w:tc>
                <w:tcPr>
                  <w:tcW w:w="336" w:type="pct"/>
                  <w:vMerge w:val="restart"/>
                  <w:shd w:val="clear" w:color="auto" w:fill="auto"/>
                  <w:noWrap w:val="0"/>
                  <w:vAlign w:val="center"/>
                </w:tcPr>
                <w:p w14:paraId="7B43FF1D">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上风向</w:t>
                  </w:r>
                </w:p>
              </w:tc>
              <w:tc>
                <w:tcPr>
                  <w:tcW w:w="998" w:type="pct"/>
                  <w:shd w:val="clear" w:color="auto" w:fill="auto"/>
                  <w:noWrap w:val="0"/>
                  <w:vAlign w:val="center"/>
                </w:tcPr>
                <w:p w14:paraId="4C2DC720">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shd w:val="clear" w:color="auto" w:fill="auto"/>
                  <w:noWrap w:val="0"/>
                  <w:vAlign w:val="center"/>
                </w:tcPr>
                <w:p w14:paraId="58FE0A0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0.172~0.176</w:t>
                  </w:r>
                </w:p>
              </w:tc>
              <w:tc>
                <w:tcPr>
                  <w:tcW w:w="1119" w:type="pct"/>
                  <w:shd w:val="clear" w:color="auto" w:fill="auto"/>
                  <w:noWrap w:val="0"/>
                  <w:vAlign w:val="center"/>
                </w:tcPr>
                <w:p w14:paraId="0E523D5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1.0</w:t>
                  </w:r>
                </w:p>
              </w:tc>
            </w:tr>
            <w:tr w14:paraId="17E14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A55EB8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1689212D">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4F7CAF0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29EAFC57">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shd w:val="clear" w:color="auto" w:fill="auto"/>
                  <w:noWrap w:val="0"/>
                  <w:vAlign w:val="center"/>
                </w:tcPr>
                <w:p w14:paraId="006ECFE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0.34~0.39</w:t>
                  </w:r>
                </w:p>
              </w:tc>
              <w:tc>
                <w:tcPr>
                  <w:tcW w:w="1119" w:type="pct"/>
                  <w:shd w:val="clear" w:color="auto" w:fill="auto"/>
                  <w:noWrap w:val="0"/>
                  <w:vAlign w:val="center"/>
                </w:tcPr>
                <w:p w14:paraId="38C7C35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4.0</w:t>
                  </w:r>
                </w:p>
              </w:tc>
            </w:tr>
            <w:tr w14:paraId="4858C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09DF2FB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8B618F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60D9430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00B2B0F5">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shd w:val="clear" w:color="auto" w:fill="auto"/>
                  <w:noWrap w:val="0"/>
                  <w:vAlign w:val="center"/>
                </w:tcPr>
                <w:p w14:paraId="1A7D3F5A">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0.02~0.03</w:t>
                  </w:r>
                </w:p>
              </w:tc>
              <w:tc>
                <w:tcPr>
                  <w:tcW w:w="1119" w:type="pct"/>
                  <w:shd w:val="clear" w:color="auto" w:fill="auto"/>
                  <w:noWrap w:val="0"/>
                  <w:vAlign w:val="center"/>
                </w:tcPr>
                <w:p w14:paraId="7F023848">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1.5</w:t>
                  </w:r>
                </w:p>
              </w:tc>
            </w:tr>
            <w:tr w14:paraId="0AB26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67D61FB6">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8601B6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restart"/>
                  <w:shd w:val="clear" w:color="auto" w:fill="auto"/>
                  <w:noWrap w:val="0"/>
                  <w:vAlign w:val="center"/>
                </w:tcPr>
                <w:p w14:paraId="4807EA6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下风向1#</w:t>
                  </w:r>
                </w:p>
              </w:tc>
              <w:tc>
                <w:tcPr>
                  <w:tcW w:w="998" w:type="pct"/>
                  <w:shd w:val="clear" w:color="auto" w:fill="auto"/>
                  <w:noWrap w:val="0"/>
                  <w:vAlign w:val="center"/>
                </w:tcPr>
                <w:p w14:paraId="42B5E365">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shd w:val="clear" w:color="auto" w:fill="auto"/>
                  <w:noWrap w:val="0"/>
                  <w:vAlign w:val="center"/>
                </w:tcPr>
                <w:p w14:paraId="50A1FA2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0.293~0.299</w:t>
                  </w:r>
                </w:p>
              </w:tc>
              <w:tc>
                <w:tcPr>
                  <w:tcW w:w="1119" w:type="pct"/>
                  <w:shd w:val="clear" w:color="auto" w:fill="auto"/>
                  <w:noWrap w:val="0"/>
                  <w:vAlign w:val="center"/>
                </w:tcPr>
                <w:p w14:paraId="311CE46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1.0</w:t>
                  </w:r>
                </w:p>
              </w:tc>
            </w:tr>
            <w:tr w14:paraId="45B7E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2593DE1D">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81B9EA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598056F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56885EB2">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shd w:val="clear" w:color="auto" w:fill="auto"/>
                  <w:noWrap w:val="0"/>
                  <w:vAlign w:val="center"/>
                </w:tcPr>
                <w:p w14:paraId="3B6AED7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0.43~0.48</w:t>
                  </w:r>
                </w:p>
              </w:tc>
              <w:tc>
                <w:tcPr>
                  <w:tcW w:w="1119" w:type="pct"/>
                  <w:shd w:val="clear" w:color="auto" w:fill="auto"/>
                  <w:noWrap w:val="0"/>
                  <w:vAlign w:val="center"/>
                </w:tcPr>
                <w:p w14:paraId="2F27F36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4.0</w:t>
                  </w:r>
                </w:p>
              </w:tc>
            </w:tr>
            <w:tr w14:paraId="518DF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5F1813A">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7C2EDCA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062C1ED6">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2449F0A3">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shd w:val="clear" w:color="auto" w:fill="auto"/>
                  <w:noWrap w:val="0"/>
                  <w:vAlign w:val="center"/>
                </w:tcPr>
                <w:p w14:paraId="7CA2661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0.04~0.05</w:t>
                  </w:r>
                </w:p>
              </w:tc>
              <w:tc>
                <w:tcPr>
                  <w:tcW w:w="1119" w:type="pct"/>
                  <w:shd w:val="clear" w:color="auto" w:fill="auto"/>
                  <w:noWrap w:val="0"/>
                  <w:vAlign w:val="center"/>
                </w:tcPr>
                <w:p w14:paraId="0E5A7764">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1.5</w:t>
                  </w:r>
                </w:p>
              </w:tc>
            </w:tr>
            <w:tr w14:paraId="1E467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61506A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C2931F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restart"/>
                  <w:shd w:val="clear" w:color="auto" w:fill="auto"/>
                  <w:noWrap w:val="0"/>
                  <w:vAlign w:val="center"/>
                </w:tcPr>
                <w:p w14:paraId="32C4A0A4">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下风向2#</w:t>
                  </w:r>
                </w:p>
              </w:tc>
              <w:tc>
                <w:tcPr>
                  <w:tcW w:w="998" w:type="pct"/>
                  <w:shd w:val="clear" w:color="auto" w:fill="auto"/>
                  <w:noWrap w:val="0"/>
                  <w:vAlign w:val="center"/>
                </w:tcPr>
                <w:p w14:paraId="1764F8E5">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shd w:val="clear" w:color="auto" w:fill="auto"/>
                  <w:noWrap w:val="0"/>
                  <w:vAlign w:val="center"/>
                </w:tcPr>
                <w:p w14:paraId="59AA36E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0.281~0.288</w:t>
                  </w:r>
                </w:p>
              </w:tc>
              <w:tc>
                <w:tcPr>
                  <w:tcW w:w="1119" w:type="pct"/>
                  <w:shd w:val="clear" w:color="auto" w:fill="auto"/>
                  <w:noWrap w:val="0"/>
                  <w:vAlign w:val="center"/>
                </w:tcPr>
                <w:p w14:paraId="477B0B5E">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1.0</w:t>
                  </w:r>
                </w:p>
              </w:tc>
            </w:tr>
            <w:tr w14:paraId="2417D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11D5A840">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2EA18E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7765938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5140EEF6">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shd w:val="clear" w:color="auto" w:fill="auto"/>
                  <w:noWrap w:val="0"/>
                  <w:vAlign w:val="center"/>
                </w:tcPr>
                <w:p w14:paraId="0EE8F50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0.39~0.45</w:t>
                  </w:r>
                </w:p>
              </w:tc>
              <w:tc>
                <w:tcPr>
                  <w:tcW w:w="1119" w:type="pct"/>
                  <w:shd w:val="clear" w:color="auto" w:fill="auto"/>
                  <w:noWrap w:val="0"/>
                  <w:vAlign w:val="center"/>
                </w:tcPr>
                <w:p w14:paraId="754FE34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4.0</w:t>
                  </w:r>
                </w:p>
              </w:tc>
            </w:tr>
            <w:tr w14:paraId="27977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778B699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6E148D96">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509D5FD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148FD67B">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shd w:val="clear" w:color="auto" w:fill="auto"/>
                  <w:noWrap w:val="0"/>
                  <w:vAlign w:val="center"/>
                </w:tcPr>
                <w:p w14:paraId="74CDF12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0.03~0.06</w:t>
                  </w:r>
                </w:p>
              </w:tc>
              <w:tc>
                <w:tcPr>
                  <w:tcW w:w="1119" w:type="pct"/>
                  <w:shd w:val="clear" w:color="auto" w:fill="auto"/>
                  <w:noWrap w:val="0"/>
                  <w:vAlign w:val="center"/>
                </w:tcPr>
                <w:p w14:paraId="7E9F64E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1.5</w:t>
                  </w:r>
                </w:p>
              </w:tc>
            </w:tr>
            <w:tr w14:paraId="5F6B4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01B0271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77C755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restart"/>
                  <w:shd w:val="clear" w:color="auto" w:fill="auto"/>
                  <w:noWrap w:val="0"/>
                  <w:vAlign w:val="center"/>
                </w:tcPr>
                <w:p w14:paraId="704734C8">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下风向3#</w:t>
                  </w:r>
                </w:p>
              </w:tc>
              <w:tc>
                <w:tcPr>
                  <w:tcW w:w="998" w:type="pct"/>
                  <w:shd w:val="clear" w:color="auto" w:fill="auto"/>
                  <w:noWrap w:val="0"/>
                  <w:vAlign w:val="center"/>
                </w:tcPr>
                <w:p w14:paraId="3ACCDB53">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颗粒物</w:t>
                  </w:r>
                </w:p>
              </w:tc>
              <w:tc>
                <w:tcPr>
                  <w:tcW w:w="1116" w:type="pct"/>
                  <w:shd w:val="clear" w:color="auto" w:fill="auto"/>
                  <w:noWrap w:val="0"/>
                  <w:vAlign w:val="center"/>
                </w:tcPr>
                <w:p w14:paraId="1D518EB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0.280~0.283</w:t>
                  </w:r>
                </w:p>
              </w:tc>
              <w:tc>
                <w:tcPr>
                  <w:tcW w:w="1119" w:type="pct"/>
                  <w:shd w:val="clear" w:color="auto" w:fill="auto"/>
                  <w:noWrap w:val="0"/>
                  <w:vAlign w:val="center"/>
                </w:tcPr>
                <w:p w14:paraId="56E0356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1.0</w:t>
                  </w:r>
                </w:p>
              </w:tc>
            </w:tr>
            <w:tr w14:paraId="3F370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396D18E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041EAFA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1704F834">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54EC2B20">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shd w:val="clear" w:color="auto" w:fill="auto"/>
                  <w:noWrap w:val="0"/>
                  <w:vAlign w:val="center"/>
                </w:tcPr>
                <w:p w14:paraId="357D7BE7">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0.38~0.43</w:t>
                  </w:r>
                </w:p>
              </w:tc>
              <w:tc>
                <w:tcPr>
                  <w:tcW w:w="1119" w:type="pct"/>
                  <w:shd w:val="clear" w:color="auto" w:fill="auto"/>
                  <w:noWrap w:val="0"/>
                  <w:vAlign w:val="center"/>
                </w:tcPr>
                <w:p w14:paraId="1489C26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4.0</w:t>
                  </w:r>
                </w:p>
              </w:tc>
            </w:tr>
            <w:tr w14:paraId="0E12C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22F8AFF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619" w:type="pct"/>
                  <w:vMerge w:val="continue"/>
                  <w:noWrap w:val="0"/>
                  <w:vAlign w:val="center"/>
                </w:tcPr>
                <w:p w14:paraId="103CFF33">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336" w:type="pct"/>
                  <w:vMerge w:val="continue"/>
                  <w:noWrap w:val="0"/>
                  <w:vAlign w:val="center"/>
                </w:tcPr>
                <w:p w14:paraId="4FEE0DC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98" w:type="pct"/>
                  <w:shd w:val="clear" w:color="auto" w:fill="auto"/>
                  <w:noWrap w:val="0"/>
                  <w:vAlign w:val="center"/>
                </w:tcPr>
                <w:p w14:paraId="5176F30D">
                  <w:pPr>
                    <w:keepNext/>
                    <w:keepLines w:val="0"/>
                    <w:pageBreakBefore w:val="0"/>
                    <w:kinsoku/>
                    <w:wordWrap/>
                    <w:overflowPunct/>
                    <w:topLinePunct w:val="0"/>
                    <w:bidi w:val="0"/>
                    <w:jc w:val="center"/>
                    <w:outlineLvl w:val="9"/>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氨</w:t>
                  </w:r>
                </w:p>
              </w:tc>
              <w:tc>
                <w:tcPr>
                  <w:tcW w:w="1116" w:type="pct"/>
                  <w:shd w:val="clear" w:color="auto" w:fill="auto"/>
                  <w:noWrap w:val="0"/>
                  <w:vAlign w:val="center"/>
                </w:tcPr>
                <w:p w14:paraId="31300D19">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0.03~0.05</w:t>
                  </w:r>
                </w:p>
              </w:tc>
              <w:tc>
                <w:tcPr>
                  <w:tcW w:w="1119" w:type="pct"/>
                  <w:shd w:val="clear" w:color="auto" w:fill="auto"/>
                  <w:noWrap w:val="0"/>
                  <w:vAlign w:val="center"/>
                </w:tcPr>
                <w:p w14:paraId="3D26CB4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rPr>
                    <w:t>1.5</w:t>
                  </w:r>
                </w:p>
              </w:tc>
            </w:tr>
            <w:tr w14:paraId="48BFC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restart"/>
                  <w:noWrap w:val="0"/>
                  <w:vAlign w:val="center"/>
                </w:tcPr>
                <w:p w14:paraId="6EE57A0A">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厂区内</w:t>
                  </w:r>
                </w:p>
              </w:tc>
              <w:tc>
                <w:tcPr>
                  <w:tcW w:w="956" w:type="pct"/>
                  <w:gridSpan w:val="2"/>
                  <w:noWrap w:val="0"/>
                  <w:vAlign w:val="center"/>
                </w:tcPr>
                <w:p w14:paraId="3C0C8A4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2024.</w:t>
                  </w:r>
                  <w:r>
                    <w:rPr>
                      <w:rFonts w:hint="eastAsia" w:ascii="Times New Roman" w:hAnsi="Times New Roman" w:eastAsia="宋体" w:cs="Times New Roman"/>
                      <w:b w:val="0"/>
                      <w:bCs w:val="0"/>
                      <w:color w:val="auto"/>
                      <w:sz w:val="21"/>
                      <w:szCs w:val="21"/>
                      <w:vertAlign w:val="baseline"/>
                      <w:lang w:val="en-US" w:eastAsia="zh-CN"/>
                    </w:rPr>
                    <w:t>8.26</w:t>
                  </w:r>
                </w:p>
              </w:tc>
              <w:tc>
                <w:tcPr>
                  <w:tcW w:w="998" w:type="pct"/>
                  <w:vMerge w:val="restart"/>
                  <w:noWrap w:val="0"/>
                  <w:vAlign w:val="center"/>
                </w:tcPr>
                <w:p w14:paraId="707237E2">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非甲烷总烃</w:t>
                  </w:r>
                </w:p>
              </w:tc>
              <w:tc>
                <w:tcPr>
                  <w:tcW w:w="1116" w:type="pct"/>
                  <w:noWrap w:val="0"/>
                  <w:vAlign w:val="center"/>
                </w:tcPr>
                <w:p w14:paraId="7F237D6B">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0.44~0.52</w:t>
                  </w:r>
                </w:p>
              </w:tc>
              <w:tc>
                <w:tcPr>
                  <w:tcW w:w="1119" w:type="pct"/>
                  <w:vMerge w:val="restart"/>
                  <w:noWrap w:val="0"/>
                  <w:vAlign w:val="center"/>
                </w:tcPr>
                <w:p w14:paraId="72AC3B54">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6</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20</w:t>
                  </w:r>
                </w:p>
              </w:tc>
            </w:tr>
            <w:tr w14:paraId="1A610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9" w:type="pct"/>
                  <w:vMerge w:val="continue"/>
                  <w:noWrap w:val="0"/>
                  <w:vAlign w:val="center"/>
                </w:tcPr>
                <w:p w14:paraId="2A60AE61">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c>
                <w:tcPr>
                  <w:tcW w:w="956" w:type="pct"/>
                  <w:gridSpan w:val="2"/>
                  <w:noWrap w:val="0"/>
                  <w:vAlign w:val="center"/>
                </w:tcPr>
                <w:p w14:paraId="40DBBB5C">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2024.</w:t>
                  </w:r>
                  <w:r>
                    <w:rPr>
                      <w:rFonts w:hint="eastAsia" w:ascii="Times New Roman" w:hAnsi="Times New Roman" w:eastAsia="宋体" w:cs="Times New Roman"/>
                      <w:b w:val="0"/>
                      <w:bCs w:val="0"/>
                      <w:color w:val="auto"/>
                      <w:sz w:val="21"/>
                      <w:szCs w:val="21"/>
                      <w:vertAlign w:val="baseline"/>
                      <w:lang w:val="en-US" w:eastAsia="zh-CN"/>
                    </w:rPr>
                    <w:t>8.27</w:t>
                  </w:r>
                </w:p>
              </w:tc>
              <w:tc>
                <w:tcPr>
                  <w:tcW w:w="998" w:type="pct"/>
                  <w:vMerge w:val="continue"/>
                  <w:noWrap w:val="0"/>
                  <w:vAlign w:val="center"/>
                </w:tcPr>
                <w:p w14:paraId="76263826">
                  <w:pPr>
                    <w:keepNext/>
                    <w:keepLines w:val="0"/>
                    <w:pageBreakBefore w:val="0"/>
                    <w:kinsoku/>
                    <w:wordWrap/>
                    <w:overflowPunct/>
                    <w:topLinePunct w:val="0"/>
                    <w:bidi w:val="0"/>
                    <w:jc w:val="center"/>
                    <w:outlineLvl w:val="9"/>
                    <w:rPr>
                      <w:rFonts w:hint="default" w:ascii="Times New Roman" w:hAnsi="Times New Roman" w:eastAsia="宋体" w:cs="Times New Roman"/>
                      <w:color w:val="auto"/>
                      <w:sz w:val="21"/>
                      <w:highlight w:val="none"/>
                      <w:lang w:val="en-US" w:eastAsia="zh-CN"/>
                    </w:rPr>
                  </w:pPr>
                </w:p>
              </w:tc>
              <w:tc>
                <w:tcPr>
                  <w:tcW w:w="1116" w:type="pct"/>
                  <w:noWrap w:val="0"/>
                  <w:vAlign w:val="center"/>
                </w:tcPr>
                <w:p w14:paraId="7EDFAB75">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0.49~0.54</w:t>
                  </w:r>
                </w:p>
              </w:tc>
              <w:tc>
                <w:tcPr>
                  <w:tcW w:w="1119" w:type="pct"/>
                  <w:vMerge w:val="continue"/>
                  <w:noWrap w:val="0"/>
                  <w:vAlign w:val="center"/>
                </w:tcPr>
                <w:p w14:paraId="33C0692F">
                  <w:pPr>
                    <w:keepNext/>
                    <w:keepLines w:val="0"/>
                    <w:pageBreakBefore w:val="0"/>
                    <w:kinsoku/>
                    <w:wordWrap/>
                    <w:overflowPunct/>
                    <w:topLinePunct w:val="0"/>
                    <w:bidi w:val="0"/>
                    <w:jc w:val="center"/>
                    <w:outlineLvl w:val="9"/>
                    <w:rPr>
                      <w:rFonts w:hint="default" w:ascii="Times New Roman" w:hAnsi="Times New Roman" w:eastAsia="宋体" w:cs="Times New Roman"/>
                      <w:b w:val="0"/>
                      <w:bCs w:val="0"/>
                      <w:color w:val="auto"/>
                      <w:sz w:val="21"/>
                      <w:szCs w:val="21"/>
                      <w:vertAlign w:val="baseline"/>
                      <w:lang w:val="en-US" w:eastAsia="zh-CN"/>
                    </w:rPr>
                  </w:pPr>
                </w:p>
              </w:tc>
            </w:tr>
          </w:tbl>
          <w:p w14:paraId="14D10DBF">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根据《年产21000吨乳化粒状铵油炸药生产线（含9000 吨乳胶基质）建设项目》验收期间废气监测数据可知</w:t>
            </w:r>
            <w:bookmarkEnd w:id="68"/>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厂界</w:t>
            </w:r>
            <w:r>
              <w:rPr>
                <w:rFonts w:hint="eastAsia" w:ascii="Times New Roman" w:hAnsi="Times New Roman" w:cs="Times New Roman"/>
                <w:color w:val="auto"/>
                <w:sz w:val="24"/>
                <w:szCs w:val="24"/>
                <w:lang w:val="en-US" w:eastAsia="zh-CN"/>
              </w:rPr>
              <w:t>无组织废气颗粒物排放浓度范围为0.172~0.31mg/m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，符合《大气污染物综合排放标准》中无组织浓度限值1.0mg/m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；氨排放</w:t>
            </w:r>
            <w:bookmarkStart w:id="69" w:name="OLE_LINK216"/>
            <w:r>
              <w:rPr>
                <w:rFonts w:hint="eastAsia" w:ascii="Times New Roman" w:hAnsi="Times New Roman" w:cs="Times New Roman"/>
                <w:color w:val="auto"/>
                <w:sz w:val="24"/>
                <w:szCs w:val="24"/>
                <w:lang w:val="en-US" w:eastAsia="zh-CN"/>
              </w:rPr>
              <w:t>浓度范围为0.01~0.06mg/m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w:t>
            </w:r>
            <w:bookmarkEnd w:id="69"/>
            <w:r>
              <w:rPr>
                <w:rFonts w:hint="eastAsia" w:ascii="Times New Roman" w:hAnsi="Times New Roman" w:cs="Times New Roman"/>
                <w:color w:val="auto"/>
                <w:sz w:val="24"/>
                <w:szCs w:val="24"/>
                <w:lang w:val="en-US" w:eastAsia="zh-CN"/>
              </w:rPr>
              <w:t>符合《恶臭污染物排放标准》 (GB14554- 1993) 中厂界二级标准1.5mg/m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 xml:space="preserve"> ；非甲烷总烃厂界排放浓度</w:t>
            </w:r>
            <w:bookmarkStart w:id="70" w:name="OLE_LINK217"/>
            <w:r>
              <w:rPr>
                <w:rFonts w:hint="eastAsia" w:ascii="Times New Roman" w:hAnsi="Times New Roman" w:cs="Times New Roman"/>
                <w:color w:val="auto"/>
                <w:sz w:val="24"/>
                <w:szCs w:val="24"/>
                <w:lang w:val="en-US" w:eastAsia="zh-CN"/>
              </w:rPr>
              <w:t>范围为0.30~0.48mg/m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w:t>
            </w:r>
            <w:bookmarkEnd w:id="70"/>
            <w:r>
              <w:rPr>
                <w:rFonts w:hint="eastAsia" w:ascii="Times New Roman" w:hAnsi="Times New Roman" w:cs="Times New Roman"/>
                <w:color w:val="auto"/>
                <w:sz w:val="24"/>
                <w:szCs w:val="24"/>
                <w:lang w:val="en-US" w:eastAsia="zh-CN"/>
              </w:rPr>
              <w:t>符合《大气污染物综合排放标准》 (GB16297- 1996) 厂界无组织4.0mg/m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；非甲烷总烃厂区内排放浓度范围为0.44~0.54mg/m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，符合《挥发性有机物无组织排放控制标准》 (GB37822-2019) 在厂房外设置监控点：监控点处1h平均浓度值6mg/m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；监控点处任意一次浓度值20mg/m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w:t>
            </w:r>
          </w:p>
          <w:p w14:paraId="67DC9705">
            <w:pPr>
              <w:keepNext/>
              <w:keepLines w:val="0"/>
              <w:pageBreakBefore w:val="0"/>
              <w:kinsoku/>
              <w:wordWrap/>
              <w:overflowPunct/>
              <w:topLinePunct w:val="0"/>
              <w:bidi w:val="0"/>
              <w:spacing w:line="360" w:lineRule="auto"/>
              <w:ind w:firstLine="480" w:firstLineChars="200"/>
              <w:outlineLvl w:val="9"/>
              <w:rPr>
                <w:rFonts w:hint="default" w:ascii="Times New Roman" w:hAnsi="Times New Roman" w:cs="Times New Roman"/>
                <w:color w:val="auto"/>
                <w:sz w:val="24"/>
                <w:szCs w:val="24"/>
                <w:highlight w:val="yellow"/>
                <w:lang w:val="en-US" w:eastAsia="zh-CN"/>
              </w:rPr>
            </w:pPr>
            <w:r>
              <w:rPr>
                <w:rFonts w:hint="default" w:ascii="Times New Roman" w:hAnsi="Times New Roman" w:cs="Times New Roman"/>
                <w:color w:val="auto"/>
                <w:sz w:val="24"/>
                <w:szCs w:val="24"/>
                <w:lang w:val="en-US" w:eastAsia="zh-CN"/>
              </w:rPr>
              <w:t>20000t乳化炸药生产线</w:t>
            </w:r>
            <w:r>
              <w:rPr>
                <w:rFonts w:hint="eastAsia" w:ascii="Times New Roman" w:hAnsi="Times New Roman" w:cs="Times New Roman"/>
                <w:color w:val="auto"/>
                <w:sz w:val="24"/>
                <w:szCs w:val="24"/>
                <w:lang w:val="en-US" w:eastAsia="zh-CN"/>
              </w:rPr>
              <w:t>污染物排放情况</w:t>
            </w:r>
            <w:r>
              <w:rPr>
                <w:rFonts w:hint="eastAsia" w:cs="Times New Roman"/>
                <w:color w:val="auto"/>
                <w:sz w:val="24"/>
                <w:szCs w:val="24"/>
                <w:lang w:val="en-US" w:eastAsia="zh-CN"/>
              </w:rPr>
              <w:t>引用</w:t>
            </w:r>
            <w:r>
              <w:rPr>
                <w:rFonts w:hint="eastAsia" w:cs="Times New Roman"/>
                <w:color w:val="auto"/>
                <w:spacing w:val="4"/>
                <w:sz w:val="24"/>
                <w:szCs w:val="24"/>
                <w:lang w:val="en-US" w:eastAsia="zh-CN"/>
              </w:rPr>
              <w:t>《</w:t>
            </w:r>
            <w:r>
              <w:rPr>
                <w:rFonts w:hint="eastAsia" w:ascii="宋体" w:hAnsi="宋体" w:eastAsia="宋体" w:cs="宋体"/>
                <w:color w:val="auto"/>
                <w:kern w:val="0"/>
                <w:sz w:val="24"/>
                <w:szCs w:val="24"/>
                <w:lang w:val="en-US" w:eastAsia="zh-CN" w:bidi="ar"/>
              </w:rPr>
              <w:t xml:space="preserve">朝阳红山化工有限责任公司年产 </w:t>
            </w:r>
            <w:r>
              <w:rPr>
                <w:rFonts w:hint="default" w:ascii="Times New Roman" w:hAnsi="Times New Roman" w:eastAsia="宋体" w:cs="Times New Roman"/>
                <w:color w:val="auto"/>
                <w:kern w:val="0"/>
                <w:sz w:val="24"/>
                <w:szCs w:val="24"/>
                <w:lang w:val="en-US" w:eastAsia="zh-CN" w:bidi="ar"/>
              </w:rPr>
              <w:t xml:space="preserve">20000t </w:t>
            </w:r>
            <w:r>
              <w:rPr>
                <w:rFonts w:hint="eastAsia" w:ascii="宋体" w:hAnsi="宋体" w:eastAsia="宋体" w:cs="宋体"/>
                <w:color w:val="auto"/>
                <w:kern w:val="0"/>
                <w:sz w:val="24"/>
                <w:szCs w:val="24"/>
                <w:lang w:val="en-US" w:eastAsia="zh-CN" w:bidi="ar"/>
              </w:rPr>
              <w:t>乳化炸药生产线扩能升级改造项目竣工环境保护验收监测报告</w:t>
            </w:r>
            <w:r>
              <w:rPr>
                <w:rFonts w:hint="eastAsia" w:cs="Times New Roman"/>
                <w:color w:val="auto"/>
                <w:spacing w:val="4"/>
                <w:sz w:val="24"/>
                <w:szCs w:val="24"/>
                <w:lang w:val="en-US" w:eastAsia="zh-CN"/>
              </w:rPr>
              <w:t>》中监测数据，具体</w:t>
            </w:r>
            <w:r>
              <w:rPr>
                <w:rFonts w:hint="eastAsia" w:cs="Times New Roman"/>
                <w:color w:val="auto"/>
                <w:sz w:val="24"/>
                <w:szCs w:val="24"/>
                <w:lang w:val="en-US" w:eastAsia="zh-CN"/>
              </w:rPr>
              <w:t>见表2-17和表2-18。</w:t>
            </w:r>
          </w:p>
          <w:p w14:paraId="62F61F82">
            <w:pPr>
              <w:pStyle w:val="20"/>
              <w:keepNext/>
              <w:keepLines w:val="0"/>
              <w:pageBreakBefore w:val="0"/>
              <w:tabs>
                <w:tab w:val="center" w:pos="4153"/>
                <w:tab w:val="right" w:pos="8306"/>
              </w:tabs>
              <w:kinsoku/>
              <w:wordWrap/>
              <w:overflowPunct/>
              <w:topLinePunct w:val="0"/>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2-</w:t>
            </w:r>
            <w:r>
              <w:rPr>
                <w:rFonts w:hint="eastAsia" w:eastAsia="宋体" w:cs="Times New Roman"/>
                <w:b/>
                <w:bCs/>
                <w:color w:val="auto"/>
                <w:sz w:val="21"/>
                <w:szCs w:val="21"/>
                <w:highlight w:val="none"/>
                <w:lang w:val="en-US" w:eastAsia="zh-CN"/>
              </w:rPr>
              <w:t>17</w:t>
            </w:r>
            <w:r>
              <w:rPr>
                <w:rFonts w:hint="default" w:ascii="Times New Roman" w:hAnsi="Times New Roman" w:eastAsia="宋体" w:cs="Times New Roman"/>
                <w:b/>
                <w:bCs/>
                <w:color w:val="auto"/>
                <w:sz w:val="21"/>
                <w:szCs w:val="21"/>
                <w:highlight w:val="none"/>
                <w:lang w:val="en-US" w:eastAsia="zh-CN"/>
              </w:rPr>
              <w:t xml:space="preserve">  20000t乳化炸药生产线废气排放情况</w:t>
            </w:r>
          </w:p>
          <w:tbl>
            <w:tblPr>
              <w:tblStyle w:val="8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32"/>
              <w:gridCol w:w="1387"/>
              <w:gridCol w:w="1924"/>
              <w:gridCol w:w="1630"/>
              <w:gridCol w:w="1839"/>
            </w:tblGrid>
            <w:tr w14:paraId="19282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4" w:hRule="atLeast"/>
                <w:jc w:val="center"/>
              </w:trPr>
              <w:tc>
                <w:tcPr>
                  <w:tcW w:w="922" w:type="pct"/>
                  <w:vMerge w:val="restart"/>
                  <w:vAlign w:val="center"/>
                </w:tcPr>
                <w:p w14:paraId="44CE922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pacing w:val="6"/>
                      <w:sz w:val="21"/>
                      <w:szCs w:val="21"/>
                      <w:lang w:val="en-US" w:eastAsia="zh-CN"/>
                    </w:rPr>
                    <w:t>类别</w:t>
                  </w:r>
                </w:p>
              </w:tc>
              <w:tc>
                <w:tcPr>
                  <w:tcW w:w="834" w:type="pct"/>
                  <w:vMerge w:val="restart"/>
                  <w:vAlign w:val="center"/>
                </w:tcPr>
                <w:p w14:paraId="08E579F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采样日期</w:t>
                  </w:r>
                </w:p>
              </w:tc>
              <w:tc>
                <w:tcPr>
                  <w:tcW w:w="1157" w:type="pct"/>
                  <w:vMerge w:val="restart"/>
                  <w:vAlign w:val="center"/>
                </w:tcPr>
                <w:p w14:paraId="44F4651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检测点位</w:t>
                  </w:r>
                </w:p>
              </w:tc>
              <w:tc>
                <w:tcPr>
                  <w:tcW w:w="2086" w:type="pct"/>
                  <w:gridSpan w:val="2"/>
                  <w:vAlign w:val="center"/>
                </w:tcPr>
                <w:p w14:paraId="71F813A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检测结果</w:t>
                  </w:r>
                </w:p>
              </w:tc>
            </w:tr>
            <w:tr w14:paraId="13EB5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4" w:hRule="atLeast"/>
                <w:jc w:val="center"/>
              </w:trPr>
              <w:tc>
                <w:tcPr>
                  <w:tcW w:w="922" w:type="pct"/>
                  <w:vMerge w:val="continue"/>
                  <w:vAlign w:val="center"/>
                </w:tcPr>
                <w:p w14:paraId="75CBEBF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pacing w:val="6"/>
                      <w:sz w:val="21"/>
                      <w:szCs w:val="21"/>
                    </w:rPr>
                  </w:pPr>
                </w:p>
              </w:tc>
              <w:tc>
                <w:tcPr>
                  <w:tcW w:w="834" w:type="pct"/>
                  <w:vMerge w:val="continue"/>
                  <w:vAlign w:val="center"/>
                </w:tcPr>
                <w:p w14:paraId="6AB00EC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pacing w:val="6"/>
                      <w:sz w:val="21"/>
                      <w:szCs w:val="21"/>
                    </w:rPr>
                  </w:pPr>
                </w:p>
              </w:tc>
              <w:tc>
                <w:tcPr>
                  <w:tcW w:w="1157" w:type="pct"/>
                  <w:vMerge w:val="continue"/>
                  <w:vAlign w:val="center"/>
                </w:tcPr>
                <w:p w14:paraId="342F836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pacing w:val="6"/>
                      <w:sz w:val="21"/>
                      <w:szCs w:val="21"/>
                    </w:rPr>
                  </w:pPr>
                </w:p>
              </w:tc>
              <w:tc>
                <w:tcPr>
                  <w:tcW w:w="980" w:type="pct"/>
                  <w:vAlign w:val="center"/>
                </w:tcPr>
                <w:p w14:paraId="1C1078D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7"/>
                      <w:sz w:val="21"/>
                      <w:szCs w:val="21"/>
                    </w:rPr>
                    <w:t>颗粒物</w:t>
                  </w:r>
                </w:p>
                <w:p w14:paraId="0D72A6D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2"/>
                      <w:sz w:val="21"/>
                      <w:szCs w:val="21"/>
                      <w:lang w:eastAsia="zh-CN"/>
                    </w:rPr>
                    <w:t>（</w:t>
                  </w:r>
                  <w:r>
                    <w:rPr>
                      <w:rFonts w:hint="default" w:ascii="Times New Roman" w:hAnsi="Times New Roman" w:eastAsia="宋体" w:cs="Times New Roman"/>
                      <w:b/>
                      <w:bCs/>
                      <w:color w:val="auto"/>
                      <w:sz w:val="21"/>
                      <w:szCs w:val="21"/>
                    </w:rPr>
                    <w:t>mg</w:t>
                  </w:r>
                  <w:r>
                    <w:rPr>
                      <w:rFonts w:hint="default" w:ascii="Times New Roman" w:hAnsi="Times New Roman" w:eastAsia="宋体" w:cs="Times New Roman"/>
                      <w:b/>
                      <w:bCs/>
                      <w:color w:val="auto"/>
                      <w:spacing w:val="8"/>
                      <w:sz w:val="21"/>
                      <w:szCs w:val="21"/>
                    </w:rPr>
                    <w:t>/m</w:t>
                  </w:r>
                  <w:r>
                    <w:rPr>
                      <w:rFonts w:hint="eastAsia" w:ascii="Times New Roman" w:hAnsi="Times New Roman" w:eastAsia="宋体" w:cs="Times New Roman"/>
                      <w:b/>
                      <w:bCs/>
                      <w:color w:val="auto"/>
                      <w:spacing w:val="8"/>
                      <w:sz w:val="21"/>
                      <w:szCs w:val="21"/>
                      <w:vertAlign w:val="superscript"/>
                      <w:lang w:val="en-US" w:eastAsia="zh-CN"/>
                    </w:rPr>
                    <w:t>3</w:t>
                  </w:r>
                  <w:r>
                    <w:rPr>
                      <w:rFonts w:hint="default" w:ascii="Times New Roman" w:hAnsi="Times New Roman" w:eastAsia="宋体" w:cs="Times New Roman"/>
                      <w:b/>
                      <w:bCs/>
                      <w:color w:val="auto"/>
                      <w:spacing w:val="2"/>
                      <w:sz w:val="21"/>
                      <w:szCs w:val="21"/>
                      <w:lang w:eastAsia="zh-CN"/>
                    </w:rPr>
                    <w:t>）</w:t>
                  </w:r>
                </w:p>
              </w:tc>
              <w:tc>
                <w:tcPr>
                  <w:tcW w:w="1106" w:type="pct"/>
                  <w:vAlign w:val="center"/>
                </w:tcPr>
                <w:p w14:paraId="0A14D4B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非甲烷总烃</w:t>
                  </w:r>
                  <w:r>
                    <w:rPr>
                      <w:rFonts w:hint="default" w:ascii="Times New Roman" w:hAnsi="Times New Roman" w:eastAsia="宋体" w:cs="Times New Roman"/>
                      <w:b/>
                      <w:bCs/>
                      <w:color w:val="auto"/>
                      <w:spacing w:val="7"/>
                      <w:sz w:val="21"/>
                      <w:szCs w:val="21"/>
                      <w:lang w:eastAsia="zh-CN"/>
                    </w:rPr>
                    <w:t>（</w:t>
                  </w:r>
                  <w:r>
                    <w:rPr>
                      <w:rFonts w:hint="default" w:ascii="Times New Roman" w:hAnsi="Times New Roman" w:eastAsia="宋体" w:cs="Times New Roman"/>
                      <w:b/>
                      <w:bCs/>
                      <w:color w:val="auto"/>
                      <w:sz w:val="21"/>
                      <w:szCs w:val="21"/>
                    </w:rPr>
                    <w:t>mg</w:t>
                  </w:r>
                  <w:r>
                    <w:rPr>
                      <w:rFonts w:hint="default" w:ascii="Times New Roman" w:hAnsi="Times New Roman" w:eastAsia="宋体" w:cs="Times New Roman"/>
                      <w:b/>
                      <w:bCs/>
                      <w:color w:val="auto"/>
                      <w:spacing w:val="8"/>
                      <w:sz w:val="21"/>
                      <w:szCs w:val="21"/>
                    </w:rPr>
                    <w:t>/m</w:t>
                  </w:r>
                  <w:r>
                    <w:rPr>
                      <w:rFonts w:hint="eastAsia" w:ascii="Times New Roman" w:hAnsi="Times New Roman" w:eastAsia="宋体" w:cs="Times New Roman"/>
                      <w:b/>
                      <w:bCs/>
                      <w:color w:val="auto"/>
                      <w:spacing w:val="8"/>
                      <w:sz w:val="21"/>
                      <w:szCs w:val="21"/>
                      <w:vertAlign w:val="superscript"/>
                      <w:lang w:val="en-US" w:eastAsia="zh-CN"/>
                    </w:rPr>
                    <w:t>3</w:t>
                  </w:r>
                  <w:r>
                    <w:rPr>
                      <w:rFonts w:hint="default" w:ascii="Times New Roman" w:hAnsi="Times New Roman" w:eastAsia="宋体" w:cs="Times New Roman"/>
                      <w:b/>
                      <w:bCs/>
                      <w:color w:val="auto"/>
                      <w:spacing w:val="7"/>
                      <w:sz w:val="21"/>
                      <w:szCs w:val="21"/>
                      <w:lang w:eastAsia="zh-CN"/>
                    </w:rPr>
                    <w:t>）</w:t>
                  </w:r>
                </w:p>
              </w:tc>
            </w:tr>
            <w:tr w14:paraId="6BB30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922" w:type="pct"/>
                  <w:vMerge w:val="restart"/>
                  <w:vAlign w:val="center"/>
                </w:tcPr>
                <w:p w14:paraId="3ED91F9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无组织废气</w:t>
                  </w:r>
                </w:p>
              </w:tc>
              <w:tc>
                <w:tcPr>
                  <w:tcW w:w="834" w:type="pct"/>
                  <w:vMerge w:val="restart"/>
                  <w:vAlign w:val="center"/>
                </w:tcPr>
                <w:p w14:paraId="3512921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p w14:paraId="218488B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2025.04.14</w:t>
                  </w:r>
                </w:p>
              </w:tc>
              <w:tc>
                <w:tcPr>
                  <w:tcW w:w="1157" w:type="pct"/>
                  <w:vMerge w:val="restart"/>
                  <w:vAlign w:val="center"/>
                </w:tcPr>
                <w:p w14:paraId="7A5CC00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上风向</w:t>
                  </w:r>
                </w:p>
              </w:tc>
              <w:tc>
                <w:tcPr>
                  <w:tcW w:w="980" w:type="pct"/>
                  <w:vAlign w:val="center"/>
                </w:tcPr>
                <w:p w14:paraId="1296674A">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0.187</w:t>
                  </w:r>
                </w:p>
              </w:tc>
              <w:tc>
                <w:tcPr>
                  <w:tcW w:w="1106" w:type="pct"/>
                  <w:shd w:val="clear" w:color="auto" w:fill="auto"/>
                  <w:vAlign w:val="center"/>
                </w:tcPr>
                <w:p w14:paraId="63EE2E90">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0.34</w:t>
                  </w:r>
                </w:p>
              </w:tc>
            </w:tr>
            <w:tr w14:paraId="48B57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922" w:type="pct"/>
                  <w:vMerge w:val="continue"/>
                  <w:vAlign w:val="center"/>
                </w:tcPr>
                <w:p w14:paraId="2F66FBD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lang w:val="en-US" w:eastAsia="zh-CN"/>
                    </w:rPr>
                  </w:pPr>
                </w:p>
              </w:tc>
              <w:tc>
                <w:tcPr>
                  <w:tcW w:w="834" w:type="pct"/>
                  <w:vMerge w:val="continue"/>
                  <w:vAlign w:val="center"/>
                </w:tcPr>
                <w:p w14:paraId="65294BA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4"/>
                      <w:sz w:val="21"/>
                      <w:szCs w:val="21"/>
                    </w:rPr>
                  </w:pPr>
                </w:p>
              </w:tc>
              <w:tc>
                <w:tcPr>
                  <w:tcW w:w="1157" w:type="pct"/>
                  <w:vMerge w:val="continue"/>
                  <w:vAlign w:val="center"/>
                </w:tcPr>
                <w:p w14:paraId="488F8A66">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rPr>
                  </w:pPr>
                </w:p>
              </w:tc>
              <w:tc>
                <w:tcPr>
                  <w:tcW w:w="980" w:type="pct"/>
                  <w:vAlign w:val="center"/>
                </w:tcPr>
                <w:p w14:paraId="12230D83">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0.200</w:t>
                  </w:r>
                </w:p>
              </w:tc>
              <w:tc>
                <w:tcPr>
                  <w:tcW w:w="1106" w:type="pct"/>
                  <w:shd w:val="clear" w:color="auto" w:fill="auto"/>
                  <w:vAlign w:val="center"/>
                </w:tcPr>
                <w:p w14:paraId="1E01C9F2">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0.35</w:t>
                  </w:r>
                </w:p>
              </w:tc>
            </w:tr>
            <w:tr w14:paraId="21956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922" w:type="pct"/>
                  <w:vMerge w:val="continue"/>
                  <w:vAlign w:val="center"/>
                </w:tcPr>
                <w:p w14:paraId="0E8DE99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lang w:val="en-US" w:eastAsia="zh-CN"/>
                    </w:rPr>
                  </w:pPr>
                </w:p>
              </w:tc>
              <w:tc>
                <w:tcPr>
                  <w:tcW w:w="834" w:type="pct"/>
                  <w:vMerge w:val="continue"/>
                  <w:vAlign w:val="center"/>
                </w:tcPr>
                <w:p w14:paraId="7D0CB3D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4"/>
                      <w:sz w:val="21"/>
                      <w:szCs w:val="21"/>
                    </w:rPr>
                  </w:pPr>
                </w:p>
              </w:tc>
              <w:tc>
                <w:tcPr>
                  <w:tcW w:w="1157" w:type="pct"/>
                  <w:vMerge w:val="continue"/>
                  <w:shd w:val="clear" w:color="auto" w:fill="auto"/>
                  <w:vAlign w:val="center"/>
                </w:tcPr>
                <w:p w14:paraId="6119DE1B">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en-US" w:bidi="ar-SA"/>
                    </w:rPr>
                  </w:pPr>
                </w:p>
              </w:tc>
              <w:tc>
                <w:tcPr>
                  <w:tcW w:w="980" w:type="pct"/>
                  <w:shd w:val="clear" w:color="auto" w:fill="auto"/>
                  <w:vAlign w:val="center"/>
                </w:tcPr>
                <w:p w14:paraId="16785F7F">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0.206</w:t>
                  </w:r>
                </w:p>
              </w:tc>
              <w:tc>
                <w:tcPr>
                  <w:tcW w:w="1106" w:type="pct"/>
                  <w:shd w:val="clear" w:color="auto" w:fill="auto"/>
                  <w:vAlign w:val="center"/>
                </w:tcPr>
                <w:p w14:paraId="73EED0F0">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0.31</w:t>
                  </w:r>
                </w:p>
              </w:tc>
            </w:tr>
            <w:tr w14:paraId="3B4A1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922" w:type="pct"/>
                  <w:vMerge w:val="continue"/>
                  <w:vAlign w:val="center"/>
                </w:tcPr>
                <w:p w14:paraId="5BEED2A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lang w:val="en-US" w:eastAsia="zh-CN"/>
                    </w:rPr>
                  </w:pPr>
                </w:p>
              </w:tc>
              <w:tc>
                <w:tcPr>
                  <w:tcW w:w="834" w:type="pct"/>
                  <w:vMerge w:val="continue"/>
                  <w:vAlign w:val="center"/>
                </w:tcPr>
                <w:p w14:paraId="71D7B6A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4"/>
                      <w:sz w:val="21"/>
                      <w:szCs w:val="21"/>
                    </w:rPr>
                  </w:pPr>
                </w:p>
              </w:tc>
              <w:tc>
                <w:tcPr>
                  <w:tcW w:w="1157" w:type="pct"/>
                  <w:vMerge w:val="continue"/>
                  <w:vAlign w:val="center"/>
                </w:tcPr>
                <w:p w14:paraId="53CE865A">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rPr>
                  </w:pPr>
                </w:p>
              </w:tc>
              <w:tc>
                <w:tcPr>
                  <w:tcW w:w="980" w:type="pct"/>
                  <w:vAlign w:val="center"/>
                </w:tcPr>
                <w:p w14:paraId="446D1917">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0.193</w:t>
                  </w:r>
                </w:p>
              </w:tc>
              <w:tc>
                <w:tcPr>
                  <w:tcW w:w="1106" w:type="pct"/>
                  <w:shd w:val="clear" w:color="auto" w:fill="auto"/>
                  <w:vAlign w:val="center"/>
                </w:tcPr>
                <w:p w14:paraId="7CEB542B">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0.33</w:t>
                  </w:r>
                </w:p>
              </w:tc>
            </w:tr>
            <w:tr w14:paraId="6FC87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922" w:type="pct"/>
                  <w:vMerge w:val="continue"/>
                  <w:vAlign w:val="center"/>
                </w:tcPr>
                <w:p w14:paraId="0F5E0DB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3E403E5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restart"/>
                  <w:vAlign w:val="center"/>
                </w:tcPr>
                <w:p w14:paraId="7C2ACB2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下风向</w:t>
                  </w:r>
                  <w:r>
                    <w:rPr>
                      <w:rFonts w:hint="default" w:ascii="Times New Roman" w:hAnsi="Times New Roman" w:eastAsia="宋体" w:cs="Times New Roman"/>
                      <w:color w:val="auto"/>
                      <w:spacing w:val="-20"/>
                      <w:sz w:val="21"/>
                      <w:szCs w:val="21"/>
                    </w:rPr>
                    <w:t xml:space="preserve"> </w:t>
                  </w:r>
                  <w:r>
                    <w:rPr>
                      <w:rFonts w:hint="default" w:ascii="Times New Roman" w:hAnsi="Times New Roman" w:eastAsia="宋体" w:cs="Times New Roman"/>
                      <w:color w:val="auto"/>
                      <w:spacing w:val="3"/>
                      <w:sz w:val="21"/>
                      <w:szCs w:val="21"/>
                    </w:rPr>
                    <w:t>1</w:t>
                  </w:r>
                </w:p>
              </w:tc>
              <w:tc>
                <w:tcPr>
                  <w:tcW w:w="980" w:type="pct"/>
                  <w:vAlign w:val="center"/>
                </w:tcPr>
                <w:p w14:paraId="184B4491">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0.416</w:t>
                  </w:r>
                </w:p>
              </w:tc>
              <w:tc>
                <w:tcPr>
                  <w:tcW w:w="1106" w:type="pct"/>
                  <w:shd w:val="clear" w:color="auto" w:fill="auto"/>
                  <w:vAlign w:val="center"/>
                </w:tcPr>
                <w:p w14:paraId="37AD282E">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0.63</w:t>
                  </w:r>
                </w:p>
              </w:tc>
            </w:tr>
            <w:tr w14:paraId="035AA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922" w:type="pct"/>
                  <w:vMerge w:val="continue"/>
                  <w:vAlign w:val="center"/>
                </w:tcPr>
                <w:p w14:paraId="2B6A83F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18AA3BC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06F990AC">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72F889F6">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0.421</w:t>
                  </w:r>
                </w:p>
              </w:tc>
              <w:tc>
                <w:tcPr>
                  <w:tcW w:w="1106" w:type="pct"/>
                  <w:shd w:val="clear" w:color="auto" w:fill="auto"/>
                  <w:vAlign w:val="center"/>
                </w:tcPr>
                <w:p w14:paraId="1C9ABE23">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0.60</w:t>
                  </w:r>
                </w:p>
              </w:tc>
            </w:tr>
            <w:tr w14:paraId="44861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922" w:type="pct"/>
                  <w:vMerge w:val="continue"/>
                  <w:vAlign w:val="center"/>
                </w:tcPr>
                <w:p w14:paraId="28D4761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1E67EDC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5AD0E776">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4C3BD3D1">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0.431</w:t>
                  </w:r>
                </w:p>
              </w:tc>
              <w:tc>
                <w:tcPr>
                  <w:tcW w:w="1106" w:type="pct"/>
                  <w:shd w:val="clear" w:color="auto" w:fill="auto"/>
                  <w:vAlign w:val="center"/>
                </w:tcPr>
                <w:p w14:paraId="16001205">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0.55</w:t>
                  </w:r>
                </w:p>
              </w:tc>
            </w:tr>
            <w:tr w14:paraId="16A3A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922" w:type="pct"/>
                  <w:vMerge w:val="continue"/>
                  <w:vAlign w:val="center"/>
                </w:tcPr>
                <w:p w14:paraId="1DD64E2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18C3656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351ECB76">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5965D1DA">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0.411</w:t>
                  </w:r>
                </w:p>
              </w:tc>
              <w:tc>
                <w:tcPr>
                  <w:tcW w:w="1106" w:type="pct"/>
                  <w:shd w:val="clear" w:color="auto" w:fill="auto"/>
                  <w:vAlign w:val="center"/>
                </w:tcPr>
                <w:p w14:paraId="7C0811A7">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0.58</w:t>
                  </w:r>
                </w:p>
              </w:tc>
            </w:tr>
            <w:tr w14:paraId="00F8B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9" w:hRule="atLeast"/>
                <w:jc w:val="center"/>
              </w:trPr>
              <w:tc>
                <w:tcPr>
                  <w:tcW w:w="922" w:type="pct"/>
                  <w:vMerge w:val="continue"/>
                  <w:vAlign w:val="center"/>
                </w:tcPr>
                <w:p w14:paraId="093C327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41C6E4D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restart"/>
                  <w:vAlign w:val="center"/>
                </w:tcPr>
                <w:p w14:paraId="4937C83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下风向</w:t>
                  </w:r>
                  <w:r>
                    <w:rPr>
                      <w:rFonts w:hint="default" w:ascii="Times New Roman" w:hAnsi="Times New Roman" w:eastAsia="宋体" w:cs="Times New Roman"/>
                      <w:color w:val="auto"/>
                      <w:spacing w:val="-40"/>
                      <w:sz w:val="21"/>
                      <w:szCs w:val="21"/>
                    </w:rPr>
                    <w:t xml:space="preserve"> </w:t>
                  </w:r>
                  <w:r>
                    <w:rPr>
                      <w:rFonts w:hint="default" w:ascii="Times New Roman" w:hAnsi="Times New Roman" w:eastAsia="宋体" w:cs="Times New Roman"/>
                      <w:color w:val="auto"/>
                      <w:spacing w:val="3"/>
                      <w:sz w:val="21"/>
                      <w:szCs w:val="21"/>
                    </w:rPr>
                    <w:t>2</w:t>
                  </w:r>
                </w:p>
              </w:tc>
              <w:tc>
                <w:tcPr>
                  <w:tcW w:w="980" w:type="pct"/>
                  <w:vAlign w:val="center"/>
                </w:tcPr>
                <w:p w14:paraId="7ED0AFEC">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0.443</w:t>
                  </w:r>
                </w:p>
              </w:tc>
              <w:tc>
                <w:tcPr>
                  <w:tcW w:w="1106" w:type="pct"/>
                  <w:shd w:val="clear" w:color="auto" w:fill="auto"/>
                  <w:vAlign w:val="center"/>
                </w:tcPr>
                <w:p w14:paraId="028BC484">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0.65</w:t>
                  </w:r>
                </w:p>
              </w:tc>
            </w:tr>
            <w:tr w14:paraId="5AD56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9" w:hRule="atLeast"/>
                <w:jc w:val="center"/>
              </w:trPr>
              <w:tc>
                <w:tcPr>
                  <w:tcW w:w="922" w:type="pct"/>
                  <w:vMerge w:val="continue"/>
                  <w:vAlign w:val="center"/>
                </w:tcPr>
                <w:p w14:paraId="6449EF5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31E0FDB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3D42FEA8">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0CA00EB4">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0.460</w:t>
                  </w:r>
                </w:p>
              </w:tc>
              <w:tc>
                <w:tcPr>
                  <w:tcW w:w="1106" w:type="pct"/>
                  <w:shd w:val="clear" w:color="auto" w:fill="auto"/>
                  <w:vAlign w:val="center"/>
                </w:tcPr>
                <w:p w14:paraId="2028B47D">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0.68</w:t>
                  </w:r>
                </w:p>
              </w:tc>
            </w:tr>
            <w:tr w14:paraId="011AC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9" w:hRule="atLeast"/>
                <w:jc w:val="center"/>
              </w:trPr>
              <w:tc>
                <w:tcPr>
                  <w:tcW w:w="922" w:type="pct"/>
                  <w:vMerge w:val="continue"/>
                  <w:vAlign w:val="center"/>
                </w:tcPr>
                <w:p w14:paraId="67C580C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562CFCC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4E75E4E6">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61603145">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0.471</w:t>
                  </w:r>
                </w:p>
              </w:tc>
              <w:tc>
                <w:tcPr>
                  <w:tcW w:w="1106" w:type="pct"/>
                  <w:shd w:val="clear" w:color="auto" w:fill="auto"/>
                  <w:vAlign w:val="center"/>
                </w:tcPr>
                <w:p w14:paraId="1A9BAD8B">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0.62</w:t>
                  </w:r>
                </w:p>
              </w:tc>
            </w:tr>
            <w:tr w14:paraId="71C98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9" w:hRule="atLeast"/>
                <w:jc w:val="center"/>
              </w:trPr>
              <w:tc>
                <w:tcPr>
                  <w:tcW w:w="922" w:type="pct"/>
                  <w:vMerge w:val="continue"/>
                  <w:vAlign w:val="center"/>
                </w:tcPr>
                <w:p w14:paraId="0396124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6B8F87A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46B3A902">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4622B9BF">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0.454</w:t>
                  </w:r>
                </w:p>
              </w:tc>
              <w:tc>
                <w:tcPr>
                  <w:tcW w:w="1106" w:type="pct"/>
                  <w:shd w:val="clear" w:color="auto" w:fill="auto"/>
                  <w:vAlign w:val="center"/>
                </w:tcPr>
                <w:p w14:paraId="5C347FC9">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0.62</w:t>
                  </w:r>
                </w:p>
              </w:tc>
            </w:tr>
            <w:tr w14:paraId="7D0F0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922" w:type="pct"/>
                  <w:vMerge w:val="continue"/>
                  <w:vAlign w:val="center"/>
                </w:tcPr>
                <w:p w14:paraId="4645412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1509D24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restart"/>
                  <w:vAlign w:val="center"/>
                </w:tcPr>
                <w:p w14:paraId="4248DD47">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下风向</w:t>
                  </w:r>
                  <w:r>
                    <w:rPr>
                      <w:rFonts w:hint="default" w:ascii="Times New Roman" w:hAnsi="Times New Roman" w:eastAsia="宋体" w:cs="Times New Roman"/>
                      <w:color w:val="auto"/>
                      <w:spacing w:val="-36"/>
                      <w:sz w:val="21"/>
                      <w:szCs w:val="21"/>
                    </w:rPr>
                    <w:t xml:space="preserve"> </w:t>
                  </w:r>
                  <w:r>
                    <w:rPr>
                      <w:rFonts w:hint="default" w:ascii="Times New Roman" w:hAnsi="Times New Roman" w:eastAsia="宋体" w:cs="Times New Roman"/>
                      <w:color w:val="auto"/>
                      <w:spacing w:val="3"/>
                      <w:sz w:val="21"/>
                      <w:szCs w:val="21"/>
                    </w:rPr>
                    <w:t>3</w:t>
                  </w:r>
                </w:p>
              </w:tc>
              <w:tc>
                <w:tcPr>
                  <w:tcW w:w="980" w:type="pct"/>
                  <w:vAlign w:val="center"/>
                </w:tcPr>
                <w:p w14:paraId="6B4B372E">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0.373</w:t>
                  </w:r>
                </w:p>
              </w:tc>
              <w:tc>
                <w:tcPr>
                  <w:tcW w:w="1106" w:type="pct"/>
                  <w:shd w:val="clear" w:color="auto" w:fill="auto"/>
                  <w:vAlign w:val="center"/>
                </w:tcPr>
                <w:p w14:paraId="36E88391">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0.52</w:t>
                  </w:r>
                </w:p>
              </w:tc>
            </w:tr>
            <w:tr w14:paraId="1AAFB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9" w:hRule="atLeast"/>
                <w:jc w:val="center"/>
              </w:trPr>
              <w:tc>
                <w:tcPr>
                  <w:tcW w:w="922" w:type="pct"/>
                  <w:vMerge w:val="continue"/>
                  <w:vAlign w:val="center"/>
                </w:tcPr>
                <w:p w14:paraId="3274D1A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3C53F8A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3187EC07">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980" w:type="pct"/>
                  <w:vAlign w:val="center"/>
                </w:tcPr>
                <w:p w14:paraId="16E36534">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0.381</w:t>
                  </w:r>
                </w:p>
              </w:tc>
              <w:tc>
                <w:tcPr>
                  <w:tcW w:w="1106" w:type="pct"/>
                  <w:shd w:val="clear" w:color="auto" w:fill="auto"/>
                  <w:vAlign w:val="center"/>
                </w:tcPr>
                <w:p w14:paraId="36CC3FDE">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0.46</w:t>
                  </w:r>
                </w:p>
              </w:tc>
            </w:tr>
            <w:tr w14:paraId="1C425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64BE032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0ED8764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47D53CA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980" w:type="pct"/>
                  <w:vAlign w:val="center"/>
                </w:tcPr>
                <w:p w14:paraId="681B8157">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0.389</w:t>
                  </w:r>
                </w:p>
              </w:tc>
              <w:tc>
                <w:tcPr>
                  <w:tcW w:w="1106" w:type="pct"/>
                  <w:shd w:val="clear" w:color="auto" w:fill="auto"/>
                  <w:vAlign w:val="center"/>
                </w:tcPr>
                <w:p w14:paraId="11DAA6E0">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0.50</w:t>
                  </w:r>
                </w:p>
              </w:tc>
            </w:tr>
            <w:tr w14:paraId="7224D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36792E2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089DF86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7DC210D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980" w:type="pct"/>
                  <w:vAlign w:val="center"/>
                </w:tcPr>
                <w:p w14:paraId="69CCCBE4">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0.379</w:t>
                  </w:r>
                </w:p>
              </w:tc>
              <w:tc>
                <w:tcPr>
                  <w:tcW w:w="1106" w:type="pct"/>
                  <w:shd w:val="clear" w:color="auto" w:fill="auto"/>
                  <w:vAlign w:val="center"/>
                </w:tcPr>
                <w:p w14:paraId="243A5083">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0.48</w:t>
                  </w:r>
                </w:p>
              </w:tc>
            </w:tr>
            <w:tr w14:paraId="6EC9B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7ED0E76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restart"/>
                  <w:vAlign w:val="center"/>
                </w:tcPr>
                <w:p w14:paraId="0A5019E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2025.04.15</w:t>
                  </w:r>
                </w:p>
              </w:tc>
              <w:tc>
                <w:tcPr>
                  <w:tcW w:w="1157" w:type="pct"/>
                  <w:vMerge w:val="restart"/>
                  <w:vAlign w:val="center"/>
                </w:tcPr>
                <w:p w14:paraId="4234867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上风向</w:t>
                  </w:r>
                </w:p>
              </w:tc>
              <w:tc>
                <w:tcPr>
                  <w:tcW w:w="980" w:type="pct"/>
                  <w:vAlign w:val="center"/>
                </w:tcPr>
                <w:p w14:paraId="24480E95">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0.193</w:t>
                  </w:r>
                </w:p>
              </w:tc>
              <w:tc>
                <w:tcPr>
                  <w:tcW w:w="1106" w:type="pct"/>
                  <w:shd w:val="clear" w:color="auto" w:fill="auto"/>
                  <w:vAlign w:val="center"/>
                </w:tcPr>
                <w:p w14:paraId="7B5D7FC3">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0.30</w:t>
                  </w:r>
                </w:p>
              </w:tc>
            </w:tr>
            <w:tr w14:paraId="2D3C1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5775772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19CCCB7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4"/>
                      <w:sz w:val="21"/>
                      <w:szCs w:val="21"/>
                    </w:rPr>
                  </w:pPr>
                </w:p>
              </w:tc>
              <w:tc>
                <w:tcPr>
                  <w:tcW w:w="1157" w:type="pct"/>
                  <w:vMerge w:val="continue"/>
                  <w:vAlign w:val="center"/>
                </w:tcPr>
                <w:p w14:paraId="2E98EE06">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rPr>
                  </w:pPr>
                </w:p>
              </w:tc>
              <w:tc>
                <w:tcPr>
                  <w:tcW w:w="980" w:type="pct"/>
                  <w:vAlign w:val="center"/>
                </w:tcPr>
                <w:p w14:paraId="5EB0063D">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0.207</w:t>
                  </w:r>
                </w:p>
              </w:tc>
              <w:tc>
                <w:tcPr>
                  <w:tcW w:w="1106" w:type="pct"/>
                  <w:shd w:val="clear" w:color="auto" w:fill="auto"/>
                  <w:vAlign w:val="center"/>
                </w:tcPr>
                <w:p w14:paraId="5A05C525">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0.33</w:t>
                  </w:r>
                </w:p>
              </w:tc>
            </w:tr>
            <w:tr w14:paraId="71D51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5FB579B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75D8B1D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4"/>
                      <w:sz w:val="21"/>
                      <w:szCs w:val="21"/>
                    </w:rPr>
                  </w:pPr>
                </w:p>
              </w:tc>
              <w:tc>
                <w:tcPr>
                  <w:tcW w:w="1157" w:type="pct"/>
                  <w:vMerge w:val="continue"/>
                  <w:vAlign w:val="center"/>
                </w:tcPr>
                <w:p w14:paraId="6F9FA5A5">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rPr>
                  </w:pPr>
                </w:p>
              </w:tc>
              <w:tc>
                <w:tcPr>
                  <w:tcW w:w="980" w:type="pct"/>
                  <w:vAlign w:val="center"/>
                </w:tcPr>
                <w:p w14:paraId="2F3BF709">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0.213</w:t>
                  </w:r>
                </w:p>
              </w:tc>
              <w:tc>
                <w:tcPr>
                  <w:tcW w:w="1106" w:type="pct"/>
                  <w:shd w:val="clear" w:color="auto" w:fill="auto"/>
                  <w:vAlign w:val="center"/>
                </w:tcPr>
                <w:p w14:paraId="386AFD1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0.35</w:t>
                  </w:r>
                </w:p>
              </w:tc>
            </w:tr>
            <w:tr w14:paraId="3153B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72D59EF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042A7AE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4"/>
                      <w:sz w:val="21"/>
                      <w:szCs w:val="21"/>
                    </w:rPr>
                  </w:pPr>
                </w:p>
              </w:tc>
              <w:tc>
                <w:tcPr>
                  <w:tcW w:w="1157" w:type="pct"/>
                  <w:vMerge w:val="continue"/>
                  <w:vAlign w:val="center"/>
                </w:tcPr>
                <w:p w14:paraId="512FB5A7">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rPr>
                  </w:pPr>
                </w:p>
              </w:tc>
              <w:tc>
                <w:tcPr>
                  <w:tcW w:w="980" w:type="pct"/>
                  <w:vAlign w:val="center"/>
                </w:tcPr>
                <w:p w14:paraId="76038A9C">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0.199</w:t>
                  </w:r>
                </w:p>
              </w:tc>
              <w:tc>
                <w:tcPr>
                  <w:tcW w:w="1106" w:type="pct"/>
                  <w:shd w:val="clear" w:color="auto" w:fill="auto"/>
                  <w:vAlign w:val="center"/>
                </w:tcPr>
                <w:p w14:paraId="3857E3E5">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0.32</w:t>
                  </w:r>
                </w:p>
              </w:tc>
            </w:tr>
            <w:tr w14:paraId="5926D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3830663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7D5F8F2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restart"/>
                  <w:vAlign w:val="center"/>
                </w:tcPr>
                <w:p w14:paraId="32596B0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下风向</w:t>
                  </w:r>
                  <w:r>
                    <w:rPr>
                      <w:rFonts w:hint="default" w:ascii="Times New Roman" w:hAnsi="Times New Roman" w:eastAsia="宋体" w:cs="Times New Roman"/>
                      <w:color w:val="auto"/>
                      <w:spacing w:val="-20"/>
                      <w:sz w:val="21"/>
                      <w:szCs w:val="21"/>
                    </w:rPr>
                    <w:t xml:space="preserve"> </w:t>
                  </w:r>
                  <w:r>
                    <w:rPr>
                      <w:rFonts w:hint="default" w:ascii="Times New Roman" w:hAnsi="Times New Roman" w:eastAsia="宋体" w:cs="Times New Roman"/>
                      <w:color w:val="auto"/>
                      <w:spacing w:val="3"/>
                      <w:sz w:val="21"/>
                      <w:szCs w:val="21"/>
                    </w:rPr>
                    <w:t>1</w:t>
                  </w:r>
                </w:p>
              </w:tc>
              <w:tc>
                <w:tcPr>
                  <w:tcW w:w="980" w:type="pct"/>
                  <w:vAlign w:val="center"/>
                </w:tcPr>
                <w:p w14:paraId="05138F34">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0.429</w:t>
                  </w:r>
                </w:p>
              </w:tc>
              <w:tc>
                <w:tcPr>
                  <w:tcW w:w="1106" w:type="pct"/>
                  <w:shd w:val="clear" w:color="auto" w:fill="auto"/>
                  <w:vAlign w:val="center"/>
                </w:tcPr>
                <w:p w14:paraId="09054B78">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0.56</w:t>
                  </w:r>
                </w:p>
              </w:tc>
            </w:tr>
            <w:tr w14:paraId="4FF61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3E6450F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3B6329C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73E0FA2F">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1C8FE7A5">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0.434</w:t>
                  </w:r>
                </w:p>
              </w:tc>
              <w:tc>
                <w:tcPr>
                  <w:tcW w:w="1106" w:type="pct"/>
                  <w:shd w:val="clear" w:color="auto" w:fill="auto"/>
                  <w:vAlign w:val="center"/>
                </w:tcPr>
                <w:p w14:paraId="02A6B10A">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0.55</w:t>
                  </w:r>
                </w:p>
              </w:tc>
            </w:tr>
            <w:tr w14:paraId="6482A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665EB9A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73DA0F8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2C4B8C0A">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24B4BA59">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0.445</w:t>
                  </w:r>
                </w:p>
              </w:tc>
              <w:tc>
                <w:tcPr>
                  <w:tcW w:w="1106" w:type="pct"/>
                  <w:shd w:val="clear" w:color="auto" w:fill="auto"/>
                  <w:vAlign w:val="center"/>
                </w:tcPr>
                <w:p w14:paraId="3A90489A">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0.58</w:t>
                  </w:r>
                </w:p>
              </w:tc>
            </w:tr>
            <w:tr w14:paraId="2BAD7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7F20A7A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40F7A3D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313640D3">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7221B036">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0.424</w:t>
                  </w:r>
                </w:p>
              </w:tc>
              <w:tc>
                <w:tcPr>
                  <w:tcW w:w="1106" w:type="pct"/>
                  <w:shd w:val="clear" w:color="auto" w:fill="auto"/>
                  <w:vAlign w:val="center"/>
                </w:tcPr>
                <w:p w14:paraId="77DD072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0.58</w:t>
                  </w:r>
                </w:p>
              </w:tc>
            </w:tr>
            <w:tr w14:paraId="3F741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0AD7E73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481FADE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restart"/>
                  <w:vAlign w:val="center"/>
                </w:tcPr>
                <w:p w14:paraId="0780B97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下风向</w:t>
                  </w:r>
                  <w:r>
                    <w:rPr>
                      <w:rFonts w:hint="default" w:ascii="Times New Roman" w:hAnsi="Times New Roman" w:eastAsia="宋体" w:cs="Times New Roman"/>
                      <w:color w:val="auto"/>
                      <w:spacing w:val="-40"/>
                      <w:sz w:val="21"/>
                      <w:szCs w:val="21"/>
                    </w:rPr>
                    <w:t xml:space="preserve"> </w:t>
                  </w:r>
                  <w:r>
                    <w:rPr>
                      <w:rFonts w:hint="default" w:ascii="Times New Roman" w:hAnsi="Times New Roman" w:eastAsia="宋体" w:cs="Times New Roman"/>
                      <w:color w:val="auto"/>
                      <w:spacing w:val="3"/>
                      <w:sz w:val="21"/>
                      <w:szCs w:val="21"/>
                    </w:rPr>
                    <w:t>2</w:t>
                  </w:r>
                </w:p>
              </w:tc>
              <w:tc>
                <w:tcPr>
                  <w:tcW w:w="980" w:type="pct"/>
                  <w:vAlign w:val="center"/>
                </w:tcPr>
                <w:p w14:paraId="18C87289">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0.458</w:t>
                  </w:r>
                </w:p>
              </w:tc>
              <w:tc>
                <w:tcPr>
                  <w:tcW w:w="1106" w:type="pct"/>
                  <w:shd w:val="clear" w:color="auto" w:fill="auto"/>
                  <w:vAlign w:val="center"/>
                </w:tcPr>
                <w:p w14:paraId="12224E6E">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0.68</w:t>
                  </w:r>
                </w:p>
              </w:tc>
            </w:tr>
            <w:tr w14:paraId="7F496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624086B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0AB2961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0D9B9755">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47F7E0AC">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0.475</w:t>
                  </w:r>
                </w:p>
              </w:tc>
              <w:tc>
                <w:tcPr>
                  <w:tcW w:w="1106" w:type="pct"/>
                  <w:shd w:val="clear" w:color="auto" w:fill="auto"/>
                  <w:vAlign w:val="center"/>
                </w:tcPr>
                <w:p w14:paraId="2DD059FA">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0.64</w:t>
                  </w:r>
                </w:p>
              </w:tc>
            </w:tr>
            <w:tr w14:paraId="2124F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7EB1B22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65B4693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0EFE0A86">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50AC7FD4">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0.486</w:t>
                  </w:r>
                </w:p>
              </w:tc>
              <w:tc>
                <w:tcPr>
                  <w:tcW w:w="1106" w:type="pct"/>
                  <w:shd w:val="clear" w:color="auto" w:fill="auto"/>
                  <w:vAlign w:val="center"/>
                </w:tcPr>
                <w:p w14:paraId="333E7A0B">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0.68</w:t>
                  </w:r>
                </w:p>
              </w:tc>
            </w:tr>
            <w:tr w14:paraId="260B6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33C9099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15710CC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36DBC631">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3"/>
                      <w:sz w:val="21"/>
                      <w:szCs w:val="21"/>
                    </w:rPr>
                  </w:pPr>
                </w:p>
              </w:tc>
              <w:tc>
                <w:tcPr>
                  <w:tcW w:w="980" w:type="pct"/>
                  <w:vAlign w:val="center"/>
                </w:tcPr>
                <w:p w14:paraId="722E3E68">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0.468</w:t>
                  </w:r>
                </w:p>
              </w:tc>
              <w:tc>
                <w:tcPr>
                  <w:tcW w:w="1106" w:type="pct"/>
                  <w:shd w:val="clear" w:color="auto" w:fill="auto"/>
                  <w:vAlign w:val="center"/>
                </w:tcPr>
                <w:p w14:paraId="7973FC26">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0.67</w:t>
                  </w:r>
                </w:p>
              </w:tc>
            </w:tr>
            <w:tr w14:paraId="44519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2FCA1BB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57C8EE2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restart"/>
                  <w:vAlign w:val="center"/>
                </w:tcPr>
                <w:p w14:paraId="30ABD78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下风向</w:t>
                  </w:r>
                  <w:r>
                    <w:rPr>
                      <w:rFonts w:hint="default" w:ascii="Times New Roman" w:hAnsi="Times New Roman" w:eastAsia="宋体" w:cs="Times New Roman"/>
                      <w:color w:val="auto"/>
                      <w:spacing w:val="-36"/>
                      <w:sz w:val="21"/>
                      <w:szCs w:val="21"/>
                    </w:rPr>
                    <w:t xml:space="preserve"> </w:t>
                  </w:r>
                  <w:r>
                    <w:rPr>
                      <w:rFonts w:hint="default" w:ascii="Times New Roman" w:hAnsi="Times New Roman" w:eastAsia="宋体" w:cs="Times New Roman"/>
                      <w:color w:val="auto"/>
                      <w:spacing w:val="3"/>
                      <w:sz w:val="21"/>
                      <w:szCs w:val="21"/>
                    </w:rPr>
                    <w:t>3</w:t>
                  </w:r>
                </w:p>
              </w:tc>
              <w:tc>
                <w:tcPr>
                  <w:tcW w:w="980" w:type="pct"/>
                  <w:vAlign w:val="center"/>
                </w:tcPr>
                <w:p w14:paraId="02B177AA">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0.385</w:t>
                  </w:r>
                </w:p>
              </w:tc>
              <w:tc>
                <w:tcPr>
                  <w:tcW w:w="1106" w:type="pct"/>
                  <w:shd w:val="clear" w:color="auto" w:fill="auto"/>
                  <w:vAlign w:val="center"/>
                </w:tcPr>
                <w:p w14:paraId="6BFE640B">
                  <w:pPr>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0.49</w:t>
                  </w:r>
                </w:p>
              </w:tc>
            </w:tr>
            <w:tr w14:paraId="6655D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3C75A20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44F6D9F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26FEC4E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980" w:type="pct"/>
                  <w:vAlign w:val="center"/>
                </w:tcPr>
                <w:p w14:paraId="7956EDF9">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0.394</w:t>
                  </w:r>
                </w:p>
              </w:tc>
              <w:tc>
                <w:tcPr>
                  <w:tcW w:w="1106" w:type="pct"/>
                  <w:shd w:val="clear" w:color="auto" w:fill="auto"/>
                  <w:vAlign w:val="center"/>
                </w:tcPr>
                <w:p w14:paraId="653F76E0">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0.44</w:t>
                  </w:r>
                </w:p>
              </w:tc>
            </w:tr>
            <w:tr w14:paraId="2B1E2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04D5BF2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71E70B3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088F2BA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980" w:type="pct"/>
                  <w:vAlign w:val="center"/>
                </w:tcPr>
                <w:p w14:paraId="10E800D7">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0.402</w:t>
                  </w:r>
                </w:p>
              </w:tc>
              <w:tc>
                <w:tcPr>
                  <w:tcW w:w="1106" w:type="pct"/>
                  <w:shd w:val="clear" w:color="auto" w:fill="auto"/>
                  <w:vAlign w:val="center"/>
                </w:tcPr>
                <w:p w14:paraId="0C5490E0">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0.47</w:t>
                  </w:r>
                </w:p>
              </w:tc>
            </w:tr>
            <w:tr w14:paraId="559B1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922" w:type="pct"/>
                  <w:vMerge w:val="continue"/>
                  <w:vAlign w:val="center"/>
                </w:tcPr>
                <w:p w14:paraId="1A43598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834" w:type="pct"/>
                  <w:vMerge w:val="continue"/>
                  <w:vAlign w:val="center"/>
                </w:tcPr>
                <w:p w14:paraId="58D31AF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1157" w:type="pct"/>
                  <w:vMerge w:val="continue"/>
                  <w:vAlign w:val="center"/>
                </w:tcPr>
                <w:p w14:paraId="7514527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p>
              </w:tc>
              <w:tc>
                <w:tcPr>
                  <w:tcW w:w="980" w:type="pct"/>
                  <w:vAlign w:val="center"/>
                </w:tcPr>
                <w:p w14:paraId="76B414EC">
                  <w:pPr>
                    <w:keepNext/>
                    <w:keepLines w:val="0"/>
                    <w:pageBreakBefore w:val="0"/>
                    <w:widowControl/>
                    <w:suppressLineNumbers w:val="0"/>
                    <w:kinsoku/>
                    <w:wordWrap/>
                    <w:overflowPunct/>
                    <w:topLinePunct w:val="0"/>
                    <w:autoSpaceDE w:val="0"/>
                    <w:autoSpaceDN w:val="0"/>
                    <w:bidi w:val="0"/>
                    <w:spacing w:line="240" w:lineRule="auto"/>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0.391</w:t>
                  </w:r>
                </w:p>
              </w:tc>
              <w:tc>
                <w:tcPr>
                  <w:tcW w:w="1106" w:type="pct"/>
                  <w:shd w:val="clear" w:color="auto" w:fill="auto"/>
                  <w:vAlign w:val="center"/>
                </w:tcPr>
                <w:p w14:paraId="1DF1757B">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0.45</w:t>
                  </w:r>
                </w:p>
              </w:tc>
            </w:tr>
            <w:tr w14:paraId="0368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2913" w:type="pct"/>
                  <w:gridSpan w:val="3"/>
                  <w:vAlign w:val="center"/>
                </w:tcPr>
                <w:p w14:paraId="31B6EBC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b w:val="0"/>
                      <w:bCs w:val="0"/>
                      <w:color w:val="auto"/>
                      <w:sz w:val="21"/>
                      <w:szCs w:val="21"/>
                      <w:vertAlign w:val="baseline"/>
                      <w:lang w:val="en-US" w:eastAsia="zh-CN"/>
                    </w:rPr>
                    <w:t>执行标准</w:t>
                  </w:r>
                </w:p>
              </w:tc>
              <w:tc>
                <w:tcPr>
                  <w:tcW w:w="980" w:type="pct"/>
                  <w:vAlign w:val="center"/>
                </w:tcPr>
                <w:p w14:paraId="2756BAA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1.0</w:t>
                  </w:r>
                </w:p>
              </w:tc>
              <w:tc>
                <w:tcPr>
                  <w:tcW w:w="1106" w:type="pct"/>
                  <w:shd w:val="clear" w:color="auto" w:fill="auto"/>
                  <w:vAlign w:val="center"/>
                </w:tcPr>
                <w:p w14:paraId="01C360C1">
                  <w:pPr>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4.0</w:t>
                  </w:r>
                </w:p>
              </w:tc>
            </w:tr>
          </w:tbl>
          <w:p w14:paraId="38DDC5FE">
            <w:pPr>
              <w:keepNext/>
              <w:keepLines w:val="0"/>
              <w:pageBreakBefore w:val="0"/>
              <w:kinsoku/>
              <w:wordWrap/>
              <w:overflowPunct/>
              <w:topLinePunct w:val="0"/>
              <w:bidi w:val="0"/>
              <w:outlineLvl w:val="9"/>
              <w:rPr>
                <w:color w:val="auto"/>
              </w:rPr>
            </w:pPr>
          </w:p>
          <w:p w14:paraId="648A4489">
            <w:pPr>
              <w:pStyle w:val="20"/>
              <w:keepNext/>
              <w:keepLines w:val="0"/>
              <w:pageBreakBefore w:val="0"/>
              <w:tabs>
                <w:tab w:val="center" w:pos="4153"/>
                <w:tab w:val="right" w:pos="8306"/>
              </w:tabs>
              <w:kinsoku/>
              <w:wordWrap/>
              <w:overflowPunct/>
              <w:topLinePunct w:val="0"/>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2-1</w:t>
            </w:r>
            <w:r>
              <w:rPr>
                <w:rFonts w:hint="eastAsia" w:eastAsia="宋体"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lang w:val="en-US" w:eastAsia="zh-CN"/>
              </w:rPr>
              <w:t xml:space="preserve">  20000t乳化炸药生产线废气排放情况</w:t>
            </w:r>
          </w:p>
          <w:tbl>
            <w:tblPr>
              <w:tblStyle w:val="8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68"/>
              <w:gridCol w:w="1784"/>
              <w:gridCol w:w="2469"/>
              <w:gridCol w:w="2096"/>
            </w:tblGrid>
            <w:tr w14:paraId="6A90A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restart"/>
                  <w:shd w:val="clear" w:color="auto" w:fill="auto"/>
                  <w:vAlign w:val="center"/>
                </w:tcPr>
                <w:p w14:paraId="6538BF06">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lang w:val="en-US" w:eastAsia="zh-CN"/>
                    </w:rPr>
                    <w:t>类别</w:t>
                  </w:r>
                </w:p>
              </w:tc>
              <w:tc>
                <w:tcPr>
                  <w:tcW w:w="1072" w:type="pct"/>
                  <w:vMerge w:val="restart"/>
                  <w:shd w:val="clear" w:color="auto" w:fill="auto"/>
                  <w:vAlign w:val="center"/>
                </w:tcPr>
                <w:p w14:paraId="73468E70">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采样日期</w:t>
                  </w:r>
                </w:p>
              </w:tc>
              <w:tc>
                <w:tcPr>
                  <w:tcW w:w="1483" w:type="pct"/>
                  <w:vMerge w:val="restart"/>
                  <w:shd w:val="clear" w:color="auto" w:fill="auto"/>
                  <w:vAlign w:val="center"/>
                </w:tcPr>
                <w:p w14:paraId="79984D64">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kern w:val="2"/>
                      <w:sz w:val="21"/>
                      <w:szCs w:val="21"/>
                      <w:lang w:val="en-US" w:eastAsia="en-US" w:bidi="ar-SA"/>
                    </w:rPr>
                  </w:pPr>
                  <w:r>
                    <w:rPr>
                      <w:rFonts w:hint="default" w:ascii="Times New Roman" w:hAnsi="Times New Roman" w:eastAsia="宋体" w:cs="Times New Roman"/>
                      <w:b/>
                      <w:bCs/>
                      <w:color w:val="auto"/>
                      <w:spacing w:val="6"/>
                      <w:sz w:val="21"/>
                      <w:szCs w:val="21"/>
                    </w:rPr>
                    <w:t>检测点位</w:t>
                  </w:r>
                </w:p>
              </w:tc>
              <w:tc>
                <w:tcPr>
                  <w:tcW w:w="1260" w:type="pct"/>
                  <w:shd w:val="clear" w:color="auto" w:fill="auto"/>
                  <w:vAlign w:val="center"/>
                </w:tcPr>
                <w:p w14:paraId="207C1A34">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pacing w:val="6"/>
                      <w:kern w:val="2"/>
                      <w:sz w:val="21"/>
                      <w:szCs w:val="21"/>
                      <w:lang w:val="en-US" w:eastAsia="en-US" w:bidi="ar-SA"/>
                    </w:rPr>
                  </w:pPr>
                  <w:r>
                    <w:rPr>
                      <w:rFonts w:hint="default" w:ascii="Times New Roman" w:hAnsi="Times New Roman" w:eastAsia="宋体" w:cs="Times New Roman"/>
                      <w:b/>
                      <w:bCs/>
                      <w:color w:val="auto"/>
                      <w:spacing w:val="6"/>
                      <w:sz w:val="21"/>
                      <w:szCs w:val="21"/>
                    </w:rPr>
                    <w:t>检测结果</w:t>
                  </w:r>
                </w:p>
              </w:tc>
            </w:tr>
            <w:tr w14:paraId="258AF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shd w:val="clear" w:color="auto" w:fill="auto"/>
                  <w:vAlign w:val="center"/>
                </w:tcPr>
                <w:p w14:paraId="24F4061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z w:val="21"/>
                      <w:szCs w:val="21"/>
                    </w:rPr>
                  </w:pPr>
                </w:p>
              </w:tc>
              <w:tc>
                <w:tcPr>
                  <w:tcW w:w="1072" w:type="pct"/>
                  <w:vMerge w:val="continue"/>
                  <w:shd w:val="clear" w:color="auto" w:fill="auto"/>
                  <w:vAlign w:val="center"/>
                </w:tcPr>
                <w:p w14:paraId="024A46C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z w:val="21"/>
                      <w:szCs w:val="21"/>
                    </w:rPr>
                  </w:pPr>
                </w:p>
              </w:tc>
              <w:tc>
                <w:tcPr>
                  <w:tcW w:w="1483" w:type="pct"/>
                  <w:vMerge w:val="continue"/>
                  <w:shd w:val="clear" w:color="auto" w:fill="auto"/>
                  <w:vAlign w:val="center"/>
                </w:tcPr>
                <w:p w14:paraId="7D736DDF">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pacing w:val="6"/>
                      <w:sz w:val="21"/>
                      <w:szCs w:val="21"/>
                    </w:rPr>
                  </w:pPr>
                </w:p>
              </w:tc>
              <w:tc>
                <w:tcPr>
                  <w:tcW w:w="1260" w:type="pct"/>
                  <w:shd w:val="clear" w:color="auto" w:fill="auto"/>
                  <w:vAlign w:val="center"/>
                </w:tcPr>
                <w:p w14:paraId="39EA5D81">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7"/>
                      <w:sz w:val="21"/>
                      <w:szCs w:val="21"/>
                    </w:rPr>
                    <w:t>非甲烷总烃</w:t>
                  </w:r>
                  <w:r>
                    <w:rPr>
                      <w:rFonts w:hint="default" w:ascii="Times New Roman" w:hAnsi="Times New Roman" w:eastAsia="宋体" w:cs="Times New Roman"/>
                      <w:b/>
                      <w:bCs/>
                      <w:color w:val="auto"/>
                      <w:spacing w:val="7"/>
                      <w:sz w:val="21"/>
                      <w:szCs w:val="21"/>
                      <w:lang w:eastAsia="zh-CN"/>
                    </w:rPr>
                    <w:t>（</w:t>
                  </w:r>
                  <w:r>
                    <w:rPr>
                      <w:rFonts w:hint="default" w:ascii="Times New Roman" w:hAnsi="Times New Roman" w:eastAsia="宋体" w:cs="Times New Roman"/>
                      <w:b/>
                      <w:bCs/>
                      <w:color w:val="auto"/>
                      <w:sz w:val="21"/>
                      <w:szCs w:val="21"/>
                    </w:rPr>
                    <w:t>mg</w:t>
                  </w:r>
                  <w:r>
                    <w:rPr>
                      <w:rFonts w:hint="default" w:ascii="Times New Roman" w:hAnsi="Times New Roman" w:eastAsia="宋体" w:cs="Times New Roman"/>
                      <w:b/>
                      <w:bCs/>
                      <w:color w:val="auto"/>
                      <w:spacing w:val="8"/>
                      <w:sz w:val="21"/>
                      <w:szCs w:val="21"/>
                    </w:rPr>
                    <w:t>/m</w:t>
                  </w:r>
                  <w:r>
                    <w:rPr>
                      <w:rFonts w:hint="eastAsia" w:ascii="Times New Roman" w:hAnsi="Times New Roman" w:eastAsia="宋体" w:cs="Times New Roman"/>
                      <w:b/>
                      <w:bCs/>
                      <w:color w:val="auto"/>
                      <w:spacing w:val="8"/>
                      <w:sz w:val="21"/>
                      <w:szCs w:val="21"/>
                      <w:vertAlign w:val="superscript"/>
                      <w:lang w:val="en-US" w:eastAsia="zh-CN"/>
                    </w:rPr>
                    <w:t>3</w:t>
                  </w:r>
                  <w:r>
                    <w:rPr>
                      <w:rFonts w:hint="default" w:ascii="Times New Roman" w:hAnsi="Times New Roman" w:eastAsia="宋体" w:cs="Times New Roman"/>
                      <w:b/>
                      <w:bCs/>
                      <w:color w:val="auto"/>
                      <w:spacing w:val="7"/>
                      <w:sz w:val="21"/>
                      <w:szCs w:val="21"/>
                      <w:lang w:eastAsia="zh-CN"/>
                    </w:rPr>
                    <w:t>）</w:t>
                  </w:r>
                </w:p>
              </w:tc>
            </w:tr>
            <w:tr w14:paraId="17048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restart"/>
                  <w:vAlign w:val="center"/>
                </w:tcPr>
                <w:p w14:paraId="5F44BA8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r>
                    <w:rPr>
                      <w:rFonts w:hint="default" w:ascii="Times New Roman" w:hAnsi="Times New Roman" w:eastAsia="宋体" w:cs="Times New Roman"/>
                      <w:color w:val="auto"/>
                      <w:sz w:val="21"/>
                      <w:szCs w:val="21"/>
                      <w:lang w:val="en-US" w:eastAsia="zh-CN"/>
                    </w:rPr>
                    <w:t>无组织废气</w:t>
                  </w:r>
                </w:p>
              </w:tc>
              <w:tc>
                <w:tcPr>
                  <w:tcW w:w="1072" w:type="pct"/>
                  <w:vMerge w:val="restart"/>
                  <w:vAlign w:val="center"/>
                </w:tcPr>
                <w:p w14:paraId="3645B68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r>
                    <w:rPr>
                      <w:rFonts w:hint="default" w:ascii="Times New Roman" w:hAnsi="Times New Roman" w:eastAsia="宋体" w:cs="Times New Roman"/>
                      <w:color w:val="auto"/>
                      <w:spacing w:val="4"/>
                      <w:sz w:val="21"/>
                      <w:szCs w:val="21"/>
                    </w:rPr>
                    <w:t>2025.04.14</w:t>
                  </w:r>
                </w:p>
              </w:tc>
              <w:tc>
                <w:tcPr>
                  <w:tcW w:w="1483" w:type="pct"/>
                  <w:vMerge w:val="restart"/>
                  <w:vAlign w:val="center"/>
                </w:tcPr>
                <w:p w14:paraId="115B471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color w:val="auto"/>
                      <w:spacing w:val="8"/>
                      <w:sz w:val="21"/>
                      <w:szCs w:val="21"/>
                    </w:rPr>
                    <w:t>厂区内乳化炸药</w:t>
                  </w:r>
                  <w:r>
                    <w:rPr>
                      <w:color w:val="auto"/>
                      <w:spacing w:val="7"/>
                      <w:sz w:val="21"/>
                      <w:szCs w:val="21"/>
                    </w:rPr>
                    <w:t>生产工房外</w:t>
                  </w:r>
                </w:p>
              </w:tc>
              <w:tc>
                <w:tcPr>
                  <w:tcW w:w="1260" w:type="pct"/>
                  <w:shd w:val="clear" w:color="auto" w:fill="auto"/>
                  <w:vAlign w:val="center"/>
                </w:tcPr>
                <w:p w14:paraId="52BEE74B">
                  <w:pPr>
                    <w:pStyle w:val="115"/>
                    <w:keepNext/>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pacing w:val="6"/>
                      <w:kern w:val="2"/>
                      <w:sz w:val="21"/>
                      <w:szCs w:val="21"/>
                      <w:lang w:val="en-US" w:eastAsia="en-US" w:bidi="ar-SA"/>
                    </w:rPr>
                  </w:pPr>
                  <w:r>
                    <w:rPr>
                      <w:rFonts w:ascii="Times New Roman" w:hAnsi="Times New Roman" w:eastAsia="Times New Roman" w:cs="Times New Roman"/>
                      <w:color w:val="auto"/>
                      <w:spacing w:val="2"/>
                      <w:sz w:val="21"/>
                      <w:szCs w:val="21"/>
                    </w:rPr>
                    <w:t>0.94</w:t>
                  </w:r>
                </w:p>
              </w:tc>
            </w:tr>
            <w:tr w14:paraId="39063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vAlign w:val="center"/>
                </w:tcPr>
                <w:p w14:paraId="2B59229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072" w:type="pct"/>
                  <w:vMerge w:val="continue"/>
                  <w:vAlign w:val="center"/>
                </w:tcPr>
                <w:p w14:paraId="6FA428B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483" w:type="pct"/>
                  <w:vMerge w:val="continue"/>
                  <w:vAlign w:val="center"/>
                </w:tcPr>
                <w:p w14:paraId="7450B51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p>
              </w:tc>
              <w:tc>
                <w:tcPr>
                  <w:tcW w:w="1260" w:type="pct"/>
                  <w:vAlign w:val="center"/>
                </w:tcPr>
                <w:p w14:paraId="57845AD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0.99</w:t>
                  </w:r>
                </w:p>
              </w:tc>
            </w:tr>
            <w:tr w14:paraId="1E887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vAlign w:val="center"/>
                </w:tcPr>
                <w:p w14:paraId="2B23196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072" w:type="pct"/>
                  <w:vMerge w:val="continue"/>
                  <w:vAlign w:val="center"/>
                </w:tcPr>
                <w:p w14:paraId="016CF21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483" w:type="pct"/>
                  <w:vMerge w:val="continue"/>
                  <w:vAlign w:val="center"/>
                </w:tcPr>
                <w:p w14:paraId="4954489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p>
              </w:tc>
              <w:tc>
                <w:tcPr>
                  <w:tcW w:w="1260" w:type="pct"/>
                  <w:vAlign w:val="center"/>
                </w:tcPr>
                <w:p w14:paraId="33A7AE8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0.95</w:t>
                  </w:r>
                </w:p>
              </w:tc>
            </w:tr>
            <w:tr w14:paraId="4E663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vAlign w:val="center"/>
                </w:tcPr>
                <w:p w14:paraId="092B0D8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072" w:type="pct"/>
                  <w:vMerge w:val="continue"/>
                  <w:vAlign w:val="center"/>
                </w:tcPr>
                <w:p w14:paraId="2714069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483" w:type="pct"/>
                  <w:vMerge w:val="continue"/>
                  <w:vAlign w:val="center"/>
                </w:tcPr>
                <w:p w14:paraId="4D92268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p>
              </w:tc>
              <w:tc>
                <w:tcPr>
                  <w:tcW w:w="1260" w:type="pct"/>
                  <w:vAlign w:val="center"/>
                </w:tcPr>
                <w:p w14:paraId="4C1FBF2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pacing w:val="2"/>
                      <w:sz w:val="21"/>
                      <w:szCs w:val="21"/>
                    </w:rPr>
                  </w:pPr>
                  <w:r>
                    <w:rPr>
                      <w:rFonts w:ascii="Times New Roman" w:hAnsi="Times New Roman" w:eastAsia="Times New Roman" w:cs="Times New Roman"/>
                      <w:color w:val="auto"/>
                      <w:spacing w:val="2"/>
                      <w:sz w:val="21"/>
                      <w:szCs w:val="21"/>
                    </w:rPr>
                    <w:t>0.92</w:t>
                  </w:r>
                </w:p>
              </w:tc>
            </w:tr>
            <w:tr w14:paraId="44A4F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vAlign w:val="center"/>
                </w:tcPr>
                <w:p w14:paraId="6C46BD7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072" w:type="pct"/>
                  <w:vMerge w:val="restart"/>
                  <w:vAlign w:val="center"/>
                </w:tcPr>
                <w:p w14:paraId="6A5DB59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r>
                    <w:rPr>
                      <w:rFonts w:ascii="Times New Roman" w:hAnsi="Times New Roman" w:eastAsia="Times New Roman" w:cs="Times New Roman"/>
                      <w:color w:val="auto"/>
                      <w:spacing w:val="4"/>
                      <w:sz w:val="21"/>
                      <w:szCs w:val="21"/>
                    </w:rPr>
                    <w:t>2025.04.15</w:t>
                  </w:r>
                </w:p>
              </w:tc>
              <w:tc>
                <w:tcPr>
                  <w:tcW w:w="1483" w:type="pct"/>
                  <w:vMerge w:val="restart"/>
                  <w:vAlign w:val="center"/>
                </w:tcPr>
                <w:p w14:paraId="6E64577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color w:val="auto"/>
                      <w:spacing w:val="8"/>
                      <w:sz w:val="21"/>
                      <w:szCs w:val="21"/>
                    </w:rPr>
                    <w:t>厂区内乳化炸药</w:t>
                  </w:r>
                  <w:r>
                    <w:rPr>
                      <w:color w:val="auto"/>
                      <w:spacing w:val="7"/>
                      <w:sz w:val="21"/>
                      <w:szCs w:val="21"/>
                    </w:rPr>
                    <w:t>生产工房外</w:t>
                  </w:r>
                </w:p>
              </w:tc>
              <w:tc>
                <w:tcPr>
                  <w:tcW w:w="1260" w:type="pct"/>
                  <w:vAlign w:val="center"/>
                </w:tcPr>
                <w:p w14:paraId="208BCDA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pacing w:val="2"/>
                      <w:sz w:val="21"/>
                      <w:szCs w:val="21"/>
                    </w:rPr>
                  </w:pPr>
                  <w:r>
                    <w:rPr>
                      <w:rFonts w:ascii="Times New Roman" w:hAnsi="Times New Roman" w:eastAsia="Times New Roman" w:cs="Times New Roman"/>
                      <w:color w:val="auto"/>
                      <w:spacing w:val="2"/>
                      <w:sz w:val="21"/>
                      <w:szCs w:val="21"/>
                    </w:rPr>
                    <w:t>0.95</w:t>
                  </w:r>
                </w:p>
              </w:tc>
            </w:tr>
            <w:tr w14:paraId="062BD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vAlign w:val="center"/>
                </w:tcPr>
                <w:p w14:paraId="18E55FD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072" w:type="pct"/>
                  <w:vMerge w:val="continue"/>
                  <w:vAlign w:val="center"/>
                </w:tcPr>
                <w:p w14:paraId="31ECCF2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483" w:type="pct"/>
                  <w:vMerge w:val="continue"/>
                  <w:vAlign w:val="center"/>
                </w:tcPr>
                <w:p w14:paraId="536AF152">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p>
              </w:tc>
              <w:tc>
                <w:tcPr>
                  <w:tcW w:w="1260" w:type="pct"/>
                  <w:vAlign w:val="center"/>
                </w:tcPr>
                <w:p w14:paraId="7C573F9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pacing w:val="2"/>
                      <w:sz w:val="21"/>
                      <w:szCs w:val="21"/>
                    </w:rPr>
                  </w:pPr>
                  <w:r>
                    <w:rPr>
                      <w:rFonts w:ascii="Times New Roman" w:hAnsi="Times New Roman" w:eastAsia="Times New Roman" w:cs="Times New Roman"/>
                      <w:color w:val="auto"/>
                      <w:spacing w:val="2"/>
                      <w:sz w:val="21"/>
                      <w:szCs w:val="21"/>
                    </w:rPr>
                    <w:t>0.94</w:t>
                  </w:r>
                </w:p>
              </w:tc>
            </w:tr>
            <w:tr w14:paraId="738D5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vAlign w:val="center"/>
                </w:tcPr>
                <w:p w14:paraId="35B851F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072" w:type="pct"/>
                  <w:vMerge w:val="continue"/>
                  <w:vAlign w:val="center"/>
                </w:tcPr>
                <w:p w14:paraId="11214AF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483" w:type="pct"/>
                  <w:vMerge w:val="continue"/>
                  <w:vAlign w:val="center"/>
                </w:tcPr>
                <w:p w14:paraId="33DEA41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p>
              </w:tc>
              <w:tc>
                <w:tcPr>
                  <w:tcW w:w="1260" w:type="pct"/>
                  <w:vAlign w:val="center"/>
                </w:tcPr>
                <w:p w14:paraId="746C7F6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pacing w:val="2"/>
                      <w:sz w:val="21"/>
                      <w:szCs w:val="21"/>
                    </w:rPr>
                  </w:pPr>
                  <w:r>
                    <w:rPr>
                      <w:rFonts w:ascii="Times New Roman" w:hAnsi="Times New Roman" w:eastAsia="Times New Roman" w:cs="Times New Roman"/>
                      <w:color w:val="auto"/>
                      <w:spacing w:val="2"/>
                      <w:sz w:val="21"/>
                      <w:szCs w:val="21"/>
                    </w:rPr>
                    <w:t>0.99</w:t>
                  </w:r>
                </w:p>
              </w:tc>
            </w:tr>
            <w:tr w14:paraId="180EE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1183" w:type="pct"/>
                  <w:vMerge w:val="continue"/>
                  <w:vAlign w:val="center"/>
                </w:tcPr>
                <w:p w14:paraId="4C46915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072" w:type="pct"/>
                  <w:vMerge w:val="continue"/>
                  <w:vAlign w:val="center"/>
                </w:tcPr>
                <w:p w14:paraId="69BE0AE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1483" w:type="pct"/>
                  <w:vMerge w:val="continue"/>
                  <w:vAlign w:val="center"/>
                </w:tcPr>
                <w:p w14:paraId="67A0AD5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p>
              </w:tc>
              <w:tc>
                <w:tcPr>
                  <w:tcW w:w="1260" w:type="pct"/>
                  <w:vAlign w:val="center"/>
                </w:tcPr>
                <w:p w14:paraId="1B20AE6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pacing w:val="2"/>
                      <w:sz w:val="21"/>
                      <w:szCs w:val="21"/>
                    </w:rPr>
                  </w:pPr>
                  <w:r>
                    <w:rPr>
                      <w:rFonts w:ascii="Times New Roman" w:hAnsi="Times New Roman" w:eastAsia="Times New Roman" w:cs="Times New Roman"/>
                      <w:color w:val="auto"/>
                      <w:spacing w:val="2"/>
                      <w:sz w:val="21"/>
                      <w:szCs w:val="21"/>
                    </w:rPr>
                    <w:t>0.94</w:t>
                  </w:r>
                </w:p>
              </w:tc>
            </w:tr>
            <w:tr w14:paraId="244D4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3739" w:type="pct"/>
                  <w:gridSpan w:val="3"/>
                  <w:vAlign w:val="center"/>
                </w:tcPr>
                <w:p w14:paraId="68D1DA3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hint="default" w:ascii="Times New Roman" w:hAnsi="Times New Roman" w:eastAsia="宋体" w:cs="Times New Roman"/>
                      <w:b w:val="0"/>
                      <w:bCs w:val="0"/>
                      <w:color w:val="auto"/>
                      <w:sz w:val="21"/>
                      <w:szCs w:val="21"/>
                      <w:vertAlign w:val="baseline"/>
                      <w:lang w:val="en-US" w:eastAsia="zh-CN"/>
                    </w:rPr>
                    <w:t>执行标准</w:t>
                  </w:r>
                </w:p>
              </w:tc>
              <w:tc>
                <w:tcPr>
                  <w:tcW w:w="1260" w:type="pct"/>
                  <w:vAlign w:val="center"/>
                </w:tcPr>
                <w:p w14:paraId="1DDED63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pacing w:val="2"/>
                      <w:sz w:val="21"/>
                      <w:szCs w:val="21"/>
                    </w:rPr>
                  </w:pPr>
                  <w:r>
                    <w:rPr>
                      <w:rFonts w:hint="default" w:ascii="Times New Roman" w:hAnsi="Times New Roman" w:eastAsia="宋体" w:cs="Times New Roman"/>
                      <w:b w:val="0"/>
                      <w:bCs w:val="0"/>
                      <w:color w:val="auto"/>
                      <w:sz w:val="21"/>
                      <w:szCs w:val="21"/>
                      <w:vertAlign w:val="baseline"/>
                      <w:lang w:val="en-US" w:eastAsia="zh-CN"/>
                    </w:rPr>
                    <w:t>6</w:t>
                  </w:r>
                  <w:r>
                    <w:rPr>
                      <w:rFonts w:hint="eastAsia" w:ascii="Times New Roman" w:hAnsi="Times New Roman" w:eastAsia="宋体" w:cs="Times New Roman"/>
                      <w:b w:val="0"/>
                      <w:bCs w:val="0"/>
                      <w:color w:val="auto"/>
                      <w:sz w:val="21"/>
                      <w:szCs w:val="21"/>
                      <w:vertAlign w:val="baseline"/>
                      <w:lang w:val="en-US" w:eastAsia="zh-CN"/>
                    </w:rPr>
                    <w:t>/</w:t>
                  </w:r>
                  <w:r>
                    <w:rPr>
                      <w:rFonts w:hint="default" w:ascii="Times New Roman" w:hAnsi="Times New Roman" w:eastAsia="宋体" w:cs="Times New Roman"/>
                      <w:b w:val="0"/>
                      <w:bCs w:val="0"/>
                      <w:color w:val="auto"/>
                      <w:sz w:val="21"/>
                      <w:szCs w:val="21"/>
                      <w:vertAlign w:val="baseline"/>
                      <w:lang w:val="en-US" w:eastAsia="zh-CN"/>
                    </w:rPr>
                    <w:t>20</w:t>
                  </w:r>
                </w:p>
              </w:tc>
            </w:tr>
          </w:tbl>
          <w:p w14:paraId="6EE38A0C">
            <w:pPr>
              <w:keepNext/>
              <w:keepLines w:val="0"/>
              <w:pageBreakBefore w:val="0"/>
              <w:widowControl w:val="0"/>
              <w:kinsoku/>
              <w:wordWrap/>
              <w:overflowPunct/>
              <w:topLinePunct w:val="0"/>
              <w:autoSpaceDE/>
              <w:autoSpaceDN/>
              <w:bidi w:val="0"/>
              <w:adjustRightInd/>
              <w:snapToGrid/>
              <w:spacing w:line="360" w:lineRule="auto"/>
              <w:ind w:left="0" w:right="0" w:firstLine="484" w:firstLineChars="200"/>
              <w:jc w:val="both"/>
              <w:textAlignment w:val="auto"/>
              <w:outlineLvl w:val="9"/>
              <w:rPr>
                <w:rFonts w:ascii="宋体" w:hAnsi="宋体" w:eastAsia="宋体" w:cs="宋体"/>
                <w:color w:val="auto"/>
                <w:sz w:val="24"/>
                <w:szCs w:val="24"/>
              </w:rPr>
            </w:pPr>
            <w:r>
              <w:rPr>
                <w:rFonts w:hint="eastAsia" w:ascii="宋体" w:hAnsi="宋体" w:eastAsia="宋体" w:cs="宋体"/>
                <w:color w:val="auto"/>
                <w:spacing w:val="1"/>
                <w:sz w:val="24"/>
                <w:szCs w:val="24"/>
                <w:lang w:val="en-US" w:eastAsia="zh-CN"/>
              </w:rPr>
              <w:t>根据</w:t>
            </w:r>
            <w:r>
              <w:rPr>
                <w:rFonts w:hint="eastAsia" w:cs="Times New Roman"/>
                <w:color w:val="auto"/>
                <w:spacing w:val="4"/>
                <w:sz w:val="24"/>
                <w:szCs w:val="24"/>
                <w:lang w:val="en-US" w:eastAsia="zh-CN"/>
              </w:rPr>
              <w:t>《</w:t>
            </w:r>
            <w:r>
              <w:rPr>
                <w:rFonts w:hint="eastAsia" w:ascii="宋体" w:hAnsi="宋体" w:eastAsia="宋体" w:cs="宋体"/>
                <w:color w:val="auto"/>
                <w:kern w:val="0"/>
                <w:sz w:val="24"/>
                <w:szCs w:val="24"/>
                <w:lang w:val="en-US" w:eastAsia="zh-CN" w:bidi="ar"/>
              </w:rPr>
              <w:t xml:space="preserve">朝阳红山化工有限责任公司年产 </w:t>
            </w:r>
            <w:r>
              <w:rPr>
                <w:rFonts w:hint="default" w:ascii="Times New Roman" w:hAnsi="Times New Roman" w:eastAsia="宋体" w:cs="Times New Roman"/>
                <w:color w:val="auto"/>
                <w:kern w:val="0"/>
                <w:sz w:val="24"/>
                <w:szCs w:val="24"/>
                <w:lang w:val="en-US" w:eastAsia="zh-CN" w:bidi="ar"/>
              </w:rPr>
              <w:t xml:space="preserve">20000t </w:t>
            </w:r>
            <w:r>
              <w:rPr>
                <w:rFonts w:hint="eastAsia" w:ascii="宋体" w:hAnsi="宋体" w:eastAsia="宋体" w:cs="宋体"/>
                <w:color w:val="auto"/>
                <w:kern w:val="0"/>
                <w:sz w:val="24"/>
                <w:szCs w:val="24"/>
                <w:lang w:val="en-US" w:eastAsia="zh-CN" w:bidi="ar"/>
              </w:rPr>
              <w:t>乳化炸药生产线扩能升级改造项目竣工环境保护验收监测报告</w:t>
            </w:r>
            <w:r>
              <w:rPr>
                <w:rFonts w:hint="eastAsia" w:cs="Times New Roman"/>
                <w:color w:val="auto"/>
                <w:spacing w:val="4"/>
                <w:sz w:val="24"/>
                <w:szCs w:val="24"/>
                <w:lang w:val="en-US" w:eastAsia="zh-CN"/>
              </w:rPr>
              <w:t>》</w:t>
            </w:r>
            <w:r>
              <w:rPr>
                <w:rFonts w:hint="eastAsia" w:ascii="Times New Roman" w:hAnsi="Times New Roman" w:cs="Times New Roman"/>
                <w:color w:val="auto"/>
                <w:sz w:val="24"/>
                <w:szCs w:val="24"/>
                <w:lang w:val="en-US" w:eastAsia="zh-CN"/>
              </w:rPr>
              <w:t>可知，</w:t>
            </w:r>
            <w:r>
              <w:rPr>
                <w:rFonts w:ascii="宋体" w:hAnsi="宋体" w:eastAsia="宋体" w:cs="宋体"/>
                <w:color w:val="auto"/>
                <w:spacing w:val="1"/>
                <w:sz w:val="24"/>
                <w:szCs w:val="24"/>
              </w:rPr>
              <w:t>厂界无组织废气中颗粒物</w:t>
            </w:r>
            <w:r>
              <w:rPr>
                <w:rFonts w:hint="eastAsia" w:ascii="Times New Roman" w:hAnsi="Times New Roman" w:cs="Times New Roman"/>
                <w:color w:val="auto"/>
                <w:sz w:val="24"/>
                <w:szCs w:val="24"/>
                <w:lang w:val="en-US" w:eastAsia="zh-CN"/>
              </w:rPr>
              <w:t>排放浓度范围为</w:t>
            </w:r>
            <w:r>
              <w:rPr>
                <w:rFonts w:hint="eastAsia" w:cs="Times New Roman"/>
                <w:color w:val="auto"/>
                <w:sz w:val="24"/>
                <w:szCs w:val="24"/>
                <w:lang w:val="en-US" w:eastAsia="zh-CN"/>
              </w:rPr>
              <w:t>0.187~</w:t>
            </w:r>
            <w:r>
              <w:rPr>
                <w:rFonts w:ascii="宋体" w:hAnsi="宋体" w:eastAsia="宋体" w:cs="宋体"/>
                <w:color w:val="auto"/>
                <w:spacing w:val="-31"/>
                <w:sz w:val="24"/>
                <w:szCs w:val="24"/>
              </w:rPr>
              <w:t xml:space="preserve"> </w:t>
            </w:r>
            <w:r>
              <w:rPr>
                <w:rFonts w:ascii="Times New Roman" w:hAnsi="Times New Roman" w:eastAsia="Times New Roman" w:cs="Times New Roman"/>
                <w:color w:val="auto"/>
                <w:spacing w:val="1"/>
                <w:sz w:val="24"/>
                <w:szCs w:val="24"/>
              </w:rPr>
              <w:t>0.486</w:t>
            </w:r>
            <w:r>
              <w:rPr>
                <w:rFonts w:ascii="Times New Roman" w:hAnsi="Times New Roman" w:eastAsia="Times New Roman" w:cs="Times New Roman"/>
                <w:color w:val="auto"/>
                <w:sz w:val="24"/>
                <w:szCs w:val="24"/>
              </w:rPr>
              <w:t>mg</w:t>
            </w:r>
            <w:r>
              <w:rPr>
                <w:rFonts w:ascii="Times New Roman" w:hAnsi="Times New Roman" w:eastAsia="Times New Roman" w:cs="Times New Roman"/>
                <w:color w:val="auto"/>
                <w:spacing w:val="1"/>
                <w:sz w:val="24"/>
                <w:szCs w:val="24"/>
              </w:rPr>
              <w:t>/m</w:t>
            </w:r>
            <w:r>
              <w:rPr>
                <w:rFonts w:hint="eastAsia" w:eastAsia="宋体" w:cs="Times New Roman"/>
                <w:color w:val="auto"/>
                <w:spacing w:val="-1"/>
                <w:sz w:val="24"/>
                <w:szCs w:val="24"/>
                <w:vertAlign w:val="superscript"/>
                <w:lang w:val="en-US" w:eastAsia="zh-CN"/>
              </w:rPr>
              <w:t>3</w:t>
            </w:r>
            <w:r>
              <w:rPr>
                <w:rFonts w:ascii="宋体" w:hAnsi="宋体" w:eastAsia="宋体" w:cs="宋体"/>
                <w:color w:val="auto"/>
                <w:spacing w:val="1"/>
                <w:sz w:val="24"/>
                <w:szCs w:val="24"/>
              </w:rPr>
              <w:t>，非</w:t>
            </w:r>
            <w:r>
              <w:rPr>
                <w:rFonts w:ascii="宋体" w:hAnsi="宋体" w:eastAsia="宋体" w:cs="宋体"/>
                <w:color w:val="auto"/>
                <w:spacing w:val="-2"/>
                <w:sz w:val="24"/>
                <w:szCs w:val="24"/>
              </w:rPr>
              <w:t>甲烷总烃</w:t>
            </w:r>
            <w:r>
              <w:rPr>
                <w:rFonts w:hint="eastAsia" w:ascii="Times New Roman" w:hAnsi="Times New Roman" w:cs="Times New Roman"/>
                <w:color w:val="auto"/>
                <w:sz w:val="24"/>
                <w:szCs w:val="24"/>
                <w:lang w:val="en-US" w:eastAsia="zh-CN"/>
              </w:rPr>
              <w:t>排放浓度范围为</w:t>
            </w:r>
            <w:r>
              <w:rPr>
                <w:rFonts w:hint="eastAsia" w:cs="Times New Roman"/>
                <w:color w:val="auto"/>
                <w:sz w:val="24"/>
                <w:szCs w:val="24"/>
                <w:lang w:val="en-US" w:eastAsia="zh-CN"/>
              </w:rPr>
              <w:t>0.30~</w:t>
            </w:r>
            <w:r>
              <w:rPr>
                <w:rFonts w:ascii="Times New Roman" w:hAnsi="Times New Roman" w:eastAsia="Times New Roman" w:cs="Times New Roman"/>
                <w:color w:val="auto"/>
                <w:spacing w:val="-2"/>
                <w:sz w:val="24"/>
                <w:szCs w:val="24"/>
              </w:rPr>
              <w:t>0.68mg/m</w:t>
            </w:r>
            <w:r>
              <w:rPr>
                <w:rFonts w:hint="eastAsia" w:eastAsia="宋体" w:cs="Times New Roman"/>
                <w:color w:val="auto"/>
                <w:spacing w:val="-1"/>
                <w:sz w:val="24"/>
                <w:szCs w:val="24"/>
                <w:vertAlign w:val="superscript"/>
                <w:lang w:val="en-US" w:eastAsia="zh-CN"/>
              </w:rPr>
              <w:t>3</w:t>
            </w:r>
            <w:r>
              <w:rPr>
                <w:rFonts w:ascii="宋体" w:hAnsi="宋体" w:eastAsia="宋体" w:cs="宋体"/>
                <w:color w:val="auto"/>
                <w:spacing w:val="-2"/>
                <w:sz w:val="24"/>
                <w:szCs w:val="24"/>
              </w:rPr>
              <w:t xml:space="preserve">，满足《大气污染物综合排放标准》 </w:t>
            </w:r>
            <w:r>
              <w:rPr>
                <w:rFonts w:ascii="Times New Roman" w:hAnsi="Times New Roman" w:eastAsia="Times New Roman" w:cs="Times New Roman"/>
                <w:color w:val="auto"/>
                <w:spacing w:val="-3"/>
                <w:sz w:val="24"/>
                <w:szCs w:val="24"/>
              </w:rPr>
              <w:t>(GB16297-</w:t>
            </w:r>
            <w:r>
              <w:rPr>
                <w:rFonts w:ascii="Times New Roman" w:hAnsi="Times New Roman" w:eastAsia="Times New Roman" w:cs="Times New Roman"/>
                <w:color w:val="auto"/>
                <w:sz w:val="24"/>
                <w:szCs w:val="24"/>
              </w:rPr>
              <w:t xml:space="preserve"> </w:t>
            </w:r>
            <w:r>
              <w:rPr>
                <w:rFonts w:ascii="Times New Roman" w:hAnsi="Times New Roman" w:eastAsia="Times New Roman" w:cs="Times New Roman"/>
                <w:color w:val="auto"/>
                <w:spacing w:val="-4"/>
                <w:sz w:val="24"/>
                <w:szCs w:val="24"/>
              </w:rPr>
              <w:t>1996</w:t>
            </w:r>
            <w:r>
              <w:rPr>
                <w:rFonts w:hint="eastAsia" w:eastAsia="宋体" w:cs="Times New Roman"/>
                <w:color w:val="auto"/>
                <w:spacing w:val="-4"/>
                <w:sz w:val="24"/>
                <w:szCs w:val="24"/>
                <w:lang w:eastAsia="zh-CN"/>
              </w:rPr>
              <w:t>）</w:t>
            </w:r>
            <w:r>
              <w:rPr>
                <w:rFonts w:ascii="宋体" w:hAnsi="宋体" w:eastAsia="宋体" w:cs="宋体"/>
                <w:color w:val="auto"/>
                <w:spacing w:val="-4"/>
                <w:sz w:val="24"/>
                <w:szCs w:val="24"/>
              </w:rPr>
              <w:t>中表</w:t>
            </w:r>
            <w:r>
              <w:rPr>
                <w:rFonts w:ascii="宋体" w:hAnsi="宋体" w:eastAsia="宋体" w:cs="宋体"/>
                <w:color w:val="auto"/>
                <w:spacing w:val="-54"/>
                <w:sz w:val="24"/>
                <w:szCs w:val="24"/>
              </w:rPr>
              <w:t xml:space="preserve"> </w:t>
            </w:r>
            <w:r>
              <w:rPr>
                <w:rFonts w:ascii="Times New Roman" w:hAnsi="Times New Roman" w:eastAsia="Times New Roman" w:cs="Times New Roman"/>
                <w:color w:val="auto"/>
                <w:spacing w:val="-4"/>
                <w:sz w:val="24"/>
                <w:szCs w:val="24"/>
              </w:rPr>
              <w:t xml:space="preserve">2 </w:t>
            </w:r>
            <w:r>
              <w:rPr>
                <w:rFonts w:ascii="宋体" w:hAnsi="宋体" w:eastAsia="宋体" w:cs="宋体"/>
                <w:color w:val="auto"/>
                <w:spacing w:val="-4"/>
                <w:sz w:val="24"/>
                <w:szCs w:val="24"/>
              </w:rPr>
              <w:t>无组织排放限值。</w:t>
            </w:r>
            <w:r>
              <w:rPr>
                <w:rFonts w:ascii="宋体" w:hAnsi="宋体" w:eastAsia="宋体" w:cs="宋体"/>
                <w:color w:val="auto"/>
                <w:spacing w:val="12"/>
                <w:sz w:val="24"/>
                <w:szCs w:val="24"/>
              </w:rPr>
              <w:t>厂区内（乳化炸药生产工房外）非甲烷总烃</w:t>
            </w:r>
            <w:r>
              <w:rPr>
                <w:rFonts w:hint="eastAsia" w:ascii="Times New Roman" w:hAnsi="Times New Roman" w:cs="Times New Roman"/>
                <w:color w:val="auto"/>
                <w:sz w:val="24"/>
                <w:szCs w:val="24"/>
                <w:lang w:val="en-US" w:eastAsia="zh-CN"/>
              </w:rPr>
              <w:t>排放浓度范围为</w:t>
            </w:r>
            <w:r>
              <w:rPr>
                <w:rFonts w:hint="eastAsia" w:cs="Times New Roman"/>
                <w:color w:val="auto"/>
                <w:sz w:val="24"/>
                <w:szCs w:val="24"/>
                <w:lang w:val="en-US" w:eastAsia="zh-CN"/>
              </w:rPr>
              <w:t>0.92~</w:t>
            </w:r>
            <w:r>
              <w:rPr>
                <w:rFonts w:ascii="Times New Roman" w:hAnsi="Times New Roman" w:eastAsia="Times New Roman" w:cs="Times New Roman"/>
                <w:color w:val="auto"/>
                <w:spacing w:val="-1"/>
                <w:sz w:val="24"/>
                <w:szCs w:val="24"/>
              </w:rPr>
              <w:t>0.99mg/m</w:t>
            </w:r>
            <w:r>
              <w:rPr>
                <w:rFonts w:hint="eastAsia" w:eastAsia="宋体" w:cs="Times New Roman"/>
                <w:color w:val="auto"/>
                <w:spacing w:val="-1"/>
                <w:sz w:val="24"/>
                <w:szCs w:val="24"/>
                <w:vertAlign w:val="superscript"/>
                <w:lang w:val="en-US" w:eastAsia="zh-CN"/>
              </w:rPr>
              <w:t>3</w:t>
            </w:r>
            <w:r>
              <w:rPr>
                <w:rFonts w:ascii="宋体" w:hAnsi="宋体" w:eastAsia="宋体" w:cs="宋体"/>
                <w:color w:val="auto"/>
                <w:spacing w:val="-1"/>
                <w:sz w:val="24"/>
                <w:szCs w:val="24"/>
              </w:rPr>
              <w:t>，符合《挥发性有机物无组织排放控制标准》（</w:t>
            </w:r>
            <w:r>
              <w:rPr>
                <w:rFonts w:ascii="Times New Roman" w:hAnsi="Times New Roman" w:eastAsia="Times New Roman" w:cs="Times New Roman"/>
                <w:color w:val="auto"/>
                <w:spacing w:val="-1"/>
                <w:sz w:val="24"/>
                <w:szCs w:val="24"/>
              </w:rPr>
              <w:t>GB37822-2019</w:t>
            </w:r>
            <w:r>
              <w:rPr>
                <w:rFonts w:ascii="宋体" w:hAnsi="宋体" w:eastAsia="宋体" w:cs="宋体"/>
                <w:color w:val="auto"/>
                <w:spacing w:val="-1"/>
                <w:sz w:val="24"/>
                <w:szCs w:val="24"/>
              </w:rPr>
              <w:t>）附录</w:t>
            </w:r>
            <w:r>
              <w:rPr>
                <w:rFonts w:ascii="宋体" w:hAnsi="宋体" w:eastAsia="宋体" w:cs="宋体"/>
                <w:color w:val="auto"/>
                <w:sz w:val="24"/>
                <w:szCs w:val="24"/>
              </w:rPr>
              <w:t xml:space="preserve"> </w:t>
            </w:r>
            <w:r>
              <w:rPr>
                <w:rFonts w:ascii="Times New Roman" w:hAnsi="Times New Roman" w:eastAsia="Times New Roman" w:cs="Times New Roman"/>
                <w:color w:val="auto"/>
                <w:spacing w:val="-1"/>
                <w:sz w:val="24"/>
                <w:szCs w:val="24"/>
              </w:rPr>
              <w:t xml:space="preserve">A </w:t>
            </w:r>
            <w:r>
              <w:rPr>
                <w:rFonts w:ascii="宋体" w:hAnsi="宋体" w:eastAsia="宋体" w:cs="宋体"/>
                <w:color w:val="auto"/>
                <w:spacing w:val="-1"/>
                <w:sz w:val="24"/>
                <w:szCs w:val="24"/>
              </w:rPr>
              <w:t>规定的特别排放限值。</w:t>
            </w:r>
          </w:p>
          <w:p w14:paraId="4888D516">
            <w:pPr>
              <w:pStyle w:val="115"/>
              <w:keepNext/>
              <w:keepLines w:val="0"/>
              <w:pageBreakBefore w:val="0"/>
              <w:widowControl w:val="0"/>
              <w:numPr>
                <w:ilvl w:val="0"/>
                <w:numId w:val="7"/>
              </w:numPr>
              <w:kinsoku/>
              <w:wordWrap/>
              <w:overflowPunct/>
              <w:topLinePunct w:val="0"/>
              <w:autoSpaceDE/>
              <w:autoSpaceDN/>
              <w:bidi w:val="0"/>
              <w:adjustRightInd/>
              <w:snapToGrid/>
              <w:spacing w:line="360" w:lineRule="auto"/>
              <w:ind w:left="0" w:right="0" w:firstLine="504" w:firstLineChars="200"/>
              <w:textAlignment w:val="auto"/>
              <w:outlineLvl w:val="9"/>
              <w:rPr>
                <w:rFonts w:hint="eastAsia" w:ascii="Times New Roman" w:hAnsi="Times New Roman" w:cs="Times New Roman"/>
                <w:color w:val="auto"/>
                <w:spacing w:val="6"/>
                <w:lang w:val="en-US" w:eastAsia="zh-CN"/>
              </w:rPr>
            </w:pPr>
            <w:r>
              <w:rPr>
                <w:rFonts w:hint="eastAsia" w:ascii="Times New Roman" w:hAnsi="Times New Roman" w:cs="Times New Roman"/>
                <w:color w:val="auto"/>
                <w:spacing w:val="6"/>
                <w:lang w:val="en-US" w:eastAsia="zh-CN"/>
              </w:rPr>
              <w:t>废水</w:t>
            </w:r>
          </w:p>
          <w:p w14:paraId="45D8A7AB">
            <w:pPr>
              <w:keepNext/>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outlineLvl w:val="9"/>
              <w:rPr>
                <w:rFonts w:hint="default" w:ascii="宋体" w:hAnsi="宋体" w:eastAsia="宋体" w:cs="宋体"/>
                <w:color w:val="auto"/>
                <w:spacing w:val="-1"/>
                <w:sz w:val="24"/>
                <w:szCs w:val="24"/>
                <w:lang w:val="en-US" w:eastAsia="zh-CN"/>
              </w:rPr>
            </w:pPr>
            <w:r>
              <w:rPr>
                <w:rFonts w:hint="eastAsia" w:ascii="宋体" w:hAnsi="宋体" w:eastAsia="宋体" w:cs="宋体"/>
                <w:color w:val="auto"/>
                <w:spacing w:val="-4"/>
                <w:sz w:val="24"/>
                <w:szCs w:val="24"/>
                <w:lang w:val="en-US" w:eastAsia="zh-CN"/>
              </w:rPr>
              <w:t>现有项目生产废水经隔油沉淀池预处理后，</w:t>
            </w:r>
            <w:r>
              <w:rPr>
                <w:rFonts w:ascii="宋体" w:hAnsi="宋体" w:eastAsia="宋体" w:cs="宋体"/>
                <w:color w:val="auto"/>
                <w:spacing w:val="3"/>
                <w:sz w:val="24"/>
                <w:szCs w:val="24"/>
              </w:rPr>
              <w:t>送至辽宁红</w:t>
            </w:r>
            <w:r>
              <w:rPr>
                <w:rFonts w:ascii="宋体" w:hAnsi="宋体" w:eastAsia="宋体" w:cs="宋体"/>
                <w:color w:val="auto"/>
                <w:spacing w:val="-1"/>
                <w:sz w:val="24"/>
                <w:szCs w:val="24"/>
              </w:rPr>
              <w:t>山一体化污水处理设施处理后用于绿化和道路洒扫。</w:t>
            </w:r>
            <w:r>
              <w:rPr>
                <w:rFonts w:hint="eastAsia" w:ascii="宋体" w:hAnsi="宋体" w:cs="宋体"/>
                <w:color w:val="auto"/>
                <w:spacing w:val="-1"/>
                <w:sz w:val="24"/>
                <w:szCs w:val="24"/>
                <w:lang w:val="en-US" w:eastAsia="zh-CN"/>
              </w:rPr>
              <w:t>生活污水</w:t>
            </w:r>
            <w:r>
              <w:rPr>
                <w:rFonts w:hint="eastAsia" w:cs="Times New Roman"/>
                <w:color w:val="auto"/>
                <w:spacing w:val="8"/>
                <w:sz w:val="24"/>
                <w:szCs w:val="24"/>
                <w:highlight w:val="none"/>
                <w:lang w:val="en-US" w:eastAsia="zh-CN"/>
              </w:rPr>
              <w:t>经</w:t>
            </w:r>
            <w:r>
              <w:rPr>
                <w:rFonts w:hint="eastAsia" w:ascii="Times New Roman" w:hAnsi="Times New Roman" w:cs="Times New Roman"/>
                <w:color w:val="auto"/>
                <w:spacing w:val="8"/>
                <w:sz w:val="24"/>
                <w:szCs w:val="24"/>
                <w:highlight w:val="none"/>
                <w:lang w:eastAsia="zh-CN"/>
              </w:rPr>
              <w:t>辽宁红山</w:t>
            </w:r>
            <w:r>
              <w:rPr>
                <w:rFonts w:hint="default" w:ascii="Times New Roman" w:hAnsi="Times New Roman" w:cs="Times New Roman"/>
                <w:color w:val="auto"/>
                <w:spacing w:val="8"/>
                <w:sz w:val="24"/>
                <w:szCs w:val="24"/>
                <w:highlight w:val="none"/>
              </w:rPr>
              <w:t>污水</w:t>
            </w:r>
            <w:r>
              <w:rPr>
                <w:rFonts w:hint="default" w:ascii="Times New Roman" w:hAnsi="Times New Roman" w:cs="Times New Roman"/>
                <w:color w:val="auto"/>
                <w:spacing w:val="-1"/>
                <w:sz w:val="24"/>
                <w:szCs w:val="24"/>
                <w:highlight w:val="none"/>
              </w:rPr>
              <w:t>处理站处理后用于</w:t>
            </w:r>
            <w:r>
              <w:rPr>
                <w:rFonts w:hint="default" w:ascii="Times New Roman" w:hAnsi="Times New Roman" w:cs="Times New Roman"/>
                <w:color w:val="auto"/>
                <w:sz w:val="24"/>
                <w:szCs w:val="24"/>
                <w:highlight w:val="none"/>
                <w:lang w:val="en-US" w:eastAsia="zh-CN"/>
              </w:rPr>
              <w:t>绿化和</w:t>
            </w:r>
            <w:r>
              <w:rPr>
                <w:rFonts w:hint="eastAsia" w:ascii="Times New Roman" w:hAnsi="Times New Roman" w:cs="Times New Roman"/>
                <w:color w:val="auto"/>
                <w:sz w:val="24"/>
                <w:szCs w:val="24"/>
                <w:highlight w:val="none"/>
                <w:lang w:val="en-US" w:eastAsia="zh-CN"/>
              </w:rPr>
              <w:t>道路洒扫</w:t>
            </w:r>
            <w:r>
              <w:rPr>
                <w:rFonts w:hint="default" w:ascii="Times New Roman" w:hAnsi="Times New Roman" w:cs="Times New Roman"/>
                <w:color w:val="auto"/>
                <w:spacing w:val="-1"/>
                <w:sz w:val="24"/>
                <w:szCs w:val="24"/>
                <w:highlight w:val="none"/>
              </w:rPr>
              <w:t>。</w:t>
            </w:r>
            <w:r>
              <w:rPr>
                <w:rFonts w:hint="eastAsia" w:cs="Times New Roman"/>
                <w:color w:val="auto"/>
                <w:spacing w:val="-1"/>
                <w:sz w:val="24"/>
                <w:szCs w:val="24"/>
                <w:highlight w:val="none"/>
                <w:lang w:val="en-US" w:eastAsia="zh-CN"/>
              </w:rPr>
              <w:t>废水</w:t>
            </w:r>
            <w:r>
              <w:rPr>
                <w:rFonts w:hint="eastAsia" w:ascii="Times New Roman" w:hAnsi="Times New Roman" w:cs="Times New Roman"/>
                <w:color w:val="auto"/>
                <w:sz w:val="24"/>
                <w:szCs w:val="24"/>
                <w:lang w:val="en-US" w:eastAsia="zh-CN"/>
              </w:rPr>
              <w:t>污染物排放情况引用</w:t>
            </w:r>
            <w:r>
              <w:rPr>
                <w:rFonts w:hint="eastAsia" w:cs="Times New Roman"/>
                <w:color w:val="auto"/>
                <w:spacing w:val="4"/>
                <w:sz w:val="24"/>
                <w:szCs w:val="24"/>
                <w:lang w:val="en-US" w:eastAsia="zh-CN"/>
              </w:rPr>
              <w:t>《</w:t>
            </w:r>
            <w:r>
              <w:rPr>
                <w:rFonts w:hint="eastAsia" w:ascii="宋体" w:hAnsi="宋体" w:eastAsia="宋体" w:cs="宋体"/>
                <w:color w:val="auto"/>
                <w:kern w:val="0"/>
                <w:sz w:val="24"/>
                <w:szCs w:val="24"/>
                <w:lang w:val="en-US" w:eastAsia="zh-CN" w:bidi="ar"/>
              </w:rPr>
              <w:t xml:space="preserve">朝阳红山化工有限责任公司年产 </w:t>
            </w:r>
            <w:r>
              <w:rPr>
                <w:rFonts w:hint="default" w:ascii="Times New Roman" w:hAnsi="Times New Roman" w:eastAsia="宋体" w:cs="Times New Roman"/>
                <w:color w:val="auto"/>
                <w:kern w:val="0"/>
                <w:sz w:val="24"/>
                <w:szCs w:val="24"/>
                <w:lang w:val="en-US" w:eastAsia="zh-CN" w:bidi="ar"/>
              </w:rPr>
              <w:t xml:space="preserve">20000t </w:t>
            </w:r>
            <w:r>
              <w:rPr>
                <w:rFonts w:hint="eastAsia" w:ascii="宋体" w:hAnsi="宋体" w:eastAsia="宋体" w:cs="宋体"/>
                <w:color w:val="auto"/>
                <w:kern w:val="0"/>
                <w:sz w:val="24"/>
                <w:szCs w:val="24"/>
                <w:lang w:val="en-US" w:eastAsia="zh-CN" w:bidi="ar"/>
              </w:rPr>
              <w:t>乳化炸药生产线扩能升级改造项目竣工环境保护验收监测报告</w:t>
            </w:r>
            <w:r>
              <w:rPr>
                <w:rFonts w:hint="eastAsia" w:cs="Times New Roman"/>
                <w:color w:val="auto"/>
                <w:spacing w:val="4"/>
                <w:sz w:val="24"/>
                <w:szCs w:val="24"/>
                <w:lang w:val="en-US" w:eastAsia="zh-CN"/>
              </w:rPr>
              <w:t>》中</w:t>
            </w:r>
            <w:r>
              <w:rPr>
                <w:rFonts w:hint="eastAsia" w:cs="Times New Roman"/>
                <w:color w:val="auto"/>
                <w:sz w:val="24"/>
                <w:szCs w:val="24"/>
                <w:lang w:val="en-US" w:eastAsia="zh-CN"/>
              </w:rPr>
              <w:t>监测数据，具体</w:t>
            </w:r>
            <w:r>
              <w:rPr>
                <w:rFonts w:hint="eastAsia" w:ascii="Times New Roman" w:hAnsi="Times New Roman" w:cs="Times New Roman"/>
                <w:color w:val="auto"/>
                <w:sz w:val="24"/>
                <w:szCs w:val="24"/>
                <w:lang w:val="en-US" w:eastAsia="zh-CN"/>
              </w:rPr>
              <w:t>污染物排放情况</w:t>
            </w:r>
            <w:r>
              <w:rPr>
                <w:rFonts w:hint="eastAsia" w:cs="Times New Roman"/>
                <w:color w:val="auto"/>
                <w:sz w:val="24"/>
                <w:szCs w:val="24"/>
                <w:lang w:val="en-US" w:eastAsia="zh-CN"/>
              </w:rPr>
              <w:t>见表2-19。</w:t>
            </w:r>
          </w:p>
          <w:p w14:paraId="6C8FBDD1">
            <w:pPr>
              <w:pStyle w:val="20"/>
              <w:keepNext/>
              <w:keepLines w:val="0"/>
              <w:pageBreakBefore w:val="0"/>
              <w:tabs>
                <w:tab w:val="center" w:pos="4153"/>
                <w:tab w:val="right" w:pos="8306"/>
              </w:tabs>
              <w:kinsoku/>
              <w:wordWrap/>
              <w:overflowPunct/>
              <w:topLinePunct w:val="0"/>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2-1</w:t>
            </w:r>
            <w:r>
              <w:rPr>
                <w:rFonts w:hint="eastAsia"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lang w:val="en-US" w:eastAsia="zh-CN"/>
              </w:rPr>
              <w:t xml:space="preserve">   废水监测结果</w:t>
            </w:r>
          </w:p>
          <w:tbl>
            <w:tblPr>
              <w:tblStyle w:val="85"/>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82"/>
              <w:gridCol w:w="815"/>
              <w:gridCol w:w="692"/>
              <w:gridCol w:w="1128"/>
              <w:gridCol w:w="760"/>
              <w:gridCol w:w="717"/>
              <w:gridCol w:w="745"/>
              <w:gridCol w:w="698"/>
              <w:gridCol w:w="603"/>
              <w:gridCol w:w="597"/>
              <w:gridCol w:w="681"/>
            </w:tblGrid>
            <w:tr w14:paraId="49292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jc w:val="center"/>
              </w:trPr>
              <w:tc>
                <w:tcPr>
                  <w:tcW w:w="436" w:type="pct"/>
                  <w:vAlign w:val="center"/>
                </w:tcPr>
                <w:p w14:paraId="62E4B1FF">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6"/>
                      <w:sz w:val="21"/>
                      <w:szCs w:val="21"/>
                    </w:rPr>
                    <w:t>监测日期</w:t>
                  </w:r>
                </w:p>
              </w:tc>
              <w:tc>
                <w:tcPr>
                  <w:tcW w:w="499" w:type="pct"/>
                  <w:vAlign w:val="center"/>
                </w:tcPr>
                <w:p w14:paraId="6909232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6"/>
                      <w:sz w:val="21"/>
                      <w:szCs w:val="21"/>
                    </w:rPr>
                    <w:t>检测项目</w:t>
                  </w:r>
                </w:p>
              </w:tc>
              <w:tc>
                <w:tcPr>
                  <w:tcW w:w="425" w:type="pct"/>
                  <w:vAlign w:val="center"/>
                </w:tcPr>
                <w:p w14:paraId="5FD3F3A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3"/>
                      <w:sz w:val="21"/>
                      <w:szCs w:val="21"/>
                    </w:rPr>
                    <w:t>单位</w:t>
                  </w:r>
                </w:p>
              </w:tc>
              <w:tc>
                <w:tcPr>
                  <w:tcW w:w="687" w:type="pct"/>
                  <w:vAlign w:val="center"/>
                </w:tcPr>
                <w:p w14:paraId="757649D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6"/>
                      <w:sz w:val="21"/>
                      <w:szCs w:val="21"/>
                    </w:rPr>
                    <w:t>检测点位</w:t>
                  </w:r>
                </w:p>
              </w:tc>
              <w:tc>
                <w:tcPr>
                  <w:tcW w:w="466" w:type="pct"/>
                  <w:vAlign w:val="center"/>
                </w:tcPr>
                <w:p w14:paraId="494C39F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5"/>
                      <w:sz w:val="21"/>
                      <w:szCs w:val="21"/>
                    </w:rPr>
                    <w:t>第一次</w:t>
                  </w:r>
                </w:p>
              </w:tc>
              <w:tc>
                <w:tcPr>
                  <w:tcW w:w="440" w:type="pct"/>
                  <w:vAlign w:val="center"/>
                </w:tcPr>
                <w:p w14:paraId="352AE2D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5"/>
                      <w:sz w:val="21"/>
                      <w:szCs w:val="21"/>
                    </w:rPr>
                    <w:t>第二次</w:t>
                  </w:r>
                </w:p>
              </w:tc>
              <w:tc>
                <w:tcPr>
                  <w:tcW w:w="457" w:type="pct"/>
                  <w:vAlign w:val="center"/>
                </w:tcPr>
                <w:p w14:paraId="76068CA2">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5"/>
                      <w:sz w:val="21"/>
                      <w:szCs w:val="21"/>
                    </w:rPr>
                    <w:t>第三次</w:t>
                  </w:r>
                </w:p>
              </w:tc>
              <w:tc>
                <w:tcPr>
                  <w:tcW w:w="428" w:type="pct"/>
                  <w:vAlign w:val="center"/>
                </w:tcPr>
                <w:p w14:paraId="2426994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5"/>
                      <w:sz w:val="21"/>
                      <w:szCs w:val="21"/>
                    </w:rPr>
                    <w:t>第四次</w:t>
                  </w:r>
                </w:p>
              </w:tc>
              <w:tc>
                <w:tcPr>
                  <w:tcW w:w="369" w:type="pct"/>
                  <w:vAlign w:val="center"/>
                </w:tcPr>
                <w:p w14:paraId="73ED6F2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7"/>
                      <w:sz w:val="21"/>
                      <w:szCs w:val="21"/>
                    </w:rPr>
                    <w:t>日均值</w:t>
                  </w:r>
                </w:p>
              </w:tc>
              <w:tc>
                <w:tcPr>
                  <w:tcW w:w="369" w:type="pct"/>
                  <w:vAlign w:val="center"/>
                </w:tcPr>
                <w:p w14:paraId="7458BF9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3"/>
                      <w:sz w:val="21"/>
                      <w:szCs w:val="21"/>
                    </w:rPr>
                    <w:t>标准</w:t>
                  </w:r>
                </w:p>
              </w:tc>
              <w:tc>
                <w:tcPr>
                  <w:tcW w:w="418" w:type="pct"/>
                  <w:vAlign w:val="center"/>
                </w:tcPr>
                <w:p w14:paraId="679D76C2">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b/>
                      <w:bCs/>
                      <w:color w:val="auto"/>
                      <w:spacing w:val="6"/>
                      <w:sz w:val="21"/>
                      <w:szCs w:val="21"/>
                    </w:rPr>
                    <w:t>达标情况</w:t>
                  </w:r>
                </w:p>
              </w:tc>
            </w:tr>
            <w:tr w14:paraId="3600BC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436" w:type="pct"/>
                  <w:vMerge w:val="restart"/>
                  <w:tcBorders>
                    <w:bottom w:val="nil"/>
                  </w:tcBorders>
                  <w:vAlign w:val="center"/>
                </w:tcPr>
                <w:p w14:paraId="3EC7EB1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2025.4.</w:t>
                  </w:r>
                  <w:r>
                    <w:rPr>
                      <w:rFonts w:ascii="Times New Roman" w:hAnsi="Times New Roman" w:eastAsia="Times New Roman" w:cs="Times New Roman"/>
                      <w:color w:val="auto"/>
                      <w:spacing w:val="-24"/>
                      <w:sz w:val="21"/>
                      <w:szCs w:val="21"/>
                    </w:rPr>
                    <w:t xml:space="preserve"> </w:t>
                  </w:r>
                  <w:r>
                    <w:rPr>
                      <w:rFonts w:ascii="Times New Roman" w:hAnsi="Times New Roman" w:eastAsia="Times New Roman" w:cs="Times New Roman"/>
                      <w:color w:val="auto"/>
                      <w:spacing w:val="1"/>
                      <w:sz w:val="21"/>
                      <w:szCs w:val="21"/>
                    </w:rPr>
                    <w:t>14</w:t>
                  </w:r>
                </w:p>
              </w:tc>
              <w:tc>
                <w:tcPr>
                  <w:tcW w:w="499" w:type="pct"/>
                  <w:vAlign w:val="center"/>
                </w:tcPr>
                <w:p w14:paraId="0ACDF65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rFonts w:ascii="Times New Roman" w:hAnsi="Times New Roman" w:eastAsia="Times New Roman" w:cs="Times New Roman"/>
                      <w:color w:val="auto"/>
                      <w:sz w:val="21"/>
                      <w:szCs w:val="21"/>
                    </w:rPr>
                    <w:t>pH</w:t>
                  </w:r>
                  <w:r>
                    <w:rPr>
                      <w:rFonts w:ascii="Times New Roman" w:hAnsi="Times New Roman" w:eastAsia="Times New Roman" w:cs="Times New Roman"/>
                      <w:color w:val="auto"/>
                      <w:spacing w:val="11"/>
                      <w:sz w:val="21"/>
                      <w:szCs w:val="21"/>
                    </w:rPr>
                    <w:t xml:space="preserve"> </w:t>
                  </w:r>
                  <w:r>
                    <w:rPr>
                      <w:color w:val="auto"/>
                      <w:spacing w:val="13"/>
                      <w:sz w:val="21"/>
                      <w:szCs w:val="21"/>
                    </w:rPr>
                    <w:t>值</w:t>
                  </w:r>
                </w:p>
              </w:tc>
              <w:tc>
                <w:tcPr>
                  <w:tcW w:w="425" w:type="pct"/>
                  <w:vAlign w:val="center"/>
                </w:tcPr>
                <w:p w14:paraId="1B19F9A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5"/>
                      <w:sz w:val="21"/>
                      <w:szCs w:val="21"/>
                      <w:lang w:eastAsia="zh-CN"/>
                    </w:rPr>
                    <w:t>（</w:t>
                  </w:r>
                  <w:r>
                    <w:rPr>
                      <w:color w:val="auto"/>
                      <w:spacing w:val="5"/>
                      <w:sz w:val="21"/>
                      <w:szCs w:val="21"/>
                    </w:rPr>
                    <w:t>无量纲</w:t>
                  </w:r>
                  <w:r>
                    <w:rPr>
                      <w:rFonts w:hint="eastAsia"/>
                      <w:color w:val="auto"/>
                      <w:spacing w:val="5"/>
                      <w:sz w:val="21"/>
                      <w:szCs w:val="21"/>
                      <w:lang w:eastAsia="zh-CN"/>
                    </w:rPr>
                    <w:t>）</w:t>
                  </w:r>
                </w:p>
              </w:tc>
              <w:tc>
                <w:tcPr>
                  <w:tcW w:w="687" w:type="pct"/>
                  <w:vAlign w:val="center"/>
                </w:tcPr>
                <w:p w14:paraId="66C05C7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4CAF790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z w:val="21"/>
                      <w:szCs w:val="21"/>
                    </w:rPr>
                    <w:t>1</w:t>
                  </w:r>
                </w:p>
              </w:tc>
              <w:tc>
                <w:tcPr>
                  <w:tcW w:w="440" w:type="pct"/>
                  <w:vAlign w:val="center"/>
                </w:tcPr>
                <w:p w14:paraId="694D14F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7.3</w:t>
                  </w:r>
                </w:p>
              </w:tc>
              <w:tc>
                <w:tcPr>
                  <w:tcW w:w="457" w:type="pct"/>
                  <w:vAlign w:val="center"/>
                </w:tcPr>
                <w:p w14:paraId="0F4B27A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7.2</w:t>
                  </w:r>
                </w:p>
              </w:tc>
              <w:tc>
                <w:tcPr>
                  <w:tcW w:w="428" w:type="pct"/>
                  <w:vAlign w:val="center"/>
                </w:tcPr>
                <w:p w14:paraId="139CB9B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7.3</w:t>
                  </w:r>
                </w:p>
              </w:tc>
              <w:tc>
                <w:tcPr>
                  <w:tcW w:w="369" w:type="pct"/>
                  <w:vAlign w:val="center"/>
                </w:tcPr>
                <w:p w14:paraId="1C317D8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c>
                <w:tcPr>
                  <w:tcW w:w="369" w:type="pct"/>
                  <w:vAlign w:val="center"/>
                </w:tcPr>
                <w:p w14:paraId="68234B1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6~9</w:t>
                  </w:r>
                </w:p>
              </w:tc>
              <w:tc>
                <w:tcPr>
                  <w:tcW w:w="418" w:type="pct"/>
                  <w:vAlign w:val="center"/>
                </w:tcPr>
                <w:p w14:paraId="6480450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1CD993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bottom w:val="nil"/>
                  </w:tcBorders>
                  <w:vAlign w:val="center"/>
                </w:tcPr>
                <w:p w14:paraId="2BA28D6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705FC7A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化学需氧量</w:t>
                  </w:r>
                </w:p>
              </w:tc>
              <w:tc>
                <w:tcPr>
                  <w:tcW w:w="425" w:type="pct"/>
                  <w:vAlign w:val="center"/>
                </w:tcPr>
                <w:p w14:paraId="3681D4E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6F3AF29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290561A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201</w:t>
                  </w:r>
                </w:p>
              </w:tc>
              <w:tc>
                <w:tcPr>
                  <w:tcW w:w="440" w:type="pct"/>
                  <w:vAlign w:val="center"/>
                </w:tcPr>
                <w:p w14:paraId="5D85D8F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206</w:t>
                  </w:r>
                </w:p>
              </w:tc>
              <w:tc>
                <w:tcPr>
                  <w:tcW w:w="457" w:type="pct"/>
                  <w:vAlign w:val="center"/>
                </w:tcPr>
                <w:p w14:paraId="33BE3CE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194</w:t>
                  </w:r>
                </w:p>
              </w:tc>
              <w:tc>
                <w:tcPr>
                  <w:tcW w:w="428" w:type="pct"/>
                  <w:vAlign w:val="center"/>
                </w:tcPr>
                <w:p w14:paraId="026BF58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199</w:t>
                  </w:r>
                </w:p>
              </w:tc>
              <w:tc>
                <w:tcPr>
                  <w:tcW w:w="369" w:type="pct"/>
                  <w:vAlign w:val="center"/>
                </w:tcPr>
                <w:p w14:paraId="089D8A0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200</w:t>
                  </w:r>
                </w:p>
              </w:tc>
              <w:tc>
                <w:tcPr>
                  <w:tcW w:w="369" w:type="pct"/>
                  <w:vAlign w:val="center"/>
                </w:tcPr>
                <w:p w14:paraId="4FE6753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4"/>
                      <w:sz w:val="21"/>
                      <w:szCs w:val="21"/>
                    </w:rPr>
                    <w:t>300</w:t>
                  </w:r>
                </w:p>
              </w:tc>
              <w:tc>
                <w:tcPr>
                  <w:tcW w:w="418" w:type="pct"/>
                  <w:vAlign w:val="center"/>
                </w:tcPr>
                <w:p w14:paraId="5C4C7E72">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561D9D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bottom w:val="nil"/>
                  </w:tcBorders>
                  <w:vAlign w:val="center"/>
                </w:tcPr>
                <w:p w14:paraId="44B16C8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2B63C49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SS</w:t>
                  </w:r>
                </w:p>
              </w:tc>
              <w:tc>
                <w:tcPr>
                  <w:tcW w:w="425" w:type="pct"/>
                  <w:vAlign w:val="center"/>
                </w:tcPr>
                <w:p w14:paraId="24CD02B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5AEA7B2D">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6907B50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147</w:t>
                  </w:r>
                </w:p>
              </w:tc>
              <w:tc>
                <w:tcPr>
                  <w:tcW w:w="440" w:type="pct"/>
                  <w:vAlign w:val="center"/>
                </w:tcPr>
                <w:p w14:paraId="2FBDEBB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152</w:t>
                  </w:r>
                </w:p>
              </w:tc>
              <w:tc>
                <w:tcPr>
                  <w:tcW w:w="457" w:type="pct"/>
                  <w:vAlign w:val="center"/>
                </w:tcPr>
                <w:p w14:paraId="113DC5C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154</w:t>
                  </w:r>
                </w:p>
              </w:tc>
              <w:tc>
                <w:tcPr>
                  <w:tcW w:w="428" w:type="pct"/>
                  <w:vAlign w:val="center"/>
                </w:tcPr>
                <w:p w14:paraId="29266AE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150</w:t>
                  </w:r>
                </w:p>
              </w:tc>
              <w:tc>
                <w:tcPr>
                  <w:tcW w:w="369" w:type="pct"/>
                  <w:vAlign w:val="center"/>
                </w:tcPr>
                <w:p w14:paraId="7A3244F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150.75</w:t>
                  </w:r>
                </w:p>
              </w:tc>
              <w:tc>
                <w:tcPr>
                  <w:tcW w:w="369" w:type="pct"/>
                  <w:vAlign w:val="center"/>
                </w:tcPr>
                <w:p w14:paraId="44FC5BB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4"/>
                      <w:sz w:val="21"/>
                      <w:szCs w:val="21"/>
                    </w:rPr>
                    <w:t>300</w:t>
                  </w:r>
                </w:p>
              </w:tc>
              <w:tc>
                <w:tcPr>
                  <w:tcW w:w="418" w:type="pct"/>
                  <w:vAlign w:val="center"/>
                </w:tcPr>
                <w:p w14:paraId="64C0E70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7A6691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bottom w:val="nil"/>
                  </w:tcBorders>
                  <w:vAlign w:val="center"/>
                </w:tcPr>
                <w:p w14:paraId="23AC4B8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2F8BAB6D">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4"/>
                      <w:sz w:val="21"/>
                      <w:szCs w:val="21"/>
                    </w:rPr>
                    <w:t>氨氮</w:t>
                  </w:r>
                </w:p>
              </w:tc>
              <w:tc>
                <w:tcPr>
                  <w:tcW w:w="425" w:type="pct"/>
                  <w:vAlign w:val="center"/>
                </w:tcPr>
                <w:p w14:paraId="4A74971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3A282B0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7F064F9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11.</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pacing w:val="-3"/>
                      <w:sz w:val="21"/>
                      <w:szCs w:val="21"/>
                    </w:rPr>
                    <w:t>1</w:t>
                  </w:r>
                </w:p>
              </w:tc>
              <w:tc>
                <w:tcPr>
                  <w:tcW w:w="440" w:type="pct"/>
                  <w:vAlign w:val="center"/>
                </w:tcPr>
                <w:p w14:paraId="23D3943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10.6</w:t>
                  </w:r>
                </w:p>
              </w:tc>
              <w:tc>
                <w:tcPr>
                  <w:tcW w:w="457" w:type="pct"/>
                  <w:vAlign w:val="center"/>
                </w:tcPr>
                <w:p w14:paraId="3DA793F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13.5</w:t>
                  </w:r>
                </w:p>
              </w:tc>
              <w:tc>
                <w:tcPr>
                  <w:tcW w:w="428" w:type="pct"/>
                  <w:vAlign w:val="center"/>
                </w:tcPr>
                <w:p w14:paraId="3308769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12.2</w:t>
                  </w:r>
                </w:p>
              </w:tc>
              <w:tc>
                <w:tcPr>
                  <w:tcW w:w="369" w:type="pct"/>
                  <w:vAlign w:val="center"/>
                </w:tcPr>
                <w:p w14:paraId="0D38B77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11.85</w:t>
                  </w:r>
                </w:p>
              </w:tc>
              <w:tc>
                <w:tcPr>
                  <w:tcW w:w="369" w:type="pct"/>
                  <w:vAlign w:val="center"/>
                </w:tcPr>
                <w:p w14:paraId="7C75D38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3"/>
                      <w:sz w:val="21"/>
                      <w:szCs w:val="21"/>
                    </w:rPr>
                    <w:t>30</w:t>
                  </w:r>
                </w:p>
              </w:tc>
              <w:tc>
                <w:tcPr>
                  <w:tcW w:w="418" w:type="pct"/>
                  <w:vAlign w:val="center"/>
                </w:tcPr>
                <w:p w14:paraId="475F87B1">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5E77A3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tcBorders>
                  <w:vAlign w:val="center"/>
                </w:tcPr>
                <w:p w14:paraId="71E5761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7644DE1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石油类</w:t>
                  </w:r>
                </w:p>
              </w:tc>
              <w:tc>
                <w:tcPr>
                  <w:tcW w:w="425" w:type="pct"/>
                  <w:vAlign w:val="center"/>
                </w:tcPr>
                <w:p w14:paraId="2CDD431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5442326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46597D3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0.74</w:t>
                  </w:r>
                </w:p>
              </w:tc>
              <w:tc>
                <w:tcPr>
                  <w:tcW w:w="440" w:type="pct"/>
                  <w:vAlign w:val="center"/>
                </w:tcPr>
                <w:p w14:paraId="2C40073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0.79</w:t>
                  </w:r>
                </w:p>
              </w:tc>
              <w:tc>
                <w:tcPr>
                  <w:tcW w:w="457" w:type="pct"/>
                  <w:vAlign w:val="center"/>
                </w:tcPr>
                <w:p w14:paraId="26C9F70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0.71</w:t>
                  </w:r>
                </w:p>
              </w:tc>
              <w:tc>
                <w:tcPr>
                  <w:tcW w:w="428" w:type="pct"/>
                  <w:vAlign w:val="center"/>
                </w:tcPr>
                <w:p w14:paraId="7C8C6F8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0.77</w:t>
                  </w:r>
                </w:p>
              </w:tc>
              <w:tc>
                <w:tcPr>
                  <w:tcW w:w="369" w:type="pct"/>
                  <w:vAlign w:val="center"/>
                </w:tcPr>
                <w:p w14:paraId="5D01FA9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0.7525</w:t>
                  </w:r>
                </w:p>
              </w:tc>
              <w:tc>
                <w:tcPr>
                  <w:tcW w:w="369" w:type="pct"/>
                  <w:vAlign w:val="center"/>
                </w:tcPr>
                <w:p w14:paraId="53FA430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20</w:t>
                  </w:r>
                </w:p>
              </w:tc>
              <w:tc>
                <w:tcPr>
                  <w:tcW w:w="418" w:type="pct"/>
                  <w:vAlign w:val="center"/>
                </w:tcPr>
                <w:p w14:paraId="78BC8F3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492C9D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restart"/>
                  <w:tcBorders>
                    <w:bottom w:val="nil"/>
                  </w:tcBorders>
                  <w:vAlign w:val="center"/>
                </w:tcPr>
                <w:p w14:paraId="380ACD3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2025.4.15</w:t>
                  </w:r>
                </w:p>
              </w:tc>
              <w:tc>
                <w:tcPr>
                  <w:tcW w:w="499" w:type="pct"/>
                  <w:vAlign w:val="center"/>
                </w:tcPr>
                <w:p w14:paraId="675821B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rFonts w:ascii="Times New Roman" w:hAnsi="Times New Roman" w:eastAsia="Times New Roman" w:cs="Times New Roman"/>
                      <w:color w:val="auto"/>
                      <w:sz w:val="21"/>
                      <w:szCs w:val="21"/>
                    </w:rPr>
                    <w:t>pH</w:t>
                  </w:r>
                  <w:r>
                    <w:rPr>
                      <w:rFonts w:ascii="Times New Roman" w:hAnsi="Times New Roman" w:eastAsia="Times New Roman" w:cs="Times New Roman"/>
                      <w:color w:val="auto"/>
                      <w:spacing w:val="11"/>
                      <w:sz w:val="21"/>
                      <w:szCs w:val="21"/>
                    </w:rPr>
                    <w:t xml:space="preserve"> </w:t>
                  </w:r>
                  <w:r>
                    <w:rPr>
                      <w:color w:val="auto"/>
                      <w:spacing w:val="13"/>
                      <w:sz w:val="21"/>
                      <w:szCs w:val="21"/>
                    </w:rPr>
                    <w:t>值</w:t>
                  </w:r>
                </w:p>
              </w:tc>
              <w:tc>
                <w:tcPr>
                  <w:tcW w:w="425" w:type="pct"/>
                  <w:vAlign w:val="center"/>
                </w:tcPr>
                <w:p w14:paraId="4C67277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5"/>
                      <w:sz w:val="21"/>
                      <w:szCs w:val="21"/>
                      <w:lang w:eastAsia="zh-CN"/>
                    </w:rPr>
                    <w:t>（</w:t>
                  </w:r>
                  <w:r>
                    <w:rPr>
                      <w:color w:val="auto"/>
                      <w:spacing w:val="5"/>
                      <w:sz w:val="21"/>
                      <w:szCs w:val="21"/>
                    </w:rPr>
                    <w:t>无量纲</w:t>
                  </w:r>
                  <w:r>
                    <w:rPr>
                      <w:rFonts w:hint="eastAsia"/>
                      <w:color w:val="auto"/>
                      <w:spacing w:val="5"/>
                      <w:sz w:val="21"/>
                      <w:szCs w:val="21"/>
                      <w:lang w:eastAsia="zh-CN"/>
                    </w:rPr>
                    <w:t>）</w:t>
                  </w:r>
                </w:p>
              </w:tc>
              <w:tc>
                <w:tcPr>
                  <w:tcW w:w="687" w:type="pct"/>
                  <w:vAlign w:val="center"/>
                </w:tcPr>
                <w:p w14:paraId="3723FC9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1C3F8A7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z w:val="21"/>
                      <w:szCs w:val="21"/>
                    </w:rPr>
                    <w:t>1</w:t>
                  </w:r>
                </w:p>
              </w:tc>
              <w:tc>
                <w:tcPr>
                  <w:tcW w:w="440" w:type="pct"/>
                  <w:vAlign w:val="center"/>
                </w:tcPr>
                <w:p w14:paraId="57D435A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7.0</w:t>
                  </w:r>
                </w:p>
              </w:tc>
              <w:tc>
                <w:tcPr>
                  <w:tcW w:w="457" w:type="pct"/>
                  <w:vAlign w:val="center"/>
                </w:tcPr>
                <w:p w14:paraId="1D6DC34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z w:val="21"/>
                      <w:szCs w:val="21"/>
                    </w:rPr>
                    <w:t>1</w:t>
                  </w:r>
                </w:p>
              </w:tc>
              <w:tc>
                <w:tcPr>
                  <w:tcW w:w="428" w:type="pct"/>
                  <w:vAlign w:val="center"/>
                </w:tcPr>
                <w:p w14:paraId="2C9F524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7.3</w:t>
                  </w:r>
                </w:p>
              </w:tc>
              <w:tc>
                <w:tcPr>
                  <w:tcW w:w="369" w:type="pct"/>
                  <w:vAlign w:val="center"/>
                </w:tcPr>
                <w:p w14:paraId="2790FC8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c>
                <w:tcPr>
                  <w:tcW w:w="369" w:type="pct"/>
                  <w:vAlign w:val="center"/>
                </w:tcPr>
                <w:p w14:paraId="3E7ABAB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6~9</w:t>
                  </w:r>
                </w:p>
              </w:tc>
              <w:tc>
                <w:tcPr>
                  <w:tcW w:w="418" w:type="pct"/>
                  <w:vAlign w:val="center"/>
                </w:tcPr>
                <w:p w14:paraId="2C70171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7F92C6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bottom w:val="nil"/>
                  </w:tcBorders>
                  <w:vAlign w:val="center"/>
                </w:tcPr>
                <w:p w14:paraId="31D4838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616D035D">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化学需氧量</w:t>
                  </w:r>
                </w:p>
              </w:tc>
              <w:tc>
                <w:tcPr>
                  <w:tcW w:w="425" w:type="pct"/>
                  <w:vAlign w:val="center"/>
                </w:tcPr>
                <w:p w14:paraId="45C7019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5D378AD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2CB8FF0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218</w:t>
                  </w:r>
                </w:p>
              </w:tc>
              <w:tc>
                <w:tcPr>
                  <w:tcW w:w="440" w:type="pct"/>
                  <w:vAlign w:val="center"/>
                </w:tcPr>
                <w:p w14:paraId="066C476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226</w:t>
                  </w:r>
                </w:p>
              </w:tc>
              <w:tc>
                <w:tcPr>
                  <w:tcW w:w="457" w:type="pct"/>
                  <w:vAlign w:val="center"/>
                </w:tcPr>
                <w:p w14:paraId="5717D33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221</w:t>
                  </w:r>
                </w:p>
              </w:tc>
              <w:tc>
                <w:tcPr>
                  <w:tcW w:w="428" w:type="pct"/>
                  <w:vAlign w:val="center"/>
                </w:tcPr>
                <w:p w14:paraId="228826C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218</w:t>
                  </w:r>
                </w:p>
              </w:tc>
              <w:tc>
                <w:tcPr>
                  <w:tcW w:w="369" w:type="pct"/>
                  <w:vAlign w:val="center"/>
                </w:tcPr>
                <w:p w14:paraId="5BDA517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220.75</w:t>
                  </w:r>
                </w:p>
              </w:tc>
              <w:tc>
                <w:tcPr>
                  <w:tcW w:w="369" w:type="pct"/>
                  <w:vAlign w:val="center"/>
                </w:tcPr>
                <w:p w14:paraId="0999337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4"/>
                      <w:sz w:val="21"/>
                      <w:szCs w:val="21"/>
                    </w:rPr>
                    <w:t>300</w:t>
                  </w:r>
                </w:p>
              </w:tc>
              <w:tc>
                <w:tcPr>
                  <w:tcW w:w="418" w:type="pct"/>
                  <w:vAlign w:val="center"/>
                </w:tcPr>
                <w:p w14:paraId="7E850A4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5975C6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bottom w:val="nil"/>
                  </w:tcBorders>
                  <w:vAlign w:val="center"/>
                </w:tcPr>
                <w:p w14:paraId="1290051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6EC58DB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SS</w:t>
                  </w:r>
                </w:p>
              </w:tc>
              <w:tc>
                <w:tcPr>
                  <w:tcW w:w="425" w:type="pct"/>
                  <w:vAlign w:val="center"/>
                </w:tcPr>
                <w:p w14:paraId="49BC825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74C5F77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113885A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142</w:t>
                  </w:r>
                </w:p>
              </w:tc>
              <w:tc>
                <w:tcPr>
                  <w:tcW w:w="440" w:type="pct"/>
                  <w:vAlign w:val="center"/>
                </w:tcPr>
                <w:p w14:paraId="3707A9E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146</w:t>
                  </w:r>
                </w:p>
              </w:tc>
              <w:tc>
                <w:tcPr>
                  <w:tcW w:w="457" w:type="pct"/>
                  <w:vAlign w:val="center"/>
                </w:tcPr>
                <w:p w14:paraId="563BDDD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152</w:t>
                  </w:r>
                </w:p>
              </w:tc>
              <w:tc>
                <w:tcPr>
                  <w:tcW w:w="428" w:type="pct"/>
                  <w:vAlign w:val="center"/>
                </w:tcPr>
                <w:p w14:paraId="566FD85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149</w:t>
                  </w:r>
                </w:p>
              </w:tc>
              <w:tc>
                <w:tcPr>
                  <w:tcW w:w="369" w:type="pct"/>
                  <w:vAlign w:val="center"/>
                </w:tcPr>
                <w:p w14:paraId="7542E85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147.25</w:t>
                  </w:r>
                </w:p>
              </w:tc>
              <w:tc>
                <w:tcPr>
                  <w:tcW w:w="369" w:type="pct"/>
                  <w:vAlign w:val="center"/>
                </w:tcPr>
                <w:p w14:paraId="458109E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4"/>
                      <w:sz w:val="21"/>
                      <w:szCs w:val="21"/>
                    </w:rPr>
                    <w:t>300</w:t>
                  </w:r>
                </w:p>
              </w:tc>
              <w:tc>
                <w:tcPr>
                  <w:tcW w:w="418" w:type="pct"/>
                  <w:vAlign w:val="center"/>
                </w:tcPr>
                <w:p w14:paraId="22DAE01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0D8726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bottom w:val="nil"/>
                  </w:tcBorders>
                  <w:vAlign w:val="center"/>
                </w:tcPr>
                <w:p w14:paraId="55F52122">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5ACEADD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4"/>
                      <w:sz w:val="21"/>
                      <w:szCs w:val="21"/>
                    </w:rPr>
                    <w:t>氨氮</w:t>
                  </w:r>
                </w:p>
              </w:tc>
              <w:tc>
                <w:tcPr>
                  <w:tcW w:w="425" w:type="pct"/>
                  <w:vAlign w:val="center"/>
                </w:tcPr>
                <w:p w14:paraId="29D3DD5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18FCA36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06ACA6C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12.</w:t>
                  </w:r>
                  <w:r>
                    <w:rPr>
                      <w:rFonts w:ascii="Times New Roman" w:hAnsi="Times New Roman" w:eastAsia="Times New Roman" w:cs="Times New Roman"/>
                      <w:color w:val="auto"/>
                      <w:spacing w:val="-25"/>
                      <w:sz w:val="21"/>
                      <w:szCs w:val="21"/>
                    </w:rPr>
                    <w:t xml:space="preserve"> </w:t>
                  </w:r>
                  <w:r>
                    <w:rPr>
                      <w:rFonts w:ascii="Times New Roman" w:hAnsi="Times New Roman" w:eastAsia="Times New Roman" w:cs="Times New Roman"/>
                      <w:color w:val="auto"/>
                      <w:spacing w:val="-3"/>
                      <w:sz w:val="21"/>
                      <w:szCs w:val="21"/>
                    </w:rPr>
                    <w:t>1</w:t>
                  </w:r>
                </w:p>
              </w:tc>
              <w:tc>
                <w:tcPr>
                  <w:tcW w:w="440" w:type="pct"/>
                  <w:vAlign w:val="center"/>
                </w:tcPr>
                <w:p w14:paraId="6867201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11.0</w:t>
                  </w:r>
                </w:p>
              </w:tc>
              <w:tc>
                <w:tcPr>
                  <w:tcW w:w="457" w:type="pct"/>
                  <w:vAlign w:val="center"/>
                </w:tcPr>
                <w:p w14:paraId="0B02DA7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10.8</w:t>
                  </w:r>
                </w:p>
              </w:tc>
              <w:tc>
                <w:tcPr>
                  <w:tcW w:w="428" w:type="pct"/>
                  <w:vAlign w:val="center"/>
                </w:tcPr>
                <w:p w14:paraId="479397B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11.2</w:t>
                  </w:r>
                </w:p>
              </w:tc>
              <w:tc>
                <w:tcPr>
                  <w:tcW w:w="369" w:type="pct"/>
                  <w:vAlign w:val="center"/>
                </w:tcPr>
                <w:p w14:paraId="0DC99CC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11.275</w:t>
                  </w:r>
                </w:p>
              </w:tc>
              <w:tc>
                <w:tcPr>
                  <w:tcW w:w="369" w:type="pct"/>
                  <w:vAlign w:val="center"/>
                </w:tcPr>
                <w:p w14:paraId="00F7C3E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3"/>
                      <w:sz w:val="21"/>
                      <w:szCs w:val="21"/>
                    </w:rPr>
                    <w:t>30</w:t>
                  </w:r>
                </w:p>
              </w:tc>
              <w:tc>
                <w:tcPr>
                  <w:tcW w:w="418" w:type="pct"/>
                  <w:vAlign w:val="center"/>
                </w:tcPr>
                <w:p w14:paraId="6622423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49D6C4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jc w:val="center"/>
              </w:trPr>
              <w:tc>
                <w:tcPr>
                  <w:tcW w:w="436" w:type="pct"/>
                  <w:vMerge w:val="continue"/>
                  <w:tcBorders>
                    <w:top w:val="nil"/>
                  </w:tcBorders>
                  <w:vAlign w:val="center"/>
                </w:tcPr>
                <w:p w14:paraId="5307F9B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4070317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石油类</w:t>
                  </w:r>
                </w:p>
              </w:tc>
              <w:tc>
                <w:tcPr>
                  <w:tcW w:w="425" w:type="pct"/>
                  <w:vAlign w:val="center"/>
                </w:tcPr>
                <w:p w14:paraId="44B7C27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381B9A3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6"/>
                      <w:sz w:val="21"/>
                      <w:szCs w:val="21"/>
                    </w:rPr>
                    <w:t>隔油沉淀池出口</w:t>
                  </w:r>
                </w:p>
              </w:tc>
              <w:tc>
                <w:tcPr>
                  <w:tcW w:w="466" w:type="pct"/>
                  <w:vAlign w:val="center"/>
                </w:tcPr>
                <w:p w14:paraId="29FDD18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0.65</w:t>
                  </w:r>
                </w:p>
              </w:tc>
              <w:tc>
                <w:tcPr>
                  <w:tcW w:w="440" w:type="pct"/>
                  <w:vAlign w:val="center"/>
                </w:tcPr>
                <w:p w14:paraId="7C79EC8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0.68</w:t>
                  </w:r>
                </w:p>
              </w:tc>
              <w:tc>
                <w:tcPr>
                  <w:tcW w:w="457" w:type="pct"/>
                  <w:vAlign w:val="center"/>
                </w:tcPr>
                <w:p w14:paraId="3EB968C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0.71</w:t>
                  </w:r>
                </w:p>
              </w:tc>
              <w:tc>
                <w:tcPr>
                  <w:tcW w:w="428" w:type="pct"/>
                  <w:vAlign w:val="center"/>
                </w:tcPr>
                <w:p w14:paraId="17D50D0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0.64</w:t>
                  </w:r>
                </w:p>
              </w:tc>
              <w:tc>
                <w:tcPr>
                  <w:tcW w:w="369" w:type="pct"/>
                  <w:vAlign w:val="center"/>
                </w:tcPr>
                <w:p w14:paraId="118C1A0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0.67</w:t>
                  </w:r>
                </w:p>
              </w:tc>
              <w:tc>
                <w:tcPr>
                  <w:tcW w:w="369" w:type="pct"/>
                  <w:vAlign w:val="center"/>
                </w:tcPr>
                <w:p w14:paraId="4CF69AB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20</w:t>
                  </w:r>
                </w:p>
              </w:tc>
              <w:tc>
                <w:tcPr>
                  <w:tcW w:w="418" w:type="pct"/>
                  <w:vAlign w:val="center"/>
                </w:tcPr>
                <w:p w14:paraId="6B8D758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705BB7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36" w:type="pct"/>
                  <w:vMerge w:val="restart"/>
                  <w:tcBorders>
                    <w:bottom w:val="nil"/>
                  </w:tcBorders>
                  <w:vAlign w:val="center"/>
                </w:tcPr>
                <w:p w14:paraId="0BA3A28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2025.4.</w:t>
                  </w:r>
                  <w:r>
                    <w:rPr>
                      <w:rFonts w:ascii="Times New Roman" w:hAnsi="Times New Roman" w:eastAsia="Times New Roman" w:cs="Times New Roman"/>
                      <w:color w:val="auto"/>
                      <w:spacing w:val="-24"/>
                      <w:sz w:val="21"/>
                      <w:szCs w:val="21"/>
                    </w:rPr>
                    <w:t xml:space="preserve"> </w:t>
                  </w:r>
                  <w:r>
                    <w:rPr>
                      <w:rFonts w:ascii="Times New Roman" w:hAnsi="Times New Roman" w:eastAsia="Times New Roman" w:cs="Times New Roman"/>
                      <w:color w:val="auto"/>
                      <w:spacing w:val="1"/>
                      <w:sz w:val="21"/>
                      <w:szCs w:val="21"/>
                    </w:rPr>
                    <w:t>14</w:t>
                  </w:r>
                </w:p>
              </w:tc>
              <w:tc>
                <w:tcPr>
                  <w:tcW w:w="499" w:type="pct"/>
                  <w:vAlign w:val="center"/>
                </w:tcPr>
                <w:p w14:paraId="0CE7E27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rFonts w:ascii="Times New Roman" w:hAnsi="Times New Roman" w:eastAsia="Times New Roman" w:cs="Times New Roman"/>
                      <w:color w:val="auto"/>
                      <w:sz w:val="21"/>
                      <w:szCs w:val="21"/>
                    </w:rPr>
                    <w:t>pH</w:t>
                  </w:r>
                  <w:r>
                    <w:rPr>
                      <w:rFonts w:ascii="Times New Roman" w:hAnsi="Times New Roman" w:eastAsia="Times New Roman" w:cs="Times New Roman"/>
                      <w:color w:val="auto"/>
                      <w:spacing w:val="11"/>
                      <w:sz w:val="21"/>
                      <w:szCs w:val="21"/>
                    </w:rPr>
                    <w:t xml:space="preserve"> </w:t>
                  </w:r>
                  <w:r>
                    <w:rPr>
                      <w:color w:val="auto"/>
                      <w:spacing w:val="13"/>
                      <w:sz w:val="21"/>
                      <w:szCs w:val="21"/>
                    </w:rPr>
                    <w:t>值</w:t>
                  </w:r>
                </w:p>
              </w:tc>
              <w:tc>
                <w:tcPr>
                  <w:tcW w:w="425" w:type="pct"/>
                  <w:vAlign w:val="center"/>
                </w:tcPr>
                <w:p w14:paraId="4C69CF0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5"/>
                      <w:sz w:val="21"/>
                      <w:szCs w:val="21"/>
                      <w:lang w:eastAsia="zh-CN"/>
                    </w:rPr>
                    <w:t>（</w:t>
                  </w:r>
                  <w:r>
                    <w:rPr>
                      <w:color w:val="auto"/>
                      <w:spacing w:val="5"/>
                      <w:sz w:val="21"/>
                      <w:szCs w:val="21"/>
                    </w:rPr>
                    <w:t>无量纲</w:t>
                  </w:r>
                  <w:r>
                    <w:rPr>
                      <w:rFonts w:hint="eastAsia"/>
                      <w:color w:val="auto"/>
                      <w:spacing w:val="5"/>
                      <w:sz w:val="21"/>
                      <w:szCs w:val="21"/>
                      <w:lang w:eastAsia="zh-CN"/>
                    </w:rPr>
                    <w:t>）</w:t>
                  </w:r>
                </w:p>
              </w:tc>
              <w:tc>
                <w:tcPr>
                  <w:tcW w:w="687" w:type="pct"/>
                  <w:vAlign w:val="center"/>
                </w:tcPr>
                <w:p w14:paraId="714B358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671C600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7.3</w:t>
                  </w:r>
                </w:p>
              </w:tc>
              <w:tc>
                <w:tcPr>
                  <w:tcW w:w="440" w:type="pct"/>
                  <w:vAlign w:val="center"/>
                </w:tcPr>
                <w:p w14:paraId="5B74252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7.2</w:t>
                  </w:r>
                </w:p>
              </w:tc>
              <w:tc>
                <w:tcPr>
                  <w:tcW w:w="457" w:type="pct"/>
                  <w:vAlign w:val="center"/>
                </w:tcPr>
                <w:p w14:paraId="2AF5DC9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7.0</w:t>
                  </w:r>
                </w:p>
              </w:tc>
              <w:tc>
                <w:tcPr>
                  <w:tcW w:w="428" w:type="pct"/>
                  <w:vAlign w:val="center"/>
                </w:tcPr>
                <w:p w14:paraId="4EF652C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7.2</w:t>
                  </w:r>
                </w:p>
              </w:tc>
              <w:tc>
                <w:tcPr>
                  <w:tcW w:w="369" w:type="pct"/>
                  <w:vAlign w:val="center"/>
                </w:tcPr>
                <w:p w14:paraId="1F4434D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c>
                <w:tcPr>
                  <w:tcW w:w="369" w:type="pct"/>
                  <w:vAlign w:val="center"/>
                </w:tcPr>
                <w:p w14:paraId="08680F7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6~9</w:t>
                  </w:r>
                </w:p>
              </w:tc>
              <w:tc>
                <w:tcPr>
                  <w:tcW w:w="418" w:type="pct"/>
                  <w:vAlign w:val="center"/>
                </w:tcPr>
                <w:p w14:paraId="17D25E4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50CAE4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36" w:type="pct"/>
                  <w:vMerge w:val="continue"/>
                  <w:tcBorders>
                    <w:top w:val="nil"/>
                    <w:bottom w:val="nil"/>
                  </w:tcBorders>
                  <w:vAlign w:val="center"/>
                </w:tcPr>
                <w:p w14:paraId="2C07176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296E5DF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五日生化需</w:t>
                  </w:r>
                </w:p>
                <w:p w14:paraId="495E87E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4"/>
                      <w:sz w:val="21"/>
                      <w:szCs w:val="21"/>
                    </w:rPr>
                    <w:t>氧量</w:t>
                  </w:r>
                </w:p>
              </w:tc>
              <w:tc>
                <w:tcPr>
                  <w:tcW w:w="425" w:type="pct"/>
                  <w:vAlign w:val="center"/>
                </w:tcPr>
                <w:p w14:paraId="24FBAC8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0AF0A25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69AA339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7.0</w:t>
                  </w:r>
                </w:p>
              </w:tc>
              <w:tc>
                <w:tcPr>
                  <w:tcW w:w="440" w:type="pct"/>
                  <w:vAlign w:val="center"/>
                </w:tcPr>
                <w:p w14:paraId="01F2299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7.8</w:t>
                  </w:r>
                </w:p>
              </w:tc>
              <w:tc>
                <w:tcPr>
                  <w:tcW w:w="457" w:type="pct"/>
                  <w:vAlign w:val="center"/>
                </w:tcPr>
                <w:p w14:paraId="2DC823C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6.5</w:t>
                  </w:r>
                </w:p>
              </w:tc>
              <w:tc>
                <w:tcPr>
                  <w:tcW w:w="428" w:type="pct"/>
                  <w:vAlign w:val="center"/>
                </w:tcPr>
                <w:p w14:paraId="183FD40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6.7</w:t>
                  </w:r>
                </w:p>
              </w:tc>
              <w:tc>
                <w:tcPr>
                  <w:tcW w:w="369" w:type="pct"/>
                  <w:vAlign w:val="center"/>
                </w:tcPr>
                <w:p w14:paraId="1062032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p>
              </w:tc>
              <w:tc>
                <w:tcPr>
                  <w:tcW w:w="369" w:type="pct"/>
                  <w:vAlign w:val="center"/>
                </w:tcPr>
                <w:p w14:paraId="60CE8EE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10</w:t>
                  </w:r>
                </w:p>
              </w:tc>
              <w:tc>
                <w:tcPr>
                  <w:tcW w:w="418" w:type="pct"/>
                  <w:vAlign w:val="center"/>
                </w:tcPr>
                <w:p w14:paraId="55AECE7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4A2FAB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36" w:type="pct"/>
                  <w:vMerge w:val="continue"/>
                  <w:tcBorders>
                    <w:top w:val="nil"/>
                    <w:bottom w:val="nil"/>
                  </w:tcBorders>
                  <w:vAlign w:val="center"/>
                </w:tcPr>
                <w:p w14:paraId="1FF35E0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1570D3D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3"/>
                      <w:sz w:val="21"/>
                      <w:szCs w:val="21"/>
                    </w:rPr>
                    <w:t>浊度</w:t>
                  </w:r>
                </w:p>
              </w:tc>
              <w:tc>
                <w:tcPr>
                  <w:tcW w:w="425" w:type="pct"/>
                  <w:vAlign w:val="center"/>
                </w:tcPr>
                <w:p w14:paraId="136061A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127D123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1C464C0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w:t>
                  </w:r>
                </w:p>
              </w:tc>
              <w:tc>
                <w:tcPr>
                  <w:tcW w:w="440" w:type="pct"/>
                  <w:vAlign w:val="center"/>
                </w:tcPr>
                <w:p w14:paraId="3883750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p>
              </w:tc>
              <w:tc>
                <w:tcPr>
                  <w:tcW w:w="457" w:type="pct"/>
                  <w:vAlign w:val="center"/>
                </w:tcPr>
                <w:p w14:paraId="7CAC9D2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8</w:t>
                  </w:r>
                </w:p>
              </w:tc>
              <w:tc>
                <w:tcPr>
                  <w:tcW w:w="428" w:type="pct"/>
                  <w:vAlign w:val="center"/>
                </w:tcPr>
                <w:p w14:paraId="73E0D8B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6</w:t>
                  </w:r>
                </w:p>
              </w:tc>
              <w:tc>
                <w:tcPr>
                  <w:tcW w:w="369" w:type="pct"/>
                  <w:vAlign w:val="center"/>
                </w:tcPr>
                <w:p w14:paraId="4698D11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6.5</w:t>
                  </w:r>
                </w:p>
              </w:tc>
              <w:tc>
                <w:tcPr>
                  <w:tcW w:w="369" w:type="pct"/>
                  <w:vAlign w:val="center"/>
                </w:tcPr>
                <w:p w14:paraId="33B15BA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10</w:t>
                  </w:r>
                </w:p>
              </w:tc>
              <w:tc>
                <w:tcPr>
                  <w:tcW w:w="418" w:type="pct"/>
                  <w:vAlign w:val="center"/>
                </w:tcPr>
                <w:p w14:paraId="42E38F8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11A8CD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36" w:type="pct"/>
                  <w:vMerge w:val="continue"/>
                  <w:tcBorders>
                    <w:top w:val="nil"/>
                    <w:bottom w:val="nil"/>
                  </w:tcBorders>
                  <w:vAlign w:val="center"/>
                </w:tcPr>
                <w:p w14:paraId="483CBC0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2763410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4"/>
                      <w:sz w:val="21"/>
                      <w:szCs w:val="21"/>
                    </w:rPr>
                    <w:t>氨氮</w:t>
                  </w:r>
                </w:p>
              </w:tc>
              <w:tc>
                <w:tcPr>
                  <w:tcW w:w="425" w:type="pct"/>
                  <w:vAlign w:val="center"/>
                </w:tcPr>
                <w:p w14:paraId="6B75B61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05481BF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407284F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4.40</w:t>
                  </w:r>
                </w:p>
              </w:tc>
              <w:tc>
                <w:tcPr>
                  <w:tcW w:w="440" w:type="pct"/>
                  <w:vAlign w:val="center"/>
                </w:tcPr>
                <w:p w14:paraId="759EDEC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4.17</w:t>
                  </w:r>
                </w:p>
              </w:tc>
              <w:tc>
                <w:tcPr>
                  <w:tcW w:w="457" w:type="pct"/>
                  <w:vAlign w:val="center"/>
                </w:tcPr>
                <w:p w14:paraId="7FFF9CF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3.57</w:t>
                  </w:r>
                </w:p>
              </w:tc>
              <w:tc>
                <w:tcPr>
                  <w:tcW w:w="428" w:type="pct"/>
                  <w:vAlign w:val="center"/>
                </w:tcPr>
                <w:p w14:paraId="31F6E2F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3.40</w:t>
                  </w:r>
                </w:p>
              </w:tc>
              <w:tc>
                <w:tcPr>
                  <w:tcW w:w="369" w:type="pct"/>
                  <w:vAlign w:val="center"/>
                </w:tcPr>
                <w:p w14:paraId="0D4CE05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3.885</w:t>
                  </w:r>
                </w:p>
              </w:tc>
              <w:tc>
                <w:tcPr>
                  <w:tcW w:w="369" w:type="pct"/>
                  <w:vAlign w:val="center"/>
                </w:tcPr>
                <w:p w14:paraId="4159D8E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z w:val="21"/>
                      <w:szCs w:val="21"/>
                    </w:rPr>
                    <w:t>8</w:t>
                  </w:r>
                </w:p>
              </w:tc>
              <w:tc>
                <w:tcPr>
                  <w:tcW w:w="418" w:type="pct"/>
                  <w:vAlign w:val="center"/>
                </w:tcPr>
                <w:p w14:paraId="20740ACD">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1E7686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36" w:type="pct"/>
                  <w:vMerge w:val="continue"/>
                  <w:tcBorders>
                    <w:top w:val="nil"/>
                  </w:tcBorders>
                  <w:vAlign w:val="center"/>
                </w:tcPr>
                <w:p w14:paraId="2F1CE74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704290A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2"/>
                      <w:sz w:val="21"/>
                      <w:szCs w:val="21"/>
                    </w:rPr>
                    <w:t>总氯</w:t>
                  </w:r>
                </w:p>
              </w:tc>
              <w:tc>
                <w:tcPr>
                  <w:tcW w:w="425" w:type="pct"/>
                  <w:vAlign w:val="center"/>
                </w:tcPr>
                <w:p w14:paraId="2B82D9B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208BDED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4A329D3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0.86</w:t>
                  </w:r>
                </w:p>
              </w:tc>
              <w:tc>
                <w:tcPr>
                  <w:tcW w:w="440" w:type="pct"/>
                  <w:vAlign w:val="center"/>
                </w:tcPr>
                <w:p w14:paraId="7C3234F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0.31</w:t>
                  </w:r>
                </w:p>
              </w:tc>
              <w:tc>
                <w:tcPr>
                  <w:tcW w:w="457" w:type="pct"/>
                  <w:vAlign w:val="center"/>
                </w:tcPr>
                <w:p w14:paraId="6FE059F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1.19</w:t>
                  </w:r>
                </w:p>
              </w:tc>
              <w:tc>
                <w:tcPr>
                  <w:tcW w:w="428" w:type="pct"/>
                  <w:vAlign w:val="center"/>
                </w:tcPr>
                <w:p w14:paraId="7EA6947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1.88</w:t>
                  </w:r>
                </w:p>
              </w:tc>
              <w:tc>
                <w:tcPr>
                  <w:tcW w:w="369" w:type="pct"/>
                  <w:vAlign w:val="center"/>
                </w:tcPr>
                <w:p w14:paraId="5FDF1F2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1.06</w:t>
                  </w:r>
                </w:p>
              </w:tc>
              <w:tc>
                <w:tcPr>
                  <w:tcW w:w="369" w:type="pct"/>
                  <w:vAlign w:val="center"/>
                </w:tcPr>
                <w:p w14:paraId="07C49CA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2.5</w:t>
                  </w:r>
                </w:p>
              </w:tc>
              <w:tc>
                <w:tcPr>
                  <w:tcW w:w="418" w:type="pct"/>
                  <w:vAlign w:val="center"/>
                </w:tcPr>
                <w:p w14:paraId="21CBD046">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125BAD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jc w:val="center"/>
              </w:trPr>
              <w:tc>
                <w:tcPr>
                  <w:tcW w:w="436" w:type="pct"/>
                  <w:vMerge w:val="restart"/>
                  <w:tcBorders>
                    <w:bottom w:val="nil"/>
                  </w:tcBorders>
                  <w:vAlign w:val="center"/>
                </w:tcPr>
                <w:p w14:paraId="713E9B9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2025.4.15</w:t>
                  </w:r>
                </w:p>
              </w:tc>
              <w:tc>
                <w:tcPr>
                  <w:tcW w:w="499" w:type="pct"/>
                  <w:vAlign w:val="center"/>
                </w:tcPr>
                <w:p w14:paraId="20F213D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rFonts w:ascii="Times New Roman" w:hAnsi="Times New Roman" w:eastAsia="Times New Roman" w:cs="Times New Roman"/>
                      <w:color w:val="auto"/>
                      <w:sz w:val="21"/>
                      <w:szCs w:val="21"/>
                    </w:rPr>
                    <w:t>pH</w:t>
                  </w:r>
                  <w:r>
                    <w:rPr>
                      <w:color w:val="auto"/>
                      <w:spacing w:val="13"/>
                      <w:sz w:val="21"/>
                      <w:szCs w:val="21"/>
                    </w:rPr>
                    <w:t>值</w:t>
                  </w:r>
                </w:p>
              </w:tc>
              <w:tc>
                <w:tcPr>
                  <w:tcW w:w="425" w:type="pct"/>
                  <w:vAlign w:val="center"/>
                </w:tcPr>
                <w:p w14:paraId="11D4EC5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5"/>
                      <w:sz w:val="21"/>
                      <w:szCs w:val="21"/>
                      <w:lang w:eastAsia="zh-CN"/>
                    </w:rPr>
                    <w:t>（</w:t>
                  </w:r>
                  <w:r>
                    <w:rPr>
                      <w:color w:val="auto"/>
                      <w:spacing w:val="5"/>
                      <w:sz w:val="21"/>
                      <w:szCs w:val="21"/>
                    </w:rPr>
                    <w:t>无量纲</w:t>
                  </w:r>
                  <w:r>
                    <w:rPr>
                      <w:rFonts w:hint="eastAsia"/>
                      <w:color w:val="auto"/>
                      <w:spacing w:val="5"/>
                      <w:sz w:val="21"/>
                      <w:szCs w:val="21"/>
                      <w:lang w:eastAsia="zh-CN"/>
                    </w:rPr>
                    <w:t>）</w:t>
                  </w:r>
                </w:p>
              </w:tc>
              <w:tc>
                <w:tcPr>
                  <w:tcW w:w="687" w:type="pct"/>
                  <w:vAlign w:val="center"/>
                </w:tcPr>
                <w:p w14:paraId="343F52E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5AFDF24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7.0</w:t>
                  </w:r>
                </w:p>
              </w:tc>
              <w:tc>
                <w:tcPr>
                  <w:tcW w:w="440" w:type="pct"/>
                  <w:vAlign w:val="center"/>
                </w:tcPr>
                <w:p w14:paraId="162DB30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7.0</w:t>
                  </w:r>
                </w:p>
              </w:tc>
              <w:tc>
                <w:tcPr>
                  <w:tcW w:w="457" w:type="pct"/>
                  <w:vAlign w:val="center"/>
                </w:tcPr>
                <w:p w14:paraId="07A291A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7.1</w:t>
                  </w:r>
                </w:p>
              </w:tc>
              <w:tc>
                <w:tcPr>
                  <w:tcW w:w="428" w:type="pct"/>
                  <w:vAlign w:val="center"/>
                </w:tcPr>
                <w:p w14:paraId="1184D2B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7.1</w:t>
                  </w:r>
                </w:p>
              </w:tc>
              <w:tc>
                <w:tcPr>
                  <w:tcW w:w="369" w:type="pct"/>
                  <w:vAlign w:val="center"/>
                </w:tcPr>
                <w:p w14:paraId="5FC04BF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c>
                <w:tcPr>
                  <w:tcW w:w="369" w:type="pct"/>
                  <w:vAlign w:val="center"/>
                </w:tcPr>
                <w:p w14:paraId="0F390CC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6~9</w:t>
                  </w:r>
                </w:p>
              </w:tc>
              <w:tc>
                <w:tcPr>
                  <w:tcW w:w="418" w:type="pct"/>
                  <w:vAlign w:val="center"/>
                </w:tcPr>
                <w:p w14:paraId="09FD171F">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00BD35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36" w:type="pct"/>
                  <w:vMerge w:val="continue"/>
                  <w:tcBorders>
                    <w:top w:val="nil"/>
                    <w:bottom w:val="nil"/>
                  </w:tcBorders>
                  <w:vAlign w:val="center"/>
                </w:tcPr>
                <w:p w14:paraId="273FDB7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563BEC6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五日生化需</w:t>
                  </w:r>
                </w:p>
                <w:p w14:paraId="77A89C4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4"/>
                      <w:sz w:val="21"/>
                      <w:szCs w:val="21"/>
                    </w:rPr>
                    <w:t>氧量</w:t>
                  </w:r>
                </w:p>
              </w:tc>
              <w:tc>
                <w:tcPr>
                  <w:tcW w:w="425" w:type="pct"/>
                  <w:vAlign w:val="center"/>
                </w:tcPr>
                <w:p w14:paraId="0ED55CA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4AFB164D">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14969F8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6.7</w:t>
                  </w:r>
                </w:p>
              </w:tc>
              <w:tc>
                <w:tcPr>
                  <w:tcW w:w="440" w:type="pct"/>
                  <w:vAlign w:val="center"/>
                </w:tcPr>
                <w:p w14:paraId="6DA1E93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7.3</w:t>
                  </w:r>
                </w:p>
              </w:tc>
              <w:tc>
                <w:tcPr>
                  <w:tcW w:w="457" w:type="pct"/>
                  <w:vAlign w:val="center"/>
                </w:tcPr>
                <w:p w14:paraId="18084AD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6.4</w:t>
                  </w:r>
                </w:p>
              </w:tc>
              <w:tc>
                <w:tcPr>
                  <w:tcW w:w="428" w:type="pct"/>
                  <w:vAlign w:val="center"/>
                </w:tcPr>
                <w:p w14:paraId="6CE62C2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6.6</w:t>
                  </w:r>
                </w:p>
              </w:tc>
              <w:tc>
                <w:tcPr>
                  <w:tcW w:w="369" w:type="pct"/>
                  <w:vAlign w:val="center"/>
                </w:tcPr>
                <w:p w14:paraId="524C0EFD">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6.75</w:t>
                  </w:r>
                </w:p>
              </w:tc>
              <w:tc>
                <w:tcPr>
                  <w:tcW w:w="369" w:type="pct"/>
                  <w:vAlign w:val="center"/>
                </w:tcPr>
                <w:p w14:paraId="27B1690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10</w:t>
                  </w:r>
                </w:p>
              </w:tc>
              <w:tc>
                <w:tcPr>
                  <w:tcW w:w="418" w:type="pct"/>
                  <w:vAlign w:val="center"/>
                </w:tcPr>
                <w:p w14:paraId="67DE6EE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5876F8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436" w:type="pct"/>
                  <w:vMerge w:val="continue"/>
                  <w:tcBorders>
                    <w:top w:val="nil"/>
                    <w:bottom w:val="nil"/>
                  </w:tcBorders>
                  <w:vAlign w:val="center"/>
                </w:tcPr>
                <w:p w14:paraId="79B5E46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377648D0">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3"/>
                      <w:sz w:val="21"/>
                      <w:szCs w:val="21"/>
                    </w:rPr>
                    <w:t>浊度</w:t>
                  </w:r>
                </w:p>
              </w:tc>
              <w:tc>
                <w:tcPr>
                  <w:tcW w:w="425" w:type="pct"/>
                  <w:vAlign w:val="center"/>
                </w:tcPr>
                <w:p w14:paraId="468AC77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3AA92BB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7A426E3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w:t>
                  </w:r>
                </w:p>
              </w:tc>
              <w:tc>
                <w:tcPr>
                  <w:tcW w:w="440" w:type="pct"/>
                  <w:vAlign w:val="center"/>
                </w:tcPr>
                <w:p w14:paraId="068D219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6</w:t>
                  </w:r>
                </w:p>
              </w:tc>
              <w:tc>
                <w:tcPr>
                  <w:tcW w:w="457" w:type="pct"/>
                  <w:vAlign w:val="center"/>
                </w:tcPr>
                <w:p w14:paraId="207EFCB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8</w:t>
                  </w:r>
                </w:p>
              </w:tc>
              <w:tc>
                <w:tcPr>
                  <w:tcW w:w="428" w:type="pct"/>
                  <w:vAlign w:val="center"/>
                </w:tcPr>
                <w:p w14:paraId="4A80930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p>
              </w:tc>
              <w:tc>
                <w:tcPr>
                  <w:tcW w:w="369" w:type="pct"/>
                  <w:vAlign w:val="center"/>
                </w:tcPr>
                <w:p w14:paraId="474EFE8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6.5</w:t>
                  </w:r>
                </w:p>
              </w:tc>
              <w:tc>
                <w:tcPr>
                  <w:tcW w:w="369" w:type="pct"/>
                  <w:vAlign w:val="center"/>
                </w:tcPr>
                <w:p w14:paraId="6716230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10</w:t>
                  </w:r>
                </w:p>
              </w:tc>
              <w:tc>
                <w:tcPr>
                  <w:tcW w:w="418" w:type="pct"/>
                  <w:vAlign w:val="center"/>
                </w:tcPr>
                <w:p w14:paraId="222C560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0B37AA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jc w:val="center"/>
              </w:trPr>
              <w:tc>
                <w:tcPr>
                  <w:tcW w:w="436" w:type="pct"/>
                  <w:vMerge w:val="continue"/>
                  <w:tcBorders>
                    <w:top w:val="nil"/>
                    <w:bottom w:val="nil"/>
                  </w:tcBorders>
                  <w:vAlign w:val="center"/>
                </w:tcPr>
                <w:p w14:paraId="3389E7A5">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14F48147">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4"/>
                      <w:sz w:val="21"/>
                      <w:szCs w:val="21"/>
                    </w:rPr>
                    <w:t>氨氮</w:t>
                  </w:r>
                </w:p>
              </w:tc>
              <w:tc>
                <w:tcPr>
                  <w:tcW w:w="425" w:type="pct"/>
                  <w:vAlign w:val="center"/>
                </w:tcPr>
                <w:p w14:paraId="32CCB98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2E7E767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43FCC451">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4.34</w:t>
                  </w:r>
                </w:p>
              </w:tc>
              <w:tc>
                <w:tcPr>
                  <w:tcW w:w="440" w:type="pct"/>
                  <w:vAlign w:val="center"/>
                </w:tcPr>
                <w:p w14:paraId="26C8891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4.11</w:t>
                  </w:r>
                </w:p>
              </w:tc>
              <w:tc>
                <w:tcPr>
                  <w:tcW w:w="457" w:type="pct"/>
                  <w:vAlign w:val="center"/>
                </w:tcPr>
                <w:p w14:paraId="3AB7F43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3.91</w:t>
                  </w:r>
                </w:p>
              </w:tc>
              <w:tc>
                <w:tcPr>
                  <w:tcW w:w="428" w:type="pct"/>
                  <w:vAlign w:val="center"/>
                </w:tcPr>
                <w:p w14:paraId="01F12FD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3.63</w:t>
                  </w:r>
                </w:p>
              </w:tc>
              <w:tc>
                <w:tcPr>
                  <w:tcW w:w="369" w:type="pct"/>
                  <w:vAlign w:val="center"/>
                </w:tcPr>
                <w:p w14:paraId="2502AEDF">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w:t>
                  </w:r>
                </w:p>
              </w:tc>
              <w:tc>
                <w:tcPr>
                  <w:tcW w:w="369" w:type="pct"/>
                  <w:vAlign w:val="center"/>
                </w:tcPr>
                <w:p w14:paraId="2B56C1D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z w:val="21"/>
                      <w:szCs w:val="21"/>
                    </w:rPr>
                    <w:t>8</w:t>
                  </w:r>
                </w:p>
              </w:tc>
              <w:tc>
                <w:tcPr>
                  <w:tcW w:w="418" w:type="pct"/>
                  <w:vAlign w:val="center"/>
                </w:tcPr>
                <w:p w14:paraId="495819F7">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r w14:paraId="6EC81C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jc w:val="center"/>
              </w:trPr>
              <w:tc>
                <w:tcPr>
                  <w:tcW w:w="436" w:type="pct"/>
                  <w:vMerge w:val="continue"/>
                  <w:tcBorders>
                    <w:top w:val="nil"/>
                  </w:tcBorders>
                  <w:vAlign w:val="center"/>
                </w:tcPr>
                <w:p w14:paraId="6781240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Arial"/>
                      <w:color w:val="auto"/>
                      <w:sz w:val="21"/>
                      <w:szCs w:val="21"/>
                    </w:rPr>
                  </w:pPr>
                </w:p>
              </w:tc>
              <w:tc>
                <w:tcPr>
                  <w:tcW w:w="499" w:type="pct"/>
                  <w:vAlign w:val="center"/>
                </w:tcPr>
                <w:p w14:paraId="4BE0148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2"/>
                      <w:sz w:val="21"/>
                      <w:szCs w:val="21"/>
                    </w:rPr>
                    <w:t>总氯</w:t>
                  </w:r>
                </w:p>
              </w:tc>
              <w:tc>
                <w:tcPr>
                  <w:tcW w:w="425" w:type="pct"/>
                  <w:vAlign w:val="center"/>
                </w:tcPr>
                <w:p w14:paraId="431602A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/L</w:t>
                  </w:r>
                </w:p>
              </w:tc>
              <w:tc>
                <w:tcPr>
                  <w:tcW w:w="687" w:type="pct"/>
                  <w:vAlign w:val="center"/>
                </w:tcPr>
                <w:p w14:paraId="0F0BBD3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7"/>
                      <w:sz w:val="21"/>
                      <w:szCs w:val="21"/>
                    </w:rPr>
                    <w:t>辽宁红山污水处理站出口</w:t>
                  </w:r>
                </w:p>
              </w:tc>
              <w:tc>
                <w:tcPr>
                  <w:tcW w:w="466" w:type="pct"/>
                  <w:vAlign w:val="center"/>
                </w:tcPr>
                <w:p w14:paraId="06C3BDE7">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1.92</w:t>
                  </w:r>
                </w:p>
              </w:tc>
              <w:tc>
                <w:tcPr>
                  <w:tcW w:w="440" w:type="pct"/>
                  <w:vAlign w:val="center"/>
                </w:tcPr>
                <w:p w14:paraId="3AFFDAD6">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0.40</w:t>
                  </w:r>
                </w:p>
              </w:tc>
              <w:tc>
                <w:tcPr>
                  <w:tcW w:w="457" w:type="pct"/>
                  <w:vAlign w:val="center"/>
                </w:tcPr>
                <w:p w14:paraId="69398C1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0.89</w:t>
                  </w:r>
                </w:p>
              </w:tc>
              <w:tc>
                <w:tcPr>
                  <w:tcW w:w="428" w:type="pct"/>
                  <w:vAlign w:val="center"/>
                </w:tcPr>
                <w:p w14:paraId="1043805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0.35</w:t>
                  </w:r>
                </w:p>
              </w:tc>
              <w:tc>
                <w:tcPr>
                  <w:tcW w:w="369" w:type="pct"/>
                  <w:vAlign w:val="center"/>
                </w:tcPr>
                <w:p w14:paraId="10C26B38">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0.89</w:t>
                  </w:r>
                </w:p>
              </w:tc>
              <w:tc>
                <w:tcPr>
                  <w:tcW w:w="369" w:type="pct"/>
                  <w:vAlign w:val="center"/>
                </w:tcPr>
                <w:p w14:paraId="4450263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2.5</w:t>
                  </w:r>
                </w:p>
              </w:tc>
              <w:tc>
                <w:tcPr>
                  <w:tcW w:w="418" w:type="pct"/>
                  <w:vAlign w:val="center"/>
                </w:tcPr>
                <w:p w14:paraId="706FF7D3">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color w:val="auto"/>
                      <w:sz w:val="21"/>
                      <w:szCs w:val="21"/>
                    </w:rPr>
                  </w:pPr>
                  <w:r>
                    <w:rPr>
                      <w:color w:val="auto"/>
                      <w:spacing w:val="5"/>
                      <w:sz w:val="21"/>
                      <w:szCs w:val="21"/>
                    </w:rPr>
                    <w:t>达标</w:t>
                  </w:r>
                </w:p>
              </w:tc>
            </w:tr>
          </w:tbl>
          <w:p w14:paraId="4B21B5ED">
            <w:pPr>
              <w:keepNext/>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outlineLvl w:val="9"/>
              <w:rPr>
                <w:rFonts w:ascii="宋体" w:hAnsi="宋体" w:eastAsia="宋体" w:cs="宋体"/>
                <w:color w:val="auto"/>
                <w:sz w:val="24"/>
                <w:szCs w:val="24"/>
              </w:rPr>
            </w:pPr>
            <w:r>
              <w:rPr>
                <w:rFonts w:hint="eastAsia" w:ascii="宋体" w:hAnsi="宋体" w:eastAsia="宋体" w:cs="宋体"/>
                <w:color w:val="auto"/>
                <w:spacing w:val="1"/>
                <w:sz w:val="24"/>
                <w:szCs w:val="24"/>
                <w:lang w:val="en-US" w:eastAsia="zh-CN"/>
              </w:rPr>
              <w:t>根据</w:t>
            </w:r>
            <w:r>
              <w:rPr>
                <w:rFonts w:hint="eastAsia" w:cs="Times New Roman"/>
                <w:color w:val="auto"/>
                <w:spacing w:val="4"/>
                <w:sz w:val="24"/>
                <w:szCs w:val="24"/>
                <w:lang w:val="en-US" w:eastAsia="zh-CN"/>
              </w:rPr>
              <w:t>《</w:t>
            </w:r>
            <w:r>
              <w:rPr>
                <w:rFonts w:hint="eastAsia" w:ascii="宋体" w:hAnsi="宋体" w:eastAsia="宋体" w:cs="宋体"/>
                <w:color w:val="auto"/>
                <w:kern w:val="0"/>
                <w:sz w:val="24"/>
                <w:szCs w:val="24"/>
                <w:lang w:val="en-US" w:eastAsia="zh-CN" w:bidi="ar"/>
              </w:rPr>
              <w:t xml:space="preserve">朝阳红山化工有限责任公司年产 </w:t>
            </w:r>
            <w:r>
              <w:rPr>
                <w:rFonts w:hint="default" w:ascii="Times New Roman" w:hAnsi="Times New Roman" w:eastAsia="宋体" w:cs="Times New Roman"/>
                <w:color w:val="auto"/>
                <w:kern w:val="0"/>
                <w:sz w:val="24"/>
                <w:szCs w:val="24"/>
                <w:lang w:val="en-US" w:eastAsia="zh-CN" w:bidi="ar"/>
              </w:rPr>
              <w:t xml:space="preserve">20000t </w:t>
            </w:r>
            <w:r>
              <w:rPr>
                <w:rFonts w:hint="eastAsia" w:ascii="宋体" w:hAnsi="宋体" w:eastAsia="宋体" w:cs="宋体"/>
                <w:color w:val="auto"/>
                <w:kern w:val="0"/>
                <w:sz w:val="24"/>
                <w:szCs w:val="24"/>
                <w:lang w:val="en-US" w:eastAsia="zh-CN" w:bidi="ar"/>
              </w:rPr>
              <w:t>乳化炸药生产线扩能升级改造项目竣工环境保护验收监测报告</w:t>
            </w:r>
            <w:r>
              <w:rPr>
                <w:rFonts w:hint="eastAsia" w:cs="Times New Roman"/>
                <w:color w:val="auto"/>
                <w:spacing w:val="4"/>
                <w:sz w:val="24"/>
                <w:szCs w:val="24"/>
                <w:lang w:val="en-US" w:eastAsia="zh-CN"/>
              </w:rPr>
              <w:t>》</w:t>
            </w:r>
            <w:r>
              <w:rPr>
                <w:rFonts w:hint="eastAsia" w:ascii="Times New Roman" w:hAnsi="Times New Roman" w:cs="Times New Roman"/>
                <w:color w:val="auto"/>
                <w:sz w:val="24"/>
                <w:szCs w:val="24"/>
                <w:lang w:val="en-US" w:eastAsia="zh-CN"/>
              </w:rPr>
              <w:t>可知</w:t>
            </w:r>
            <w:r>
              <w:rPr>
                <w:rFonts w:hint="eastAsia" w:cs="Times New Roman"/>
                <w:color w:val="auto"/>
                <w:sz w:val="24"/>
                <w:szCs w:val="24"/>
                <w:lang w:val="en-US" w:eastAsia="zh-CN"/>
              </w:rPr>
              <w:t>，</w:t>
            </w:r>
            <w:r>
              <w:rPr>
                <w:rFonts w:ascii="宋体" w:hAnsi="宋体" w:eastAsia="宋体" w:cs="宋体"/>
                <w:color w:val="auto"/>
                <w:spacing w:val="-3"/>
                <w:sz w:val="24"/>
                <w:szCs w:val="24"/>
              </w:rPr>
              <w:t>隔油沉淀池出口</w:t>
            </w:r>
            <w:r>
              <w:rPr>
                <w:rFonts w:ascii="宋体" w:hAnsi="宋体" w:eastAsia="宋体" w:cs="宋体"/>
                <w:color w:val="auto"/>
                <w:spacing w:val="-60"/>
                <w:sz w:val="24"/>
                <w:szCs w:val="24"/>
              </w:rPr>
              <w:t xml:space="preserve"> </w:t>
            </w:r>
            <w:r>
              <w:rPr>
                <w:rFonts w:ascii="Times New Roman" w:hAnsi="Times New Roman" w:eastAsia="Times New Roman" w:cs="Times New Roman"/>
                <w:color w:val="auto"/>
                <w:spacing w:val="-3"/>
                <w:sz w:val="24"/>
                <w:szCs w:val="24"/>
              </w:rPr>
              <w:t xml:space="preserve">pH </w:t>
            </w:r>
            <w:r>
              <w:rPr>
                <w:rFonts w:ascii="宋体" w:hAnsi="宋体" w:eastAsia="宋体" w:cs="宋体"/>
                <w:color w:val="auto"/>
                <w:spacing w:val="-3"/>
                <w:sz w:val="24"/>
                <w:szCs w:val="24"/>
              </w:rPr>
              <w:t>值</w:t>
            </w:r>
            <w:r>
              <w:rPr>
                <w:rFonts w:ascii="宋体" w:hAnsi="宋体" w:eastAsia="宋体" w:cs="宋体"/>
                <w:color w:val="auto"/>
                <w:spacing w:val="-51"/>
                <w:sz w:val="24"/>
                <w:szCs w:val="24"/>
              </w:rPr>
              <w:t xml:space="preserve"> </w:t>
            </w:r>
            <w:r>
              <w:rPr>
                <w:rFonts w:ascii="Times New Roman" w:hAnsi="Times New Roman" w:eastAsia="Times New Roman" w:cs="Times New Roman"/>
                <w:color w:val="auto"/>
                <w:spacing w:val="-3"/>
                <w:sz w:val="24"/>
                <w:szCs w:val="24"/>
              </w:rPr>
              <w:t>7.0~7.3</w:t>
            </w:r>
            <w:r>
              <w:rPr>
                <w:rFonts w:ascii="宋体" w:hAnsi="宋体" w:eastAsia="宋体" w:cs="宋体"/>
                <w:color w:val="auto"/>
                <w:spacing w:val="-3"/>
                <w:sz w:val="24"/>
                <w:szCs w:val="24"/>
              </w:rPr>
              <w:t>，化学需</w:t>
            </w:r>
            <w:r>
              <w:rPr>
                <w:rFonts w:ascii="宋体" w:hAnsi="宋体" w:eastAsia="宋体" w:cs="宋体"/>
                <w:color w:val="auto"/>
                <w:spacing w:val="-4"/>
                <w:sz w:val="24"/>
                <w:szCs w:val="24"/>
              </w:rPr>
              <w:t>氧量最大日均</w:t>
            </w:r>
            <w:r>
              <w:rPr>
                <w:rFonts w:ascii="宋体" w:hAnsi="宋体" w:eastAsia="宋体" w:cs="宋体"/>
                <w:color w:val="auto"/>
                <w:sz w:val="24"/>
                <w:szCs w:val="24"/>
              </w:rPr>
              <w:t xml:space="preserve"> </w:t>
            </w:r>
            <w:r>
              <w:rPr>
                <w:rFonts w:ascii="宋体" w:hAnsi="宋体" w:eastAsia="宋体" w:cs="宋体"/>
                <w:color w:val="auto"/>
                <w:spacing w:val="-4"/>
                <w:sz w:val="24"/>
                <w:szCs w:val="24"/>
              </w:rPr>
              <w:t>值为</w:t>
            </w:r>
            <w:r>
              <w:rPr>
                <w:rFonts w:ascii="宋体" w:hAnsi="宋体" w:eastAsia="宋体" w:cs="宋体"/>
                <w:color w:val="auto"/>
                <w:spacing w:val="-47"/>
                <w:sz w:val="24"/>
                <w:szCs w:val="24"/>
              </w:rPr>
              <w:t xml:space="preserve"> </w:t>
            </w:r>
            <w:r>
              <w:rPr>
                <w:rFonts w:ascii="Times New Roman" w:hAnsi="Times New Roman" w:eastAsia="Times New Roman" w:cs="Times New Roman"/>
                <w:color w:val="auto"/>
                <w:spacing w:val="-4"/>
                <w:sz w:val="24"/>
                <w:szCs w:val="24"/>
              </w:rPr>
              <w:t>220.75mg/L</w:t>
            </w:r>
            <w:r>
              <w:rPr>
                <w:rFonts w:ascii="宋体" w:hAnsi="宋体" w:eastAsia="宋体" w:cs="宋体"/>
                <w:color w:val="auto"/>
                <w:spacing w:val="-4"/>
                <w:sz w:val="24"/>
                <w:szCs w:val="24"/>
              </w:rPr>
              <w:t>，</w:t>
            </w:r>
            <w:r>
              <w:rPr>
                <w:rFonts w:ascii="Times New Roman" w:hAnsi="Times New Roman" w:eastAsia="Times New Roman" w:cs="Times New Roman"/>
                <w:color w:val="auto"/>
                <w:spacing w:val="-4"/>
                <w:sz w:val="24"/>
                <w:szCs w:val="24"/>
              </w:rPr>
              <w:t xml:space="preserve">SS </w:t>
            </w:r>
            <w:r>
              <w:rPr>
                <w:rFonts w:ascii="宋体" w:hAnsi="宋体" w:eastAsia="宋体" w:cs="宋体"/>
                <w:color w:val="auto"/>
                <w:spacing w:val="-4"/>
                <w:sz w:val="24"/>
                <w:szCs w:val="24"/>
              </w:rPr>
              <w:t>最大日均值为</w:t>
            </w:r>
            <w:r>
              <w:rPr>
                <w:rFonts w:ascii="宋体" w:hAnsi="宋体" w:eastAsia="宋体" w:cs="宋体"/>
                <w:color w:val="auto"/>
                <w:spacing w:val="-32"/>
                <w:sz w:val="24"/>
                <w:szCs w:val="24"/>
              </w:rPr>
              <w:t xml:space="preserve"> </w:t>
            </w:r>
            <w:r>
              <w:rPr>
                <w:rFonts w:ascii="Times New Roman" w:hAnsi="Times New Roman" w:eastAsia="Times New Roman" w:cs="Times New Roman"/>
                <w:color w:val="auto"/>
                <w:spacing w:val="-4"/>
                <w:sz w:val="24"/>
                <w:szCs w:val="24"/>
              </w:rPr>
              <w:t>150.75mg/L</w:t>
            </w:r>
            <w:r>
              <w:rPr>
                <w:rFonts w:ascii="宋体" w:hAnsi="宋体" w:eastAsia="宋体" w:cs="宋体"/>
                <w:color w:val="auto"/>
                <w:spacing w:val="-4"/>
                <w:sz w:val="24"/>
                <w:szCs w:val="24"/>
              </w:rPr>
              <w:t>，氨氮最大日均值为</w:t>
            </w:r>
            <w:r>
              <w:rPr>
                <w:rFonts w:ascii="宋体" w:hAnsi="宋体" w:eastAsia="宋体" w:cs="宋体"/>
                <w:color w:val="auto"/>
                <w:spacing w:val="-32"/>
                <w:sz w:val="24"/>
                <w:szCs w:val="24"/>
              </w:rPr>
              <w:t xml:space="preserve"> </w:t>
            </w:r>
            <w:r>
              <w:rPr>
                <w:rFonts w:ascii="Times New Roman" w:hAnsi="Times New Roman" w:eastAsia="Times New Roman" w:cs="Times New Roman"/>
                <w:color w:val="auto"/>
                <w:spacing w:val="-4"/>
                <w:sz w:val="24"/>
                <w:szCs w:val="24"/>
              </w:rPr>
              <w:t>11.85mg/L</w:t>
            </w:r>
            <w:r>
              <w:rPr>
                <w:rFonts w:ascii="宋体" w:hAnsi="宋体" w:eastAsia="宋体" w:cs="宋体"/>
                <w:color w:val="auto"/>
                <w:spacing w:val="-4"/>
                <w:sz w:val="24"/>
                <w:szCs w:val="24"/>
              </w:rPr>
              <w:t>，</w:t>
            </w:r>
            <w:r>
              <w:rPr>
                <w:rFonts w:ascii="宋体" w:hAnsi="宋体" w:eastAsia="宋体" w:cs="宋体"/>
                <w:color w:val="auto"/>
                <w:spacing w:val="-5"/>
                <w:sz w:val="24"/>
                <w:szCs w:val="24"/>
              </w:rPr>
              <w:t>石油类最大日均值为</w:t>
            </w:r>
            <w:r>
              <w:rPr>
                <w:rFonts w:ascii="宋体" w:hAnsi="宋体" w:eastAsia="宋体" w:cs="宋体"/>
                <w:color w:val="auto"/>
                <w:spacing w:val="-33"/>
                <w:sz w:val="24"/>
                <w:szCs w:val="24"/>
              </w:rPr>
              <w:t xml:space="preserve"> </w:t>
            </w:r>
            <w:r>
              <w:rPr>
                <w:rFonts w:ascii="Times New Roman" w:hAnsi="Times New Roman" w:eastAsia="Times New Roman" w:cs="Times New Roman"/>
                <w:color w:val="auto"/>
                <w:spacing w:val="-5"/>
                <w:sz w:val="24"/>
                <w:szCs w:val="24"/>
              </w:rPr>
              <w:t>0.7525mg/L</w:t>
            </w:r>
            <w:r>
              <w:rPr>
                <w:rFonts w:ascii="宋体" w:hAnsi="宋体" w:eastAsia="宋体" w:cs="宋体"/>
                <w:color w:val="auto"/>
                <w:spacing w:val="-5"/>
                <w:sz w:val="24"/>
                <w:szCs w:val="24"/>
              </w:rPr>
              <w:t>，满足《污水综合排放标准》</w:t>
            </w:r>
            <w:r>
              <w:rPr>
                <w:rFonts w:hint="eastAsia" w:ascii="宋体" w:hAnsi="宋体" w:cs="宋体"/>
                <w:color w:val="auto"/>
                <w:spacing w:val="-5"/>
                <w:sz w:val="24"/>
                <w:szCs w:val="24"/>
                <w:lang w:eastAsia="zh-CN"/>
              </w:rPr>
              <w:t>（</w:t>
            </w:r>
            <w:r>
              <w:rPr>
                <w:rFonts w:ascii="Times New Roman" w:hAnsi="Times New Roman" w:eastAsia="Times New Roman" w:cs="Times New Roman"/>
                <w:color w:val="auto"/>
                <w:spacing w:val="-5"/>
                <w:sz w:val="24"/>
                <w:szCs w:val="24"/>
              </w:rPr>
              <w:t>GB8978-</w:t>
            </w:r>
            <w:r>
              <w:rPr>
                <w:rFonts w:ascii="Times New Roman" w:hAnsi="Times New Roman" w:eastAsia="Times New Roman" w:cs="Times New Roman"/>
                <w:color w:val="auto"/>
                <w:spacing w:val="30"/>
                <w:sz w:val="24"/>
                <w:szCs w:val="24"/>
              </w:rPr>
              <w:t xml:space="preserve"> </w:t>
            </w:r>
            <w:r>
              <w:rPr>
                <w:rFonts w:ascii="Times New Roman" w:hAnsi="Times New Roman" w:eastAsia="Times New Roman" w:cs="Times New Roman"/>
                <w:color w:val="auto"/>
                <w:spacing w:val="-5"/>
                <w:sz w:val="24"/>
                <w:szCs w:val="24"/>
              </w:rPr>
              <w:t xml:space="preserve">1996)  </w:t>
            </w:r>
            <w:r>
              <w:rPr>
                <w:rFonts w:ascii="宋体" w:hAnsi="宋体" w:eastAsia="宋体" w:cs="宋体"/>
                <w:color w:val="auto"/>
                <w:spacing w:val="-5"/>
                <w:sz w:val="24"/>
                <w:szCs w:val="24"/>
              </w:rPr>
              <w:t>含</w:t>
            </w:r>
            <w:r>
              <w:rPr>
                <w:rFonts w:ascii="宋体" w:hAnsi="宋体" w:eastAsia="宋体" w:cs="宋体"/>
                <w:color w:val="auto"/>
                <w:spacing w:val="-1"/>
                <w:sz w:val="24"/>
                <w:szCs w:val="24"/>
              </w:rPr>
              <w:t>修改单及《辽宁省污水综合排放标准》</w:t>
            </w:r>
            <w:r>
              <w:rPr>
                <w:rFonts w:hint="eastAsia" w:ascii="宋体" w:hAnsi="宋体" w:cs="宋体"/>
                <w:color w:val="auto"/>
                <w:spacing w:val="-1"/>
                <w:sz w:val="24"/>
                <w:szCs w:val="24"/>
                <w:lang w:eastAsia="zh-CN"/>
              </w:rPr>
              <w:t>（</w:t>
            </w:r>
            <w:r>
              <w:rPr>
                <w:rFonts w:ascii="Times New Roman" w:hAnsi="Times New Roman" w:eastAsia="Times New Roman" w:cs="Times New Roman"/>
                <w:color w:val="auto"/>
                <w:spacing w:val="-1"/>
                <w:sz w:val="24"/>
                <w:szCs w:val="24"/>
              </w:rPr>
              <w:t>DB21/</w:t>
            </w:r>
            <w:r>
              <w:rPr>
                <w:rFonts w:ascii="Times New Roman" w:hAnsi="Times New Roman" w:eastAsia="Times New Roman" w:cs="Times New Roman"/>
                <w:color w:val="auto"/>
                <w:spacing w:val="30"/>
                <w:w w:val="101"/>
                <w:sz w:val="24"/>
                <w:szCs w:val="24"/>
              </w:rPr>
              <w:t xml:space="preserve"> </w:t>
            </w:r>
            <w:r>
              <w:rPr>
                <w:rFonts w:ascii="Times New Roman" w:hAnsi="Times New Roman" w:eastAsia="Times New Roman" w:cs="Times New Roman"/>
                <w:color w:val="auto"/>
                <w:spacing w:val="-1"/>
                <w:sz w:val="24"/>
                <w:szCs w:val="24"/>
              </w:rPr>
              <w:t>1627-2008</w:t>
            </w:r>
            <w:r>
              <w:rPr>
                <w:rFonts w:ascii="宋体" w:hAnsi="宋体" w:eastAsia="宋体" w:cs="宋体"/>
                <w:color w:val="auto"/>
                <w:spacing w:val="-1"/>
                <w:sz w:val="24"/>
                <w:szCs w:val="24"/>
              </w:rPr>
              <w:t>）中排入污水处理厂最</w:t>
            </w:r>
            <w:r>
              <w:rPr>
                <w:rFonts w:ascii="宋体" w:hAnsi="宋体" w:eastAsia="宋体" w:cs="宋体"/>
                <w:color w:val="auto"/>
                <w:spacing w:val="-2"/>
                <w:sz w:val="24"/>
                <w:szCs w:val="24"/>
              </w:rPr>
              <w:t>高允许排放浓度。</w:t>
            </w:r>
            <w:r>
              <w:rPr>
                <w:rFonts w:ascii="宋体" w:hAnsi="宋体" w:eastAsia="宋体" w:cs="宋体"/>
                <w:color w:val="auto"/>
                <w:spacing w:val="-3"/>
                <w:sz w:val="24"/>
                <w:szCs w:val="24"/>
              </w:rPr>
              <w:t>辽宁红山污水站出口</w:t>
            </w:r>
            <w:r>
              <w:rPr>
                <w:rFonts w:ascii="宋体" w:hAnsi="宋体" w:eastAsia="宋体" w:cs="宋体"/>
                <w:color w:val="auto"/>
                <w:spacing w:val="-60"/>
                <w:sz w:val="24"/>
                <w:szCs w:val="24"/>
              </w:rPr>
              <w:t xml:space="preserve"> </w:t>
            </w:r>
            <w:r>
              <w:rPr>
                <w:rFonts w:ascii="Times New Roman" w:hAnsi="Times New Roman" w:eastAsia="Times New Roman" w:cs="Times New Roman"/>
                <w:color w:val="auto"/>
                <w:spacing w:val="-3"/>
                <w:sz w:val="24"/>
                <w:szCs w:val="24"/>
              </w:rPr>
              <w:t xml:space="preserve">pH </w:t>
            </w:r>
            <w:r>
              <w:rPr>
                <w:rFonts w:ascii="宋体" w:hAnsi="宋体" w:eastAsia="宋体" w:cs="宋体"/>
                <w:color w:val="auto"/>
                <w:spacing w:val="-3"/>
                <w:sz w:val="24"/>
                <w:szCs w:val="24"/>
              </w:rPr>
              <w:t>值</w:t>
            </w:r>
            <w:r>
              <w:rPr>
                <w:rFonts w:ascii="宋体" w:hAnsi="宋体" w:eastAsia="宋体" w:cs="宋体"/>
                <w:color w:val="auto"/>
                <w:spacing w:val="-51"/>
                <w:sz w:val="24"/>
                <w:szCs w:val="24"/>
              </w:rPr>
              <w:t xml:space="preserve"> </w:t>
            </w:r>
            <w:r>
              <w:rPr>
                <w:rFonts w:ascii="Times New Roman" w:hAnsi="Times New Roman" w:eastAsia="Times New Roman" w:cs="Times New Roman"/>
                <w:color w:val="auto"/>
                <w:spacing w:val="-3"/>
                <w:sz w:val="24"/>
                <w:szCs w:val="24"/>
              </w:rPr>
              <w:t>7.0~7.3</w:t>
            </w:r>
            <w:r>
              <w:rPr>
                <w:rFonts w:ascii="宋体" w:hAnsi="宋体" w:eastAsia="宋体" w:cs="宋体"/>
                <w:color w:val="auto"/>
                <w:spacing w:val="-3"/>
                <w:sz w:val="24"/>
                <w:szCs w:val="24"/>
              </w:rPr>
              <w:t>，五日生化</w:t>
            </w:r>
            <w:r>
              <w:rPr>
                <w:rFonts w:ascii="宋体" w:hAnsi="宋体" w:eastAsia="宋体" w:cs="宋体"/>
                <w:color w:val="auto"/>
                <w:spacing w:val="-4"/>
                <w:sz w:val="24"/>
                <w:szCs w:val="24"/>
              </w:rPr>
              <w:t>需氧量最大日</w:t>
            </w:r>
            <w:r>
              <w:rPr>
                <w:rFonts w:ascii="宋体" w:hAnsi="宋体" w:eastAsia="宋体" w:cs="宋体"/>
                <w:color w:val="auto"/>
                <w:spacing w:val="-1"/>
                <w:sz w:val="24"/>
                <w:szCs w:val="24"/>
              </w:rPr>
              <w:t>均值为</w:t>
            </w:r>
            <w:r>
              <w:rPr>
                <w:rFonts w:ascii="宋体" w:hAnsi="宋体" w:eastAsia="宋体" w:cs="宋体"/>
                <w:color w:val="auto"/>
                <w:spacing w:val="-49"/>
                <w:sz w:val="24"/>
                <w:szCs w:val="24"/>
              </w:rPr>
              <w:t xml:space="preserve"> </w:t>
            </w:r>
            <w:r>
              <w:rPr>
                <w:rFonts w:ascii="Times New Roman" w:hAnsi="Times New Roman" w:eastAsia="Times New Roman" w:cs="Times New Roman"/>
                <w:color w:val="auto"/>
                <w:spacing w:val="-1"/>
                <w:sz w:val="24"/>
                <w:szCs w:val="24"/>
              </w:rPr>
              <w:t>7.0mg/L</w:t>
            </w:r>
            <w:r>
              <w:rPr>
                <w:rFonts w:ascii="Times New Roman" w:hAnsi="Times New Roman" w:eastAsia="Times New Roman" w:cs="Times New Roman"/>
                <w:color w:val="auto"/>
                <w:spacing w:val="-26"/>
                <w:sz w:val="24"/>
                <w:szCs w:val="24"/>
              </w:rPr>
              <w:t xml:space="preserve"> </w:t>
            </w:r>
            <w:r>
              <w:rPr>
                <w:rFonts w:ascii="宋体" w:hAnsi="宋体" w:eastAsia="宋体" w:cs="宋体"/>
                <w:color w:val="auto"/>
                <w:spacing w:val="-1"/>
                <w:sz w:val="24"/>
                <w:szCs w:val="24"/>
              </w:rPr>
              <w:t>，氨氮最大日均值为</w:t>
            </w:r>
            <w:r>
              <w:rPr>
                <w:rFonts w:ascii="宋体" w:hAnsi="宋体" w:eastAsia="宋体" w:cs="宋体"/>
                <w:color w:val="auto"/>
                <w:spacing w:val="-53"/>
                <w:sz w:val="24"/>
                <w:szCs w:val="24"/>
              </w:rPr>
              <w:t xml:space="preserve"> </w:t>
            </w:r>
            <w:r>
              <w:rPr>
                <w:rFonts w:ascii="Times New Roman" w:hAnsi="Times New Roman" w:eastAsia="Times New Roman" w:cs="Times New Roman"/>
                <w:color w:val="auto"/>
                <w:spacing w:val="-2"/>
                <w:sz w:val="24"/>
                <w:szCs w:val="24"/>
              </w:rPr>
              <w:t>4mg/L</w:t>
            </w:r>
            <w:r>
              <w:rPr>
                <w:rFonts w:ascii="Times New Roman" w:hAnsi="Times New Roman" w:eastAsia="Times New Roman" w:cs="Times New Roman"/>
                <w:color w:val="auto"/>
                <w:spacing w:val="-27"/>
                <w:sz w:val="24"/>
                <w:szCs w:val="24"/>
              </w:rPr>
              <w:t xml:space="preserve"> </w:t>
            </w:r>
            <w:r>
              <w:rPr>
                <w:rFonts w:ascii="宋体" w:hAnsi="宋体" w:eastAsia="宋体" w:cs="宋体"/>
                <w:color w:val="auto"/>
                <w:spacing w:val="-2"/>
                <w:sz w:val="24"/>
                <w:szCs w:val="24"/>
              </w:rPr>
              <w:t>，浊度最大日均值为</w:t>
            </w:r>
            <w:r>
              <w:rPr>
                <w:rFonts w:ascii="宋体" w:hAnsi="宋体" w:eastAsia="宋体" w:cs="宋体"/>
                <w:color w:val="auto"/>
                <w:spacing w:val="-44"/>
                <w:sz w:val="24"/>
                <w:szCs w:val="24"/>
              </w:rPr>
              <w:t xml:space="preserve"> </w:t>
            </w:r>
            <w:r>
              <w:rPr>
                <w:rFonts w:ascii="Times New Roman" w:hAnsi="Times New Roman" w:eastAsia="Times New Roman" w:cs="Times New Roman"/>
                <w:color w:val="auto"/>
                <w:spacing w:val="-2"/>
                <w:sz w:val="24"/>
                <w:szCs w:val="24"/>
              </w:rPr>
              <w:t>6.5mg/L</w:t>
            </w:r>
            <w:r>
              <w:rPr>
                <w:rFonts w:ascii="Times New Roman" w:hAnsi="Times New Roman" w:eastAsia="Times New Roman" w:cs="Times New Roman"/>
                <w:color w:val="auto"/>
                <w:spacing w:val="-27"/>
                <w:sz w:val="24"/>
                <w:szCs w:val="24"/>
              </w:rPr>
              <w:t xml:space="preserve"> </w:t>
            </w:r>
            <w:r>
              <w:rPr>
                <w:rFonts w:ascii="宋体" w:hAnsi="宋体" w:eastAsia="宋体" w:cs="宋体"/>
                <w:color w:val="auto"/>
                <w:spacing w:val="-2"/>
                <w:sz w:val="24"/>
                <w:szCs w:val="24"/>
              </w:rPr>
              <w:t>，总氯最大日均值为</w:t>
            </w:r>
            <w:r>
              <w:rPr>
                <w:rFonts w:ascii="宋体" w:hAnsi="宋体" w:eastAsia="宋体" w:cs="宋体"/>
                <w:color w:val="auto"/>
                <w:spacing w:val="-32"/>
                <w:sz w:val="24"/>
                <w:szCs w:val="24"/>
              </w:rPr>
              <w:t xml:space="preserve"> </w:t>
            </w:r>
            <w:r>
              <w:rPr>
                <w:rFonts w:ascii="Times New Roman" w:hAnsi="Times New Roman" w:eastAsia="Times New Roman" w:cs="Times New Roman"/>
                <w:color w:val="auto"/>
                <w:spacing w:val="-2"/>
                <w:sz w:val="24"/>
                <w:szCs w:val="24"/>
              </w:rPr>
              <w:t>1.06mg/L</w:t>
            </w:r>
            <w:r>
              <w:rPr>
                <w:rFonts w:ascii="宋体" w:hAnsi="宋体" w:eastAsia="宋体" w:cs="宋体"/>
                <w:color w:val="auto"/>
                <w:spacing w:val="-2"/>
                <w:sz w:val="24"/>
                <w:szCs w:val="24"/>
              </w:rPr>
              <w:t>。本项目废水污染物中</w:t>
            </w:r>
            <w:r>
              <w:rPr>
                <w:rFonts w:ascii="Times New Roman" w:hAnsi="Times New Roman" w:eastAsia="Times New Roman" w:cs="Times New Roman"/>
                <w:color w:val="auto"/>
                <w:spacing w:val="-2"/>
                <w:sz w:val="24"/>
                <w:szCs w:val="24"/>
              </w:rPr>
              <w:t>pH</w:t>
            </w: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BOD</w:t>
            </w:r>
            <w:r>
              <w:rPr>
                <w:rFonts w:ascii="Times New Roman" w:hAnsi="Times New Roman" w:eastAsia="Times New Roman" w:cs="Times New Roman"/>
                <w:color w:val="auto"/>
                <w:spacing w:val="-3"/>
                <w:position w:val="-1"/>
                <w:sz w:val="15"/>
                <w:szCs w:val="15"/>
              </w:rPr>
              <w:t>5</w:t>
            </w:r>
            <w:r>
              <w:rPr>
                <w:rFonts w:ascii="宋体" w:hAnsi="宋体" w:eastAsia="宋体" w:cs="宋体"/>
                <w:color w:val="auto"/>
                <w:spacing w:val="-3"/>
                <w:sz w:val="24"/>
                <w:szCs w:val="24"/>
              </w:rPr>
              <w:t>、氨氮、浊度、总氯满足《城市污水再生利用 城市杂用水水质》（</w:t>
            </w:r>
            <w:r>
              <w:rPr>
                <w:rFonts w:ascii="Times New Roman" w:hAnsi="Times New Roman" w:eastAsia="Times New Roman" w:cs="Times New Roman"/>
                <w:color w:val="auto"/>
                <w:spacing w:val="-3"/>
                <w:sz w:val="24"/>
                <w:szCs w:val="24"/>
              </w:rPr>
              <w:t>GB/T</w:t>
            </w:r>
            <w:r>
              <w:rPr>
                <w:rFonts w:ascii="Times New Roman" w:hAnsi="Times New Roman" w:eastAsia="Times New Roman" w:cs="Times New Roman"/>
                <w:color w:val="auto"/>
                <w:spacing w:val="24"/>
                <w:sz w:val="24"/>
                <w:szCs w:val="24"/>
              </w:rPr>
              <w:t xml:space="preserve"> </w:t>
            </w:r>
            <w:r>
              <w:rPr>
                <w:rFonts w:ascii="Times New Roman" w:hAnsi="Times New Roman" w:eastAsia="Times New Roman" w:cs="Times New Roman"/>
                <w:color w:val="auto"/>
                <w:spacing w:val="-3"/>
                <w:sz w:val="24"/>
                <w:szCs w:val="24"/>
              </w:rPr>
              <w:t>18920-2020</w:t>
            </w:r>
            <w:r>
              <w:rPr>
                <w:rFonts w:ascii="宋体" w:hAnsi="宋体" w:eastAsia="宋体" w:cs="宋体"/>
                <w:color w:val="auto"/>
                <w:spacing w:val="-3"/>
                <w:sz w:val="24"/>
                <w:szCs w:val="24"/>
              </w:rPr>
              <w:t>）表</w:t>
            </w:r>
            <w:r>
              <w:rPr>
                <w:rFonts w:ascii="宋体" w:hAnsi="宋体" w:eastAsia="宋体" w:cs="宋体"/>
                <w:color w:val="auto"/>
                <w:spacing w:val="-32"/>
                <w:sz w:val="24"/>
                <w:szCs w:val="24"/>
              </w:rPr>
              <w:t xml:space="preserve"> </w:t>
            </w:r>
            <w:r>
              <w:rPr>
                <w:rFonts w:ascii="Times New Roman" w:hAnsi="Times New Roman" w:eastAsia="Times New Roman" w:cs="Times New Roman"/>
                <w:color w:val="auto"/>
                <w:spacing w:val="-3"/>
                <w:sz w:val="24"/>
                <w:szCs w:val="24"/>
              </w:rPr>
              <w:t xml:space="preserve">1 </w:t>
            </w:r>
            <w:r>
              <w:rPr>
                <w:rFonts w:ascii="宋体" w:hAnsi="宋体" w:eastAsia="宋体" w:cs="宋体"/>
                <w:color w:val="auto"/>
                <w:spacing w:val="-3"/>
                <w:sz w:val="24"/>
                <w:szCs w:val="24"/>
              </w:rPr>
              <w:t>城市绿化道</w:t>
            </w:r>
            <w:r>
              <w:rPr>
                <w:rFonts w:ascii="宋体" w:hAnsi="宋体" w:eastAsia="宋体" w:cs="宋体"/>
                <w:color w:val="auto"/>
                <w:spacing w:val="-2"/>
                <w:sz w:val="24"/>
                <w:szCs w:val="24"/>
              </w:rPr>
              <w:t>路洒扫标准限值。</w:t>
            </w:r>
          </w:p>
          <w:p w14:paraId="4BD1A4D6">
            <w:pPr>
              <w:pStyle w:val="115"/>
              <w:keepNext/>
              <w:keepLines w:val="0"/>
              <w:pageBreakBefore w:val="0"/>
              <w:kinsoku/>
              <w:wordWrap/>
              <w:overflowPunct/>
              <w:topLinePunct w:val="0"/>
              <w:bidi w:val="0"/>
              <w:spacing w:before="65" w:line="360" w:lineRule="auto"/>
              <w:ind w:left="114" w:right="83" w:firstLine="446"/>
              <w:outlineLvl w:val="9"/>
              <w:rPr>
                <w:rFonts w:ascii="Times New Roman" w:hAnsi="Times New Roman" w:cs="Times New Roman"/>
                <w:color w:val="auto"/>
                <w:spacing w:val="6"/>
                <w:lang w:eastAsia="zh-CN"/>
              </w:rPr>
            </w:pPr>
            <w:r>
              <w:rPr>
                <w:rFonts w:hint="eastAsia" w:ascii="Times New Roman" w:hAnsi="Times New Roman" w:cs="Times New Roman"/>
                <w:color w:val="auto"/>
                <w:spacing w:val="6"/>
                <w:lang w:eastAsia="zh-CN"/>
              </w:rPr>
              <w:t>（</w:t>
            </w:r>
            <w:r>
              <w:rPr>
                <w:rFonts w:hint="eastAsia" w:ascii="Times New Roman" w:hAnsi="Times New Roman" w:cs="Times New Roman"/>
                <w:color w:val="auto"/>
                <w:spacing w:val="6"/>
                <w:lang w:val="en-US" w:eastAsia="zh-CN"/>
              </w:rPr>
              <w:t>3</w:t>
            </w:r>
            <w:r>
              <w:rPr>
                <w:rFonts w:hint="eastAsia" w:ascii="Times New Roman" w:hAnsi="Times New Roman" w:cs="Times New Roman"/>
                <w:color w:val="auto"/>
                <w:spacing w:val="6"/>
                <w:lang w:eastAsia="zh-CN"/>
              </w:rPr>
              <w:t>）</w:t>
            </w:r>
            <w:r>
              <w:rPr>
                <w:rFonts w:ascii="Times New Roman" w:hAnsi="Times New Roman" w:cs="Times New Roman"/>
                <w:color w:val="auto"/>
                <w:spacing w:val="6"/>
                <w:lang w:eastAsia="zh-CN"/>
              </w:rPr>
              <w:t>噪声</w:t>
            </w:r>
          </w:p>
          <w:p w14:paraId="59AE93BE">
            <w:pPr>
              <w:keepNext/>
              <w:keepLines w:val="0"/>
              <w:pageBreakBefore w:val="0"/>
              <w:kinsoku/>
              <w:wordWrap/>
              <w:overflowPunct/>
              <w:topLinePunct w:val="0"/>
              <w:bidi w:val="0"/>
              <w:spacing w:before="78" w:line="359" w:lineRule="auto"/>
              <w:ind w:left="118" w:right="9" w:firstLine="480"/>
              <w:jc w:val="both"/>
              <w:outlineLvl w:val="9"/>
              <w:rPr>
                <w:rFonts w:hint="default" w:ascii="宋体" w:hAnsi="宋体" w:eastAsia="宋体" w:cs="宋体"/>
                <w:color w:val="auto"/>
                <w:spacing w:val="-1"/>
                <w:sz w:val="24"/>
                <w:szCs w:val="24"/>
                <w:lang w:val="en-US" w:eastAsia="zh-CN"/>
              </w:rPr>
            </w:pPr>
            <w:r>
              <w:rPr>
                <w:rFonts w:hint="eastAsia" w:ascii="宋体" w:hAnsi="宋体" w:cs="宋体"/>
                <w:color w:val="auto"/>
                <w:spacing w:val="1"/>
                <w:sz w:val="24"/>
                <w:szCs w:val="24"/>
                <w:lang w:val="en-US" w:eastAsia="zh-CN"/>
              </w:rPr>
              <w:t>现有工程噪声监测数据引用</w:t>
            </w:r>
            <w:r>
              <w:rPr>
                <w:rFonts w:hint="eastAsia" w:cs="Times New Roman"/>
                <w:color w:val="auto"/>
                <w:spacing w:val="4"/>
                <w:sz w:val="24"/>
                <w:szCs w:val="24"/>
                <w:lang w:val="en-US" w:eastAsia="zh-CN"/>
              </w:rPr>
              <w:t>《</w:t>
            </w:r>
            <w:r>
              <w:rPr>
                <w:rFonts w:hint="eastAsia" w:ascii="宋体" w:hAnsi="宋体" w:eastAsia="宋体" w:cs="宋体"/>
                <w:color w:val="auto"/>
                <w:kern w:val="0"/>
                <w:sz w:val="24"/>
                <w:szCs w:val="24"/>
                <w:lang w:val="en-US" w:eastAsia="zh-CN" w:bidi="ar"/>
              </w:rPr>
              <w:t xml:space="preserve">朝阳红山化工有限责任公司年产 </w:t>
            </w:r>
            <w:r>
              <w:rPr>
                <w:rFonts w:hint="default" w:ascii="Times New Roman" w:hAnsi="Times New Roman" w:eastAsia="宋体" w:cs="Times New Roman"/>
                <w:color w:val="auto"/>
                <w:kern w:val="0"/>
                <w:sz w:val="24"/>
                <w:szCs w:val="24"/>
                <w:lang w:val="en-US" w:eastAsia="zh-CN" w:bidi="ar"/>
              </w:rPr>
              <w:t xml:space="preserve">20000t </w:t>
            </w:r>
            <w:r>
              <w:rPr>
                <w:rFonts w:hint="eastAsia" w:ascii="宋体" w:hAnsi="宋体" w:eastAsia="宋体" w:cs="宋体"/>
                <w:color w:val="auto"/>
                <w:kern w:val="0"/>
                <w:sz w:val="24"/>
                <w:szCs w:val="24"/>
                <w:lang w:val="en-US" w:eastAsia="zh-CN" w:bidi="ar"/>
              </w:rPr>
              <w:t>乳化炸药生产线扩能升级改造项目竣工环境保护验收监测报告</w:t>
            </w:r>
            <w:r>
              <w:rPr>
                <w:rFonts w:hint="eastAsia" w:cs="Times New Roman"/>
                <w:color w:val="auto"/>
                <w:spacing w:val="4"/>
                <w:sz w:val="24"/>
                <w:szCs w:val="24"/>
                <w:lang w:val="en-US" w:eastAsia="zh-CN"/>
              </w:rPr>
              <w:t>》，具体</w:t>
            </w:r>
            <w:r>
              <w:rPr>
                <w:rFonts w:hint="eastAsia" w:cs="Times New Roman"/>
                <w:color w:val="auto"/>
                <w:sz w:val="24"/>
                <w:szCs w:val="24"/>
                <w:lang w:val="en-US" w:eastAsia="zh-CN"/>
              </w:rPr>
              <w:t>见表2-20。</w:t>
            </w:r>
          </w:p>
          <w:p w14:paraId="012D6E67">
            <w:pPr>
              <w:pStyle w:val="20"/>
              <w:keepNext/>
              <w:keepLines w:val="0"/>
              <w:pageBreakBefore w:val="0"/>
              <w:tabs>
                <w:tab w:val="center" w:pos="4153"/>
                <w:tab w:val="right" w:pos="8306"/>
              </w:tabs>
              <w:kinsoku/>
              <w:wordWrap/>
              <w:overflowPunct/>
              <w:topLinePunct w:val="0"/>
              <w:bidi w:val="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2-</w:t>
            </w:r>
            <w:r>
              <w:rPr>
                <w:rFonts w:hint="eastAsia" w:eastAsia="宋体" w:cs="Times New Roman"/>
                <w:b/>
                <w:bCs/>
                <w:color w:val="auto"/>
                <w:sz w:val="21"/>
                <w:szCs w:val="21"/>
                <w:highlight w:val="none"/>
                <w:lang w:val="en-US" w:eastAsia="zh-CN"/>
              </w:rPr>
              <w:t>20</w:t>
            </w:r>
            <w:r>
              <w:rPr>
                <w:rFonts w:hint="default" w:ascii="Times New Roman" w:hAnsi="Times New Roman" w:eastAsia="宋体" w:cs="Times New Roman"/>
                <w:b/>
                <w:bCs/>
                <w:color w:val="auto"/>
                <w:sz w:val="21"/>
                <w:szCs w:val="21"/>
                <w:highlight w:val="none"/>
                <w:lang w:val="en-US" w:eastAsia="zh-CN"/>
              </w:rPr>
              <w:t xml:space="preserve">  噪声监测结果         单位：dB(A)</w:t>
            </w:r>
          </w:p>
          <w:p w14:paraId="316D451B">
            <w:pPr>
              <w:keepNext/>
              <w:keepLines w:val="0"/>
              <w:pageBreakBefore w:val="0"/>
              <w:kinsoku/>
              <w:wordWrap/>
              <w:overflowPunct/>
              <w:topLinePunct w:val="0"/>
              <w:bidi w:val="0"/>
              <w:spacing w:line="16" w:lineRule="auto"/>
              <w:outlineLvl w:val="9"/>
              <w:rPr>
                <w:rFonts w:ascii="Arial"/>
                <w:color w:val="auto"/>
                <w:sz w:val="2"/>
              </w:rPr>
            </w:pPr>
          </w:p>
          <w:tbl>
            <w:tblPr>
              <w:tblStyle w:val="85"/>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57"/>
              <w:gridCol w:w="702"/>
              <w:gridCol w:w="714"/>
              <w:gridCol w:w="711"/>
              <w:gridCol w:w="717"/>
              <w:gridCol w:w="714"/>
              <w:gridCol w:w="712"/>
              <w:gridCol w:w="714"/>
              <w:gridCol w:w="712"/>
              <w:gridCol w:w="717"/>
              <w:gridCol w:w="753"/>
            </w:tblGrid>
            <w:tr w14:paraId="74C5A9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695" w:type="pct"/>
                  <w:vMerge w:val="restart"/>
                  <w:tcBorders>
                    <w:tl2br w:val="nil"/>
                    <w:tr2bl w:val="nil"/>
                  </w:tcBorders>
                  <w:vAlign w:val="center"/>
                </w:tcPr>
                <w:p w14:paraId="22895D9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7"/>
                      <w:sz w:val="21"/>
                      <w:szCs w:val="21"/>
                    </w:rPr>
                    <w:t>监测日期</w:t>
                  </w:r>
                </w:p>
              </w:tc>
              <w:tc>
                <w:tcPr>
                  <w:tcW w:w="4304" w:type="pct"/>
                  <w:gridSpan w:val="10"/>
                  <w:tcBorders>
                    <w:tl2br w:val="nil"/>
                    <w:tr2bl w:val="nil"/>
                  </w:tcBorders>
                  <w:vAlign w:val="center"/>
                </w:tcPr>
                <w:p w14:paraId="704569B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7"/>
                      <w:sz w:val="21"/>
                      <w:szCs w:val="21"/>
                    </w:rPr>
                    <w:t>监测点位</w:t>
                  </w:r>
                </w:p>
              </w:tc>
            </w:tr>
            <w:tr w14:paraId="7EF197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695" w:type="pct"/>
                  <w:vMerge w:val="continue"/>
                  <w:tcBorders>
                    <w:tl2br w:val="nil"/>
                    <w:tr2bl w:val="nil"/>
                  </w:tcBorders>
                  <w:vAlign w:val="center"/>
                </w:tcPr>
                <w:p w14:paraId="1B0B8691">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Arial"/>
                      <w:color w:val="auto"/>
                      <w:sz w:val="21"/>
                      <w:szCs w:val="21"/>
                    </w:rPr>
                  </w:pPr>
                </w:p>
              </w:tc>
              <w:tc>
                <w:tcPr>
                  <w:tcW w:w="851" w:type="pct"/>
                  <w:gridSpan w:val="2"/>
                  <w:tcBorders>
                    <w:tl2br w:val="nil"/>
                    <w:tr2bl w:val="nil"/>
                  </w:tcBorders>
                  <w:vAlign w:val="center"/>
                </w:tcPr>
                <w:p w14:paraId="619F43A0">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6"/>
                      <w:sz w:val="21"/>
                      <w:szCs w:val="21"/>
                    </w:rPr>
                    <w:t>厂界东侧</w:t>
                  </w:r>
                </w:p>
                <w:p w14:paraId="12EF1E8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w:t>
                  </w:r>
                  <w:r>
                    <w:rPr>
                      <w:rFonts w:ascii="Times New Roman" w:hAnsi="Times New Roman" w:eastAsia="Times New Roman" w:cs="Times New Roman"/>
                      <w:color w:val="auto"/>
                      <w:sz w:val="21"/>
                      <w:szCs w:val="21"/>
                    </w:rPr>
                    <w:t>N1</w:t>
                  </w:r>
                  <w:r>
                    <w:rPr>
                      <w:color w:val="auto"/>
                      <w:sz w:val="21"/>
                      <w:szCs w:val="21"/>
                    </w:rPr>
                    <w:t>）</w:t>
                  </w:r>
                </w:p>
              </w:tc>
              <w:tc>
                <w:tcPr>
                  <w:tcW w:w="858" w:type="pct"/>
                  <w:gridSpan w:val="2"/>
                  <w:tcBorders>
                    <w:tl2br w:val="nil"/>
                    <w:tr2bl w:val="nil"/>
                  </w:tcBorders>
                  <w:vAlign w:val="center"/>
                </w:tcPr>
                <w:p w14:paraId="4152B77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6"/>
                      <w:sz w:val="21"/>
                      <w:szCs w:val="21"/>
                    </w:rPr>
                    <w:t>厂界南侧</w:t>
                  </w:r>
                </w:p>
                <w:p w14:paraId="54E10C8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1"/>
                      <w:sz w:val="21"/>
                      <w:szCs w:val="21"/>
                    </w:rPr>
                    <w:t>（</w:t>
                  </w:r>
                  <w:r>
                    <w:rPr>
                      <w:rFonts w:ascii="Times New Roman" w:hAnsi="Times New Roman" w:eastAsia="Times New Roman" w:cs="Times New Roman"/>
                      <w:color w:val="auto"/>
                      <w:spacing w:val="1"/>
                      <w:sz w:val="21"/>
                      <w:szCs w:val="21"/>
                    </w:rPr>
                    <w:t>N2</w:t>
                  </w:r>
                  <w:r>
                    <w:rPr>
                      <w:color w:val="auto"/>
                      <w:spacing w:val="1"/>
                      <w:sz w:val="21"/>
                      <w:szCs w:val="21"/>
                    </w:rPr>
                    <w:t>）</w:t>
                  </w:r>
                </w:p>
              </w:tc>
              <w:tc>
                <w:tcPr>
                  <w:tcW w:w="857" w:type="pct"/>
                  <w:gridSpan w:val="2"/>
                  <w:tcBorders>
                    <w:tl2br w:val="nil"/>
                    <w:tr2bl w:val="nil"/>
                  </w:tcBorders>
                  <w:vAlign w:val="center"/>
                </w:tcPr>
                <w:p w14:paraId="4F10ADB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6"/>
                      <w:sz w:val="21"/>
                      <w:szCs w:val="21"/>
                    </w:rPr>
                    <w:t>厂界西侧</w:t>
                  </w:r>
                </w:p>
                <w:p w14:paraId="3204062A">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w:t>
                  </w:r>
                  <w:r>
                    <w:rPr>
                      <w:rFonts w:ascii="Times New Roman" w:hAnsi="Times New Roman" w:eastAsia="Times New Roman" w:cs="Times New Roman"/>
                      <w:color w:val="auto"/>
                      <w:sz w:val="21"/>
                      <w:szCs w:val="21"/>
                    </w:rPr>
                    <w:t>N3</w:t>
                  </w:r>
                  <w:r>
                    <w:rPr>
                      <w:color w:val="auto"/>
                      <w:sz w:val="21"/>
                      <w:szCs w:val="21"/>
                    </w:rPr>
                    <w:t>）</w:t>
                  </w:r>
                </w:p>
              </w:tc>
              <w:tc>
                <w:tcPr>
                  <w:tcW w:w="857" w:type="pct"/>
                  <w:gridSpan w:val="2"/>
                  <w:tcBorders>
                    <w:tl2br w:val="nil"/>
                    <w:tr2bl w:val="nil"/>
                  </w:tcBorders>
                  <w:vAlign w:val="center"/>
                </w:tcPr>
                <w:p w14:paraId="2AC7BEF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6"/>
                      <w:sz w:val="21"/>
                      <w:szCs w:val="21"/>
                    </w:rPr>
                    <w:t>厂界北侧</w:t>
                  </w:r>
                </w:p>
                <w:p w14:paraId="104C879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w:t>
                  </w:r>
                  <w:r>
                    <w:rPr>
                      <w:rFonts w:ascii="Times New Roman" w:hAnsi="Times New Roman" w:eastAsia="Times New Roman" w:cs="Times New Roman"/>
                      <w:color w:val="auto"/>
                      <w:sz w:val="21"/>
                      <w:szCs w:val="21"/>
                    </w:rPr>
                    <w:t>N4</w:t>
                  </w:r>
                  <w:r>
                    <w:rPr>
                      <w:color w:val="auto"/>
                      <w:sz w:val="21"/>
                      <w:szCs w:val="21"/>
                    </w:rPr>
                    <w:t>）</w:t>
                  </w:r>
                </w:p>
              </w:tc>
              <w:tc>
                <w:tcPr>
                  <w:tcW w:w="879" w:type="pct"/>
                  <w:gridSpan w:val="2"/>
                  <w:tcBorders>
                    <w:tl2br w:val="nil"/>
                    <w:tr2bl w:val="nil"/>
                  </w:tcBorders>
                  <w:vAlign w:val="center"/>
                </w:tcPr>
                <w:p w14:paraId="521618E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pacing w:val="6"/>
                      <w:sz w:val="21"/>
                      <w:szCs w:val="21"/>
                    </w:rPr>
                  </w:pPr>
                  <w:r>
                    <w:rPr>
                      <w:color w:val="auto"/>
                      <w:spacing w:val="6"/>
                      <w:sz w:val="21"/>
                      <w:szCs w:val="21"/>
                    </w:rPr>
                    <w:t>不合格品处理工 房（N5）</w:t>
                  </w:r>
                </w:p>
              </w:tc>
            </w:tr>
            <w:tr w14:paraId="37C8BA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695" w:type="pct"/>
                  <w:vMerge w:val="continue"/>
                  <w:tcBorders>
                    <w:tl2br w:val="nil"/>
                    <w:tr2bl w:val="nil"/>
                  </w:tcBorders>
                  <w:vAlign w:val="center"/>
                </w:tcPr>
                <w:p w14:paraId="56A46976">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Arial"/>
                      <w:color w:val="auto"/>
                      <w:sz w:val="21"/>
                      <w:szCs w:val="21"/>
                    </w:rPr>
                  </w:pPr>
                </w:p>
              </w:tc>
              <w:tc>
                <w:tcPr>
                  <w:tcW w:w="422" w:type="pct"/>
                  <w:tcBorders>
                    <w:tl2br w:val="nil"/>
                    <w:tr2bl w:val="nil"/>
                  </w:tcBorders>
                  <w:vAlign w:val="center"/>
                </w:tcPr>
                <w:p w14:paraId="3BA045B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1"/>
                      <w:sz w:val="21"/>
                      <w:szCs w:val="21"/>
                    </w:rPr>
                    <w:t>昼</w:t>
                  </w:r>
                </w:p>
              </w:tc>
              <w:tc>
                <w:tcPr>
                  <w:tcW w:w="429" w:type="pct"/>
                  <w:tcBorders>
                    <w:tl2br w:val="nil"/>
                    <w:tr2bl w:val="nil"/>
                  </w:tcBorders>
                  <w:vAlign w:val="center"/>
                </w:tcPr>
                <w:p w14:paraId="7BB1B58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夜</w:t>
                  </w:r>
                </w:p>
              </w:tc>
              <w:tc>
                <w:tcPr>
                  <w:tcW w:w="427" w:type="pct"/>
                  <w:tcBorders>
                    <w:tl2br w:val="nil"/>
                    <w:tr2bl w:val="nil"/>
                  </w:tcBorders>
                  <w:vAlign w:val="center"/>
                </w:tcPr>
                <w:p w14:paraId="685126D4">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1"/>
                      <w:sz w:val="21"/>
                      <w:szCs w:val="21"/>
                    </w:rPr>
                    <w:t>昼</w:t>
                  </w:r>
                </w:p>
              </w:tc>
              <w:tc>
                <w:tcPr>
                  <w:tcW w:w="430" w:type="pct"/>
                  <w:tcBorders>
                    <w:tl2br w:val="nil"/>
                    <w:tr2bl w:val="nil"/>
                  </w:tcBorders>
                  <w:vAlign w:val="center"/>
                </w:tcPr>
                <w:p w14:paraId="4AC0884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夜</w:t>
                  </w:r>
                </w:p>
              </w:tc>
              <w:tc>
                <w:tcPr>
                  <w:tcW w:w="429" w:type="pct"/>
                  <w:tcBorders>
                    <w:tl2br w:val="nil"/>
                    <w:tr2bl w:val="nil"/>
                  </w:tcBorders>
                  <w:vAlign w:val="center"/>
                </w:tcPr>
                <w:p w14:paraId="4E320EF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1"/>
                      <w:sz w:val="21"/>
                      <w:szCs w:val="21"/>
                    </w:rPr>
                    <w:t>昼</w:t>
                  </w:r>
                </w:p>
              </w:tc>
              <w:tc>
                <w:tcPr>
                  <w:tcW w:w="427" w:type="pct"/>
                  <w:tcBorders>
                    <w:tl2br w:val="nil"/>
                    <w:tr2bl w:val="nil"/>
                  </w:tcBorders>
                  <w:vAlign w:val="center"/>
                </w:tcPr>
                <w:p w14:paraId="3C96A8B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夜</w:t>
                  </w:r>
                </w:p>
              </w:tc>
              <w:tc>
                <w:tcPr>
                  <w:tcW w:w="429" w:type="pct"/>
                  <w:tcBorders>
                    <w:tl2br w:val="nil"/>
                    <w:tr2bl w:val="nil"/>
                  </w:tcBorders>
                  <w:vAlign w:val="center"/>
                </w:tcPr>
                <w:p w14:paraId="063801E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1"/>
                      <w:sz w:val="21"/>
                      <w:szCs w:val="21"/>
                    </w:rPr>
                    <w:t>昼</w:t>
                  </w:r>
                </w:p>
              </w:tc>
              <w:tc>
                <w:tcPr>
                  <w:tcW w:w="427" w:type="pct"/>
                  <w:tcBorders>
                    <w:tl2br w:val="nil"/>
                    <w:tr2bl w:val="nil"/>
                  </w:tcBorders>
                  <w:vAlign w:val="center"/>
                </w:tcPr>
                <w:p w14:paraId="352AAF80">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夜</w:t>
                  </w:r>
                </w:p>
              </w:tc>
              <w:tc>
                <w:tcPr>
                  <w:tcW w:w="430" w:type="pct"/>
                  <w:tcBorders>
                    <w:tl2br w:val="nil"/>
                    <w:tr2bl w:val="nil"/>
                  </w:tcBorders>
                  <w:vAlign w:val="center"/>
                </w:tcPr>
                <w:p w14:paraId="1C43C8F8">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pacing w:val="1"/>
                      <w:sz w:val="21"/>
                      <w:szCs w:val="21"/>
                    </w:rPr>
                    <w:t>昼</w:t>
                  </w:r>
                </w:p>
              </w:tc>
              <w:tc>
                <w:tcPr>
                  <w:tcW w:w="448" w:type="pct"/>
                  <w:tcBorders>
                    <w:tl2br w:val="nil"/>
                    <w:tr2bl w:val="nil"/>
                  </w:tcBorders>
                  <w:vAlign w:val="center"/>
                </w:tcPr>
                <w:p w14:paraId="4CB1456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color w:val="auto"/>
                      <w:sz w:val="21"/>
                      <w:szCs w:val="21"/>
                    </w:rPr>
                    <w:t>夜</w:t>
                  </w:r>
                </w:p>
              </w:tc>
            </w:tr>
            <w:tr w14:paraId="4CB9E5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695" w:type="pct"/>
                  <w:tcBorders>
                    <w:tl2br w:val="nil"/>
                    <w:tr2bl w:val="nil"/>
                  </w:tcBorders>
                  <w:vAlign w:val="center"/>
                </w:tcPr>
                <w:p w14:paraId="330B319D">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2025.4.</w:t>
                  </w:r>
                  <w:r>
                    <w:rPr>
                      <w:rFonts w:ascii="Times New Roman" w:hAnsi="Times New Roman" w:eastAsia="Times New Roman" w:cs="Times New Roman"/>
                      <w:color w:val="auto"/>
                      <w:spacing w:val="-24"/>
                      <w:sz w:val="21"/>
                      <w:szCs w:val="21"/>
                    </w:rPr>
                    <w:t xml:space="preserve"> </w:t>
                  </w:r>
                  <w:r>
                    <w:rPr>
                      <w:rFonts w:ascii="Times New Roman" w:hAnsi="Times New Roman" w:eastAsia="Times New Roman" w:cs="Times New Roman"/>
                      <w:color w:val="auto"/>
                      <w:spacing w:val="1"/>
                      <w:sz w:val="21"/>
                      <w:szCs w:val="21"/>
                    </w:rPr>
                    <w:t>14</w:t>
                  </w:r>
                </w:p>
              </w:tc>
              <w:tc>
                <w:tcPr>
                  <w:tcW w:w="422" w:type="pct"/>
                  <w:tcBorders>
                    <w:tl2br w:val="nil"/>
                    <w:tr2bl w:val="nil"/>
                  </w:tcBorders>
                  <w:vAlign w:val="center"/>
                </w:tcPr>
                <w:p w14:paraId="736B3DF0">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51</w:t>
                  </w:r>
                </w:p>
              </w:tc>
              <w:tc>
                <w:tcPr>
                  <w:tcW w:w="429" w:type="pct"/>
                  <w:tcBorders>
                    <w:tl2br w:val="nil"/>
                    <w:tr2bl w:val="nil"/>
                  </w:tcBorders>
                  <w:vAlign w:val="center"/>
                </w:tcPr>
                <w:p w14:paraId="2DC09D1A">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38</w:t>
                  </w:r>
                </w:p>
              </w:tc>
              <w:tc>
                <w:tcPr>
                  <w:tcW w:w="427" w:type="pct"/>
                  <w:tcBorders>
                    <w:tl2br w:val="nil"/>
                    <w:tr2bl w:val="nil"/>
                  </w:tcBorders>
                  <w:vAlign w:val="center"/>
                </w:tcPr>
                <w:p w14:paraId="76ACB768">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48</w:t>
                  </w:r>
                </w:p>
              </w:tc>
              <w:tc>
                <w:tcPr>
                  <w:tcW w:w="430" w:type="pct"/>
                  <w:tcBorders>
                    <w:tl2br w:val="nil"/>
                    <w:tr2bl w:val="nil"/>
                  </w:tcBorders>
                  <w:vAlign w:val="center"/>
                </w:tcPr>
                <w:p w14:paraId="453F85DA">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39</w:t>
                  </w:r>
                </w:p>
              </w:tc>
              <w:tc>
                <w:tcPr>
                  <w:tcW w:w="429" w:type="pct"/>
                  <w:tcBorders>
                    <w:tl2br w:val="nil"/>
                    <w:tr2bl w:val="nil"/>
                  </w:tcBorders>
                  <w:vAlign w:val="center"/>
                </w:tcPr>
                <w:p w14:paraId="46519FB7">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52</w:t>
                  </w:r>
                </w:p>
              </w:tc>
              <w:tc>
                <w:tcPr>
                  <w:tcW w:w="427" w:type="pct"/>
                  <w:tcBorders>
                    <w:tl2br w:val="nil"/>
                    <w:tr2bl w:val="nil"/>
                  </w:tcBorders>
                  <w:vAlign w:val="center"/>
                </w:tcPr>
                <w:p w14:paraId="12E8FFE9">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39</w:t>
                  </w:r>
                </w:p>
              </w:tc>
              <w:tc>
                <w:tcPr>
                  <w:tcW w:w="429" w:type="pct"/>
                  <w:tcBorders>
                    <w:tl2br w:val="nil"/>
                    <w:tr2bl w:val="nil"/>
                  </w:tcBorders>
                  <w:vAlign w:val="center"/>
                </w:tcPr>
                <w:p w14:paraId="0E74D104">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54</w:t>
                  </w:r>
                </w:p>
              </w:tc>
              <w:tc>
                <w:tcPr>
                  <w:tcW w:w="427" w:type="pct"/>
                  <w:tcBorders>
                    <w:tl2br w:val="nil"/>
                    <w:tr2bl w:val="nil"/>
                  </w:tcBorders>
                  <w:vAlign w:val="center"/>
                </w:tcPr>
                <w:p w14:paraId="0BECDF01">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41</w:t>
                  </w:r>
                </w:p>
              </w:tc>
              <w:tc>
                <w:tcPr>
                  <w:tcW w:w="430" w:type="pct"/>
                  <w:tcBorders>
                    <w:tl2br w:val="nil"/>
                    <w:tr2bl w:val="nil"/>
                  </w:tcBorders>
                  <w:vAlign w:val="center"/>
                </w:tcPr>
                <w:p w14:paraId="3476F334">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51</w:t>
                  </w:r>
                </w:p>
              </w:tc>
              <w:tc>
                <w:tcPr>
                  <w:tcW w:w="448" w:type="pct"/>
                  <w:tcBorders>
                    <w:tl2br w:val="nil"/>
                    <w:tr2bl w:val="nil"/>
                  </w:tcBorders>
                  <w:vAlign w:val="center"/>
                </w:tcPr>
                <w:p w14:paraId="388574FB">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40</w:t>
                  </w:r>
                </w:p>
              </w:tc>
            </w:tr>
            <w:tr w14:paraId="596855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695" w:type="pct"/>
                  <w:tcBorders>
                    <w:tl2br w:val="nil"/>
                    <w:tr2bl w:val="nil"/>
                  </w:tcBorders>
                  <w:vAlign w:val="center"/>
                </w:tcPr>
                <w:p w14:paraId="340D0359">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2025.4.15</w:t>
                  </w:r>
                </w:p>
              </w:tc>
              <w:tc>
                <w:tcPr>
                  <w:tcW w:w="422" w:type="pct"/>
                  <w:tcBorders>
                    <w:tl2br w:val="nil"/>
                    <w:tr2bl w:val="nil"/>
                  </w:tcBorders>
                  <w:vAlign w:val="center"/>
                </w:tcPr>
                <w:p w14:paraId="76382123">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50</w:t>
                  </w:r>
                </w:p>
              </w:tc>
              <w:tc>
                <w:tcPr>
                  <w:tcW w:w="429" w:type="pct"/>
                  <w:tcBorders>
                    <w:tl2br w:val="nil"/>
                    <w:tr2bl w:val="nil"/>
                  </w:tcBorders>
                  <w:vAlign w:val="center"/>
                </w:tcPr>
                <w:p w14:paraId="14BB73AA">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40</w:t>
                  </w:r>
                </w:p>
              </w:tc>
              <w:tc>
                <w:tcPr>
                  <w:tcW w:w="427" w:type="pct"/>
                  <w:tcBorders>
                    <w:tl2br w:val="nil"/>
                    <w:tr2bl w:val="nil"/>
                  </w:tcBorders>
                  <w:vAlign w:val="center"/>
                </w:tcPr>
                <w:p w14:paraId="78BC2197">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50</w:t>
                  </w:r>
                </w:p>
              </w:tc>
              <w:tc>
                <w:tcPr>
                  <w:tcW w:w="430" w:type="pct"/>
                  <w:tcBorders>
                    <w:tl2br w:val="nil"/>
                    <w:tr2bl w:val="nil"/>
                  </w:tcBorders>
                  <w:vAlign w:val="center"/>
                </w:tcPr>
                <w:p w14:paraId="35D31201">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40</w:t>
                  </w:r>
                </w:p>
              </w:tc>
              <w:tc>
                <w:tcPr>
                  <w:tcW w:w="429" w:type="pct"/>
                  <w:tcBorders>
                    <w:tl2br w:val="nil"/>
                    <w:tr2bl w:val="nil"/>
                  </w:tcBorders>
                  <w:vAlign w:val="center"/>
                </w:tcPr>
                <w:p w14:paraId="5CEAF6CE">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49</w:t>
                  </w:r>
                </w:p>
              </w:tc>
              <w:tc>
                <w:tcPr>
                  <w:tcW w:w="427" w:type="pct"/>
                  <w:tcBorders>
                    <w:tl2br w:val="nil"/>
                    <w:tr2bl w:val="nil"/>
                  </w:tcBorders>
                  <w:vAlign w:val="center"/>
                </w:tcPr>
                <w:p w14:paraId="748DA5B4">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41</w:t>
                  </w:r>
                </w:p>
              </w:tc>
              <w:tc>
                <w:tcPr>
                  <w:tcW w:w="429" w:type="pct"/>
                  <w:tcBorders>
                    <w:tl2br w:val="nil"/>
                    <w:tr2bl w:val="nil"/>
                  </w:tcBorders>
                  <w:vAlign w:val="center"/>
                </w:tcPr>
                <w:p w14:paraId="4EE3C93B">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49</w:t>
                  </w:r>
                </w:p>
              </w:tc>
              <w:tc>
                <w:tcPr>
                  <w:tcW w:w="427" w:type="pct"/>
                  <w:tcBorders>
                    <w:tl2br w:val="nil"/>
                    <w:tr2bl w:val="nil"/>
                  </w:tcBorders>
                  <w:vAlign w:val="center"/>
                </w:tcPr>
                <w:p w14:paraId="05C24B7B">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42</w:t>
                  </w:r>
                </w:p>
              </w:tc>
              <w:tc>
                <w:tcPr>
                  <w:tcW w:w="430" w:type="pct"/>
                  <w:tcBorders>
                    <w:tl2br w:val="nil"/>
                    <w:tr2bl w:val="nil"/>
                  </w:tcBorders>
                  <w:vAlign w:val="center"/>
                </w:tcPr>
                <w:p w14:paraId="6464F44C">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50</w:t>
                  </w:r>
                </w:p>
              </w:tc>
              <w:tc>
                <w:tcPr>
                  <w:tcW w:w="448" w:type="pct"/>
                  <w:tcBorders>
                    <w:tl2br w:val="nil"/>
                    <w:tr2bl w:val="nil"/>
                  </w:tcBorders>
                  <w:vAlign w:val="center"/>
                </w:tcPr>
                <w:p w14:paraId="04A5361F">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40</w:t>
                  </w:r>
                </w:p>
              </w:tc>
            </w:tr>
            <w:tr w14:paraId="2C4EEB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695" w:type="pct"/>
                  <w:tcBorders>
                    <w:tl2br w:val="nil"/>
                    <w:tr2bl w:val="nil"/>
                  </w:tcBorders>
                  <w:vAlign w:val="center"/>
                </w:tcPr>
                <w:p w14:paraId="025C687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5"/>
                      <w:sz w:val="21"/>
                      <w:szCs w:val="21"/>
                    </w:rPr>
                    <w:t>功能区划</w:t>
                  </w:r>
                </w:p>
              </w:tc>
              <w:tc>
                <w:tcPr>
                  <w:tcW w:w="4304" w:type="pct"/>
                  <w:gridSpan w:val="10"/>
                  <w:tcBorders>
                    <w:tl2br w:val="nil"/>
                    <w:tr2bl w:val="nil"/>
                  </w:tcBorders>
                  <w:vAlign w:val="center"/>
                </w:tcPr>
                <w:p w14:paraId="6570DFF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rFonts w:ascii="Times New Roman" w:hAnsi="Times New Roman" w:eastAsia="Times New Roman" w:cs="Times New Roman"/>
                      <w:b/>
                      <w:bCs/>
                      <w:color w:val="auto"/>
                      <w:spacing w:val="-6"/>
                      <w:sz w:val="21"/>
                      <w:szCs w:val="21"/>
                    </w:rPr>
                    <w:t>1</w:t>
                  </w:r>
                  <w:r>
                    <w:rPr>
                      <w:rFonts w:ascii="Times New Roman" w:hAnsi="Times New Roman" w:eastAsia="Times New Roman" w:cs="Times New Roman"/>
                      <w:b/>
                      <w:bCs/>
                      <w:color w:val="auto"/>
                      <w:spacing w:val="12"/>
                      <w:w w:val="101"/>
                      <w:sz w:val="21"/>
                      <w:szCs w:val="21"/>
                    </w:rPr>
                    <w:t xml:space="preserve"> </w:t>
                  </w:r>
                  <w:r>
                    <w:rPr>
                      <w:b/>
                      <w:bCs/>
                      <w:color w:val="auto"/>
                      <w:spacing w:val="-6"/>
                      <w:sz w:val="21"/>
                      <w:szCs w:val="21"/>
                    </w:rPr>
                    <w:t>类</w:t>
                  </w:r>
                </w:p>
              </w:tc>
            </w:tr>
            <w:tr w14:paraId="10399E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695" w:type="pct"/>
                  <w:tcBorders>
                    <w:tl2br w:val="nil"/>
                    <w:tr2bl w:val="nil"/>
                  </w:tcBorders>
                  <w:vAlign w:val="center"/>
                </w:tcPr>
                <w:p w14:paraId="4805AEA9">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6"/>
                      <w:sz w:val="21"/>
                      <w:szCs w:val="21"/>
                    </w:rPr>
                    <w:t>标准限值</w:t>
                  </w:r>
                </w:p>
              </w:tc>
              <w:tc>
                <w:tcPr>
                  <w:tcW w:w="422" w:type="pct"/>
                  <w:tcBorders>
                    <w:tl2br w:val="nil"/>
                    <w:tr2bl w:val="nil"/>
                  </w:tcBorders>
                  <w:vAlign w:val="center"/>
                </w:tcPr>
                <w:p w14:paraId="7E4EA63C">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55</w:t>
                  </w:r>
                </w:p>
              </w:tc>
              <w:tc>
                <w:tcPr>
                  <w:tcW w:w="429" w:type="pct"/>
                  <w:tcBorders>
                    <w:tl2br w:val="nil"/>
                    <w:tr2bl w:val="nil"/>
                  </w:tcBorders>
                  <w:vAlign w:val="center"/>
                </w:tcPr>
                <w:p w14:paraId="01869887">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45</w:t>
                  </w:r>
                </w:p>
              </w:tc>
              <w:tc>
                <w:tcPr>
                  <w:tcW w:w="427" w:type="pct"/>
                  <w:tcBorders>
                    <w:tl2br w:val="nil"/>
                    <w:tr2bl w:val="nil"/>
                  </w:tcBorders>
                  <w:vAlign w:val="center"/>
                </w:tcPr>
                <w:p w14:paraId="0BD7F7E2">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55</w:t>
                  </w:r>
                </w:p>
              </w:tc>
              <w:tc>
                <w:tcPr>
                  <w:tcW w:w="430" w:type="pct"/>
                  <w:tcBorders>
                    <w:tl2br w:val="nil"/>
                    <w:tr2bl w:val="nil"/>
                  </w:tcBorders>
                  <w:vAlign w:val="center"/>
                </w:tcPr>
                <w:p w14:paraId="5D2CEA24">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45</w:t>
                  </w:r>
                </w:p>
              </w:tc>
              <w:tc>
                <w:tcPr>
                  <w:tcW w:w="429" w:type="pct"/>
                  <w:tcBorders>
                    <w:tl2br w:val="nil"/>
                    <w:tr2bl w:val="nil"/>
                  </w:tcBorders>
                  <w:vAlign w:val="center"/>
                </w:tcPr>
                <w:p w14:paraId="0CADE6FB">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55</w:t>
                  </w:r>
                </w:p>
              </w:tc>
              <w:tc>
                <w:tcPr>
                  <w:tcW w:w="427" w:type="pct"/>
                  <w:tcBorders>
                    <w:tl2br w:val="nil"/>
                    <w:tr2bl w:val="nil"/>
                  </w:tcBorders>
                  <w:vAlign w:val="center"/>
                </w:tcPr>
                <w:p w14:paraId="3DD9F966">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45</w:t>
                  </w:r>
                </w:p>
              </w:tc>
              <w:tc>
                <w:tcPr>
                  <w:tcW w:w="429" w:type="pct"/>
                  <w:tcBorders>
                    <w:tl2br w:val="nil"/>
                    <w:tr2bl w:val="nil"/>
                  </w:tcBorders>
                  <w:vAlign w:val="center"/>
                </w:tcPr>
                <w:p w14:paraId="7E0535FF">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55</w:t>
                  </w:r>
                </w:p>
              </w:tc>
              <w:tc>
                <w:tcPr>
                  <w:tcW w:w="427" w:type="pct"/>
                  <w:tcBorders>
                    <w:tl2br w:val="nil"/>
                    <w:tr2bl w:val="nil"/>
                  </w:tcBorders>
                  <w:vAlign w:val="center"/>
                </w:tcPr>
                <w:p w14:paraId="2610C05A">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45</w:t>
                  </w:r>
                </w:p>
              </w:tc>
              <w:tc>
                <w:tcPr>
                  <w:tcW w:w="430" w:type="pct"/>
                  <w:tcBorders>
                    <w:tl2br w:val="nil"/>
                    <w:tr2bl w:val="nil"/>
                  </w:tcBorders>
                  <w:vAlign w:val="center"/>
                </w:tcPr>
                <w:p w14:paraId="721A9C30">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1"/>
                      <w:sz w:val="21"/>
                      <w:szCs w:val="21"/>
                    </w:rPr>
                    <w:t>55</w:t>
                  </w:r>
                </w:p>
              </w:tc>
              <w:tc>
                <w:tcPr>
                  <w:tcW w:w="448" w:type="pct"/>
                  <w:tcBorders>
                    <w:tl2br w:val="nil"/>
                    <w:tr2bl w:val="nil"/>
                  </w:tcBorders>
                  <w:vAlign w:val="center"/>
                </w:tcPr>
                <w:p w14:paraId="7D93B014">
                  <w:pPr>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rFonts w:ascii="Times New Roman" w:hAnsi="Times New Roman" w:eastAsia="Times New Roman" w:cs="Times New Roman"/>
                      <w:color w:val="auto"/>
                      <w:sz w:val="21"/>
                      <w:szCs w:val="21"/>
                    </w:rPr>
                  </w:pPr>
                  <w:r>
                    <w:rPr>
                      <w:rFonts w:ascii="Times New Roman" w:hAnsi="Times New Roman" w:eastAsia="Times New Roman" w:cs="Times New Roman"/>
                      <w:b/>
                      <w:bCs/>
                      <w:color w:val="auto"/>
                      <w:spacing w:val="2"/>
                      <w:sz w:val="21"/>
                      <w:szCs w:val="21"/>
                    </w:rPr>
                    <w:t>45</w:t>
                  </w:r>
                </w:p>
              </w:tc>
            </w:tr>
            <w:tr w14:paraId="3ED21A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695" w:type="pct"/>
                  <w:tcBorders>
                    <w:tl2br w:val="nil"/>
                    <w:tr2bl w:val="nil"/>
                  </w:tcBorders>
                  <w:vAlign w:val="center"/>
                </w:tcPr>
                <w:p w14:paraId="41013597">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6"/>
                      <w:sz w:val="21"/>
                      <w:szCs w:val="21"/>
                    </w:rPr>
                    <w:t>达标情况</w:t>
                  </w:r>
                </w:p>
              </w:tc>
              <w:tc>
                <w:tcPr>
                  <w:tcW w:w="422" w:type="pct"/>
                  <w:tcBorders>
                    <w:tl2br w:val="nil"/>
                    <w:tr2bl w:val="nil"/>
                  </w:tcBorders>
                  <w:vAlign w:val="center"/>
                </w:tcPr>
                <w:p w14:paraId="6ABAEE6D">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29" w:type="pct"/>
                  <w:tcBorders>
                    <w:tl2br w:val="nil"/>
                    <w:tr2bl w:val="nil"/>
                  </w:tcBorders>
                  <w:vAlign w:val="center"/>
                </w:tcPr>
                <w:p w14:paraId="00702E8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27" w:type="pct"/>
                  <w:tcBorders>
                    <w:tl2br w:val="nil"/>
                    <w:tr2bl w:val="nil"/>
                  </w:tcBorders>
                  <w:vAlign w:val="center"/>
                </w:tcPr>
                <w:p w14:paraId="27604EA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30" w:type="pct"/>
                  <w:tcBorders>
                    <w:tl2br w:val="nil"/>
                    <w:tr2bl w:val="nil"/>
                  </w:tcBorders>
                  <w:vAlign w:val="center"/>
                </w:tcPr>
                <w:p w14:paraId="01203DEF">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29" w:type="pct"/>
                  <w:tcBorders>
                    <w:tl2br w:val="nil"/>
                    <w:tr2bl w:val="nil"/>
                  </w:tcBorders>
                  <w:vAlign w:val="center"/>
                </w:tcPr>
                <w:p w14:paraId="1FD6DD4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27" w:type="pct"/>
                  <w:tcBorders>
                    <w:tl2br w:val="nil"/>
                    <w:tr2bl w:val="nil"/>
                  </w:tcBorders>
                  <w:vAlign w:val="center"/>
                </w:tcPr>
                <w:p w14:paraId="02CEE5E0">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29" w:type="pct"/>
                  <w:tcBorders>
                    <w:tl2br w:val="nil"/>
                    <w:tr2bl w:val="nil"/>
                  </w:tcBorders>
                  <w:vAlign w:val="center"/>
                </w:tcPr>
                <w:p w14:paraId="2777E0AC">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27" w:type="pct"/>
                  <w:tcBorders>
                    <w:tl2br w:val="nil"/>
                    <w:tr2bl w:val="nil"/>
                  </w:tcBorders>
                  <w:vAlign w:val="center"/>
                </w:tcPr>
                <w:p w14:paraId="122F89B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30" w:type="pct"/>
                  <w:tcBorders>
                    <w:tl2br w:val="nil"/>
                    <w:tr2bl w:val="nil"/>
                  </w:tcBorders>
                  <w:vAlign w:val="center"/>
                </w:tcPr>
                <w:p w14:paraId="06909EB1">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c>
                <w:tcPr>
                  <w:tcW w:w="448" w:type="pct"/>
                  <w:tcBorders>
                    <w:tl2br w:val="nil"/>
                    <w:tr2bl w:val="nil"/>
                  </w:tcBorders>
                  <w:vAlign w:val="center"/>
                </w:tcPr>
                <w:p w14:paraId="1FE52923">
                  <w:pPr>
                    <w:pStyle w:val="115"/>
                    <w:keepNext/>
                    <w:keepLines w:val="0"/>
                    <w:pageBreakBefore w:val="0"/>
                    <w:widowControl w:val="0"/>
                    <w:kinsoku/>
                    <w:wordWrap/>
                    <w:overflowPunct/>
                    <w:topLinePunct w:val="0"/>
                    <w:autoSpaceDE/>
                    <w:autoSpaceDN/>
                    <w:bidi w:val="0"/>
                    <w:adjustRightInd/>
                    <w:snapToGrid/>
                    <w:spacing w:line="240" w:lineRule="auto"/>
                    <w:ind w:left="0"/>
                    <w:jc w:val="center"/>
                    <w:textAlignment w:val="auto"/>
                    <w:outlineLvl w:val="9"/>
                    <w:rPr>
                      <w:color w:val="auto"/>
                      <w:sz w:val="21"/>
                      <w:szCs w:val="21"/>
                    </w:rPr>
                  </w:pPr>
                  <w:r>
                    <w:rPr>
                      <w:b/>
                      <w:bCs/>
                      <w:color w:val="auto"/>
                      <w:spacing w:val="4"/>
                      <w:sz w:val="21"/>
                      <w:szCs w:val="21"/>
                    </w:rPr>
                    <w:t>达标</w:t>
                  </w:r>
                </w:p>
              </w:tc>
            </w:tr>
          </w:tbl>
          <w:p w14:paraId="63DFC5C0">
            <w:pPr>
              <w:keepNext/>
              <w:keepLines w:val="0"/>
              <w:pageBreakBefore w:val="0"/>
              <w:kinsoku/>
              <w:wordWrap/>
              <w:overflowPunct/>
              <w:topLinePunct w:val="0"/>
              <w:bidi w:val="0"/>
              <w:spacing w:before="78" w:line="359" w:lineRule="auto"/>
              <w:ind w:left="118" w:right="9" w:firstLine="480"/>
              <w:jc w:val="both"/>
              <w:outlineLvl w:val="9"/>
              <w:rPr>
                <w:rFonts w:ascii="宋体" w:hAnsi="宋体" w:eastAsia="宋体" w:cs="宋体"/>
                <w:color w:val="auto"/>
                <w:sz w:val="24"/>
                <w:szCs w:val="24"/>
              </w:rPr>
            </w:pPr>
            <w:r>
              <w:rPr>
                <w:rFonts w:hint="eastAsia" w:ascii="宋体" w:hAnsi="宋体" w:eastAsia="宋体" w:cs="宋体"/>
                <w:color w:val="auto"/>
                <w:spacing w:val="1"/>
                <w:sz w:val="24"/>
                <w:szCs w:val="24"/>
                <w:lang w:val="en-US" w:eastAsia="zh-CN"/>
              </w:rPr>
              <w:t>根据</w:t>
            </w:r>
            <w:r>
              <w:rPr>
                <w:rFonts w:hint="eastAsia" w:cs="Times New Roman"/>
                <w:color w:val="auto"/>
                <w:spacing w:val="4"/>
                <w:sz w:val="24"/>
                <w:szCs w:val="24"/>
                <w:lang w:val="en-US" w:eastAsia="zh-CN"/>
              </w:rPr>
              <w:t>《</w:t>
            </w:r>
            <w:r>
              <w:rPr>
                <w:rFonts w:hint="eastAsia" w:ascii="宋体" w:hAnsi="宋体" w:eastAsia="宋体" w:cs="宋体"/>
                <w:color w:val="auto"/>
                <w:kern w:val="0"/>
                <w:sz w:val="24"/>
                <w:szCs w:val="24"/>
                <w:lang w:val="en-US" w:eastAsia="zh-CN" w:bidi="ar"/>
              </w:rPr>
              <w:t xml:space="preserve">朝阳红山化工有限责任公司年产 </w:t>
            </w:r>
            <w:r>
              <w:rPr>
                <w:rFonts w:hint="default" w:ascii="Times New Roman" w:hAnsi="Times New Roman" w:eastAsia="宋体" w:cs="Times New Roman"/>
                <w:color w:val="auto"/>
                <w:kern w:val="0"/>
                <w:sz w:val="24"/>
                <w:szCs w:val="24"/>
                <w:lang w:val="en-US" w:eastAsia="zh-CN" w:bidi="ar"/>
              </w:rPr>
              <w:t xml:space="preserve">20000t </w:t>
            </w:r>
            <w:r>
              <w:rPr>
                <w:rFonts w:hint="eastAsia" w:ascii="宋体" w:hAnsi="宋体" w:eastAsia="宋体" w:cs="宋体"/>
                <w:color w:val="auto"/>
                <w:kern w:val="0"/>
                <w:sz w:val="24"/>
                <w:szCs w:val="24"/>
                <w:lang w:val="en-US" w:eastAsia="zh-CN" w:bidi="ar"/>
              </w:rPr>
              <w:t>乳化炸药生产线扩能升级改造项目竣工环境保护验收监测报告</w:t>
            </w:r>
            <w:r>
              <w:rPr>
                <w:rFonts w:hint="eastAsia" w:cs="Times New Roman"/>
                <w:color w:val="auto"/>
                <w:spacing w:val="4"/>
                <w:sz w:val="24"/>
                <w:szCs w:val="24"/>
                <w:lang w:val="en-US" w:eastAsia="zh-CN"/>
              </w:rPr>
              <w:t>》</w:t>
            </w:r>
            <w:r>
              <w:rPr>
                <w:rFonts w:hint="eastAsia" w:ascii="Times New Roman" w:hAnsi="Times New Roman" w:cs="Times New Roman"/>
                <w:color w:val="auto"/>
                <w:sz w:val="24"/>
                <w:szCs w:val="24"/>
                <w:lang w:val="en-US" w:eastAsia="zh-CN"/>
              </w:rPr>
              <w:t>可知</w:t>
            </w:r>
            <w:r>
              <w:rPr>
                <w:rFonts w:ascii="宋体" w:hAnsi="宋体" w:eastAsia="宋体" w:cs="宋体"/>
                <w:color w:val="auto"/>
                <w:spacing w:val="-1"/>
                <w:sz w:val="24"/>
                <w:szCs w:val="24"/>
              </w:rPr>
              <w:t>，厂界昼间噪声在</w:t>
            </w:r>
            <w:r>
              <w:rPr>
                <w:rFonts w:ascii="宋体" w:hAnsi="宋体" w:eastAsia="宋体" w:cs="宋体"/>
                <w:color w:val="auto"/>
                <w:spacing w:val="-56"/>
                <w:sz w:val="24"/>
                <w:szCs w:val="24"/>
              </w:rPr>
              <w:t xml:space="preserve"> </w:t>
            </w:r>
            <w:r>
              <w:rPr>
                <w:rFonts w:ascii="Times New Roman" w:hAnsi="Times New Roman" w:eastAsia="Times New Roman" w:cs="Times New Roman"/>
                <w:color w:val="auto"/>
                <w:spacing w:val="-1"/>
                <w:sz w:val="24"/>
                <w:szCs w:val="24"/>
              </w:rPr>
              <w:t>48~54dB</w:t>
            </w:r>
            <w:r>
              <w:rPr>
                <w:rFonts w:ascii="宋体" w:hAnsi="宋体" w:eastAsia="宋体" w:cs="宋体"/>
                <w:color w:val="auto"/>
                <w:spacing w:val="-1"/>
                <w:sz w:val="24"/>
                <w:szCs w:val="24"/>
              </w:rPr>
              <w:t>（</w:t>
            </w:r>
            <w:r>
              <w:rPr>
                <w:rFonts w:ascii="Times New Roman" w:hAnsi="Times New Roman" w:eastAsia="Times New Roman" w:cs="Times New Roman"/>
                <w:color w:val="auto"/>
                <w:spacing w:val="-1"/>
                <w:sz w:val="24"/>
                <w:szCs w:val="24"/>
              </w:rPr>
              <w:t>A</w:t>
            </w:r>
            <w:r>
              <w:rPr>
                <w:rFonts w:ascii="宋体" w:hAnsi="宋体" w:eastAsia="宋体" w:cs="宋体"/>
                <w:color w:val="auto"/>
                <w:spacing w:val="-1"/>
                <w:sz w:val="24"/>
                <w:szCs w:val="24"/>
              </w:rPr>
              <w:t>）之间，厂界夜间噪声</w:t>
            </w:r>
            <w:r>
              <w:rPr>
                <w:rFonts w:ascii="宋体" w:hAnsi="宋体" w:eastAsia="宋体" w:cs="宋体"/>
                <w:color w:val="auto"/>
                <w:spacing w:val="-17"/>
                <w:sz w:val="24"/>
                <w:szCs w:val="24"/>
              </w:rPr>
              <w:t>在</w:t>
            </w:r>
            <w:r>
              <w:rPr>
                <w:rFonts w:ascii="宋体" w:hAnsi="宋体" w:eastAsia="宋体" w:cs="宋体"/>
                <w:color w:val="auto"/>
                <w:spacing w:val="-56"/>
                <w:sz w:val="24"/>
                <w:szCs w:val="24"/>
              </w:rPr>
              <w:t xml:space="preserve"> </w:t>
            </w:r>
            <w:r>
              <w:rPr>
                <w:rFonts w:ascii="Times New Roman" w:hAnsi="Times New Roman" w:eastAsia="Times New Roman" w:cs="Times New Roman"/>
                <w:color w:val="auto"/>
                <w:spacing w:val="-17"/>
                <w:sz w:val="24"/>
                <w:szCs w:val="24"/>
              </w:rPr>
              <w:t>38~42dB</w:t>
            </w:r>
            <w:r>
              <w:rPr>
                <w:rFonts w:ascii="宋体" w:hAnsi="宋体" w:eastAsia="宋体" w:cs="宋体"/>
                <w:color w:val="auto"/>
                <w:spacing w:val="-17"/>
                <w:sz w:val="24"/>
                <w:szCs w:val="24"/>
              </w:rPr>
              <w:t>（</w:t>
            </w:r>
            <w:r>
              <w:rPr>
                <w:rFonts w:ascii="Times New Roman" w:hAnsi="Times New Roman" w:eastAsia="Times New Roman" w:cs="Times New Roman"/>
                <w:color w:val="auto"/>
                <w:spacing w:val="-17"/>
                <w:sz w:val="24"/>
                <w:szCs w:val="24"/>
              </w:rPr>
              <w:t>A</w:t>
            </w:r>
            <w:r>
              <w:rPr>
                <w:rFonts w:ascii="宋体" w:hAnsi="宋体" w:eastAsia="宋体" w:cs="宋体"/>
                <w:color w:val="auto"/>
                <w:spacing w:val="-17"/>
                <w:sz w:val="24"/>
                <w:szCs w:val="24"/>
              </w:rPr>
              <w:t>）之间，均符</w:t>
            </w:r>
            <w:r>
              <w:rPr>
                <w:rFonts w:hint="eastAsia" w:ascii="宋体" w:hAnsi="宋体" w:eastAsia="宋体" w:cs="宋体"/>
                <w:color w:val="auto"/>
                <w:kern w:val="0"/>
                <w:sz w:val="24"/>
                <w:szCs w:val="24"/>
                <w:lang w:val="en-US" w:eastAsia="zh-CN" w:bidi="ar"/>
              </w:rPr>
              <w:t>合《工业企业厂界环境噪声排放标准》</w:t>
            </w:r>
            <w:r>
              <w:rPr>
                <w:rFonts w:ascii="宋体" w:hAnsi="宋体" w:eastAsia="宋体" w:cs="宋体"/>
                <w:color w:val="auto"/>
                <w:spacing w:val="-17"/>
                <w:sz w:val="24"/>
                <w:szCs w:val="24"/>
              </w:rPr>
              <w:t>（</w:t>
            </w:r>
            <w:r>
              <w:rPr>
                <w:rFonts w:ascii="Times New Roman" w:hAnsi="Times New Roman" w:eastAsia="Times New Roman" w:cs="Times New Roman"/>
                <w:color w:val="auto"/>
                <w:spacing w:val="-17"/>
                <w:sz w:val="24"/>
                <w:szCs w:val="24"/>
              </w:rPr>
              <w:t>GB</w:t>
            </w:r>
            <w:r>
              <w:rPr>
                <w:rFonts w:ascii="Times New Roman" w:hAnsi="Times New Roman" w:eastAsia="Times New Roman" w:cs="Times New Roman"/>
                <w:color w:val="auto"/>
                <w:spacing w:val="29"/>
                <w:w w:val="101"/>
                <w:sz w:val="24"/>
                <w:szCs w:val="24"/>
              </w:rPr>
              <w:t xml:space="preserve"> </w:t>
            </w:r>
            <w:r>
              <w:rPr>
                <w:rFonts w:ascii="Times New Roman" w:hAnsi="Times New Roman" w:eastAsia="Times New Roman" w:cs="Times New Roman"/>
                <w:color w:val="auto"/>
                <w:spacing w:val="-17"/>
                <w:sz w:val="24"/>
                <w:szCs w:val="24"/>
              </w:rPr>
              <w:t>12348-2008</w:t>
            </w:r>
            <w:r>
              <w:rPr>
                <w:rFonts w:ascii="宋体" w:hAnsi="宋体" w:eastAsia="宋体" w:cs="宋体"/>
                <w:color w:val="auto"/>
                <w:spacing w:val="-17"/>
                <w:sz w:val="24"/>
                <w:szCs w:val="24"/>
              </w:rPr>
              <w:t>）</w:t>
            </w:r>
            <w:r>
              <w:rPr>
                <w:rFonts w:ascii="宋体" w:hAnsi="宋体" w:eastAsia="宋体" w:cs="宋体"/>
                <w:color w:val="auto"/>
                <w:sz w:val="24"/>
                <w:szCs w:val="24"/>
              </w:rPr>
              <w:t xml:space="preserve"> </w:t>
            </w:r>
            <w:r>
              <w:rPr>
                <w:rFonts w:ascii="Times New Roman" w:hAnsi="Times New Roman" w:eastAsia="Times New Roman" w:cs="Times New Roman"/>
                <w:color w:val="auto"/>
                <w:spacing w:val="-1"/>
                <w:sz w:val="24"/>
                <w:szCs w:val="24"/>
              </w:rPr>
              <w:t xml:space="preserve">1 </w:t>
            </w:r>
            <w:r>
              <w:rPr>
                <w:rFonts w:ascii="宋体" w:hAnsi="宋体" w:eastAsia="宋体" w:cs="宋体"/>
                <w:color w:val="auto"/>
                <w:spacing w:val="-1"/>
                <w:sz w:val="24"/>
                <w:szCs w:val="24"/>
              </w:rPr>
              <w:t>类标准限值要求。</w:t>
            </w:r>
          </w:p>
          <w:p w14:paraId="45D0DA0B">
            <w:pPr>
              <w:pStyle w:val="115"/>
              <w:keepNext/>
              <w:keepLines w:val="0"/>
              <w:pageBreakBefore w:val="0"/>
              <w:numPr>
                <w:ilvl w:val="0"/>
                <w:numId w:val="0"/>
              </w:numPr>
              <w:kinsoku/>
              <w:wordWrap/>
              <w:overflowPunct/>
              <w:topLinePunct w:val="0"/>
              <w:bidi w:val="0"/>
              <w:spacing w:line="360" w:lineRule="auto"/>
              <w:ind w:left="560" w:leftChars="0"/>
              <w:outlineLvl w:val="9"/>
              <w:rPr>
                <w:rFonts w:hint="eastAsia" w:ascii="Times New Roman" w:hAnsi="Times New Roman" w:cs="Times New Roman"/>
                <w:color w:val="auto"/>
                <w:spacing w:val="6"/>
                <w:lang w:val="en-US" w:eastAsia="zh-CN"/>
              </w:rPr>
            </w:pPr>
            <w:r>
              <w:rPr>
                <w:rFonts w:hint="eastAsia" w:ascii="Times New Roman" w:hAnsi="Times New Roman" w:cs="Times New Roman"/>
                <w:color w:val="auto"/>
                <w:spacing w:val="6"/>
                <w:lang w:val="en-US" w:eastAsia="zh-CN"/>
              </w:rPr>
              <w:t>（4）固体废物</w:t>
            </w:r>
          </w:p>
          <w:p w14:paraId="29CFC4DF">
            <w:pPr>
              <w:pStyle w:val="115"/>
              <w:keepNext/>
              <w:keepLines w:val="0"/>
              <w:pageBreakBefore w:val="0"/>
              <w:widowControl w:val="0"/>
              <w:numPr>
                <w:ilvl w:val="0"/>
                <w:numId w:val="0"/>
              </w:numPr>
              <w:kinsoku/>
              <w:wordWrap/>
              <w:overflowPunct/>
              <w:topLinePunct w:val="0"/>
              <w:autoSpaceDE/>
              <w:autoSpaceDN/>
              <w:bidi w:val="0"/>
              <w:adjustRightInd/>
              <w:snapToGrid/>
              <w:spacing w:line="360" w:lineRule="auto"/>
              <w:ind w:firstLine="504" w:firstLineChars="200"/>
              <w:textAlignment w:val="auto"/>
              <w:outlineLvl w:val="9"/>
              <w:rPr>
                <w:rFonts w:hint="eastAsia" w:ascii="Times New Roman" w:hAnsi="Times New Roman" w:cs="Times New Roman"/>
                <w:color w:val="auto"/>
                <w:spacing w:val="6"/>
                <w:lang w:val="en-US" w:eastAsia="zh-CN"/>
              </w:rPr>
            </w:pPr>
            <w:r>
              <w:rPr>
                <w:rFonts w:hint="eastAsia" w:ascii="Times New Roman" w:hAnsi="Times New Roman" w:cs="Times New Roman"/>
                <w:color w:val="auto"/>
                <w:spacing w:val="6"/>
                <w:lang w:val="en-US" w:eastAsia="zh-CN"/>
              </w:rPr>
              <w:t>现有工程固体废物产生情况见表2-21。</w:t>
            </w:r>
          </w:p>
          <w:p w14:paraId="1645241A">
            <w:pPr>
              <w:pStyle w:val="20"/>
              <w:keepNext/>
              <w:keepLines w:val="0"/>
              <w:pageBreakBefore w:val="0"/>
              <w:tabs>
                <w:tab w:val="center" w:pos="4153"/>
                <w:tab w:val="right" w:pos="8306"/>
              </w:tabs>
              <w:kinsoku/>
              <w:wordWrap/>
              <w:overflowPunct/>
              <w:topLinePunct w:val="0"/>
              <w:bidi w:val="0"/>
              <w:jc w:val="center"/>
              <w:outlineLvl w:val="9"/>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表2-</w:t>
            </w:r>
            <w:r>
              <w:rPr>
                <w:rFonts w:hint="eastAsia" w:eastAsia="宋体" w:cs="Times New Roman"/>
                <w:b/>
                <w:bCs/>
                <w:color w:val="auto"/>
                <w:sz w:val="21"/>
                <w:szCs w:val="21"/>
                <w:highlight w:val="none"/>
                <w:lang w:val="en-US" w:eastAsia="zh-CN"/>
              </w:rPr>
              <w:t>21</w:t>
            </w:r>
            <w:r>
              <w:rPr>
                <w:rFonts w:hint="eastAsia" w:ascii="Times New Roman" w:hAnsi="Times New Roman" w:eastAsia="宋体" w:cs="Times New Roman"/>
                <w:b/>
                <w:bCs/>
                <w:color w:val="auto"/>
                <w:sz w:val="21"/>
                <w:szCs w:val="21"/>
                <w:highlight w:val="none"/>
                <w:lang w:val="en-US" w:eastAsia="zh-CN"/>
              </w:rPr>
              <w:t xml:space="preserve"> </w:t>
            </w:r>
            <w:r>
              <w:rPr>
                <w:rFonts w:hint="eastAsia"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固体废物产生情况表</w:t>
            </w:r>
          </w:p>
          <w:tbl>
            <w:tblPr>
              <w:tblStyle w:val="8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1"/>
              <w:gridCol w:w="1062"/>
              <w:gridCol w:w="1135"/>
              <w:gridCol w:w="982"/>
              <w:gridCol w:w="1567"/>
              <w:gridCol w:w="819"/>
              <w:gridCol w:w="991"/>
              <w:gridCol w:w="1330"/>
            </w:tblGrid>
            <w:tr w14:paraId="2BA01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8" w:hRule="atLeast"/>
                <w:jc w:val="center"/>
              </w:trPr>
              <w:tc>
                <w:tcPr>
                  <w:tcW w:w="259" w:type="pct"/>
                  <w:textDirection w:val="tbRlV"/>
                  <w:vAlign w:val="center"/>
                </w:tcPr>
                <w:p w14:paraId="2939072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6"/>
                      <w:sz w:val="21"/>
                      <w:szCs w:val="21"/>
                    </w:rPr>
                    <w:t>序</w:t>
                  </w:r>
                  <w:r>
                    <w:rPr>
                      <w:rFonts w:hint="default" w:ascii="Times New Roman" w:hAnsi="Times New Roman" w:eastAsia="宋体" w:cs="Times New Roman"/>
                      <w:color w:val="auto"/>
                      <w:spacing w:val="-38"/>
                      <w:sz w:val="21"/>
                      <w:szCs w:val="21"/>
                    </w:rPr>
                    <w:t xml:space="preserve"> </w:t>
                  </w:r>
                  <w:r>
                    <w:rPr>
                      <w:rFonts w:hint="default" w:ascii="Times New Roman" w:hAnsi="Times New Roman" w:eastAsia="宋体" w:cs="Times New Roman"/>
                      <w:b/>
                      <w:bCs/>
                      <w:color w:val="auto"/>
                      <w:spacing w:val="6"/>
                      <w:sz w:val="21"/>
                      <w:szCs w:val="21"/>
                    </w:rPr>
                    <w:t>号</w:t>
                  </w:r>
                </w:p>
              </w:tc>
              <w:tc>
                <w:tcPr>
                  <w:tcW w:w="638" w:type="pct"/>
                  <w:vAlign w:val="center"/>
                </w:tcPr>
                <w:p w14:paraId="6A8949A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2"/>
                      <w:sz w:val="21"/>
                      <w:szCs w:val="21"/>
                    </w:rPr>
                    <w:t>名称</w:t>
                  </w:r>
                </w:p>
              </w:tc>
              <w:tc>
                <w:tcPr>
                  <w:tcW w:w="682" w:type="pct"/>
                  <w:vAlign w:val="center"/>
                </w:tcPr>
                <w:p w14:paraId="2C66F1A4">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b/>
                      <w:bCs/>
                      <w:color w:val="auto"/>
                      <w:spacing w:val="2"/>
                      <w:sz w:val="21"/>
                      <w:szCs w:val="21"/>
                      <w:lang w:val="en-US" w:eastAsia="zh-CN"/>
                    </w:rPr>
                  </w:pPr>
                  <w:r>
                    <w:rPr>
                      <w:rFonts w:hint="default" w:ascii="Times New Roman" w:hAnsi="Times New Roman" w:eastAsia="宋体" w:cs="Times New Roman"/>
                      <w:b/>
                      <w:bCs/>
                      <w:color w:val="auto"/>
                      <w:spacing w:val="2"/>
                      <w:sz w:val="21"/>
                      <w:szCs w:val="21"/>
                      <w:lang w:val="en-US" w:eastAsia="zh-CN"/>
                    </w:rPr>
                    <w:t>固体废物属性</w:t>
                  </w:r>
                </w:p>
              </w:tc>
              <w:tc>
                <w:tcPr>
                  <w:tcW w:w="590" w:type="pct"/>
                  <w:vAlign w:val="center"/>
                </w:tcPr>
                <w:p w14:paraId="4763E59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2"/>
                      <w:sz w:val="21"/>
                      <w:szCs w:val="21"/>
                    </w:rPr>
                    <w:t>危险</w:t>
                  </w:r>
                  <w:r>
                    <w:rPr>
                      <w:rFonts w:hint="default" w:ascii="Times New Roman" w:hAnsi="Times New Roman" w:eastAsia="宋体" w:cs="Times New Roman"/>
                      <w:b/>
                      <w:bCs/>
                      <w:color w:val="auto"/>
                      <w:spacing w:val="4"/>
                      <w:sz w:val="21"/>
                      <w:szCs w:val="21"/>
                    </w:rPr>
                    <w:t>废物</w:t>
                  </w:r>
                  <w:r>
                    <w:rPr>
                      <w:rFonts w:hint="default" w:ascii="Times New Roman" w:hAnsi="Times New Roman" w:eastAsia="宋体" w:cs="Times New Roman"/>
                      <w:b/>
                      <w:bCs/>
                      <w:color w:val="auto"/>
                      <w:spacing w:val="3"/>
                      <w:sz w:val="21"/>
                      <w:szCs w:val="21"/>
                    </w:rPr>
                    <w:t>类别</w:t>
                  </w:r>
                </w:p>
              </w:tc>
              <w:tc>
                <w:tcPr>
                  <w:tcW w:w="941" w:type="pct"/>
                  <w:vAlign w:val="center"/>
                </w:tcPr>
                <w:p w14:paraId="69EA8C0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2"/>
                      <w:sz w:val="21"/>
                      <w:szCs w:val="21"/>
                    </w:rPr>
                    <w:t>危险</w:t>
                  </w:r>
                  <w:r>
                    <w:rPr>
                      <w:rFonts w:hint="default" w:ascii="Times New Roman" w:hAnsi="Times New Roman" w:eastAsia="宋体" w:cs="Times New Roman"/>
                      <w:b/>
                      <w:bCs/>
                      <w:color w:val="auto"/>
                      <w:spacing w:val="4"/>
                      <w:sz w:val="21"/>
                      <w:szCs w:val="21"/>
                    </w:rPr>
                    <w:t>废物代码</w:t>
                  </w:r>
                </w:p>
              </w:tc>
              <w:tc>
                <w:tcPr>
                  <w:tcW w:w="492" w:type="pct"/>
                  <w:vAlign w:val="center"/>
                </w:tcPr>
                <w:p w14:paraId="0DD36D79">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产生</w:t>
                  </w:r>
                  <w:r>
                    <w:rPr>
                      <w:rFonts w:hint="default" w:ascii="Times New Roman" w:hAnsi="Times New Roman" w:eastAsia="宋体" w:cs="Times New Roman"/>
                      <w:b/>
                      <w:bCs/>
                      <w:color w:val="auto"/>
                      <w:spacing w:val="-2"/>
                      <w:sz w:val="21"/>
                      <w:szCs w:val="21"/>
                    </w:rPr>
                    <w:t>量</w:t>
                  </w:r>
                </w:p>
                <w:p w14:paraId="1AB3ABF7">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1"/>
                      <w:sz w:val="21"/>
                      <w:szCs w:val="21"/>
                    </w:rPr>
                    <w:t>（t/a）</w:t>
                  </w:r>
                </w:p>
              </w:tc>
              <w:tc>
                <w:tcPr>
                  <w:tcW w:w="595" w:type="pct"/>
                  <w:textDirection w:val="tbRlV"/>
                  <w:vAlign w:val="center"/>
                </w:tcPr>
                <w:p w14:paraId="5487EC47">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2"/>
                      <w:sz w:val="21"/>
                      <w:szCs w:val="21"/>
                    </w:rPr>
                    <w:t>形态</w:t>
                  </w:r>
                </w:p>
              </w:tc>
              <w:tc>
                <w:tcPr>
                  <w:tcW w:w="799" w:type="pct"/>
                  <w:vAlign w:val="center"/>
                </w:tcPr>
                <w:p w14:paraId="493B4A81">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6"/>
                      <w:sz w:val="21"/>
                      <w:szCs w:val="21"/>
                    </w:rPr>
                    <w:t>污染防治</w:t>
                  </w:r>
                </w:p>
                <w:p w14:paraId="5CC1038E">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措施</w:t>
                  </w:r>
                </w:p>
              </w:tc>
            </w:tr>
            <w:tr w14:paraId="14B08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9" w:hRule="atLeast"/>
                <w:jc w:val="center"/>
              </w:trPr>
              <w:tc>
                <w:tcPr>
                  <w:tcW w:w="431" w:type="dxa"/>
                  <w:vAlign w:val="center"/>
                </w:tcPr>
                <w:p w14:paraId="6C397DA5">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638" w:type="pct"/>
                  <w:vAlign w:val="center"/>
                </w:tcPr>
                <w:p w14:paraId="5812EE7D">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6"/>
                      <w:sz w:val="21"/>
                      <w:szCs w:val="21"/>
                      <w:highlight w:val="none"/>
                    </w:rPr>
                    <w:t>原材料包装袋</w:t>
                  </w:r>
                </w:p>
              </w:tc>
              <w:tc>
                <w:tcPr>
                  <w:tcW w:w="682" w:type="pct"/>
                  <w:vAlign w:val="center"/>
                </w:tcPr>
                <w:p w14:paraId="65484E4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一般固废</w:t>
                  </w:r>
                </w:p>
              </w:tc>
              <w:tc>
                <w:tcPr>
                  <w:tcW w:w="590" w:type="pct"/>
                  <w:vAlign w:val="center"/>
                </w:tcPr>
                <w:p w14:paraId="79070BB4">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val="en-US" w:eastAsia="zh-CN"/>
                    </w:rPr>
                    <w:t>/</w:t>
                  </w:r>
                </w:p>
              </w:tc>
              <w:tc>
                <w:tcPr>
                  <w:tcW w:w="941" w:type="pct"/>
                  <w:vAlign w:val="center"/>
                </w:tcPr>
                <w:p w14:paraId="2DA1A3CA">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val="en-US" w:eastAsia="zh-CN"/>
                    </w:rPr>
                    <w:t>/</w:t>
                  </w:r>
                </w:p>
              </w:tc>
              <w:tc>
                <w:tcPr>
                  <w:tcW w:w="492" w:type="pct"/>
                  <w:vAlign w:val="center"/>
                </w:tcPr>
                <w:p w14:paraId="508F0D7B">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0.19</w:t>
                  </w:r>
                </w:p>
              </w:tc>
              <w:tc>
                <w:tcPr>
                  <w:tcW w:w="595" w:type="pct"/>
                  <w:vAlign w:val="center"/>
                </w:tcPr>
                <w:p w14:paraId="0859FD5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固态</w:t>
                  </w:r>
                </w:p>
              </w:tc>
              <w:tc>
                <w:tcPr>
                  <w:tcW w:w="799" w:type="pct"/>
                  <w:vAlign w:val="center"/>
                </w:tcPr>
                <w:p w14:paraId="603667DC">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highlight w:val="none"/>
                    </w:rPr>
                    <w:t>收集暂存后外售</w:t>
                  </w:r>
                </w:p>
              </w:tc>
            </w:tr>
            <w:tr w14:paraId="4B6F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615D9D08">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p>
              </w:tc>
              <w:tc>
                <w:tcPr>
                  <w:tcW w:w="638" w:type="pct"/>
                  <w:shd w:val="clear" w:color="auto" w:fill="auto"/>
                  <w:vAlign w:val="center"/>
                </w:tcPr>
                <w:p w14:paraId="42EC98E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7"/>
                      <w:sz w:val="21"/>
                      <w:szCs w:val="21"/>
                      <w:highlight w:val="none"/>
                    </w:rPr>
                    <w:t>废包装物</w:t>
                  </w:r>
                </w:p>
              </w:tc>
              <w:tc>
                <w:tcPr>
                  <w:tcW w:w="682" w:type="pct"/>
                  <w:shd w:val="clear" w:color="auto" w:fill="auto"/>
                  <w:vAlign w:val="center"/>
                </w:tcPr>
                <w:p w14:paraId="565242FF">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危险废物</w:t>
                  </w:r>
                </w:p>
              </w:tc>
              <w:tc>
                <w:tcPr>
                  <w:tcW w:w="590" w:type="pct"/>
                  <w:vAlign w:val="center"/>
                </w:tcPr>
                <w:p w14:paraId="23EF8EE9">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pacing w:val="10"/>
                      <w:sz w:val="21"/>
                      <w:szCs w:val="21"/>
                      <w:highlight w:val="none"/>
                    </w:rPr>
                    <w:t>49</w:t>
                  </w:r>
                </w:p>
              </w:tc>
              <w:tc>
                <w:tcPr>
                  <w:tcW w:w="941" w:type="pct"/>
                  <w:vAlign w:val="center"/>
                </w:tcPr>
                <w:p w14:paraId="78B3F188">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900-041-49</w:t>
                  </w:r>
                </w:p>
              </w:tc>
              <w:tc>
                <w:tcPr>
                  <w:tcW w:w="492" w:type="pct"/>
                  <w:shd w:val="clear" w:color="auto" w:fill="auto"/>
                  <w:vAlign w:val="center"/>
                </w:tcPr>
                <w:p w14:paraId="59EF982F">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3.49</w:t>
                  </w:r>
                </w:p>
              </w:tc>
              <w:tc>
                <w:tcPr>
                  <w:tcW w:w="595" w:type="pct"/>
                  <w:vAlign w:val="center"/>
                </w:tcPr>
                <w:p w14:paraId="4610322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固态</w:t>
                  </w:r>
                </w:p>
              </w:tc>
              <w:tc>
                <w:tcPr>
                  <w:tcW w:w="799" w:type="pct"/>
                  <w:vMerge w:val="restart"/>
                  <w:vAlign w:val="center"/>
                </w:tcPr>
                <w:p w14:paraId="47AAA9B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7"/>
                      <w:sz w:val="21"/>
                      <w:szCs w:val="21"/>
                    </w:rPr>
                    <w:t>暂存</w:t>
                  </w:r>
                  <w:r>
                    <w:rPr>
                      <w:rFonts w:hint="default" w:ascii="Times New Roman" w:hAnsi="Times New Roman" w:eastAsia="宋体" w:cs="Times New Roman"/>
                      <w:color w:val="auto"/>
                      <w:spacing w:val="7"/>
                      <w:sz w:val="21"/>
                      <w:szCs w:val="21"/>
                      <w:lang w:val="en-US" w:eastAsia="zh-CN"/>
                    </w:rPr>
                    <w:t>于</w:t>
                  </w:r>
                  <w:r>
                    <w:rPr>
                      <w:rFonts w:hint="default" w:ascii="Times New Roman" w:hAnsi="Times New Roman" w:eastAsia="宋体" w:cs="Times New Roman"/>
                      <w:color w:val="auto"/>
                      <w:spacing w:val="6"/>
                      <w:sz w:val="21"/>
                      <w:szCs w:val="21"/>
                    </w:rPr>
                    <w:t>危险废物</w:t>
                  </w:r>
                  <w:r>
                    <w:rPr>
                      <w:rFonts w:hint="default" w:ascii="Times New Roman" w:hAnsi="Times New Roman" w:eastAsia="宋体" w:cs="Times New Roman"/>
                      <w:color w:val="auto"/>
                      <w:spacing w:val="7"/>
                      <w:sz w:val="21"/>
                      <w:szCs w:val="21"/>
                    </w:rPr>
                    <w:t>贮存点，定期</w:t>
                  </w:r>
                  <w:r>
                    <w:rPr>
                      <w:rFonts w:hint="default" w:ascii="Times New Roman" w:hAnsi="Times New Roman" w:eastAsia="宋体" w:cs="Times New Roman"/>
                      <w:color w:val="auto"/>
                      <w:spacing w:val="6"/>
                      <w:sz w:val="21"/>
                      <w:szCs w:val="21"/>
                    </w:rPr>
                    <w:t>交由</w:t>
                  </w:r>
                  <w:r>
                    <w:rPr>
                      <w:rFonts w:hint="eastAsia" w:ascii="Times New Roman" w:hAnsi="Times New Roman" w:cs="Times New Roman"/>
                      <w:color w:val="auto"/>
                      <w:spacing w:val="6"/>
                      <w:sz w:val="21"/>
                      <w:szCs w:val="21"/>
                      <w:lang w:val="en-US" w:eastAsia="zh-CN"/>
                    </w:rPr>
                    <w:t>葫芦岛晟野环保科技有限公司</w:t>
                  </w:r>
                  <w:r>
                    <w:rPr>
                      <w:rFonts w:hint="default" w:ascii="Times New Roman" w:hAnsi="Times New Roman" w:eastAsia="宋体" w:cs="Times New Roman"/>
                      <w:color w:val="auto"/>
                      <w:spacing w:val="5"/>
                      <w:sz w:val="21"/>
                      <w:szCs w:val="21"/>
                    </w:rPr>
                    <w:t>处置</w:t>
                  </w:r>
                </w:p>
              </w:tc>
            </w:tr>
            <w:tr w14:paraId="1EDEF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53AF17BC">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w:t>
                  </w:r>
                </w:p>
              </w:tc>
              <w:tc>
                <w:tcPr>
                  <w:tcW w:w="638" w:type="pct"/>
                  <w:shd w:val="clear" w:color="auto" w:fill="auto"/>
                  <w:vAlign w:val="center"/>
                </w:tcPr>
                <w:p w14:paraId="15F11A4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7"/>
                      <w:sz w:val="21"/>
                      <w:szCs w:val="21"/>
                      <w:highlight w:val="none"/>
                    </w:rPr>
                    <w:t>废机油</w:t>
                  </w:r>
                </w:p>
              </w:tc>
              <w:tc>
                <w:tcPr>
                  <w:tcW w:w="682" w:type="pct"/>
                  <w:shd w:val="clear" w:color="auto" w:fill="auto"/>
                  <w:vAlign w:val="center"/>
                </w:tcPr>
                <w:p w14:paraId="2EE1BD7C">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危险废物</w:t>
                  </w:r>
                </w:p>
              </w:tc>
              <w:tc>
                <w:tcPr>
                  <w:tcW w:w="590" w:type="pct"/>
                  <w:vAlign w:val="center"/>
                </w:tcPr>
                <w:p w14:paraId="76B83E4C">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pacing w:val="10"/>
                      <w:sz w:val="21"/>
                      <w:szCs w:val="21"/>
                      <w:highlight w:val="none"/>
                    </w:rPr>
                    <w:t>08</w:t>
                  </w:r>
                </w:p>
              </w:tc>
              <w:tc>
                <w:tcPr>
                  <w:tcW w:w="941" w:type="pct"/>
                  <w:vAlign w:val="center"/>
                </w:tcPr>
                <w:p w14:paraId="7F55100E">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900-214-08</w:t>
                  </w:r>
                </w:p>
              </w:tc>
              <w:tc>
                <w:tcPr>
                  <w:tcW w:w="492" w:type="pct"/>
                  <w:shd w:val="clear" w:color="auto" w:fill="auto"/>
                  <w:vAlign w:val="center"/>
                </w:tcPr>
                <w:p w14:paraId="32FD9647">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lang w:val="en-US" w:eastAsia="zh-CN"/>
                    </w:rPr>
                    <w:t>0.3</w:t>
                  </w:r>
                </w:p>
              </w:tc>
              <w:tc>
                <w:tcPr>
                  <w:tcW w:w="595" w:type="pct"/>
                  <w:vAlign w:val="center"/>
                </w:tcPr>
                <w:p w14:paraId="1DA9B04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液态</w:t>
                  </w:r>
                </w:p>
              </w:tc>
              <w:tc>
                <w:tcPr>
                  <w:tcW w:w="799" w:type="pct"/>
                  <w:vMerge w:val="continue"/>
                  <w:vAlign w:val="center"/>
                </w:tcPr>
                <w:p w14:paraId="09B384F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rPr>
                  </w:pPr>
                </w:p>
              </w:tc>
            </w:tr>
            <w:tr w14:paraId="11341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5335FFE2">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p>
              </w:tc>
              <w:tc>
                <w:tcPr>
                  <w:tcW w:w="638" w:type="pct"/>
                  <w:shd w:val="clear" w:color="auto" w:fill="auto"/>
                  <w:vAlign w:val="center"/>
                </w:tcPr>
                <w:p w14:paraId="03F8C953">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7"/>
                      <w:sz w:val="21"/>
                      <w:szCs w:val="21"/>
                      <w:highlight w:val="none"/>
                    </w:rPr>
                    <w:t>废油桶</w:t>
                  </w:r>
                </w:p>
              </w:tc>
              <w:tc>
                <w:tcPr>
                  <w:tcW w:w="682" w:type="pct"/>
                  <w:shd w:val="clear" w:color="auto" w:fill="auto"/>
                  <w:vAlign w:val="center"/>
                </w:tcPr>
                <w:p w14:paraId="3D81D1FB">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危险废物</w:t>
                  </w:r>
                </w:p>
              </w:tc>
              <w:tc>
                <w:tcPr>
                  <w:tcW w:w="590" w:type="pct"/>
                  <w:vAlign w:val="center"/>
                </w:tcPr>
                <w:p w14:paraId="400E015E">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pacing w:val="10"/>
                      <w:sz w:val="21"/>
                      <w:szCs w:val="21"/>
                      <w:highlight w:val="none"/>
                    </w:rPr>
                    <w:t>08</w:t>
                  </w:r>
                </w:p>
              </w:tc>
              <w:tc>
                <w:tcPr>
                  <w:tcW w:w="941" w:type="pct"/>
                  <w:vAlign w:val="center"/>
                </w:tcPr>
                <w:p w14:paraId="1191DAF7">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900-249-08</w:t>
                  </w:r>
                </w:p>
              </w:tc>
              <w:tc>
                <w:tcPr>
                  <w:tcW w:w="492" w:type="pct"/>
                  <w:shd w:val="clear" w:color="auto" w:fill="auto"/>
                  <w:vAlign w:val="center"/>
                </w:tcPr>
                <w:p w14:paraId="6C254D3E">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pacing w:val="-25"/>
                      <w:sz w:val="21"/>
                      <w:szCs w:val="21"/>
                      <w:highlight w:val="none"/>
                    </w:rPr>
                    <w:t xml:space="preserve"> </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1</w:t>
                  </w:r>
                </w:p>
              </w:tc>
              <w:tc>
                <w:tcPr>
                  <w:tcW w:w="595" w:type="pct"/>
                  <w:vAlign w:val="center"/>
                </w:tcPr>
                <w:p w14:paraId="0154624C">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lang w:val="en-US" w:eastAsia="zh-CN"/>
                    </w:rPr>
                  </w:pPr>
                  <w:r>
                    <w:rPr>
                      <w:rFonts w:hint="default" w:ascii="Times New Roman" w:hAnsi="Times New Roman" w:eastAsia="宋体" w:cs="Times New Roman"/>
                      <w:color w:val="auto"/>
                      <w:spacing w:val="8"/>
                      <w:sz w:val="21"/>
                      <w:szCs w:val="21"/>
                      <w:highlight w:val="none"/>
                    </w:rPr>
                    <w:t>固态</w:t>
                  </w:r>
                </w:p>
              </w:tc>
              <w:tc>
                <w:tcPr>
                  <w:tcW w:w="799" w:type="pct"/>
                  <w:vMerge w:val="continue"/>
                  <w:vAlign w:val="center"/>
                </w:tcPr>
                <w:p w14:paraId="17B18C80">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rPr>
                  </w:pPr>
                </w:p>
              </w:tc>
            </w:tr>
            <w:tr w14:paraId="1BA38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3C3C3A5D">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w:t>
                  </w:r>
                </w:p>
              </w:tc>
              <w:tc>
                <w:tcPr>
                  <w:tcW w:w="638" w:type="pct"/>
                  <w:shd w:val="clear" w:color="auto" w:fill="auto"/>
                  <w:vAlign w:val="center"/>
                </w:tcPr>
                <w:p w14:paraId="572A5FEB">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7"/>
                      <w:sz w:val="21"/>
                      <w:szCs w:val="21"/>
                      <w:highlight w:val="none"/>
                    </w:rPr>
                    <w:t>废油抹布</w:t>
                  </w:r>
                </w:p>
              </w:tc>
              <w:tc>
                <w:tcPr>
                  <w:tcW w:w="682" w:type="pct"/>
                  <w:shd w:val="clear" w:color="auto" w:fill="auto"/>
                  <w:vAlign w:val="center"/>
                </w:tcPr>
                <w:p w14:paraId="28734B44">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危险废物</w:t>
                  </w:r>
                </w:p>
              </w:tc>
              <w:tc>
                <w:tcPr>
                  <w:tcW w:w="590" w:type="pct"/>
                  <w:vAlign w:val="center"/>
                </w:tcPr>
                <w:p w14:paraId="7B09D966">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pacing w:val="10"/>
                      <w:sz w:val="21"/>
                      <w:szCs w:val="21"/>
                      <w:highlight w:val="none"/>
                    </w:rPr>
                    <w:t>49</w:t>
                  </w:r>
                </w:p>
              </w:tc>
              <w:tc>
                <w:tcPr>
                  <w:tcW w:w="941" w:type="pct"/>
                  <w:vAlign w:val="center"/>
                </w:tcPr>
                <w:p w14:paraId="59938326">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900-041-49</w:t>
                  </w:r>
                </w:p>
              </w:tc>
              <w:tc>
                <w:tcPr>
                  <w:tcW w:w="492" w:type="pct"/>
                  <w:shd w:val="clear" w:color="auto" w:fill="auto"/>
                  <w:vAlign w:val="center"/>
                </w:tcPr>
                <w:p w14:paraId="296E9334">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0.03</w:t>
                  </w:r>
                </w:p>
              </w:tc>
              <w:tc>
                <w:tcPr>
                  <w:tcW w:w="595" w:type="pct"/>
                  <w:vAlign w:val="center"/>
                </w:tcPr>
                <w:p w14:paraId="47E3C258">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8"/>
                      <w:sz w:val="21"/>
                      <w:szCs w:val="21"/>
                      <w:highlight w:val="none"/>
                    </w:rPr>
                    <w:t>态</w:t>
                  </w:r>
                </w:p>
              </w:tc>
              <w:tc>
                <w:tcPr>
                  <w:tcW w:w="799" w:type="pct"/>
                  <w:vMerge w:val="continue"/>
                  <w:vAlign w:val="center"/>
                </w:tcPr>
                <w:p w14:paraId="78D9D41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rPr>
                  </w:pPr>
                </w:p>
              </w:tc>
            </w:tr>
            <w:tr w14:paraId="27969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31CE2B6F">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w:t>
                  </w:r>
                </w:p>
              </w:tc>
              <w:tc>
                <w:tcPr>
                  <w:tcW w:w="638" w:type="pct"/>
                  <w:shd w:val="clear" w:color="auto" w:fill="auto"/>
                  <w:vAlign w:val="center"/>
                </w:tcPr>
                <w:p w14:paraId="239134A4">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7"/>
                      <w:sz w:val="21"/>
                      <w:szCs w:val="21"/>
                      <w:highlight w:val="none"/>
                    </w:rPr>
                    <w:t>滤渣、废滤网</w:t>
                  </w:r>
                </w:p>
              </w:tc>
              <w:tc>
                <w:tcPr>
                  <w:tcW w:w="682" w:type="pct"/>
                  <w:shd w:val="clear" w:color="auto" w:fill="auto"/>
                  <w:vAlign w:val="center"/>
                </w:tcPr>
                <w:p w14:paraId="6BD2DDEF">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危险废物</w:t>
                  </w:r>
                </w:p>
              </w:tc>
              <w:tc>
                <w:tcPr>
                  <w:tcW w:w="590" w:type="pct"/>
                  <w:vAlign w:val="center"/>
                </w:tcPr>
                <w:p w14:paraId="1C983EAA">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pacing w:val="10"/>
                      <w:sz w:val="21"/>
                      <w:szCs w:val="21"/>
                      <w:highlight w:val="none"/>
                    </w:rPr>
                    <w:t>49</w:t>
                  </w:r>
                </w:p>
              </w:tc>
              <w:tc>
                <w:tcPr>
                  <w:tcW w:w="941" w:type="pct"/>
                  <w:vAlign w:val="center"/>
                </w:tcPr>
                <w:p w14:paraId="69D1178E">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900-041-49</w:t>
                  </w:r>
                </w:p>
              </w:tc>
              <w:tc>
                <w:tcPr>
                  <w:tcW w:w="492" w:type="pct"/>
                  <w:shd w:val="clear" w:color="auto" w:fill="auto"/>
                  <w:vAlign w:val="center"/>
                </w:tcPr>
                <w:p w14:paraId="54DE8C65">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0.</w:t>
                  </w:r>
                  <w:r>
                    <w:rPr>
                      <w:rFonts w:hint="default" w:ascii="Times New Roman" w:hAnsi="Times New Roman" w:eastAsia="宋体" w:cs="Times New Roman"/>
                      <w:color w:val="auto"/>
                      <w:spacing w:val="2"/>
                      <w:sz w:val="21"/>
                      <w:szCs w:val="21"/>
                      <w:highlight w:val="none"/>
                      <w:lang w:val="en-US" w:eastAsia="zh-CN"/>
                    </w:rPr>
                    <w:t>12</w:t>
                  </w:r>
                </w:p>
              </w:tc>
              <w:tc>
                <w:tcPr>
                  <w:tcW w:w="595" w:type="pct"/>
                  <w:vAlign w:val="center"/>
                </w:tcPr>
                <w:p w14:paraId="0E3DC412">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8"/>
                      <w:sz w:val="21"/>
                      <w:szCs w:val="21"/>
                      <w:highlight w:val="none"/>
                    </w:rPr>
                    <w:t>态</w:t>
                  </w:r>
                </w:p>
              </w:tc>
              <w:tc>
                <w:tcPr>
                  <w:tcW w:w="799" w:type="pct"/>
                  <w:vMerge w:val="continue"/>
                  <w:vAlign w:val="center"/>
                </w:tcPr>
                <w:p w14:paraId="228763B3">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rPr>
                  </w:pPr>
                </w:p>
              </w:tc>
            </w:tr>
            <w:tr w14:paraId="59C9C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17045B82">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w:t>
                  </w:r>
                </w:p>
              </w:tc>
              <w:tc>
                <w:tcPr>
                  <w:tcW w:w="638" w:type="pct"/>
                  <w:shd w:val="clear" w:color="auto" w:fill="auto"/>
                  <w:vAlign w:val="center"/>
                </w:tcPr>
                <w:p w14:paraId="44013D15">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6"/>
                      <w:sz w:val="21"/>
                      <w:szCs w:val="21"/>
                      <w:highlight w:val="none"/>
                    </w:rPr>
                    <w:t>隔油沉淀池污泥</w:t>
                  </w:r>
                </w:p>
              </w:tc>
              <w:tc>
                <w:tcPr>
                  <w:tcW w:w="682" w:type="pct"/>
                  <w:shd w:val="clear" w:color="auto" w:fill="auto"/>
                  <w:vAlign w:val="center"/>
                </w:tcPr>
                <w:p w14:paraId="3B1A4287">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危险废物</w:t>
                  </w:r>
                </w:p>
              </w:tc>
              <w:tc>
                <w:tcPr>
                  <w:tcW w:w="590" w:type="pct"/>
                  <w:vAlign w:val="center"/>
                </w:tcPr>
                <w:p w14:paraId="0E2AB8FF">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z w:val="21"/>
                      <w:szCs w:val="21"/>
                      <w:highlight w:val="none"/>
                    </w:rPr>
                    <w:t>HW</w:t>
                  </w:r>
                  <w:r>
                    <w:rPr>
                      <w:rFonts w:hint="default" w:ascii="Times New Roman" w:hAnsi="Times New Roman" w:eastAsia="宋体" w:cs="Times New Roman"/>
                      <w:color w:val="auto"/>
                      <w:spacing w:val="10"/>
                      <w:sz w:val="21"/>
                      <w:szCs w:val="21"/>
                      <w:highlight w:val="none"/>
                    </w:rPr>
                    <w:t>08</w:t>
                  </w:r>
                </w:p>
              </w:tc>
              <w:tc>
                <w:tcPr>
                  <w:tcW w:w="941" w:type="pct"/>
                  <w:vAlign w:val="center"/>
                </w:tcPr>
                <w:p w14:paraId="56FD7572">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900-210-08</w:t>
                  </w:r>
                </w:p>
              </w:tc>
              <w:tc>
                <w:tcPr>
                  <w:tcW w:w="492" w:type="pct"/>
                  <w:shd w:val="clear" w:color="auto" w:fill="auto"/>
                  <w:vAlign w:val="center"/>
                </w:tcPr>
                <w:p w14:paraId="412C69E4">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0.0</w:t>
                  </w:r>
                  <w:r>
                    <w:rPr>
                      <w:rFonts w:hint="default" w:ascii="Times New Roman" w:hAnsi="Times New Roman" w:eastAsia="宋体" w:cs="Times New Roman"/>
                      <w:color w:val="auto"/>
                      <w:spacing w:val="2"/>
                      <w:sz w:val="21"/>
                      <w:szCs w:val="21"/>
                      <w:highlight w:val="none"/>
                      <w:lang w:val="en-US" w:eastAsia="zh-CN"/>
                    </w:rPr>
                    <w:t>5</w:t>
                  </w:r>
                </w:p>
              </w:tc>
              <w:tc>
                <w:tcPr>
                  <w:tcW w:w="595" w:type="pct"/>
                  <w:vAlign w:val="center"/>
                </w:tcPr>
                <w:p w14:paraId="114B5AF2">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8"/>
                      <w:sz w:val="21"/>
                      <w:szCs w:val="21"/>
                      <w:highlight w:val="none"/>
                    </w:rPr>
                    <w:t>态</w:t>
                  </w:r>
                </w:p>
              </w:tc>
              <w:tc>
                <w:tcPr>
                  <w:tcW w:w="799" w:type="pct"/>
                  <w:vMerge w:val="continue"/>
                  <w:vAlign w:val="center"/>
                </w:tcPr>
                <w:p w14:paraId="131CDB5E">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rPr>
                  </w:pPr>
                </w:p>
              </w:tc>
            </w:tr>
            <w:tr w14:paraId="25ED8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7D56B149">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w:t>
                  </w:r>
                </w:p>
              </w:tc>
              <w:tc>
                <w:tcPr>
                  <w:tcW w:w="638" w:type="pct"/>
                  <w:shd w:val="clear" w:color="auto" w:fill="auto"/>
                  <w:vAlign w:val="center"/>
                </w:tcPr>
                <w:p w14:paraId="2688EFAF">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z w:val="21"/>
                      <w:szCs w:val="21"/>
                      <w:highlight w:val="none"/>
                      <w:lang w:val="en-US" w:eastAsia="zh-CN"/>
                    </w:rPr>
                    <w:t>不合格品</w:t>
                  </w:r>
                </w:p>
              </w:tc>
              <w:tc>
                <w:tcPr>
                  <w:tcW w:w="682" w:type="pct"/>
                  <w:shd w:val="clear" w:color="auto" w:fill="auto"/>
                  <w:vAlign w:val="center"/>
                </w:tcPr>
                <w:p w14:paraId="10F2FE01">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w:t>
                  </w:r>
                </w:p>
              </w:tc>
              <w:tc>
                <w:tcPr>
                  <w:tcW w:w="590" w:type="pct"/>
                  <w:vAlign w:val="center"/>
                </w:tcPr>
                <w:p w14:paraId="7C521A40">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lang w:val="en-US" w:eastAsia="zh-CN"/>
                    </w:rPr>
                    <w:t>/</w:t>
                  </w:r>
                </w:p>
              </w:tc>
              <w:tc>
                <w:tcPr>
                  <w:tcW w:w="941" w:type="pct"/>
                  <w:vAlign w:val="center"/>
                </w:tcPr>
                <w:p w14:paraId="24B9AD3C">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6"/>
                      <w:sz w:val="21"/>
                      <w:szCs w:val="21"/>
                      <w:highlight w:val="none"/>
                      <w:lang w:val="en-US" w:eastAsia="zh-CN"/>
                    </w:rPr>
                    <w:t>/</w:t>
                  </w:r>
                </w:p>
              </w:tc>
              <w:tc>
                <w:tcPr>
                  <w:tcW w:w="492" w:type="pct"/>
                  <w:shd w:val="clear" w:color="auto" w:fill="auto"/>
                  <w:vAlign w:val="center"/>
                </w:tcPr>
                <w:p w14:paraId="401D7BBD">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z w:val="21"/>
                      <w:szCs w:val="21"/>
                      <w:highlight w:val="none"/>
                      <w:lang w:val="en-US" w:eastAsia="zh-CN"/>
                    </w:rPr>
                    <w:t>9.3</w:t>
                  </w:r>
                </w:p>
              </w:tc>
              <w:tc>
                <w:tcPr>
                  <w:tcW w:w="595" w:type="pct"/>
                  <w:vAlign w:val="center"/>
                </w:tcPr>
                <w:p w14:paraId="2EE825DB">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8"/>
                      <w:sz w:val="21"/>
                      <w:szCs w:val="21"/>
                      <w:highlight w:val="none"/>
                    </w:rPr>
                    <w:t>态</w:t>
                  </w:r>
                </w:p>
              </w:tc>
              <w:tc>
                <w:tcPr>
                  <w:tcW w:w="799" w:type="pct"/>
                  <w:vAlign w:val="center"/>
                </w:tcPr>
                <w:p w14:paraId="21F0495A">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13"/>
                      <w:sz w:val="21"/>
                      <w:szCs w:val="21"/>
                      <w:lang w:val="en-US" w:eastAsia="zh-CN"/>
                    </w:rPr>
                    <w:t>不合格品处理工房加工后外售</w:t>
                  </w:r>
                </w:p>
              </w:tc>
            </w:tr>
            <w:tr w14:paraId="5FC0F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6F487BCE">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w:t>
                  </w:r>
                </w:p>
              </w:tc>
              <w:tc>
                <w:tcPr>
                  <w:tcW w:w="638" w:type="pct"/>
                  <w:shd w:val="clear" w:color="auto" w:fill="auto"/>
                  <w:vAlign w:val="center"/>
                </w:tcPr>
                <w:p w14:paraId="30885C62">
                  <w:pPr>
                    <w:pStyle w:val="115"/>
                    <w:keepNext/>
                    <w:keepLines w:val="0"/>
                    <w:pageBreakBefore w:val="0"/>
                    <w:widowControl w:val="0"/>
                    <w:kinsoku/>
                    <w:wordWrap/>
                    <w:overflowPunct/>
                    <w:topLinePunct w:val="0"/>
                    <w:autoSpaceDE/>
                    <w:autoSpaceDN/>
                    <w:bidi w:val="0"/>
                    <w:adjustRightInd/>
                    <w:snapToGrid/>
                    <w:spacing w:line="240" w:lineRule="auto"/>
                    <w:ind w:left="0" w:left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废炸药包装</w:t>
                  </w:r>
                </w:p>
              </w:tc>
              <w:tc>
                <w:tcPr>
                  <w:tcW w:w="682" w:type="pct"/>
                  <w:shd w:val="clear" w:color="auto" w:fill="auto"/>
                  <w:vAlign w:val="center"/>
                </w:tcPr>
                <w:p w14:paraId="21E59F90">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rPr>
                    <w:t>危险废物</w:t>
                  </w:r>
                </w:p>
              </w:tc>
              <w:tc>
                <w:tcPr>
                  <w:tcW w:w="590" w:type="pct"/>
                  <w:vAlign w:val="center"/>
                </w:tcPr>
                <w:p w14:paraId="0AAAE0B7">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HW49</w:t>
                  </w:r>
                </w:p>
              </w:tc>
              <w:tc>
                <w:tcPr>
                  <w:tcW w:w="941" w:type="pct"/>
                  <w:vAlign w:val="center"/>
                </w:tcPr>
                <w:p w14:paraId="292FAB9C">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900-041-49</w:t>
                  </w:r>
                </w:p>
              </w:tc>
              <w:tc>
                <w:tcPr>
                  <w:tcW w:w="492" w:type="pct"/>
                  <w:shd w:val="clear" w:color="auto" w:fill="auto"/>
                  <w:vAlign w:val="center"/>
                </w:tcPr>
                <w:p w14:paraId="3892609B">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c>
                <w:tcPr>
                  <w:tcW w:w="595" w:type="pct"/>
                  <w:vAlign w:val="center"/>
                </w:tcPr>
                <w:p w14:paraId="6DE66DB5">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8"/>
                      <w:sz w:val="21"/>
                      <w:szCs w:val="21"/>
                      <w:highlight w:val="none"/>
                    </w:rPr>
                    <w:t>态</w:t>
                  </w:r>
                </w:p>
              </w:tc>
              <w:tc>
                <w:tcPr>
                  <w:tcW w:w="799" w:type="pct"/>
                  <w:vAlign w:val="center"/>
                </w:tcPr>
                <w:p w14:paraId="48FE3ADD">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13"/>
                      <w:sz w:val="21"/>
                      <w:szCs w:val="21"/>
                      <w:lang w:val="en-US" w:eastAsia="zh-CN"/>
                    </w:rPr>
                  </w:pPr>
                  <w:r>
                    <w:rPr>
                      <w:rFonts w:hint="eastAsia" w:ascii="Times New Roman" w:hAnsi="Times New Roman" w:cs="Times New Roman"/>
                      <w:color w:val="auto"/>
                      <w:spacing w:val="13"/>
                      <w:sz w:val="21"/>
                      <w:szCs w:val="21"/>
                      <w:lang w:val="en-US" w:eastAsia="zh-CN"/>
                    </w:rPr>
                    <w:t>销毁场销毁</w:t>
                  </w:r>
                </w:p>
              </w:tc>
            </w:tr>
            <w:tr w14:paraId="4C361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3" w:hRule="atLeast"/>
                <w:jc w:val="center"/>
              </w:trPr>
              <w:tc>
                <w:tcPr>
                  <w:tcW w:w="431" w:type="dxa"/>
                  <w:vAlign w:val="center"/>
                </w:tcPr>
                <w:p w14:paraId="471FE110">
                  <w:pPr>
                    <w:keepNext/>
                    <w:keepLines w:val="0"/>
                    <w:pageBreakBefore w:val="0"/>
                    <w:widowControl/>
                    <w:suppressLineNumbers w:val="0"/>
                    <w:kinsoku/>
                    <w:wordWrap/>
                    <w:overflowPunct/>
                    <w:topLinePunct w:val="0"/>
                    <w:autoSpaceDE w:val="0"/>
                    <w:autoSpaceDN w:val="0"/>
                    <w:bidi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10</w:t>
                  </w:r>
                </w:p>
              </w:tc>
              <w:tc>
                <w:tcPr>
                  <w:tcW w:w="1062" w:type="dxa"/>
                  <w:shd w:val="clear" w:color="auto" w:fill="auto"/>
                  <w:vAlign w:val="center"/>
                </w:tcPr>
                <w:p w14:paraId="31D788C0">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生活垃圾</w:t>
                  </w:r>
                </w:p>
              </w:tc>
              <w:tc>
                <w:tcPr>
                  <w:tcW w:w="1136" w:type="dxa"/>
                  <w:vAlign w:val="center"/>
                </w:tcPr>
                <w:p w14:paraId="2CFD0B83">
                  <w:pPr>
                    <w:pStyle w:val="115"/>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w:t>
                  </w:r>
                </w:p>
              </w:tc>
              <w:tc>
                <w:tcPr>
                  <w:tcW w:w="982" w:type="dxa"/>
                  <w:vAlign w:val="center"/>
                </w:tcPr>
                <w:p w14:paraId="118BC14A">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w:t>
                  </w:r>
                </w:p>
              </w:tc>
              <w:tc>
                <w:tcPr>
                  <w:tcW w:w="1567" w:type="dxa"/>
                  <w:vAlign w:val="center"/>
                </w:tcPr>
                <w:p w14:paraId="1071544F">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w:t>
                  </w:r>
                </w:p>
              </w:tc>
              <w:tc>
                <w:tcPr>
                  <w:tcW w:w="819" w:type="dxa"/>
                  <w:vAlign w:val="center"/>
                </w:tcPr>
                <w:p w14:paraId="73F2581E">
                  <w:pPr>
                    <w:keepNext/>
                    <w:keepLines w:val="0"/>
                    <w:pageBreakBefore w:val="0"/>
                    <w:kinsoku/>
                    <w:wordWrap/>
                    <w:overflowPunct/>
                    <w:topLinePunct w:val="0"/>
                    <w:autoSpaceDE/>
                    <w:autoSpaceDN/>
                    <w:bidi w:val="0"/>
                    <w:adjustRightInd/>
                    <w:snapToGrid/>
                    <w:spacing w:line="240" w:lineRule="auto"/>
                    <w:ind w:left="0" w:left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23.4</w:t>
                  </w:r>
                </w:p>
              </w:tc>
              <w:tc>
                <w:tcPr>
                  <w:tcW w:w="991" w:type="dxa"/>
                  <w:vAlign w:val="center"/>
                </w:tcPr>
                <w:p w14:paraId="58BD396F">
                  <w:pPr>
                    <w:pStyle w:val="115"/>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固</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8"/>
                      <w:sz w:val="21"/>
                      <w:szCs w:val="21"/>
                      <w:highlight w:val="none"/>
                    </w:rPr>
                    <w:t>态</w:t>
                  </w:r>
                </w:p>
              </w:tc>
              <w:tc>
                <w:tcPr>
                  <w:tcW w:w="1331" w:type="dxa"/>
                </w:tcPr>
                <w:p w14:paraId="2985DE59">
                  <w:pPr>
                    <w:keepNext/>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outlineLvl w:val="9"/>
                    <w:rPr>
                      <w:rFonts w:hint="default" w:ascii="Times New Roman" w:hAnsi="Times New Roman" w:eastAsia="宋体" w:cs="Times New Roman"/>
                      <w:color w:val="auto"/>
                      <w:spacing w:val="6"/>
                      <w:sz w:val="21"/>
                      <w:szCs w:val="21"/>
                      <w:lang w:val="en-US" w:eastAsia="zh-CN"/>
                    </w:rPr>
                  </w:pPr>
                  <w:r>
                    <w:rPr>
                      <w:rFonts w:hint="default" w:ascii="Times New Roman" w:hAnsi="Times New Roman" w:eastAsia="宋体" w:cs="Times New Roman"/>
                      <w:color w:val="auto"/>
                      <w:spacing w:val="6"/>
                      <w:sz w:val="21"/>
                      <w:szCs w:val="21"/>
                      <w:lang w:val="en-US" w:eastAsia="zh-CN"/>
                    </w:rPr>
                    <w:t>交由环卫部门处理</w:t>
                  </w:r>
                </w:p>
              </w:tc>
            </w:tr>
          </w:tbl>
          <w:p w14:paraId="27212E32">
            <w:pPr>
              <w:keepNext/>
              <w:keepLines w:val="0"/>
              <w:pageBreakBefore w:val="0"/>
              <w:widowControl/>
              <w:kinsoku/>
              <w:wordWrap/>
              <w:overflowPunct/>
              <w:topLinePunct w:val="0"/>
              <w:bidi w:val="0"/>
              <w:spacing w:before="120" w:beforeLines="50" w:line="360" w:lineRule="auto"/>
              <w:jc w:val="left"/>
              <w:outlineLvl w:val="9"/>
              <w:rPr>
                <w:color w:val="auto"/>
              </w:rPr>
            </w:pPr>
            <w:r>
              <w:rPr>
                <w:rFonts w:hint="eastAsia"/>
                <w:b/>
                <w:bCs/>
                <w:color w:val="auto"/>
                <w:kern w:val="0"/>
                <w:sz w:val="24"/>
                <w:lang w:bidi="ar"/>
              </w:rPr>
              <w:t>4</w:t>
            </w:r>
            <w:r>
              <w:rPr>
                <w:b/>
                <w:bCs/>
                <w:color w:val="auto"/>
                <w:kern w:val="0"/>
                <w:sz w:val="24"/>
                <w:lang w:bidi="ar"/>
              </w:rPr>
              <w:t>、现有项目污染物排放情况汇总</w:t>
            </w:r>
          </w:p>
          <w:p w14:paraId="067CDB60">
            <w:pPr>
              <w:keepNext/>
              <w:keepLines w:val="0"/>
              <w:pageBreakBefore w:val="0"/>
              <w:kinsoku/>
              <w:wordWrap/>
              <w:overflowPunct/>
              <w:topLinePunct w:val="0"/>
              <w:bidi w:val="0"/>
              <w:spacing w:line="360" w:lineRule="auto"/>
              <w:ind w:firstLine="480" w:firstLineChars="200"/>
              <w:outlineLvl w:val="9"/>
              <w:rPr>
                <w:rFonts w:hint="default" w:asciiTheme="minorEastAsia" w:hAnsiTheme="minorEastAsia" w:eastAsia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根据现有工程验收及实际运行情况统计污染物排放情况，其中因现有工程废气均为无组织排放，故排放量采用环评预测量。</w:t>
            </w:r>
          </w:p>
          <w:p w14:paraId="39DEC067">
            <w:pPr>
              <w:keepNext/>
              <w:keepLines w:val="0"/>
              <w:pageBreakBefore w:val="0"/>
              <w:kinsoku/>
              <w:wordWrap/>
              <w:overflowPunct/>
              <w:topLinePunct w:val="0"/>
              <w:bidi w:val="0"/>
              <w:adjustRightInd/>
              <w:snapToGrid/>
              <w:spacing w:line="360" w:lineRule="auto"/>
              <w:ind w:firstLine="0"/>
              <w:jc w:val="center"/>
              <w:textAlignment w:val="auto"/>
              <w:outlineLvl w:val="9"/>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w:t>
            </w:r>
            <w:r>
              <w:rPr>
                <w:rFonts w:hint="eastAsia" w:ascii="Times New Roman" w:hAnsi="Times New Roman" w:eastAsia="宋体" w:cs="Times New Roman"/>
                <w:b/>
                <w:bCs/>
                <w:color w:val="auto"/>
                <w:kern w:val="0"/>
                <w:sz w:val="21"/>
                <w:szCs w:val="21"/>
                <w:highlight w:val="none"/>
                <w:lang w:val="en-US" w:eastAsia="zh-CN" w:bidi="ar-SA"/>
              </w:rPr>
              <w:t>2-2</w:t>
            </w:r>
            <w:r>
              <w:rPr>
                <w:rFonts w:hint="eastAsia" w:cs="Times New Roman"/>
                <w:b/>
                <w:bCs/>
                <w:color w:val="auto"/>
                <w:kern w:val="0"/>
                <w:sz w:val="21"/>
                <w:szCs w:val="21"/>
                <w:highlight w:val="none"/>
                <w:lang w:val="en-US" w:eastAsia="zh-CN" w:bidi="ar-SA"/>
              </w:rPr>
              <w:t>2</w:t>
            </w:r>
            <w:r>
              <w:rPr>
                <w:rFonts w:hint="eastAsia"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kern w:val="0"/>
                <w:sz w:val="21"/>
                <w:szCs w:val="21"/>
                <w:highlight w:val="none"/>
                <w:lang w:val="en-US" w:eastAsia="zh-CN" w:bidi="ar-SA"/>
              </w:rPr>
              <w:t xml:space="preserve"> </w:t>
            </w:r>
            <w:r>
              <w:rPr>
                <w:rFonts w:hint="eastAsia" w:ascii="Times New Roman" w:hAnsi="Times New Roman" w:eastAsia="宋体" w:cs="Times New Roman"/>
                <w:b/>
                <w:bCs/>
                <w:color w:val="auto"/>
                <w:kern w:val="0"/>
                <w:sz w:val="21"/>
                <w:szCs w:val="21"/>
                <w:highlight w:val="none"/>
                <w:lang w:val="en-US" w:eastAsia="zh-CN" w:bidi="ar-SA"/>
              </w:rPr>
              <w:t xml:space="preserve">现有工程污染物排放情况汇总表 </w:t>
            </w:r>
          </w:p>
          <w:tbl>
            <w:tblPr>
              <w:tblStyle w:val="85"/>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74"/>
              <w:gridCol w:w="2424"/>
              <w:gridCol w:w="2426"/>
              <w:gridCol w:w="2398"/>
            </w:tblGrid>
            <w:tr w14:paraId="31F61D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645" w:type="pct"/>
                  <w:vAlign w:val="center"/>
                </w:tcPr>
                <w:p w14:paraId="0C0ACA2E">
                  <w:pPr>
                    <w:keepNext/>
                    <w:keepLines w:val="0"/>
                    <w:pageBreakBefore w:val="0"/>
                    <w:kinsoku/>
                    <w:wordWrap/>
                    <w:overflowPunct/>
                    <w:topLinePunct w:val="0"/>
                    <w:autoSpaceDE w:val="0"/>
                    <w:autoSpaceDN w:val="0"/>
                    <w:bidi w:val="0"/>
                    <w:spacing w:line="240" w:lineRule="auto"/>
                    <w:jc w:val="center"/>
                    <w:outlineLvl w:val="9"/>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污染影响</w:t>
                  </w:r>
                </w:p>
              </w:tc>
              <w:tc>
                <w:tcPr>
                  <w:tcW w:w="1456" w:type="pct"/>
                  <w:vAlign w:val="center"/>
                </w:tcPr>
                <w:p w14:paraId="25999B67">
                  <w:pPr>
                    <w:keepNext/>
                    <w:keepLines w:val="0"/>
                    <w:pageBreakBefore w:val="0"/>
                    <w:kinsoku/>
                    <w:wordWrap/>
                    <w:overflowPunct/>
                    <w:topLinePunct w:val="0"/>
                    <w:autoSpaceDE w:val="0"/>
                    <w:autoSpaceDN w:val="0"/>
                    <w:bidi w:val="0"/>
                    <w:spacing w:line="240" w:lineRule="auto"/>
                    <w:jc w:val="center"/>
                    <w:outlineLvl w:val="9"/>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污染物</w:t>
                  </w:r>
                </w:p>
              </w:tc>
              <w:tc>
                <w:tcPr>
                  <w:tcW w:w="1457" w:type="pct"/>
                  <w:vAlign w:val="center"/>
                </w:tcPr>
                <w:p w14:paraId="118A5E36">
                  <w:pPr>
                    <w:keepNext/>
                    <w:keepLines w:val="0"/>
                    <w:pageBreakBefore w:val="0"/>
                    <w:kinsoku/>
                    <w:wordWrap/>
                    <w:overflowPunct/>
                    <w:topLinePunct w:val="0"/>
                    <w:autoSpaceDE w:val="0"/>
                    <w:autoSpaceDN w:val="0"/>
                    <w:bidi w:val="0"/>
                    <w:spacing w:line="240" w:lineRule="auto"/>
                    <w:jc w:val="center"/>
                    <w:outlineLvl w:val="9"/>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单位</w:t>
                  </w:r>
                </w:p>
              </w:tc>
              <w:tc>
                <w:tcPr>
                  <w:tcW w:w="1440" w:type="pct"/>
                  <w:vAlign w:val="center"/>
                </w:tcPr>
                <w:p w14:paraId="7940EC78">
                  <w:pPr>
                    <w:keepNext/>
                    <w:keepLines w:val="0"/>
                    <w:pageBreakBefore w:val="0"/>
                    <w:kinsoku/>
                    <w:wordWrap/>
                    <w:overflowPunct/>
                    <w:topLinePunct w:val="0"/>
                    <w:autoSpaceDE w:val="0"/>
                    <w:autoSpaceDN w:val="0"/>
                    <w:bidi w:val="0"/>
                    <w:spacing w:line="240" w:lineRule="auto"/>
                    <w:jc w:val="center"/>
                    <w:outlineLvl w:val="9"/>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现有工程排放量</w:t>
                  </w:r>
                </w:p>
              </w:tc>
            </w:tr>
            <w:tr w14:paraId="3AFA9B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645" w:type="pct"/>
                  <w:vMerge w:val="restart"/>
                  <w:vAlign w:val="center"/>
                </w:tcPr>
                <w:p w14:paraId="0770EB16">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w:t>
                  </w:r>
                </w:p>
              </w:tc>
              <w:tc>
                <w:tcPr>
                  <w:tcW w:w="1456" w:type="pct"/>
                  <w:vAlign w:val="center"/>
                </w:tcPr>
                <w:p w14:paraId="1F8EA049">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457" w:type="pct"/>
                  <w:vAlign w:val="center"/>
                </w:tcPr>
                <w:p w14:paraId="114AA0A1">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440" w:type="pct"/>
                  <w:vAlign w:val="center"/>
                </w:tcPr>
                <w:p w14:paraId="6FF4457A">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0.1928</w:t>
                  </w:r>
                </w:p>
              </w:tc>
            </w:tr>
            <w:tr w14:paraId="557FB6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49" w:hRule="atLeast"/>
              </w:trPr>
              <w:tc>
                <w:tcPr>
                  <w:tcW w:w="645" w:type="pct"/>
                  <w:vMerge w:val="continue"/>
                  <w:vAlign w:val="center"/>
                </w:tcPr>
                <w:p w14:paraId="41219571">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p>
              </w:tc>
              <w:tc>
                <w:tcPr>
                  <w:tcW w:w="1456" w:type="pct"/>
                  <w:vAlign w:val="center"/>
                </w:tcPr>
                <w:p w14:paraId="4D1383AF">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非甲烷总烃</w:t>
                  </w:r>
                </w:p>
              </w:tc>
              <w:tc>
                <w:tcPr>
                  <w:tcW w:w="1457" w:type="pct"/>
                  <w:vAlign w:val="center"/>
                </w:tcPr>
                <w:p w14:paraId="248BB3F3">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t/a</w:t>
                  </w:r>
                </w:p>
              </w:tc>
              <w:tc>
                <w:tcPr>
                  <w:tcW w:w="1440" w:type="pct"/>
                  <w:vAlign w:val="center"/>
                </w:tcPr>
                <w:p w14:paraId="5A96B7B3">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0.4428</w:t>
                  </w:r>
                </w:p>
              </w:tc>
            </w:tr>
            <w:tr w14:paraId="2B0236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645" w:type="pct"/>
                  <w:vMerge w:val="continue"/>
                  <w:vAlign w:val="center"/>
                </w:tcPr>
                <w:p w14:paraId="79D46245">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p>
              </w:tc>
              <w:tc>
                <w:tcPr>
                  <w:tcW w:w="1456" w:type="pct"/>
                  <w:vAlign w:val="center"/>
                </w:tcPr>
                <w:p w14:paraId="17FE2E7E">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氨</w:t>
                  </w:r>
                </w:p>
              </w:tc>
              <w:tc>
                <w:tcPr>
                  <w:tcW w:w="1457" w:type="pct"/>
                  <w:vAlign w:val="center"/>
                </w:tcPr>
                <w:p w14:paraId="64F701C0">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t/a</w:t>
                  </w:r>
                </w:p>
              </w:tc>
              <w:tc>
                <w:tcPr>
                  <w:tcW w:w="1440" w:type="pct"/>
                  <w:vAlign w:val="center"/>
                </w:tcPr>
                <w:p w14:paraId="4AC26B3D">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r>
            <w:tr w14:paraId="6ECDA4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645" w:type="pct"/>
                  <w:vMerge w:val="restart"/>
                  <w:vAlign w:val="center"/>
                </w:tcPr>
                <w:p w14:paraId="03CC228E">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固体废物</w:t>
                  </w:r>
                </w:p>
              </w:tc>
              <w:tc>
                <w:tcPr>
                  <w:tcW w:w="1456" w:type="pct"/>
                  <w:vAlign w:val="center"/>
                </w:tcPr>
                <w:p w14:paraId="6A72BB31">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废包装</w:t>
                  </w:r>
                  <w:r>
                    <w:rPr>
                      <w:rFonts w:hint="default" w:ascii="Times New Roman" w:hAnsi="Times New Roman" w:eastAsia="宋体" w:cs="Times New Roman"/>
                      <w:color w:val="auto"/>
                      <w:spacing w:val="7"/>
                      <w:sz w:val="21"/>
                      <w:szCs w:val="21"/>
                    </w:rPr>
                    <w:t>袋</w:t>
                  </w:r>
                  <w:r>
                    <w:rPr>
                      <w:rFonts w:hint="default" w:ascii="Times New Roman" w:hAnsi="Times New Roman" w:eastAsia="宋体" w:cs="Times New Roman"/>
                      <w:color w:val="auto"/>
                      <w:spacing w:val="7"/>
                      <w:sz w:val="21"/>
                      <w:szCs w:val="21"/>
                      <w:lang w:eastAsia="zh-CN"/>
                    </w:rPr>
                    <w:t>（</w:t>
                  </w:r>
                  <w:r>
                    <w:rPr>
                      <w:rFonts w:hint="default" w:ascii="Times New Roman" w:hAnsi="Times New Roman" w:eastAsia="宋体" w:cs="Times New Roman"/>
                      <w:color w:val="auto"/>
                      <w:spacing w:val="7"/>
                      <w:sz w:val="21"/>
                      <w:szCs w:val="21"/>
                      <w:lang w:val="en-US" w:eastAsia="zh-CN"/>
                    </w:rPr>
                    <w:t>珍珠岩等</w:t>
                  </w:r>
                  <w:r>
                    <w:rPr>
                      <w:rFonts w:hint="default" w:ascii="Times New Roman" w:hAnsi="Times New Roman" w:eastAsia="宋体" w:cs="Times New Roman"/>
                      <w:color w:val="auto"/>
                      <w:spacing w:val="7"/>
                      <w:sz w:val="21"/>
                      <w:szCs w:val="21"/>
                      <w:lang w:eastAsia="zh-CN"/>
                    </w:rPr>
                    <w:t>）</w:t>
                  </w:r>
                </w:p>
              </w:tc>
              <w:tc>
                <w:tcPr>
                  <w:tcW w:w="1457" w:type="pct"/>
                  <w:vAlign w:val="center"/>
                </w:tcPr>
                <w:p w14:paraId="6BEA1EFF">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z w:val="21"/>
                      <w:szCs w:val="21"/>
                      <w:lang w:val="en-US" w:eastAsia="zh-CN"/>
                    </w:rPr>
                    <w:t>t/a</w:t>
                  </w:r>
                </w:p>
              </w:tc>
              <w:tc>
                <w:tcPr>
                  <w:tcW w:w="1440" w:type="pct"/>
                  <w:vAlign w:val="center"/>
                </w:tcPr>
                <w:p w14:paraId="4B6DFFCE">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0.19</w:t>
                  </w:r>
                </w:p>
              </w:tc>
            </w:tr>
            <w:tr w14:paraId="615A81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645" w:type="pct"/>
                  <w:vMerge w:val="continue"/>
                  <w:vAlign w:val="center"/>
                </w:tcPr>
                <w:p w14:paraId="5E563888">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Times New Roman" w:cs="Times New Roman"/>
                      <w:color w:val="auto"/>
                      <w:sz w:val="21"/>
                      <w:szCs w:val="21"/>
                    </w:rPr>
                  </w:pPr>
                </w:p>
              </w:tc>
              <w:tc>
                <w:tcPr>
                  <w:tcW w:w="1456" w:type="pct"/>
                  <w:vAlign w:val="center"/>
                </w:tcPr>
                <w:p w14:paraId="024A1D86">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废包装物</w:t>
                  </w:r>
                  <w:r>
                    <w:rPr>
                      <w:rFonts w:hint="eastAsia" w:ascii="Times New Roman" w:hAnsi="Times New Roman" w:eastAsia="宋体" w:cs="Times New Roman"/>
                      <w:color w:val="auto"/>
                      <w:sz w:val="21"/>
                      <w:szCs w:val="21"/>
                      <w:lang w:val="en-US" w:eastAsia="zh-CN"/>
                    </w:rPr>
                    <w:t>（危化品）</w:t>
                  </w:r>
                </w:p>
              </w:tc>
              <w:tc>
                <w:tcPr>
                  <w:tcW w:w="1457" w:type="pct"/>
                  <w:vAlign w:val="center"/>
                </w:tcPr>
                <w:p w14:paraId="25087FB2">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440" w:type="pct"/>
                  <w:vAlign w:val="center"/>
                </w:tcPr>
                <w:p w14:paraId="418B40BD">
                  <w:pPr>
                    <w:keepNext/>
                    <w:keepLines w:val="0"/>
                    <w:pageBreakBefore w:val="0"/>
                    <w:kinsoku/>
                    <w:wordWrap/>
                    <w:overflowPunct/>
                    <w:topLinePunct w:val="0"/>
                    <w:autoSpaceDE w:val="0"/>
                    <w:autoSpaceDN w:val="0"/>
                    <w:bidi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3.49</w:t>
                  </w:r>
                </w:p>
              </w:tc>
            </w:tr>
            <w:tr w14:paraId="5422AE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645" w:type="pct"/>
                  <w:vMerge w:val="continue"/>
                  <w:vAlign w:val="center"/>
                </w:tcPr>
                <w:p w14:paraId="160C994C">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Times New Roman" w:cs="Times New Roman"/>
                      <w:color w:val="auto"/>
                      <w:sz w:val="21"/>
                      <w:szCs w:val="21"/>
                    </w:rPr>
                  </w:pPr>
                </w:p>
              </w:tc>
              <w:tc>
                <w:tcPr>
                  <w:tcW w:w="1456" w:type="pct"/>
                  <w:vAlign w:val="center"/>
                </w:tcPr>
                <w:p w14:paraId="13463941">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废机油</w:t>
                  </w:r>
                </w:p>
              </w:tc>
              <w:tc>
                <w:tcPr>
                  <w:tcW w:w="1457" w:type="pct"/>
                  <w:vAlign w:val="center"/>
                </w:tcPr>
                <w:p w14:paraId="19748508">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t/a</w:t>
                  </w:r>
                </w:p>
              </w:tc>
              <w:tc>
                <w:tcPr>
                  <w:tcW w:w="1440" w:type="pct"/>
                  <w:vAlign w:val="center"/>
                </w:tcPr>
                <w:p w14:paraId="39F17094">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w:t>
                  </w:r>
                </w:p>
              </w:tc>
            </w:tr>
            <w:tr w14:paraId="7D5BB0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645" w:type="pct"/>
                  <w:vMerge w:val="continue"/>
                  <w:vAlign w:val="center"/>
                </w:tcPr>
                <w:p w14:paraId="5E9CB6D0">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Times New Roman" w:cs="Times New Roman"/>
                      <w:color w:val="auto"/>
                      <w:sz w:val="21"/>
                      <w:szCs w:val="21"/>
                    </w:rPr>
                  </w:pPr>
                </w:p>
              </w:tc>
              <w:tc>
                <w:tcPr>
                  <w:tcW w:w="1456" w:type="pct"/>
                  <w:vAlign w:val="center"/>
                </w:tcPr>
                <w:p w14:paraId="7C6D3872">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废油桶</w:t>
                  </w:r>
                </w:p>
              </w:tc>
              <w:tc>
                <w:tcPr>
                  <w:tcW w:w="1457" w:type="pct"/>
                  <w:vAlign w:val="center"/>
                </w:tcPr>
                <w:p w14:paraId="62E3F65D">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440" w:type="pct"/>
                  <w:vAlign w:val="center"/>
                </w:tcPr>
                <w:p w14:paraId="3AFDE79D">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0.11</w:t>
                  </w:r>
                </w:p>
              </w:tc>
            </w:tr>
            <w:tr w14:paraId="1D58E5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645" w:type="pct"/>
                  <w:vMerge w:val="continue"/>
                  <w:vAlign w:val="center"/>
                </w:tcPr>
                <w:p w14:paraId="3C44DEB5">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Times New Roman" w:cs="Times New Roman"/>
                      <w:color w:val="auto"/>
                      <w:sz w:val="21"/>
                      <w:szCs w:val="21"/>
                    </w:rPr>
                  </w:pPr>
                </w:p>
              </w:tc>
              <w:tc>
                <w:tcPr>
                  <w:tcW w:w="1456" w:type="pct"/>
                  <w:vAlign w:val="center"/>
                </w:tcPr>
                <w:p w14:paraId="2A97FC5E">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废油抹布</w:t>
                  </w:r>
                </w:p>
              </w:tc>
              <w:tc>
                <w:tcPr>
                  <w:tcW w:w="1457" w:type="pct"/>
                  <w:vAlign w:val="center"/>
                </w:tcPr>
                <w:p w14:paraId="19EECD0E">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t/a</w:t>
                  </w:r>
                </w:p>
              </w:tc>
              <w:tc>
                <w:tcPr>
                  <w:tcW w:w="1440" w:type="pct"/>
                  <w:vAlign w:val="center"/>
                </w:tcPr>
                <w:p w14:paraId="6FC325D0">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w:t>
                  </w:r>
                </w:p>
              </w:tc>
            </w:tr>
            <w:tr w14:paraId="07B1CE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645" w:type="pct"/>
                  <w:vMerge w:val="continue"/>
                  <w:vAlign w:val="center"/>
                </w:tcPr>
                <w:p w14:paraId="34C8E079">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eastAsia="zh-CN"/>
                    </w:rPr>
                  </w:pPr>
                </w:p>
              </w:tc>
              <w:tc>
                <w:tcPr>
                  <w:tcW w:w="1456" w:type="pct"/>
                  <w:vAlign w:val="center"/>
                </w:tcPr>
                <w:p w14:paraId="73FC6990">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滤渣、废滤网</w:t>
                  </w:r>
                </w:p>
              </w:tc>
              <w:tc>
                <w:tcPr>
                  <w:tcW w:w="1457" w:type="pct"/>
                  <w:vAlign w:val="center"/>
                </w:tcPr>
                <w:p w14:paraId="3881DBE6">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t/a</w:t>
                  </w:r>
                </w:p>
              </w:tc>
              <w:tc>
                <w:tcPr>
                  <w:tcW w:w="1440" w:type="pct"/>
                  <w:vAlign w:val="center"/>
                </w:tcPr>
                <w:p w14:paraId="06321A0F">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0.12</w:t>
                  </w:r>
                </w:p>
              </w:tc>
            </w:tr>
            <w:tr w14:paraId="5BA584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645" w:type="pct"/>
                  <w:vMerge w:val="continue"/>
                  <w:vAlign w:val="center"/>
                </w:tcPr>
                <w:p w14:paraId="14891030">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eastAsia="zh-CN"/>
                    </w:rPr>
                  </w:pPr>
                </w:p>
              </w:tc>
              <w:tc>
                <w:tcPr>
                  <w:tcW w:w="1456" w:type="pct"/>
                  <w:vAlign w:val="center"/>
                </w:tcPr>
                <w:p w14:paraId="153E0B49">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隔油沉淀池污泥</w:t>
                  </w:r>
                </w:p>
              </w:tc>
              <w:tc>
                <w:tcPr>
                  <w:tcW w:w="1457" w:type="pct"/>
                  <w:vAlign w:val="center"/>
                </w:tcPr>
                <w:p w14:paraId="717F122D">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440" w:type="pct"/>
                  <w:vAlign w:val="center"/>
                </w:tcPr>
                <w:p w14:paraId="2E5942AA">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p>
              </w:tc>
            </w:tr>
            <w:tr w14:paraId="314E90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645" w:type="pct"/>
                  <w:vMerge w:val="continue"/>
                  <w:vAlign w:val="center"/>
                </w:tcPr>
                <w:p w14:paraId="7EB90E44">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eastAsia="zh-CN"/>
                    </w:rPr>
                  </w:pPr>
                </w:p>
              </w:tc>
              <w:tc>
                <w:tcPr>
                  <w:tcW w:w="1456" w:type="pct"/>
                  <w:vAlign w:val="center"/>
                </w:tcPr>
                <w:p w14:paraId="5078FD87">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不合格品</w:t>
                  </w:r>
                </w:p>
              </w:tc>
              <w:tc>
                <w:tcPr>
                  <w:tcW w:w="1457" w:type="pct"/>
                  <w:vAlign w:val="center"/>
                </w:tcPr>
                <w:p w14:paraId="386419B4">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440" w:type="pct"/>
                  <w:vAlign w:val="center"/>
                </w:tcPr>
                <w:p w14:paraId="70D96FA1">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9.3</w:t>
                  </w:r>
                </w:p>
              </w:tc>
            </w:tr>
            <w:tr w14:paraId="476EB9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645" w:type="pct"/>
                  <w:vMerge w:val="continue"/>
                  <w:vAlign w:val="center"/>
                </w:tcPr>
                <w:p w14:paraId="686E2F08">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eastAsia="zh-CN"/>
                    </w:rPr>
                  </w:pPr>
                </w:p>
              </w:tc>
              <w:tc>
                <w:tcPr>
                  <w:tcW w:w="1456" w:type="pct"/>
                  <w:vAlign w:val="center"/>
                </w:tcPr>
                <w:p w14:paraId="4E135F2E">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废炸药包装</w:t>
                  </w:r>
                </w:p>
              </w:tc>
              <w:tc>
                <w:tcPr>
                  <w:tcW w:w="1457" w:type="pct"/>
                  <w:vAlign w:val="center"/>
                </w:tcPr>
                <w:p w14:paraId="3B0B002F">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440" w:type="pct"/>
                  <w:vAlign w:val="center"/>
                </w:tcPr>
                <w:p w14:paraId="231056B3">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0.05</w:t>
                  </w:r>
                </w:p>
              </w:tc>
            </w:tr>
            <w:tr w14:paraId="520014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645" w:type="pct"/>
                  <w:vMerge w:val="continue"/>
                  <w:vAlign w:val="center"/>
                </w:tcPr>
                <w:p w14:paraId="30BF0D73">
                  <w:pPr>
                    <w:keepNext/>
                    <w:keepLines w:val="0"/>
                    <w:pageBreakBefore w:val="0"/>
                    <w:kinsoku/>
                    <w:wordWrap/>
                    <w:overflowPunct/>
                    <w:topLinePunct w:val="0"/>
                    <w:autoSpaceDE w:val="0"/>
                    <w:autoSpaceDN w:val="0"/>
                    <w:bidi w:val="0"/>
                    <w:spacing w:line="240" w:lineRule="auto"/>
                    <w:ind w:left="0"/>
                    <w:jc w:val="center"/>
                    <w:outlineLvl w:val="9"/>
                    <w:rPr>
                      <w:rFonts w:hint="default" w:ascii="Times New Roman" w:hAnsi="Times New Roman" w:eastAsia="宋体" w:cs="Times New Roman"/>
                      <w:color w:val="auto"/>
                      <w:sz w:val="21"/>
                      <w:szCs w:val="21"/>
                      <w:lang w:eastAsia="zh-CN"/>
                    </w:rPr>
                  </w:pPr>
                </w:p>
              </w:tc>
              <w:tc>
                <w:tcPr>
                  <w:tcW w:w="1456" w:type="pct"/>
                  <w:vAlign w:val="center"/>
                </w:tcPr>
                <w:p w14:paraId="51867E1F">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生活垃圾</w:t>
                  </w:r>
                </w:p>
              </w:tc>
              <w:tc>
                <w:tcPr>
                  <w:tcW w:w="1457" w:type="pct"/>
                  <w:vAlign w:val="center"/>
                </w:tcPr>
                <w:p w14:paraId="517C7D14">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t/a</w:t>
                  </w:r>
                </w:p>
              </w:tc>
              <w:tc>
                <w:tcPr>
                  <w:tcW w:w="1440" w:type="pct"/>
                  <w:vAlign w:val="center"/>
                </w:tcPr>
                <w:p w14:paraId="33E8A820">
                  <w:pPr>
                    <w:keepNext/>
                    <w:keepLines w:val="0"/>
                    <w:pageBreakBefore w:val="0"/>
                    <w:kinsoku/>
                    <w:wordWrap/>
                    <w:overflowPunct/>
                    <w:topLinePunct w:val="0"/>
                    <w:autoSpaceDE w:val="0"/>
                    <w:autoSpaceDN w:val="0"/>
                    <w:bidi w:val="0"/>
                    <w:spacing w:line="240" w:lineRule="auto"/>
                    <w:ind w:left="0" w:right="0" w:firstLine="0"/>
                    <w:jc w:val="center"/>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23.4</w:t>
                  </w:r>
                </w:p>
              </w:tc>
            </w:tr>
          </w:tbl>
          <w:p w14:paraId="2704DDFB">
            <w:pPr>
              <w:keepNext/>
              <w:keepLines w:val="0"/>
              <w:pageBreakBefore w:val="0"/>
              <w:widowControl/>
              <w:kinsoku/>
              <w:wordWrap/>
              <w:overflowPunct/>
              <w:topLinePunct w:val="0"/>
              <w:bidi w:val="0"/>
              <w:spacing w:line="360" w:lineRule="auto"/>
              <w:jc w:val="left"/>
              <w:outlineLvl w:val="9"/>
              <w:rPr>
                <w:color w:val="auto"/>
              </w:rPr>
            </w:pPr>
            <w:r>
              <w:rPr>
                <w:rFonts w:hint="eastAsia"/>
                <w:b/>
                <w:bCs/>
                <w:color w:val="auto"/>
                <w:kern w:val="0"/>
                <w:sz w:val="24"/>
                <w:lang w:bidi="ar"/>
              </w:rPr>
              <w:t>5</w:t>
            </w:r>
            <w:r>
              <w:rPr>
                <w:b/>
                <w:bCs/>
                <w:color w:val="auto"/>
                <w:kern w:val="0"/>
                <w:sz w:val="24"/>
                <w:lang w:bidi="ar"/>
              </w:rPr>
              <w:t xml:space="preserve">、现有项目环保问题及整改措施 </w:t>
            </w:r>
          </w:p>
          <w:p w14:paraId="6F9F2367">
            <w:pPr>
              <w:keepNext/>
              <w:keepLines w:val="0"/>
              <w:pageBreakBefore w:val="0"/>
              <w:numPr>
                <w:ilvl w:val="0"/>
                <w:numId w:val="0"/>
              </w:numPr>
              <w:kinsoku/>
              <w:wordWrap/>
              <w:overflowPunct/>
              <w:topLinePunct w:val="0"/>
              <w:bidi w:val="0"/>
              <w:spacing w:line="360" w:lineRule="auto"/>
              <w:ind w:firstLine="444" w:firstLineChars="200"/>
              <w:outlineLvl w:val="9"/>
              <w:rPr>
                <w:rFonts w:hint="default" w:cs="Times New Roman"/>
                <w:color w:val="auto"/>
                <w:spacing w:val="6"/>
                <w:lang w:val="en-US" w:eastAsia="zh-CN"/>
              </w:rPr>
            </w:pPr>
            <w:r>
              <w:rPr>
                <w:rFonts w:hint="eastAsia" w:cs="Times New Roman"/>
                <w:color w:val="auto"/>
                <w:spacing w:val="6"/>
                <w:lang w:val="en-US" w:eastAsia="zh-CN"/>
              </w:rPr>
              <w:t>本项目原有工程环保手续完善，按要求落实例行监测等管理要求，无遗留环保问题。</w:t>
            </w:r>
          </w:p>
        </w:tc>
      </w:tr>
    </w:tbl>
    <w:p w14:paraId="577669B1">
      <w:pPr>
        <w:pStyle w:val="29"/>
        <w:outlineLvl w:val="9"/>
        <w:rPr>
          <w:rFonts w:hint="eastAsia" w:ascii="黑体" w:hAnsi="黑体" w:eastAsia="黑体"/>
          <w:snapToGrid w:val="0"/>
          <w:color w:val="auto"/>
          <w:sz w:val="36"/>
          <w:szCs w:val="36"/>
        </w:rPr>
        <w:sectPr>
          <w:pgSz w:w="11906"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p>
    <w:p w14:paraId="494DFF1A">
      <w:pPr>
        <w:pStyle w:val="2"/>
        <w:rPr>
          <w:color w:val="auto"/>
        </w:rPr>
      </w:pPr>
      <w:bookmarkStart w:id="71" w:name="_Toc26233"/>
      <w:bookmarkStart w:id="72" w:name="_Toc26"/>
      <w:bookmarkStart w:id="73" w:name="_Toc20042"/>
      <w:r>
        <w:rPr>
          <w:rFonts w:hint="eastAsia"/>
          <w:color w:val="auto"/>
        </w:rPr>
        <w:t>三、区域环境质量现状、环境保护目标及评价标准</w:t>
      </w:r>
      <w:bookmarkEnd w:id="71"/>
      <w:bookmarkEnd w:id="72"/>
      <w:bookmarkEnd w:id="73"/>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6"/>
        <w:gridCol w:w="8583"/>
      </w:tblGrid>
      <w:tr w14:paraId="22AD46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dxa"/>
            <w:vAlign w:val="center"/>
          </w:tcPr>
          <w:p w14:paraId="27AA8C95">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区域</w:t>
            </w:r>
          </w:p>
          <w:p w14:paraId="2E5BCF0E">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环境</w:t>
            </w:r>
          </w:p>
          <w:p w14:paraId="3B0C4F79">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质量</w:t>
            </w:r>
          </w:p>
          <w:p w14:paraId="5CA5981A">
            <w:pPr>
              <w:adjustRightInd w:val="0"/>
              <w:snapToGrid w:val="0"/>
              <w:jc w:val="center"/>
              <w:outlineLvl w:val="9"/>
              <w:rPr>
                <w:rFonts w:hint="eastAsia" w:ascii="宋体" w:hAnsi="宋体" w:cs="宋体"/>
                <w:color w:val="auto"/>
                <w:kern w:val="0"/>
                <w:szCs w:val="21"/>
              </w:rPr>
            </w:pPr>
            <w:r>
              <w:rPr>
                <w:rFonts w:hint="eastAsia" w:ascii="宋体" w:hAnsi="宋体" w:cs="宋体"/>
                <w:color w:val="auto"/>
                <w:kern w:val="0"/>
                <w:sz w:val="24"/>
              </w:rPr>
              <w:t>现状</w:t>
            </w:r>
          </w:p>
        </w:tc>
        <w:tc>
          <w:tcPr>
            <w:tcW w:w="8583" w:type="dxa"/>
            <w:vAlign w:val="center"/>
          </w:tcPr>
          <w:p w14:paraId="6FA06CC0">
            <w:pPr>
              <w:adjustRightInd w:val="0"/>
              <w:snapToGrid w:val="0"/>
              <w:spacing w:line="360" w:lineRule="auto"/>
              <w:ind w:firstLine="482" w:firstLineChars="200"/>
              <w:outlineLvl w:val="9"/>
              <w:rPr>
                <w:b/>
                <w:bCs/>
                <w:color w:val="auto"/>
                <w:sz w:val="24"/>
              </w:rPr>
            </w:pPr>
            <w:r>
              <w:rPr>
                <w:b/>
                <w:bCs/>
                <w:color w:val="auto"/>
                <w:sz w:val="24"/>
              </w:rPr>
              <w:t>1</w:t>
            </w:r>
            <w:r>
              <w:rPr>
                <w:rFonts w:hint="eastAsia"/>
                <w:b/>
                <w:bCs/>
                <w:color w:val="auto"/>
                <w:sz w:val="24"/>
              </w:rPr>
              <w:t>、</w:t>
            </w:r>
            <w:r>
              <w:rPr>
                <w:b/>
                <w:bCs/>
                <w:color w:val="auto"/>
                <w:sz w:val="24"/>
              </w:rPr>
              <w:t>环境空气质量现状</w:t>
            </w:r>
          </w:p>
          <w:p w14:paraId="28686C31">
            <w:pPr>
              <w:adjustRightInd w:val="0"/>
              <w:snapToGrid w:val="0"/>
              <w:spacing w:line="360" w:lineRule="auto"/>
              <w:ind w:firstLine="482" w:firstLineChars="200"/>
              <w:outlineLvl w:val="9"/>
              <w:rPr>
                <w:b/>
                <w:bCs/>
                <w:color w:val="auto"/>
                <w:sz w:val="24"/>
              </w:rPr>
            </w:pPr>
            <w:r>
              <w:rPr>
                <w:b/>
                <w:bCs/>
                <w:color w:val="auto"/>
                <w:sz w:val="24"/>
              </w:rPr>
              <w:t>1.1基本污染物</w:t>
            </w:r>
          </w:p>
          <w:p w14:paraId="51053A55">
            <w:pPr>
              <w:widowControl/>
              <w:adjustRightInd w:val="0"/>
              <w:snapToGrid w:val="0"/>
              <w:spacing w:line="360" w:lineRule="auto"/>
              <w:ind w:firstLine="480" w:firstLineChars="200"/>
              <w:outlineLvl w:val="9"/>
              <w:rPr>
                <w:color w:val="auto"/>
                <w:sz w:val="24"/>
              </w:rPr>
            </w:pPr>
            <w:r>
              <w:rPr>
                <w:color w:val="auto"/>
                <w:sz w:val="24"/>
              </w:rPr>
              <w:t>根</w:t>
            </w:r>
            <w:r>
              <w:rPr>
                <w:color w:val="auto"/>
                <w:kern w:val="0"/>
                <w:sz w:val="24"/>
                <w:lang w:bidi="ar"/>
              </w:rPr>
              <w:t>据《建设项目环境影响报告表编制技术指南》（污染影响类）可知：“常规污染物引用与建设项目距离近的有效数据，包括近3年的规划环境影响评价的监测数据，国家、地方环境空气质量监测网数据或生态环境主管部门公开发布的质量数据等”。结合《环境影响评价技术导则 大气环境》（HJ2.2-2018）要求：“用于区域环境质量达标情况评价的污染物为基本污染物，基本污染物为SO</w:t>
            </w:r>
            <w:r>
              <w:rPr>
                <w:color w:val="auto"/>
                <w:kern w:val="0"/>
                <w:sz w:val="24"/>
                <w:vertAlign w:val="subscript"/>
                <w:lang w:bidi="ar"/>
              </w:rPr>
              <w:t>2</w:t>
            </w:r>
            <w:r>
              <w:rPr>
                <w:color w:val="auto"/>
                <w:kern w:val="0"/>
                <w:sz w:val="24"/>
                <w:lang w:bidi="ar"/>
              </w:rPr>
              <w:t>、NO</w:t>
            </w:r>
            <w:r>
              <w:rPr>
                <w:color w:val="auto"/>
                <w:kern w:val="0"/>
                <w:sz w:val="24"/>
                <w:vertAlign w:val="subscript"/>
                <w:lang w:bidi="ar"/>
              </w:rPr>
              <w:t>2</w:t>
            </w:r>
            <w:r>
              <w:rPr>
                <w:color w:val="auto"/>
                <w:kern w:val="0"/>
                <w:sz w:val="24"/>
                <w:lang w:bidi="ar"/>
              </w:rPr>
              <w:t>、PM</w:t>
            </w:r>
            <w:r>
              <w:rPr>
                <w:color w:val="auto"/>
                <w:kern w:val="0"/>
                <w:sz w:val="24"/>
                <w:vertAlign w:val="subscript"/>
                <w:lang w:bidi="ar"/>
              </w:rPr>
              <w:t>10</w:t>
            </w:r>
            <w:r>
              <w:rPr>
                <w:color w:val="auto"/>
                <w:kern w:val="0"/>
                <w:sz w:val="24"/>
                <w:lang w:bidi="ar"/>
              </w:rPr>
              <w:t>、PM</w:t>
            </w:r>
            <w:r>
              <w:rPr>
                <w:color w:val="auto"/>
                <w:kern w:val="0"/>
                <w:sz w:val="24"/>
                <w:vertAlign w:val="subscript"/>
                <w:lang w:bidi="ar"/>
              </w:rPr>
              <w:t>2.5</w:t>
            </w:r>
            <w:r>
              <w:rPr>
                <w:color w:val="auto"/>
                <w:kern w:val="0"/>
                <w:sz w:val="24"/>
                <w:lang w:bidi="ar"/>
              </w:rPr>
              <w:t>、CO、O</w:t>
            </w:r>
            <w:r>
              <w:rPr>
                <w:color w:val="auto"/>
                <w:kern w:val="0"/>
                <w:sz w:val="24"/>
                <w:vertAlign w:val="subscript"/>
                <w:lang w:bidi="ar"/>
              </w:rPr>
              <w:t>3</w:t>
            </w:r>
            <w:r>
              <w:rPr>
                <w:color w:val="auto"/>
                <w:kern w:val="0"/>
                <w:sz w:val="24"/>
                <w:lang w:bidi="ar"/>
              </w:rPr>
              <w:t>，优先采用国家或地方生态环境主管部门公开发布的评价基准年环境质量公告或环境质量报告中的数据或结论”。本项目环境空气质量现状评价</w:t>
            </w:r>
            <w:r>
              <w:rPr>
                <w:color w:val="auto"/>
                <w:sz w:val="24"/>
                <w:szCs w:val="21"/>
              </w:rPr>
              <w:t>优先采用</w:t>
            </w:r>
            <w:r>
              <w:rPr>
                <w:color w:val="auto"/>
                <w:sz w:val="24"/>
                <w:highlight w:val="none"/>
              </w:rPr>
              <w:t>《</w:t>
            </w:r>
            <w:r>
              <w:rPr>
                <w:rFonts w:hint="eastAsia"/>
                <w:color w:val="auto"/>
                <w:sz w:val="24"/>
                <w:highlight w:val="none"/>
                <w:lang w:val="en-US" w:eastAsia="zh-CN"/>
              </w:rPr>
              <w:t>朝阳市生态环境质量公报（2024年）</w:t>
            </w:r>
            <w:r>
              <w:rPr>
                <w:color w:val="auto"/>
                <w:sz w:val="24"/>
                <w:highlight w:val="none"/>
              </w:rPr>
              <w:t>》</w:t>
            </w:r>
            <w:r>
              <w:rPr>
                <w:color w:val="auto"/>
                <w:sz w:val="24"/>
                <w:szCs w:val="21"/>
              </w:rPr>
              <w:t>中</w:t>
            </w:r>
            <w:r>
              <w:rPr>
                <w:rFonts w:hint="default" w:ascii="Times New Roman" w:hAnsi="Times New Roman" w:eastAsia="宋体" w:cs="Times New Roman"/>
                <w:color w:val="auto"/>
                <w:sz w:val="24"/>
                <w:szCs w:val="21"/>
                <w:highlight w:val="none"/>
                <w:lang w:val="en-US" w:eastAsia="zh-CN"/>
              </w:rPr>
              <w:t>环境空气质量数据进行评价</w:t>
            </w:r>
            <w:r>
              <w:rPr>
                <w:color w:val="auto"/>
                <w:kern w:val="0"/>
                <w:sz w:val="24"/>
                <w:lang w:bidi="ar"/>
              </w:rPr>
              <w:t>，区域空气质量现状数据见表3-1。</w:t>
            </w:r>
          </w:p>
          <w:p w14:paraId="1E7F14DA">
            <w:pPr>
              <w:jc w:val="center"/>
              <w:outlineLvl w:val="9"/>
              <w:rPr>
                <w:rFonts w:hint="eastAsia" w:ascii="宋体" w:hAnsi="宋体" w:eastAsia="宋体" w:cs="宋体"/>
                <w:b/>
                <w:color w:val="auto"/>
                <w:sz w:val="21"/>
                <w:szCs w:val="21"/>
                <w:lang w:eastAsia="zh-CN" w:bidi="ar"/>
              </w:rPr>
            </w:pPr>
            <w:r>
              <w:rPr>
                <w:b/>
                <w:bCs/>
                <w:color w:val="auto"/>
                <w:sz w:val="21"/>
                <w:szCs w:val="21"/>
              </w:rPr>
              <w:t xml:space="preserve">表3-1 </w:t>
            </w:r>
            <w:r>
              <w:rPr>
                <w:rFonts w:hint="default" w:ascii="Times New Roman" w:hAnsi="Times New Roman" w:eastAsia="宋体" w:cs="Times New Roman"/>
                <w:b/>
                <w:bCs/>
                <w:color w:val="auto"/>
                <w:sz w:val="21"/>
                <w:szCs w:val="21"/>
                <w:highlight w:val="none"/>
              </w:rPr>
              <w:t>区域环境空气质量现状评价表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1218"/>
              <w:gridCol w:w="1719"/>
              <w:gridCol w:w="1697"/>
              <w:gridCol w:w="1520"/>
              <w:gridCol w:w="1187"/>
              <w:gridCol w:w="1013"/>
            </w:tblGrid>
            <w:tr w14:paraId="67912B8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729" w:type="pct"/>
                  <w:tcBorders>
                    <w:tl2br w:val="nil"/>
                    <w:tr2bl w:val="nil"/>
                  </w:tcBorders>
                  <w:vAlign w:val="center"/>
                </w:tcPr>
                <w:p w14:paraId="1EA6F0B2">
                  <w:pPr>
                    <w:spacing w:line="300" w:lineRule="exact"/>
                    <w:jc w:val="center"/>
                    <w:outlineLvl w:val="9"/>
                    <w:rPr>
                      <w:b/>
                      <w:color w:val="auto"/>
                      <w:kern w:val="0"/>
                      <w:szCs w:val="21"/>
                    </w:rPr>
                  </w:pPr>
                  <w:r>
                    <w:rPr>
                      <w:b/>
                      <w:color w:val="auto"/>
                      <w:kern w:val="0"/>
                      <w:szCs w:val="21"/>
                    </w:rPr>
                    <w:t>污染物名称</w:t>
                  </w:r>
                </w:p>
              </w:tc>
              <w:tc>
                <w:tcPr>
                  <w:tcW w:w="1028" w:type="pct"/>
                  <w:tcBorders>
                    <w:tl2br w:val="nil"/>
                    <w:tr2bl w:val="nil"/>
                  </w:tcBorders>
                  <w:vAlign w:val="center"/>
                </w:tcPr>
                <w:p w14:paraId="3F404489">
                  <w:pPr>
                    <w:spacing w:line="300" w:lineRule="exact"/>
                    <w:jc w:val="center"/>
                    <w:outlineLvl w:val="9"/>
                    <w:rPr>
                      <w:b/>
                      <w:color w:val="auto"/>
                      <w:kern w:val="0"/>
                      <w:szCs w:val="21"/>
                    </w:rPr>
                  </w:pPr>
                  <w:r>
                    <w:rPr>
                      <w:b/>
                      <w:color w:val="auto"/>
                      <w:kern w:val="0"/>
                      <w:szCs w:val="21"/>
                    </w:rPr>
                    <w:t>年评价指标</w:t>
                  </w:r>
                </w:p>
              </w:tc>
              <w:tc>
                <w:tcPr>
                  <w:tcW w:w="1015" w:type="pct"/>
                  <w:tcBorders>
                    <w:tl2br w:val="nil"/>
                    <w:tr2bl w:val="nil"/>
                  </w:tcBorders>
                  <w:vAlign w:val="center"/>
                </w:tcPr>
                <w:p w14:paraId="30C5A9E2">
                  <w:pPr>
                    <w:spacing w:line="300" w:lineRule="exact"/>
                    <w:jc w:val="center"/>
                    <w:outlineLvl w:val="9"/>
                    <w:rPr>
                      <w:b/>
                      <w:color w:val="auto"/>
                      <w:kern w:val="0"/>
                      <w:szCs w:val="21"/>
                    </w:rPr>
                  </w:pPr>
                  <w:r>
                    <w:rPr>
                      <w:b/>
                      <w:color w:val="auto"/>
                      <w:kern w:val="0"/>
                      <w:szCs w:val="21"/>
                    </w:rPr>
                    <w:t>现状浓度（μg/m</w:t>
                  </w:r>
                  <w:r>
                    <w:rPr>
                      <w:b/>
                      <w:color w:val="auto"/>
                      <w:kern w:val="0"/>
                      <w:szCs w:val="21"/>
                      <w:vertAlign w:val="superscript"/>
                    </w:rPr>
                    <w:t>3</w:t>
                  </w:r>
                  <w:r>
                    <w:rPr>
                      <w:b/>
                      <w:color w:val="auto"/>
                      <w:kern w:val="0"/>
                      <w:szCs w:val="21"/>
                    </w:rPr>
                    <w:t>）</w:t>
                  </w:r>
                </w:p>
              </w:tc>
              <w:tc>
                <w:tcPr>
                  <w:tcW w:w="909" w:type="pct"/>
                  <w:tcBorders>
                    <w:tl2br w:val="nil"/>
                    <w:tr2bl w:val="nil"/>
                  </w:tcBorders>
                  <w:vAlign w:val="center"/>
                </w:tcPr>
                <w:p w14:paraId="76356553">
                  <w:pPr>
                    <w:spacing w:line="300" w:lineRule="exact"/>
                    <w:jc w:val="center"/>
                    <w:outlineLvl w:val="9"/>
                    <w:rPr>
                      <w:b/>
                      <w:color w:val="auto"/>
                      <w:kern w:val="0"/>
                      <w:szCs w:val="21"/>
                    </w:rPr>
                  </w:pPr>
                  <w:r>
                    <w:rPr>
                      <w:b/>
                      <w:color w:val="auto"/>
                      <w:kern w:val="0"/>
                      <w:szCs w:val="21"/>
                    </w:rPr>
                    <w:t>标准值（μg/m</w:t>
                  </w:r>
                  <w:r>
                    <w:rPr>
                      <w:b/>
                      <w:color w:val="auto"/>
                      <w:kern w:val="0"/>
                      <w:szCs w:val="21"/>
                      <w:vertAlign w:val="superscript"/>
                    </w:rPr>
                    <w:t>3</w:t>
                  </w:r>
                  <w:r>
                    <w:rPr>
                      <w:b/>
                      <w:color w:val="auto"/>
                      <w:kern w:val="0"/>
                      <w:szCs w:val="21"/>
                    </w:rPr>
                    <w:t>）</w:t>
                  </w:r>
                </w:p>
              </w:tc>
              <w:tc>
                <w:tcPr>
                  <w:tcW w:w="710" w:type="pct"/>
                  <w:tcBorders>
                    <w:tl2br w:val="nil"/>
                    <w:tr2bl w:val="nil"/>
                  </w:tcBorders>
                  <w:vAlign w:val="center"/>
                </w:tcPr>
                <w:p w14:paraId="16FDD3C2">
                  <w:pPr>
                    <w:spacing w:line="300" w:lineRule="exact"/>
                    <w:jc w:val="center"/>
                    <w:outlineLvl w:val="9"/>
                    <w:rPr>
                      <w:b/>
                      <w:color w:val="auto"/>
                      <w:kern w:val="0"/>
                      <w:szCs w:val="21"/>
                    </w:rPr>
                  </w:pPr>
                  <w:r>
                    <w:rPr>
                      <w:b/>
                      <w:color w:val="auto"/>
                      <w:kern w:val="0"/>
                      <w:szCs w:val="21"/>
                    </w:rPr>
                    <w:t>占标率（%）</w:t>
                  </w:r>
                </w:p>
              </w:tc>
              <w:tc>
                <w:tcPr>
                  <w:tcW w:w="606" w:type="pct"/>
                  <w:tcBorders>
                    <w:tl2br w:val="nil"/>
                    <w:tr2bl w:val="nil"/>
                  </w:tcBorders>
                  <w:vAlign w:val="center"/>
                </w:tcPr>
                <w:p w14:paraId="0F56036A">
                  <w:pPr>
                    <w:spacing w:line="300" w:lineRule="exact"/>
                    <w:jc w:val="center"/>
                    <w:outlineLvl w:val="9"/>
                    <w:rPr>
                      <w:b/>
                      <w:color w:val="auto"/>
                      <w:kern w:val="0"/>
                      <w:szCs w:val="21"/>
                    </w:rPr>
                  </w:pPr>
                  <w:r>
                    <w:rPr>
                      <w:b/>
                      <w:color w:val="auto"/>
                      <w:kern w:val="0"/>
                      <w:szCs w:val="21"/>
                    </w:rPr>
                    <w:t>达标情况</w:t>
                  </w:r>
                </w:p>
              </w:tc>
            </w:tr>
            <w:tr w14:paraId="05D6773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729" w:type="pct"/>
                  <w:tcBorders>
                    <w:tl2br w:val="nil"/>
                    <w:tr2bl w:val="nil"/>
                  </w:tcBorders>
                  <w:shd w:val="clear" w:color="auto" w:fill="auto"/>
                  <w:vAlign w:val="center"/>
                </w:tcPr>
                <w:p w14:paraId="5AA9B3BF">
                  <w:pPr>
                    <w:spacing w:line="300" w:lineRule="exact"/>
                    <w:jc w:val="center"/>
                    <w:outlineLvl w:val="9"/>
                    <w:rPr>
                      <w:rFonts w:ascii="Times New Roman" w:hAnsi="Times New Roman" w:eastAsia="宋体" w:cs="Times New Roman"/>
                      <w:bCs/>
                      <w:color w:val="auto"/>
                      <w:kern w:val="0"/>
                      <w:sz w:val="21"/>
                      <w:szCs w:val="21"/>
                      <w:lang w:val="en-US" w:eastAsia="zh-CN" w:bidi="ar-SA"/>
                    </w:rPr>
                  </w:pPr>
                  <w:r>
                    <w:rPr>
                      <w:bCs/>
                      <w:color w:val="auto"/>
                      <w:kern w:val="0"/>
                      <w:szCs w:val="21"/>
                    </w:rPr>
                    <w:t>PM</w:t>
                  </w:r>
                  <w:r>
                    <w:rPr>
                      <w:bCs/>
                      <w:color w:val="auto"/>
                      <w:kern w:val="0"/>
                      <w:szCs w:val="21"/>
                      <w:vertAlign w:val="subscript"/>
                    </w:rPr>
                    <w:t>10</w:t>
                  </w:r>
                </w:p>
              </w:tc>
              <w:tc>
                <w:tcPr>
                  <w:tcW w:w="1028" w:type="pct"/>
                  <w:tcBorders>
                    <w:tl2br w:val="nil"/>
                    <w:tr2bl w:val="nil"/>
                  </w:tcBorders>
                  <w:shd w:val="clear" w:color="auto" w:fill="auto"/>
                  <w:vAlign w:val="center"/>
                </w:tcPr>
                <w:p w14:paraId="6485405A">
                  <w:pPr>
                    <w:jc w:val="center"/>
                    <w:outlineLvl w:val="9"/>
                    <w:rPr>
                      <w:rFonts w:hint="default" w:ascii="Times New Roman" w:hAnsi="Times New Roman" w:eastAsia="宋体" w:cs="Times New Roman"/>
                      <w:bCs/>
                      <w:color w:val="auto"/>
                      <w:kern w:val="0"/>
                      <w:sz w:val="21"/>
                      <w:szCs w:val="21"/>
                      <w:lang w:val="en-US" w:eastAsia="zh-CN" w:bidi="ar-SA"/>
                    </w:rPr>
                  </w:pPr>
                  <w:r>
                    <w:rPr>
                      <w:rFonts w:hint="eastAsia" w:ascii="宋体" w:hAnsi="宋体" w:cs="宋体"/>
                      <w:color w:val="auto"/>
                      <w:lang w:val="en-US" w:eastAsia="zh-CN" w:bidi="ar"/>
                    </w:rPr>
                    <w:t>年平均质量浓度</w:t>
                  </w:r>
                </w:p>
              </w:tc>
              <w:tc>
                <w:tcPr>
                  <w:tcW w:w="1015" w:type="pct"/>
                  <w:tcBorders>
                    <w:tl2br w:val="nil"/>
                    <w:tr2bl w:val="nil"/>
                  </w:tcBorders>
                  <w:shd w:val="clear" w:color="auto" w:fill="auto"/>
                  <w:vAlign w:val="center"/>
                </w:tcPr>
                <w:p w14:paraId="5B05798F">
                  <w:pPr>
                    <w:spacing w:line="300" w:lineRule="exact"/>
                    <w:jc w:val="center"/>
                    <w:outlineLvl w:val="9"/>
                    <w:rPr>
                      <w:rFonts w:hint="default" w:ascii="Times New Roman" w:hAnsi="Times New Roman" w:eastAsia="宋体" w:cs="Times New Roman"/>
                      <w:bCs/>
                      <w:color w:val="auto"/>
                      <w:kern w:val="0"/>
                      <w:sz w:val="21"/>
                      <w:szCs w:val="21"/>
                      <w:lang w:val="en-US" w:eastAsia="zh-CN" w:bidi="ar-SA"/>
                    </w:rPr>
                  </w:pPr>
                  <w:r>
                    <w:rPr>
                      <w:rFonts w:hint="eastAsia"/>
                      <w:bCs/>
                      <w:color w:val="auto"/>
                      <w:kern w:val="0"/>
                      <w:szCs w:val="21"/>
                      <w:lang w:val="en-US" w:eastAsia="zh-CN"/>
                    </w:rPr>
                    <w:t>50</w:t>
                  </w:r>
                </w:p>
              </w:tc>
              <w:tc>
                <w:tcPr>
                  <w:tcW w:w="909" w:type="pct"/>
                  <w:tcBorders>
                    <w:tl2br w:val="nil"/>
                    <w:tr2bl w:val="nil"/>
                  </w:tcBorders>
                  <w:shd w:val="clear" w:color="auto" w:fill="auto"/>
                  <w:vAlign w:val="center"/>
                </w:tcPr>
                <w:p w14:paraId="3C28BE7B">
                  <w:pPr>
                    <w:spacing w:line="300" w:lineRule="exact"/>
                    <w:jc w:val="center"/>
                    <w:outlineLvl w:val="9"/>
                    <w:rPr>
                      <w:rFonts w:ascii="Times New Roman" w:hAnsi="Times New Roman" w:eastAsia="宋体" w:cs="Times New Roman"/>
                      <w:bCs/>
                      <w:color w:val="auto"/>
                      <w:kern w:val="0"/>
                      <w:sz w:val="21"/>
                      <w:szCs w:val="21"/>
                      <w:lang w:val="en-US" w:eastAsia="zh-CN" w:bidi="ar-SA"/>
                    </w:rPr>
                  </w:pPr>
                  <w:r>
                    <w:rPr>
                      <w:rFonts w:hint="eastAsia"/>
                      <w:bCs/>
                      <w:color w:val="auto"/>
                      <w:kern w:val="0"/>
                      <w:szCs w:val="21"/>
                      <w:lang w:val="en-US" w:eastAsia="zh-CN"/>
                    </w:rPr>
                    <w:t>6</w:t>
                  </w:r>
                  <w:r>
                    <w:rPr>
                      <w:bCs/>
                      <w:color w:val="auto"/>
                      <w:kern w:val="0"/>
                      <w:szCs w:val="21"/>
                    </w:rPr>
                    <w:t>0</w:t>
                  </w:r>
                </w:p>
              </w:tc>
              <w:tc>
                <w:tcPr>
                  <w:tcW w:w="710" w:type="pct"/>
                  <w:tcBorders>
                    <w:tl2br w:val="nil"/>
                    <w:tr2bl w:val="nil"/>
                  </w:tcBorders>
                  <w:shd w:val="clear" w:color="auto" w:fill="auto"/>
                  <w:vAlign w:val="center"/>
                </w:tcPr>
                <w:p w14:paraId="0C7A28D9">
                  <w:pPr>
                    <w:spacing w:line="300" w:lineRule="exact"/>
                    <w:jc w:val="center"/>
                    <w:outlineLvl w:val="9"/>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83.3</w:t>
                  </w:r>
                </w:p>
              </w:tc>
              <w:tc>
                <w:tcPr>
                  <w:tcW w:w="606" w:type="pct"/>
                  <w:tcBorders>
                    <w:tl2br w:val="nil"/>
                    <w:tr2bl w:val="nil"/>
                  </w:tcBorders>
                  <w:shd w:val="clear" w:color="auto" w:fill="auto"/>
                  <w:vAlign w:val="center"/>
                </w:tcPr>
                <w:p w14:paraId="54B23C55">
                  <w:pPr>
                    <w:spacing w:line="300" w:lineRule="exact"/>
                    <w:jc w:val="center"/>
                    <w:outlineLvl w:val="9"/>
                    <w:rPr>
                      <w:rFonts w:ascii="Times New Roman" w:hAnsi="Times New Roman" w:eastAsia="宋体" w:cs="Times New Roman"/>
                      <w:bCs/>
                      <w:color w:val="auto"/>
                      <w:kern w:val="0"/>
                      <w:sz w:val="21"/>
                      <w:szCs w:val="21"/>
                      <w:lang w:val="en-US" w:eastAsia="zh-CN" w:bidi="ar-SA"/>
                    </w:rPr>
                  </w:pPr>
                  <w:r>
                    <w:rPr>
                      <w:bCs/>
                      <w:color w:val="auto"/>
                      <w:kern w:val="0"/>
                      <w:szCs w:val="21"/>
                    </w:rPr>
                    <w:t>达标</w:t>
                  </w:r>
                </w:p>
              </w:tc>
            </w:tr>
            <w:tr w14:paraId="61B9A4B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729" w:type="pct"/>
                  <w:tcBorders>
                    <w:tl2br w:val="nil"/>
                    <w:tr2bl w:val="nil"/>
                  </w:tcBorders>
                  <w:shd w:val="clear" w:color="auto" w:fill="auto"/>
                  <w:vAlign w:val="center"/>
                </w:tcPr>
                <w:p w14:paraId="526CD173">
                  <w:pPr>
                    <w:spacing w:line="300" w:lineRule="exact"/>
                    <w:jc w:val="center"/>
                    <w:outlineLvl w:val="9"/>
                    <w:rPr>
                      <w:rFonts w:ascii="Times New Roman" w:hAnsi="Times New Roman" w:eastAsia="宋体" w:cs="Times New Roman"/>
                      <w:bCs/>
                      <w:color w:val="auto"/>
                      <w:kern w:val="0"/>
                      <w:sz w:val="21"/>
                      <w:szCs w:val="21"/>
                      <w:lang w:val="en-US" w:eastAsia="zh-CN" w:bidi="ar-SA"/>
                    </w:rPr>
                  </w:pPr>
                  <w:r>
                    <w:rPr>
                      <w:bCs/>
                      <w:color w:val="auto"/>
                      <w:kern w:val="0"/>
                      <w:szCs w:val="21"/>
                    </w:rPr>
                    <w:t>PM</w:t>
                  </w:r>
                  <w:r>
                    <w:rPr>
                      <w:bCs/>
                      <w:color w:val="auto"/>
                      <w:kern w:val="0"/>
                      <w:szCs w:val="21"/>
                      <w:vertAlign w:val="subscript"/>
                    </w:rPr>
                    <w:t>2.5</w:t>
                  </w:r>
                </w:p>
              </w:tc>
              <w:tc>
                <w:tcPr>
                  <w:tcW w:w="1028" w:type="pct"/>
                  <w:tcBorders>
                    <w:tl2br w:val="nil"/>
                    <w:tr2bl w:val="nil"/>
                  </w:tcBorders>
                  <w:shd w:val="clear" w:color="auto" w:fill="auto"/>
                  <w:vAlign w:val="center"/>
                </w:tcPr>
                <w:p w14:paraId="5436DF80">
                  <w:pPr>
                    <w:jc w:val="center"/>
                    <w:outlineLvl w:val="9"/>
                    <w:rPr>
                      <w:rFonts w:hint="eastAsia" w:ascii="Times New Roman" w:hAnsi="Times New Roman" w:eastAsia="宋体" w:cs="Times New Roman"/>
                      <w:bCs/>
                      <w:color w:val="auto"/>
                      <w:kern w:val="0"/>
                      <w:sz w:val="21"/>
                      <w:szCs w:val="21"/>
                      <w:lang w:val="en-US" w:eastAsia="zh-CN" w:bidi="ar-SA"/>
                    </w:rPr>
                  </w:pPr>
                  <w:r>
                    <w:rPr>
                      <w:rFonts w:hint="eastAsia" w:ascii="宋体" w:hAnsi="宋体" w:cs="宋体"/>
                      <w:color w:val="auto"/>
                      <w:lang w:val="en-US" w:eastAsia="zh-CN" w:bidi="ar"/>
                    </w:rPr>
                    <w:t>年平均质量浓度</w:t>
                  </w:r>
                </w:p>
              </w:tc>
              <w:tc>
                <w:tcPr>
                  <w:tcW w:w="1015" w:type="pct"/>
                  <w:tcBorders>
                    <w:tl2br w:val="nil"/>
                    <w:tr2bl w:val="nil"/>
                  </w:tcBorders>
                  <w:shd w:val="clear" w:color="auto" w:fill="auto"/>
                  <w:vAlign w:val="center"/>
                </w:tcPr>
                <w:p w14:paraId="713D73C2">
                  <w:pPr>
                    <w:spacing w:line="300" w:lineRule="exact"/>
                    <w:jc w:val="center"/>
                    <w:outlineLvl w:val="9"/>
                    <w:rPr>
                      <w:rFonts w:hint="default" w:ascii="Times New Roman" w:hAnsi="Times New Roman" w:eastAsia="宋体" w:cs="Times New Roman"/>
                      <w:bCs/>
                      <w:color w:val="auto"/>
                      <w:kern w:val="0"/>
                      <w:sz w:val="21"/>
                      <w:szCs w:val="21"/>
                      <w:lang w:val="en-US" w:eastAsia="zh-CN" w:bidi="ar-SA"/>
                    </w:rPr>
                  </w:pPr>
                  <w:r>
                    <w:rPr>
                      <w:rFonts w:hint="eastAsia"/>
                      <w:bCs/>
                      <w:color w:val="auto"/>
                      <w:kern w:val="0"/>
                      <w:szCs w:val="21"/>
                      <w:lang w:val="en-US" w:eastAsia="zh-CN"/>
                    </w:rPr>
                    <w:t>28</w:t>
                  </w:r>
                </w:p>
              </w:tc>
              <w:tc>
                <w:tcPr>
                  <w:tcW w:w="909" w:type="pct"/>
                  <w:tcBorders>
                    <w:tl2br w:val="nil"/>
                    <w:tr2bl w:val="nil"/>
                  </w:tcBorders>
                  <w:shd w:val="clear" w:color="auto" w:fill="auto"/>
                  <w:vAlign w:val="center"/>
                </w:tcPr>
                <w:p w14:paraId="23515ADE">
                  <w:pPr>
                    <w:spacing w:line="300" w:lineRule="exact"/>
                    <w:jc w:val="center"/>
                    <w:outlineLvl w:val="9"/>
                    <w:rPr>
                      <w:rFonts w:hint="eastAsia" w:ascii="Times New Roman" w:hAnsi="Times New Roman" w:eastAsia="宋体" w:cs="Times New Roman"/>
                      <w:bCs/>
                      <w:color w:val="auto"/>
                      <w:kern w:val="0"/>
                      <w:sz w:val="21"/>
                      <w:szCs w:val="21"/>
                      <w:lang w:val="en-US" w:eastAsia="zh-CN" w:bidi="ar-SA"/>
                    </w:rPr>
                  </w:pPr>
                  <w:r>
                    <w:rPr>
                      <w:bCs/>
                      <w:color w:val="auto"/>
                      <w:kern w:val="0"/>
                      <w:szCs w:val="21"/>
                    </w:rPr>
                    <w:t>3</w:t>
                  </w:r>
                  <w:r>
                    <w:rPr>
                      <w:rFonts w:hint="eastAsia"/>
                      <w:bCs/>
                      <w:color w:val="auto"/>
                      <w:kern w:val="0"/>
                      <w:szCs w:val="21"/>
                      <w:lang w:val="en-US" w:eastAsia="zh-CN"/>
                    </w:rPr>
                    <w:t>0</w:t>
                  </w:r>
                </w:p>
              </w:tc>
              <w:tc>
                <w:tcPr>
                  <w:tcW w:w="710" w:type="pct"/>
                  <w:tcBorders>
                    <w:tl2br w:val="nil"/>
                    <w:tr2bl w:val="nil"/>
                  </w:tcBorders>
                  <w:shd w:val="clear" w:color="auto" w:fill="auto"/>
                  <w:vAlign w:val="center"/>
                </w:tcPr>
                <w:p w14:paraId="5B9E16AB">
                  <w:pPr>
                    <w:spacing w:line="300" w:lineRule="exact"/>
                    <w:jc w:val="center"/>
                    <w:outlineLvl w:val="9"/>
                    <w:rPr>
                      <w:rFonts w:hint="default" w:ascii="Times New Roman" w:hAnsi="Times New Roman" w:eastAsia="宋体" w:cs="Times New Roman"/>
                      <w:bCs/>
                      <w:color w:val="auto"/>
                      <w:kern w:val="0"/>
                      <w:sz w:val="21"/>
                      <w:szCs w:val="21"/>
                      <w:lang w:val="en-US" w:eastAsia="zh-CN" w:bidi="ar-SA"/>
                    </w:rPr>
                  </w:pPr>
                  <w:r>
                    <w:rPr>
                      <w:rFonts w:hint="eastAsia"/>
                      <w:bCs/>
                      <w:color w:val="auto"/>
                      <w:kern w:val="0"/>
                      <w:szCs w:val="21"/>
                      <w:lang w:val="en-US" w:eastAsia="zh-CN"/>
                    </w:rPr>
                    <w:t>93.3</w:t>
                  </w:r>
                </w:p>
              </w:tc>
              <w:tc>
                <w:tcPr>
                  <w:tcW w:w="606" w:type="pct"/>
                  <w:tcBorders>
                    <w:tl2br w:val="nil"/>
                    <w:tr2bl w:val="nil"/>
                  </w:tcBorders>
                  <w:shd w:val="clear" w:color="auto" w:fill="auto"/>
                  <w:vAlign w:val="center"/>
                </w:tcPr>
                <w:p w14:paraId="707B874E">
                  <w:pPr>
                    <w:spacing w:line="300" w:lineRule="exact"/>
                    <w:jc w:val="center"/>
                    <w:outlineLvl w:val="9"/>
                    <w:rPr>
                      <w:rFonts w:ascii="Times New Roman" w:hAnsi="Times New Roman" w:eastAsia="宋体" w:cs="Times New Roman"/>
                      <w:bCs/>
                      <w:color w:val="auto"/>
                      <w:kern w:val="0"/>
                      <w:sz w:val="21"/>
                      <w:szCs w:val="21"/>
                      <w:lang w:val="en-US" w:eastAsia="zh-CN" w:bidi="ar-SA"/>
                    </w:rPr>
                  </w:pPr>
                  <w:r>
                    <w:rPr>
                      <w:bCs/>
                      <w:color w:val="auto"/>
                      <w:kern w:val="0"/>
                      <w:szCs w:val="21"/>
                    </w:rPr>
                    <w:t>达标</w:t>
                  </w:r>
                </w:p>
              </w:tc>
            </w:tr>
            <w:tr w14:paraId="45E29DE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729" w:type="pct"/>
                  <w:tcBorders>
                    <w:tl2br w:val="nil"/>
                    <w:tr2bl w:val="nil"/>
                  </w:tcBorders>
                  <w:vAlign w:val="center"/>
                </w:tcPr>
                <w:p w14:paraId="44E16264">
                  <w:pPr>
                    <w:spacing w:line="300" w:lineRule="exact"/>
                    <w:jc w:val="center"/>
                    <w:outlineLvl w:val="9"/>
                    <w:rPr>
                      <w:bCs/>
                      <w:color w:val="auto"/>
                      <w:kern w:val="0"/>
                      <w:szCs w:val="21"/>
                    </w:rPr>
                  </w:pPr>
                  <w:r>
                    <w:rPr>
                      <w:bCs/>
                      <w:color w:val="auto"/>
                      <w:kern w:val="0"/>
                      <w:szCs w:val="21"/>
                    </w:rPr>
                    <w:t>SO</w:t>
                  </w:r>
                  <w:r>
                    <w:rPr>
                      <w:bCs/>
                      <w:color w:val="auto"/>
                      <w:kern w:val="0"/>
                      <w:szCs w:val="21"/>
                      <w:vertAlign w:val="subscript"/>
                    </w:rPr>
                    <w:t>2</w:t>
                  </w:r>
                </w:p>
              </w:tc>
              <w:tc>
                <w:tcPr>
                  <w:tcW w:w="1028" w:type="pct"/>
                  <w:tcBorders>
                    <w:tl2br w:val="nil"/>
                    <w:tr2bl w:val="nil"/>
                  </w:tcBorders>
                  <w:vAlign w:val="center"/>
                </w:tcPr>
                <w:p w14:paraId="18E8546C">
                  <w:pPr>
                    <w:jc w:val="center"/>
                    <w:outlineLvl w:val="9"/>
                    <w:rPr>
                      <w:bCs/>
                      <w:color w:val="auto"/>
                      <w:kern w:val="0"/>
                      <w:szCs w:val="21"/>
                    </w:rPr>
                  </w:pPr>
                  <w:r>
                    <w:rPr>
                      <w:rFonts w:hint="eastAsia" w:ascii="宋体" w:hAnsi="宋体" w:cs="宋体"/>
                      <w:color w:val="auto"/>
                      <w:lang w:val="en-US" w:eastAsia="zh-CN" w:bidi="ar"/>
                    </w:rPr>
                    <w:t>年平均质量浓度</w:t>
                  </w:r>
                </w:p>
              </w:tc>
              <w:tc>
                <w:tcPr>
                  <w:tcW w:w="1015" w:type="pct"/>
                  <w:tcBorders>
                    <w:tl2br w:val="nil"/>
                    <w:tr2bl w:val="nil"/>
                  </w:tcBorders>
                  <w:vAlign w:val="center"/>
                </w:tcPr>
                <w:p w14:paraId="45CEBBE9">
                  <w:pPr>
                    <w:spacing w:line="300" w:lineRule="exact"/>
                    <w:jc w:val="center"/>
                    <w:outlineLvl w:val="9"/>
                    <w:rPr>
                      <w:rFonts w:hint="default" w:eastAsia="宋体"/>
                      <w:bCs/>
                      <w:color w:val="auto"/>
                      <w:kern w:val="0"/>
                      <w:szCs w:val="21"/>
                      <w:lang w:val="en-US" w:eastAsia="zh-CN"/>
                    </w:rPr>
                  </w:pPr>
                  <w:r>
                    <w:rPr>
                      <w:rFonts w:hint="eastAsia"/>
                      <w:bCs/>
                      <w:color w:val="auto"/>
                      <w:kern w:val="0"/>
                      <w:szCs w:val="21"/>
                      <w:lang w:val="en-US" w:eastAsia="zh-CN"/>
                    </w:rPr>
                    <w:t>11</w:t>
                  </w:r>
                </w:p>
              </w:tc>
              <w:tc>
                <w:tcPr>
                  <w:tcW w:w="909" w:type="pct"/>
                  <w:tcBorders>
                    <w:tl2br w:val="nil"/>
                    <w:tr2bl w:val="nil"/>
                  </w:tcBorders>
                  <w:vAlign w:val="center"/>
                </w:tcPr>
                <w:p w14:paraId="5DA75E86">
                  <w:pPr>
                    <w:spacing w:line="300" w:lineRule="exact"/>
                    <w:jc w:val="center"/>
                    <w:outlineLvl w:val="9"/>
                    <w:rPr>
                      <w:bCs/>
                      <w:color w:val="auto"/>
                      <w:kern w:val="0"/>
                      <w:szCs w:val="21"/>
                    </w:rPr>
                  </w:pPr>
                  <w:r>
                    <w:rPr>
                      <w:bCs/>
                      <w:color w:val="auto"/>
                      <w:kern w:val="0"/>
                      <w:szCs w:val="21"/>
                    </w:rPr>
                    <w:t>60</w:t>
                  </w:r>
                </w:p>
              </w:tc>
              <w:tc>
                <w:tcPr>
                  <w:tcW w:w="710" w:type="pct"/>
                  <w:tcBorders>
                    <w:tl2br w:val="nil"/>
                    <w:tr2bl w:val="nil"/>
                  </w:tcBorders>
                  <w:vAlign w:val="center"/>
                </w:tcPr>
                <w:p w14:paraId="5AB3E816">
                  <w:pPr>
                    <w:spacing w:line="300" w:lineRule="exact"/>
                    <w:jc w:val="center"/>
                    <w:outlineLvl w:val="9"/>
                    <w:rPr>
                      <w:rFonts w:hint="default" w:eastAsia="宋体"/>
                      <w:bCs/>
                      <w:color w:val="auto"/>
                      <w:kern w:val="0"/>
                      <w:szCs w:val="21"/>
                      <w:lang w:val="en-US" w:eastAsia="zh-CN"/>
                    </w:rPr>
                  </w:pPr>
                  <w:r>
                    <w:rPr>
                      <w:rFonts w:hint="eastAsia"/>
                      <w:bCs/>
                      <w:color w:val="auto"/>
                      <w:kern w:val="0"/>
                      <w:szCs w:val="21"/>
                      <w:lang w:val="en-US" w:eastAsia="zh-CN"/>
                    </w:rPr>
                    <w:t>18.33</w:t>
                  </w:r>
                </w:p>
              </w:tc>
              <w:tc>
                <w:tcPr>
                  <w:tcW w:w="606" w:type="pct"/>
                  <w:tcBorders>
                    <w:tl2br w:val="nil"/>
                    <w:tr2bl w:val="nil"/>
                  </w:tcBorders>
                  <w:vAlign w:val="center"/>
                </w:tcPr>
                <w:p w14:paraId="3CA6EC78">
                  <w:pPr>
                    <w:spacing w:line="300" w:lineRule="exact"/>
                    <w:jc w:val="center"/>
                    <w:outlineLvl w:val="9"/>
                    <w:rPr>
                      <w:bCs/>
                      <w:color w:val="auto"/>
                      <w:kern w:val="0"/>
                      <w:szCs w:val="21"/>
                    </w:rPr>
                  </w:pPr>
                  <w:r>
                    <w:rPr>
                      <w:bCs/>
                      <w:color w:val="auto"/>
                      <w:kern w:val="0"/>
                      <w:szCs w:val="21"/>
                    </w:rPr>
                    <w:t>达标</w:t>
                  </w:r>
                </w:p>
              </w:tc>
            </w:tr>
            <w:tr w14:paraId="490FE72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729" w:type="pct"/>
                  <w:tcBorders>
                    <w:tl2br w:val="nil"/>
                    <w:tr2bl w:val="nil"/>
                  </w:tcBorders>
                  <w:vAlign w:val="center"/>
                </w:tcPr>
                <w:p w14:paraId="217D6B50">
                  <w:pPr>
                    <w:spacing w:line="300" w:lineRule="exact"/>
                    <w:jc w:val="center"/>
                    <w:outlineLvl w:val="9"/>
                    <w:rPr>
                      <w:bCs/>
                      <w:color w:val="auto"/>
                      <w:kern w:val="0"/>
                      <w:szCs w:val="21"/>
                    </w:rPr>
                  </w:pPr>
                  <w:r>
                    <w:rPr>
                      <w:bCs/>
                      <w:color w:val="auto"/>
                      <w:kern w:val="0"/>
                      <w:szCs w:val="21"/>
                    </w:rPr>
                    <w:t>NO</w:t>
                  </w:r>
                  <w:r>
                    <w:rPr>
                      <w:bCs/>
                      <w:color w:val="auto"/>
                      <w:kern w:val="0"/>
                      <w:szCs w:val="21"/>
                      <w:vertAlign w:val="subscript"/>
                    </w:rPr>
                    <w:t>2</w:t>
                  </w:r>
                </w:p>
              </w:tc>
              <w:tc>
                <w:tcPr>
                  <w:tcW w:w="1028" w:type="pct"/>
                  <w:tcBorders>
                    <w:tl2br w:val="nil"/>
                    <w:tr2bl w:val="nil"/>
                  </w:tcBorders>
                  <w:vAlign w:val="center"/>
                </w:tcPr>
                <w:p w14:paraId="560236F4">
                  <w:pPr>
                    <w:jc w:val="center"/>
                    <w:outlineLvl w:val="9"/>
                    <w:rPr>
                      <w:bCs/>
                      <w:color w:val="auto"/>
                      <w:kern w:val="0"/>
                      <w:szCs w:val="21"/>
                    </w:rPr>
                  </w:pPr>
                  <w:r>
                    <w:rPr>
                      <w:rFonts w:hint="eastAsia" w:ascii="宋体" w:hAnsi="宋体" w:cs="宋体"/>
                      <w:color w:val="auto"/>
                      <w:lang w:val="en-US" w:eastAsia="zh-CN" w:bidi="ar"/>
                    </w:rPr>
                    <w:t>年平均质量浓度</w:t>
                  </w:r>
                </w:p>
              </w:tc>
              <w:tc>
                <w:tcPr>
                  <w:tcW w:w="1015" w:type="pct"/>
                  <w:tcBorders>
                    <w:tl2br w:val="nil"/>
                    <w:tr2bl w:val="nil"/>
                  </w:tcBorders>
                  <w:vAlign w:val="center"/>
                </w:tcPr>
                <w:p w14:paraId="4B136CE0">
                  <w:pPr>
                    <w:spacing w:line="300" w:lineRule="exact"/>
                    <w:jc w:val="center"/>
                    <w:outlineLvl w:val="9"/>
                    <w:rPr>
                      <w:rFonts w:hint="default" w:eastAsia="宋体"/>
                      <w:bCs/>
                      <w:color w:val="auto"/>
                      <w:kern w:val="0"/>
                      <w:szCs w:val="21"/>
                      <w:lang w:val="en-US" w:eastAsia="zh-CN"/>
                    </w:rPr>
                  </w:pPr>
                  <w:r>
                    <w:rPr>
                      <w:rFonts w:hint="eastAsia"/>
                      <w:bCs/>
                      <w:color w:val="auto"/>
                      <w:kern w:val="0"/>
                      <w:szCs w:val="21"/>
                      <w:lang w:val="en-US" w:eastAsia="zh-CN"/>
                    </w:rPr>
                    <w:t>19</w:t>
                  </w:r>
                </w:p>
              </w:tc>
              <w:tc>
                <w:tcPr>
                  <w:tcW w:w="909" w:type="pct"/>
                  <w:tcBorders>
                    <w:tl2br w:val="nil"/>
                    <w:tr2bl w:val="nil"/>
                  </w:tcBorders>
                  <w:vAlign w:val="center"/>
                </w:tcPr>
                <w:p w14:paraId="2BA52A91">
                  <w:pPr>
                    <w:spacing w:line="300" w:lineRule="exact"/>
                    <w:jc w:val="center"/>
                    <w:outlineLvl w:val="9"/>
                    <w:rPr>
                      <w:bCs/>
                      <w:color w:val="auto"/>
                      <w:kern w:val="0"/>
                      <w:szCs w:val="21"/>
                    </w:rPr>
                  </w:pPr>
                  <w:r>
                    <w:rPr>
                      <w:bCs/>
                      <w:color w:val="auto"/>
                      <w:kern w:val="0"/>
                      <w:szCs w:val="21"/>
                    </w:rPr>
                    <w:t>40</w:t>
                  </w:r>
                </w:p>
              </w:tc>
              <w:tc>
                <w:tcPr>
                  <w:tcW w:w="710" w:type="pct"/>
                  <w:tcBorders>
                    <w:tl2br w:val="nil"/>
                    <w:tr2bl w:val="nil"/>
                  </w:tcBorders>
                  <w:vAlign w:val="center"/>
                </w:tcPr>
                <w:p w14:paraId="44C7B2D8">
                  <w:pPr>
                    <w:spacing w:line="300" w:lineRule="exact"/>
                    <w:jc w:val="center"/>
                    <w:outlineLvl w:val="9"/>
                    <w:rPr>
                      <w:rFonts w:hint="default" w:eastAsia="宋体"/>
                      <w:bCs/>
                      <w:color w:val="auto"/>
                      <w:kern w:val="0"/>
                      <w:szCs w:val="21"/>
                      <w:lang w:val="en-US" w:eastAsia="zh-CN"/>
                    </w:rPr>
                  </w:pPr>
                  <w:r>
                    <w:rPr>
                      <w:rFonts w:hint="eastAsia"/>
                      <w:bCs/>
                      <w:color w:val="auto"/>
                      <w:kern w:val="0"/>
                      <w:szCs w:val="21"/>
                      <w:lang w:val="en-US" w:eastAsia="zh-CN"/>
                    </w:rPr>
                    <w:t>47.50</w:t>
                  </w:r>
                </w:p>
              </w:tc>
              <w:tc>
                <w:tcPr>
                  <w:tcW w:w="606" w:type="pct"/>
                  <w:tcBorders>
                    <w:tl2br w:val="nil"/>
                    <w:tr2bl w:val="nil"/>
                  </w:tcBorders>
                  <w:vAlign w:val="center"/>
                </w:tcPr>
                <w:p w14:paraId="0CA76C0F">
                  <w:pPr>
                    <w:spacing w:line="300" w:lineRule="exact"/>
                    <w:jc w:val="center"/>
                    <w:outlineLvl w:val="9"/>
                    <w:rPr>
                      <w:bCs/>
                      <w:color w:val="auto"/>
                      <w:kern w:val="0"/>
                      <w:szCs w:val="21"/>
                    </w:rPr>
                  </w:pPr>
                  <w:r>
                    <w:rPr>
                      <w:bCs/>
                      <w:color w:val="auto"/>
                      <w:kern w:val="0"/>
                      <w:szCs w:val="21"/>
                    </w:rPr>
                    <w:t>达标</w:t>
                  </w:r>
                </w:p>
              </w:tc>
            </w:tr>
            <w:tr w14:paraId="4BE963B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729" w:type="pct"/>
                  <w:tcBorders>
                    <w:tl2br w:val="nil"/>
                    <w:tr2bl w:val="nil"/>
                  </w:tcBorders>
                  <w:vAlign w:val="center"/>
                </w:tcPr>
                <w:p w14:paraId="7D445568">
                  <w:pPr>
                    <w:spacing w:line="300" w:lineRule="exact"/>
                    <w:jc w:val="center"/>
                    <w:outlineLvl w:val="9"/>
                    <w:rPr>
                      <w:bCs/>
                      <w:color w:val="auto"/>
                      <w:kern w:val="0"/>
                      <w:szCs w:val="21"/>
                    </w:rPr>
                  </w:pPr>
                  <w:r>
                    <w:rPr>
                      <w:bCs/>
                      <w:color w:val="auto"/>
                      <w:kern w:val="0"/>
                      <w:szCs w:val="21"/>
                    </w:rPr>
                    <w:t>CO</w:t>
                  </w:r>
                </w:p>
              </w:tc>
              <w:tc>
                <w:tcPr>
                  <w:tcW w:w="1028" w:type="pct"/>
                  <w:tcBorders>
                    <w:tl2br w:val="nil"/>
                    <w:tr2bl w:val="nil"/>
                  </w:tcBorders>
                  <w:vAlign w:val="center"/>
                </w:tcPr>
                <w:p w14:paraId="6A2FBA6E">
                  <w:pPr>
                    <w:jc w:val="center"/>
                    <w:outlineLvl w:val="9"/>
                    <w:rPr>
                      <w:bCs/>
                      <w:color w:val="auto"/>
                      <w:kern w:val="0"/>
                      <w:szCs w:val="21"/>
                    </w:rPr>
                  </w:pPr>
                  <w:r>
                    <w:rPr>
                      <w:color w:val="auto"/>
                      <w:lang w:bidi="ar"/>
                    </w:rPr>
                    <w:t>24</w:t>
                  </w:r>
                  <w:r>
                    <w:rPr>
                      <w:rFonts w:hint="eastAsia" w:ascii="宋体" w:hAnsi="宋体" w:cs="宋体"/>
                      <w:color w:val="auto"/>
                      <w:lang w:bidi="ar"/>
                    </w:rPr>
                    <w:t>小时平均第</w:t>
                  </w:r>
                  <w:r>
                    <w:rPr>
                      <w:color w:val="auto"/>
                      <w:lang w:bidi="ar"/>
                    </w:rPr>
                    <w:t>95</w:t>
                  </w:r>
                  <w:r>
                    <w:rPr>
                      <w:rFonts w:hint="eastAsia" w:ascii="宋体" w:hAnsi="宋体" w:cs="宋体"/>
                      <w:color w:val="auto"/>
                      <w:lang w:bidi="ar"/>
                    </w:rPr>
                    <w:t>百分位数</w:t>
                  </w:r>
                </w:p>
              </w:tc>
              <w:tc>
                <w:tcPr>
                  <w:tcW w:w="1015" w:type="pct"/>
                  <w:tcBorders>
                    <w:tl2br w:val="nil"/>
                    <w:tr2bl w:val="nil"/>
                  </w:tcBorders>
                  <w:vAlign w:val="center"/>
                </w:tcPr>
                <w:p w14:paraId="7EDEC132">
                  <w:pPr>
                    <w:spacing w:line="300" w:lineRule="exact"/>
                    <w:jc w:val="center"/>
                    <w:outlineLvl w:val="9"/>
                    <w:rPr>
                      <w:bCs/>
                      <w:color w:val="auto"/>
                      <w:kern w:val="0"/>
                      <w:szCs w:val="21"/>
                    </w:rPr>
                  </w:pPr>
                  <w:r>
                    <w:rPr>
                      <w:rFonts w:hint="eastAsia"/>
                      <w:bCs/>
                      <w:color w:val="auto"/>
                      <w:kern w:val="0"/>
                      <w:szCs w:val="21"/>
                      <w:lang w:val="en-US" w:eastAsia="zh-CN"/>
                    </w:rPr>
                    <w:t>1.4(</w:t>
                  </w:r>
                  <w:r>
                    <w:rPr>
                      <w:bCs/>
                      <w:color w:val="auto"/>
                      <w:kern w:val="0"/>
                      <w:szCs w:val="21"/>
                    </w:rPr>
                    <w:t>mg/m</w:t>
                  </w:r>
                  <w:r>
                    <w:rPr>
                      <w:bCs/>
                      <w:color w:val="auto"/>
                      <w:kern w:val="0"/>
                      <w:szCs w:val="21"/>
                      <w:vertAlign w:val="superscript"/>
                    </w:rPr>
                    <w:t>3</w:t>
                  </w:r>
                  <w:r>
                    <w:rPr>
                      <w:bCs/>
                      <w:color w:val="auto"/>
                      <w:kern w:val="0"/>
                      <w:szCs w:val="21"/>
                    </w:rPr>
                    <w:t>）</w:t>
                  </w:r>
                </w:p>
              </w:tc>
              <w:tc>
                <w:tcPr>
                  <w:tcW w:w="909" w:type="pct"/>
                  <w:tcBorders>
                    <w:tl2br w:val="nil"/>
                    <w:tr2bl w:val="nil"/>
                  </w:tcBorders>
                  <w:vAlign w:val="center"/>
                </w:tcPr>
                <w:p w14:paraId="7AB5F2F5">
                  <w:pPr>
                    <w:spacing w:line="300" w:lineRule="exact"/>
                    <w:jc w:val="center"/>
                    <w:outlineLvl w:val="9"/>
                    <w:rPr>
                      <w:bCs/>
                      <w:color w:val="auto"/>
                      <w:kern w:val="0"/>
                      <w:szCs w:val="21"/>
                    </w:rPr>
                  </w:pPr>
                  <w:r>
                    <w:rPr>
                      <w:bCs/>
                      <w:color w:val="auto"/>
                      <w:kern w:val="0"/>
                      <w:szCs w:val="21"/>
                    </w:rPr>
                    <w:t>4</w:t>
                  </w:r>
                  <w:r>
                    <w:rPr>
                      <w:rFonts w:hint="eastAsia"/>
                      <w:bCs/>
                      <w:color w:val="auto"/>
                      <w:kern w:val="0"/>
                      <w:szCs w:val="21"/>
                      <w:lang w:eastAsia="zh-CN"/>
                    </w:rPr>
                    <w:t>(</w:t>
                  </w:r>
                  <w:r>
                    <w:rPr>
                      <w:bCs/>
                      <w:color w:val="auto"/>
                      <w:kern w:val="0"/>
                      <w:szCs w:val="21"/>
                    </w:rPr>
                    <w:t>mg/m</w:t>
                  </w:r>
                  <w:r>
                    <w:rPr>
                      <w:bCs/>
                      <w:color w:val="auto"/>
                      <w:kern w:val="0"/>
                      <w:szCs w:val="21"/>
                      <w:vertAlign w:val="superscript"/>
                    </w:rPr>
                    <w:t>3</w:t>
                  </w:r>
                  <w:r>
                    <w:rPr>
                      <w:bCs/>
                      <w:color w:val="auto"/>
                      <w:kern w:val="0"/>
                      <w:szCs w:val="21"/>
                    </w:rPr>
                    <w:t>）</w:t>
                  </w:r>
                </w:p>
              </w:tc>
              <w:tc>
                <w:tcPr>
                  <w:tcW w:w="710" w:type="pct"/>
                  <w:tcBorders>
                    <w:tl2br w:val="nil"/>
                    <w:tr2bl w:val="nil"/>
                  </w:tcBorders>
                  <w:vAlign w:val="center"/>
                </w:tcPr>
                <w:p w14:paraId="270A32E7">
                  <w:pPr>
                    <w:spacing w:line="300" w:lineRule="exact"/>
                    <w:jc w:val="center"/>
                    <w:outlineLvl w:val="9"/>
                    <w:rPr>
                      <w:rFonts w:hint="default" w:eastAsia="宋体"/>
                      <w:bCs/>
                      <w:color w:val="auto"/>
                      <w:kern w:val="0"/>
                      <w:szCs w:val="21"/>
                      <w:lang w:val="en-US" w:eastAsia="zh-CN"/>
                    </w:rPr>
                  </w:pPr>
                  <w:r>
                    <w:rPr>
                      <w:rFonts w:hint="eastAsia"/>
                      <w:bCs/>
                      <w:color w:val="auto"/>
                      <w:kern w:val="0"/>
                      <w:szCs w:val="21"/>
                      <w:lang w:val="en-US" w:eastAsia="zh-CN"/>
                    </w:rPr>
                    <w:t>35.00</w:t>
                  </w:r>
                </w:p>
              </w:tc>
              <w:tc>
                <w:tcPr>
                  <w:tcW w:w="606" w:type="pct"/>
                  <w:tcBorders>
                    <w:tl2br w:val="nil"/>
                    <w:tr2bl w:val="nil"/>
                  </w:tcBorders>
                  <w:vAlign w:val="center"/>
                </w:tcPr>
                <w:p w14:paraId="6C4CBE89">
                  <w:pPr>
                    <w:spacing w:line="300" w:lineRule="exact"/>
                    <w:jc w:val="center"/>
                    <w:outlineLvl w:val="9"/>
                    <w:rPr>
                      <w:bCs/>
                      <w:color w:val="auto"/>
                      <w:kern w:val="0"/>
                      <w:szCs w:val="21"/>
                    </w:rPr>
                  </w:pPr>
                  <w:r>
                    <w:rPr>
                      <w:bCs/>
                      <w:color w:val="auto"/>
                      <w:kern w:val="0"/>
                      <w:szCs w:val="21"/>
                    </w:rPr>
                    <w:t>达标</w:t>
                  </w:r>
                </w:p>
              </w:tc>
            </w:tr>
            <w:tr w14:paraId="5FDFC42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83" w:hRule="atLeast"/>
              </w:trPr>
              <w:tc>
                <w:tcPr>
                  <w:tcW w:w="729" w:type="pct"/>
                  <w:tcBorders>
                    <w:tl2br w:val="nil"/>
                    <w:tr2bl w:val="nil"/>
                  </w:tcBorders>
                  <w:vAlign w:val="center"/>
                </w:tcPr>
                <w:p w14:paraId="00330C41">
                  <w:pPr>
                    <w:spacing w:line="300" w:lineRule="exact"/>
                    <w:jc w:val="center"/>
                    <w:outlineLvl w:val="9"/>
                    <w:rPr>
                      <w:bCs/>
                      <w:color w:val="auto"/>
                      <w:kern w:val="0"/>
                      <w:szCs w:val="21"/>
                    </w:rPr>
                  </w:pPr>
                  <w:r>
                    <w:rPr>
                      <w:bCs/>
                      <w:color w:val="auto"/>
                      <w:kern w:val="0"/>
                      <w:szCs w:val="21"/>
                    </w:rPr>
                    <w:t>O</w:t>
                  </w:r>
                  <w:r>
                    <w:rPr>
                      <w:bCs/>
                      <w:color w:val="auto"/>
                      <w:kern w:val="0"/>
                      <w:szCs w:val="21"/>
                      <w:vertAlign w:val="subscript"/>
                    </w:rPr>
                    <w:t>3</w:t>
                  </w:r>
                </w:p>
              </w:tc>
              <w:tc>
                <w:tcPr>
                  <w:tcW w:w="1028" w:type="pct"/>
                  <w:tcBorders>
                    <w:tl2br w:val="nil"/>
                    <w:tr2bl w:val="nil"/>
                  </w:tcBorders>
                  <w:vAlign w:val="center"/>
                </w:tcPr>
                <w:p w14:paraId="288183DF">
                  <w:pPr>
                    <w:jc w:val="center"/>
                    <w:outlineLvl w:val="9"/>
                    <w:rPr>
                      <w:bCs/>
                      <w:color w:val="auto"/>
                      <w:kern w:val="0"/>
                      <w:szCs w:val="21"/>
                    </w:rPr>
                  </w:pPr>
                  <w:r>
                    <w:rPr>
                      <w:rFonts w:hint="eastAsia"/>
                      <w:color w:val="auto"/>
                      <w:lang w:bidi="ar"/>
                    </w:rPr>
                    <w:t>日最大</w:t>
                  </w:r>
                  <w:r>
                    <w:rPr>
                      <w:color w:val="auto"/>
                      <w:lang w:bidi="ar"/>
                    </w:rPr>
                    <w:t>8h</w:t>
                  </w:r>
                  <w:r>
                    <w:rPr>
                      <w:rFonts w:hint="eastAsia"/>
                      <w:color w:val="auto"/>
                      <w:lang w:bidi="ar"/>
                    </w:rPr>
                    <w:t>滑动平均值第</w:t>
                  </w:r>
                  <w:r>
                    <w:rPr>
                      <w:color w:val="auto"/>
                      <w:lang w:bidi="ar"/>
                    </w:rPr>
                    <w:t>90</w:t>
                  </w:r>
                  <w:r>
                    <w:rPr>
                      <w:rFonts w:hint="eastAsia"/>
                      <w:color w:val="auto"/>
                      <w:lang w:bidi="ar"/>
                    </w:rPr>
                    <w:t>百分位数</w:t>
                  </w:r>
                </w:p>
              </w:tc>
              <w:tc>
                <w:tcPr>
                  <w:tcW w:w="1015" w:type="pct"/>
                  <w:tcBorders>
                    <w:tl2br w:val="nil"/>
                    <w:tr2bl w:val="nil"/>
                  </w:tcBorders>
                  <w:vAlign w:val="center"/>
                </w:tcPr>
                <w:p w14:paraId="687CCC42">
                  <w:pPr>
                    <w:spacing w:line="300" w:lineRule="exact"/>
                    <w:jc w:val="center"/>
                    <w:outlineLvl w:val="9"/>
                    <w:rPr>
                      <w:rFonts w:hint="default" w:eastAsia="宋体"/>
                      <w:bCs/>
                      <w:color w:val="auto"/>
                      <w:kern w:val="0"/>
                      <w:szCs w:val="21"/>
                      <w:lang w:val="en-US" w:eastAsia="zh-CN"/>
                    </w:rPr>
                  </w:pPr>
                  <w:r>
                    <w:rPr>
                      <w:rFonts w:hint="eastAsia"/>
                      <w:bCs/>
                      <w:color w:val="auto"/>
                      <w:kern w:val="0"/>
                      <w:szCs w:val="21"/>
                      <w:lang w:val="en-US" w:eastAsia="zh-CN"/>
                    </w:rPr>
                    <w:t>146</w:t>
                  </w:r>
                </w:p>
              </w:tc>
              <w:tc>
                <w:tcPr>
                  <w:tcW w:w="909" w:type="pct"/>
                  <w:tcBorders>
                    <w:tl2br w:val="nil"/>
                    <w:tr2bl w:val="nil"/>
                  </w:tcBorders>
                  <w:vAlign w:val="center"/>
                </w:tcPr>
                <w:p w14:paraId="1E2E3962">
                  <w:pPr>
                    <w:spacing w:line="300" w:lineRule="exact"/>
                    <w:jc w:val="center"/>
                    <w:outlineLvl w:val="9"/>
                    <w:rPr>
                      <w:bCs/>
                      <w:color w:val="auto"/>
                      <w:kern w:val="0"/>
                      <w:szCs w:val="21"/>
                    </w:rPr>
                  </w:pPr>
                  <w:r>
                    <w:rPr>
                      <w:bCs/>
                      <w:color w:val="auto"/>
                      <w:kern w:val="0"/>
                      <w:szCs w:val="21"/>
                    </w:rPr>
                    <w:t>160</w:t>
                  </w:r>
                </w:p>
              </w:tc>
              <w:tc>
                <w:tcPr>
                  <w:tcW w:w="710" w:type="pct"/>
                  <w:tcBorders>
                    <w:tl2br w:val="nil"/>
                    <w:tr2bl w:val="nil"/>
                  </w:tcBorders>
                  <w:vAlign w:val="center"/>
                </w:tcPr>
                <w:p w14:paraId="1F0AE283">
                  <w:pPr>
                    <w:spacing w:line="300" w:lineRule="exact"/>
                    <w:jc w:val="center"/>
                    <w:outlineLvl w:val="9"/>
                    <w:rPr>
                      <w:rFonts w:hint="default" w:eastAsia="宋体"/>
                      <w:bCs/>
                      <w:color w:val="auto"/>
                      <w:kern w:val="0"/>
                      <w:szCs w:val="21"/>
                      <w:lang w:val="en-US" w:eastAsia="zh-CN"/>
                    </w:rPr>
                  </w:pPr>
                  <w:r>
                    <w:rPr>
                      <w:rFonts w:hint="eastAsia"/>
                      <w:bCs/>
                      <w:color w:val="auto"/>
                      <w:kern w:val="0"/>
                      <w:szCs w:val="21"/>
                      <w:lang w:val="en-US" w:eastAsia="zh-CN"/>
                    </w:rPr>
                    <w:t>91.25</w:t>
                  </w:r>
                </w:p>
              </w:tc>
              <w:tc>
                <w:tcPr>
                  <w:tcW w:w="606" w:type="pct"/>
                  <w:tcBorders>
                    <w:tl2br w:val="nil"/>
                    <w:tr2bl w:val="nil"/>
                  </w:tcBorders>
                  <w:vAlign w:val="center"/>
                </w:tcPr>
                <w:p w14:paraId="4551B1FC">
                  <w:pPr>
                    <w:spacing w:line="300" w:lineRule="exact"/>
                    <w:jc w:val="center"/>
                    <w:outlineLvl w:val="9"/>
                    <w:rPr>
                      <w:bCs/>
                      <w:color w:val="auto"/>
                      <w:kern w:val="0"/>
                      <w:szCs w:val="21"/>
                    </w:rPr>
                  </w:pPr>
                  <w:r>
                    <w:rPr>
                      <w:bCs/>
                      <w:color w:val="auto"/>
                      <w:kern w:val="0"/>
                      <w:szCs w:val="21"/>
                    </w:rPr>
                    <w:t>达标</w:t>
                  </w:r>
                </w:p>
              </w:tc>
            </w:tr>
          </w:tbl>
          <w:p w14:paraId="7306E5DB">
            <w:pPr>
              <w:widowControl/>
              <w:adjustRightInd w:val="0"/>
              <w:snapToGrid w:val="0"/>
              <w:spacing w:line="360" w:lineRule="auto"/>
              <w:ind w:firstLine="480" w:firstLineChars="200"/>
              <w:outlineLvl w:val="9"/>
              <w:rPr>
                <w:color w:val="auto"/>
                <w:kern w:val="0"/>
                <w:sz w:val="24"/>
                <w:lang w:bidi="ar"/>
              </w:rPr>
            </w:pPr>
            <w:r>
              <w:rPr>
                <w:color w:val="auto"/>
                <w:kern w:val="0"/>
                <w:sz w:val="24"/>
                <w:lang w:bidi="ar"/>
              </w:rPr>
              <w:t>由上表可以看出，PM</w:t>
            </w:r>
            <w:r>
              <w:rPr>
                <w:color w:val="auto"/>
                <w:kern w:val="0"/>
                <w:sz w:val="24"/>
                <w:vertAlign w:val="subscript"/>
                <w:lang w:bidi="ar"/>
              </w:rPr>
              <w:t>10</w:t>
            </w:r>
            <w:r>
              <w:rPr>
                <w:rFonts w:hint="eastAsia"/>
                <w:color w:val="auto"/>
                <w:kern w:val="0"/>
                <w:sz w:val="24"/>
                <w:vertAlign w:val="subscript"/>
                <w:lang w:bidi="ar"/>
              </w:rPr>
              <w:t>、</w:t>
            </w:r>
            <w:r>
              <w:rPr>
                <w:rFonts w:hint="eastAsia"/>
                <w:color w:val="auto"/>
                <w:kern w:val="0"/>
                <w:sz w:val="24"/>
                <w:lang w:bidi="ar"/>
              </w:rPr>
              <w:t>PM</w:t>
            </w:r>
            <w:r>
              <w:rPr>
                <w:rFonts w:hint="eastAsia"/>
                <w:color w:val="auto"/>
                <w:kern w:val="0"/>
                <w:sz w:val="24"/>
                <w:vertAlign w:val="subscript"/>
                <w:lang w:bidi="ar"/>
              </w:rPr>
              <w:t>2.5</w:t>
            </w:r>
            <w:r>
              <w:rPr>
                <w:rFonts w:hint="eastAsia"/>
                <w:color w:val="auto"/>
                <w:kern w:val="0"/>
                <w:sz w:val="24"/>
                <w:vertAlign w:val="baseline"/>
                <w:lang w:eastAsia="zh-CN" w:bidi="ar"/>
              </w:rPr>
              <w:t>、</w:t>
            </w:r>
            <w:r>
              <w:rPr>
                <w:color w:val="auto"/>
                <w:kern w:val="0"/>
                <w:sz w:val="24"/>
                <w:lang w:bidi="ar"/>
              </w:rPr>
              <w:t>SO</w:t>
            </w:r>
            <w:r>
              <w:rPr>
                <w:color w:val="auto"/>
                <w:kern w:val="0"/>
                <w:sz w:val="24"/>
                <w:vertAlign w:val="subscript"/>
                <w:lang w:bidi="ar"/>
              </w:rPr>
              <w:t>2</w:t>
            </w:r>
            <w:r>
              <w:rPr>
                <w:color w:val="auto"/>
                <w:kern w:val="0"/>
                <w:sz w:val="24"/>
                <w:lang w:bidi="ar"/>
              </w:rPr>
              <w:t>、NO</w:t>
            </w:r>
            <w:r>
              <w:rPr>
                <w:color w:val="auto"/>
                <w:kern w:val="0"/>
                <w:sz w:val="24"/>
                <w:vertAlign w:val="subscript"/>
                <w:lang w:bidi="ar"/>
              </w:rPr>
              <w:t>2</w:t>
            </w:r>
            <w:r>
              <w:rPr>
                <w:color w:val="auto"/>
                <w:kern w:val="0"/>
                <w:sz w:val="24"/>
                <w:lang w:bidi="ar"/>
              </w:rPr>
              <w:t>、CO、O</w:t>
            </w:r>
            <w:r>
              <w:rPr>
                <w:color w:val="auto"/>
                <w:kern w:val="0"/>
                <w:sz w:val="24"/>
                <w:vertAlign w:val="subscript"/>
                <w:lang w:bidi="ar"/>
              </w:rPr>
              <w:t>3</w:t>
            </w:r>
            <w:r>
              <w:rPr>
                <w:color w:val="auto"/>
                <w:kern w:val="0"/>
                <w:sz w:val="24"/>
                <w:lang w:bidi="ar"/>
              </w:rPr>
              <w:t>质量浓度均符合《环境空气质量标准》（GB3095-20</w:t>
            </w:r>
            <w:r>
              <w:rPr>
                <w:rFonts w:hint="eastAsia"/>
                <w:color w:val="auto"/>
                <w:kern w:val="0"/>
                <w:sz w:val="24"/>
                <w:lang w:val="en-US" w:eastAsia="zh-CN" w:bidi="ar"/>
              </w:rPr>
              <w:t>26</w:t>
            </w:r>
            <w:r>
              <w:rPr>
                <w:color w:val="auto"/>
                <w:kern w:val="0"/>
                <w:sz w:val="24"/>
                <w:lang w:bidi="ar"/>
              </w:rPr>
              <w:t>）</w:t>
            </w:r>
            <w:r>
              <w:rPr>
                <w:rFonts w:hint="eastAsia"/>
                <w:color w:val="auto"/>
                <w:kern w:val="0"/>
                <w:sz w:val="24"/>
                <w:lang w:val="en-US" w:eastAsia="zh-CN" w:bidi="ar"/>
              </w:rPr>
              <w:t>过渡期</w:t>
            </w:r>
            <w:r>
              <w:rPr>
                <w:color w:val="auto"/>
                <w:kern w:val="0"/>
                <w:sz w:val="24"/>
                <w:lang w:bidi="ar"/>
              </w:rPr>
              <w:t>二级标准限值要求</w:t>
            </w:r>
            <w:r>
              <w:rPr>
                <w:rFonts w:hint="eastAsia"/>
                <w:color w:val="auto"/>
                <w:kern w:val="0"/>
                <w:sz w:val="24"/>
                <w:lang w:bidi="ar"/>
              </w:rPr>
              <w:t>，因此本项目所在区域为达标区</w:t>
            </w:r>
            <w:r>
              <w:rPr>
                <w:color w:val="auto"/>
                <w:kern w:val="0"/>
                <w:sz w:val="24"/>
                <w:lang w:bidi="ar"/>
              </w:rPr>
              <w:t>。</w:t>
            </w:r>
          </w:p>
          <w:p w14:paraId="72522304">
            <w:pPr>
              <w:adjustRightInd w:val="0"/>
              <w:snapToGrid w:val="0"/>
              <w:spacing w:line="360" w:lineRule="auto"/>
              <w:ind w:firstLine="482" w:firstLineChars="200"/>
              <w:outlineLvl w:val="9"/>
              <w:rPr>
                <w:b/>
                <w:bCs/>
                <w:color w:val="auto"/>
                <w:sz w:val="24"/>
              </w:rPr>
            </w:pPr>
            <w:r>
              <w:rPr>
                <w:rFonts w:hint="eastAsia"/>
                <w:b/>
                <w:bCs/>
                <w:color w:val="auto"/>
                <w:sz w:val="24"/>
              </w:rPr>
              <w:t>1.2</w:t>
            </w:r>
            <w:r>
              <w:rPr>
                <w:b/>
                <w:bCs/>
                <w:color w:val="auto"/>
                <w:sz w:val="24"/>
              </w:rPr>
              <w:t>其他污染物环境质量现状</w:t>
            </w:r>
          </w:p>
          <w:p w14:paraId="3AC47149">
            <w:pPr>
              <w:spacing w:line="360" w:lineRule="auto"/>
              <w:ind w:firstLine="480" w:firstLineChars="200"/>
              <w:outlineLvl w:val="9"/>
              <w:rPr>
                <w:color w:val="auto"/>
                <w:sz w:val="24"/>
              </w:rPr>
            </w:pPr>
            <w:r>
              <w:rPr>
                <w:rFonts w:hint="default" w:ascii="Times New Roman" w:hAnsi="Times New Roman" w:eastAsia="宋体" w:cs="Times New Roman"/>
                <w:color w:val="auto"/>
                <w:sz w:val="24"/>
                <w:szCs w:val="21"/>
                <w:highlight w:val="none"/>
                <w:lang w:val="en-US" w:eastAsia="zh-CN"/>
              </w:rPr>
              <w:t>本项目</w:t>
            </w:r>
            <w:r>
              <w:rPr>
                <w:rFonts w:hint="default" w:ascii="Times New Roman" w:hAnsi="Times New Roman" w:eastAsia="宋体" w:cs="Times New Roman"/>
                <w:color w:val="auto"/>
                <w:sz w:val="24"/>
                <w:szCs w:val="21"/>
                <w:highlight w:val="none"/>
              </w:rPr>
              <w:t>涉及的</w:t>
            </w:r>
            <w:r>
              <w:rPr>
                <w:rFonts w:hint="eastAsia" w:ascii="Times New Roman" w:hAnsi="Times New Roman" w:eastAsia="宋体" w:cs="Times New Roman"/>
                <w:color w:val="auto"/>
                <w:sz w:val="24"/>
                <w:szCs w:val="21"/>
                <w:highlight w:val="none"/>
                <w:lang w:val="en-US" w:eastAsia="zh-CN"/>
              </w:rPr>
              <w:t>特征</w:t>
            </w:r>
            <w:r>
              <w:rPr>
                <w:rFonts w:hint="default" w:ascii="Times New Roman" w:hAnsi="Times New Roman" w:eastAsia="宋体" w:cs="Times New Roman"/>
                <w:color w:val="auto"/>
                <w:sz w:val="24"/>
                <w:szCs w:val="21"/>
                <w:highlight w:val="none"/>
              </w:rPr>
              <w:t>污染物为</w:t>
            </w:r>
            <w:bookmarkStart w:id="74" w:name="OLE_LINK134"/>
            <w:r>
              <w:rPr>
                <w:rFonts w:hint="eastAsia" w:ascii="Times New Roman" w:hAnsi="Times New Roman" w:eastAsia="宋体" w:cs="Times New Roman"/>
                <w:color w:val="auto"/>
                <w:sz w:val="24"/>
                <w:szCs w:val="21"/>
                <w:highlight w:val="none"/>
                <w:lang w:val="en-US" w:eastAsia="zh-CN"/>
              </w:rPr>
              <w:t>TSP、非甲烷总烃</w:t>
            </w:r>
            <w:bookmarkEnd w:id="74"/>
            <w:r>
              <w:rPr>
                <w:rFonts w:hint="eastAsia" w:cs="Times New Roman"/>
                <w:color w:val="auto"/>
                <w:sz w:val="24"/>
                <w:szCs w:val="21"/>
                <w:highlight w:val="none"/>
                <w:lang w:val="en-US" w:eastAsia="zh-CN"/>
              </w:rPr>
              <w:t>。</w:t>
            </w:r>
            <w:r>
              <w:rPr>
                <w:color w:val="auto"/>
                <w:sz w:val="24"/>
              </w:rPr>
              <w:t>根据《建设项目环境影响报告表编制技术指南（污染影响类）（试行）》中“排放国家、地方环境空气质量标准中有标准限值要求的特征污染物时，引用建设项目周边 5 千米范围内近 3 年的现有监测数据，无相关数据的选择当季主导风向下风向1个点位补充不少于3天的监测数据。”</w:t>
            </w:r>
          </w:p>
          <w:p w14:paraId="4674684B">
            <w:pPr>
              <w:tabs>
                <w:tab w:val="left" w:pos="2520"/>
              </w:tabs>
              <w:adjustRightInd w:val="0"/>
              <w:snapToGrid w:val="0"/>
              <w:spacing w:line="360" w:lineRule="auto"/>
              <w:ind w:firstLine="480" w:firstLineChars="200"/>
              <w:outlineLvl w:val="9"/>
              <w:rPr>
                <w:rFonts w:hint="default"/>
                <w:color w:val="auto"/>
                <w:kern w:val="21"/>
                <w:sz w:val="24"/>
                <w:lang w:val="en-US" w:eastAsia="zh-CN"/>
              </w:rPr>
            </w:pPr>
            <w:r>
              <w:rPr>
                <w:rFonts w:hint="eastAsia"/>
                <w:color w:val="auto"/>
                <w:kern w:val="21"/>
                <w:sz w:val="24"/>
              </w:rPr>
              <w:t>本项目</w:t>
            </w:r>
            <w:r>
              <w:rPr>
                <w:rFonts w:hint="eastAsia"/>
                <w:color w:val="auto"/>
                <w:kern w:val="21"/>
                <w:sz w:val="24"/>
                <w:lang w:val="en-US" w:eastAsia="zh-CN"/>
              </w:rPr>
              <w:t>有环境空气质量标准的</w:t>
            </w:r>
            <w:r>
              <w:rPr>
                <w:rFonts w:hint="eastAsia"/>
                <w:color w:val="auto"/>
                <w:kern w:val="21"/>
                <w:sz w:val="24"/>
              </w:rPr>
              <w:t>特征因子为TSP</w:t>
            </w:r>
            <w:r>
              <w:rPr>
                <w:rFonts w:hint="eastAsia"/>
                <w:color w:val="auto"/>
                <w:kern w:val="21"/>
                <w:sz w:val="24"/>
                <w:lang w:eastAsia="zh-CN"/>
              </w:rPr>
              <w:t>，</w:t>
            </w:r>
            <w:r>
              <w:rPr>
                <w:color w:val="auto"/>
                <w:sz w:val="24"/>
              </w:rPr>
              <w:t>本次评价</w:t>
            </w:r>
            <w:r>
              <w:rPr>
                <w:rFonts w:hint="eastAsia"/>
                <w:color w:val="auto"/>
                <w:sz w:val="24"/>
                <w:lang w:val="en-US" w:eastAsia="zh-CN"/>
              </w:rPr>
              <w:t>引用《朝阳红山化工有限责任公司年产20000t乳化炸药生产线扩能升级改造项目》监测结果，</w:t>
            </w:r>
            <w:r>
              <w:rPr>
                <w:rFonts w:hint="eastAsia"/>
                <w:color w:val="auto"/>
                <w:kern w:val="21"/>
                <w:sz w:val="24"/>
                <w:lang w:val="en-US" w:eastAsia="zh-CN"/>
              </w:rPr>
              <w:t>监测点位位于本项目西南侧小城子村，距离约1.0km，监测报告详见附件。</w:t>
            </w:r>
          </w:p>
          <w:p w14:paraId="02497DFB">
            <w:pPr>
              <w:tabs>
                <w:tab w:val="left" w:pos="2520"/>
              </w:tabs>
              <w:adjustRightInd w:val="0"/>
              <w:snapToGrid w:val="0"/>
              <w:spacing w:line="360" w:lineRule="auto"/>
              <w:ind w:firstLine="480" w:firstLineChars="200"/>
              <w:outlineLvl w:val="9"/>
              <w:rPr>
                <w:rFonts w:hint="eastAsia"/>
                <w:color w:val="auto"/>
                <w:kern w:val="21"/>
                <w:sz w:val="24"/>
                <w:lang w:eastAsia="zh-CN"/>
              </w:rPr>
            </w:pPr>
            <w:r>
              <w:rPr>
                <w:rFonts w:hint="eastAsia"/>
                <w:color w:val="auto"/>
                <w:kern w:val="21"/>
                <w:sz w:val="24"/>
              </w:rPr>
              <w:t>本次评价引用监测数据检测时间在3年以内，监测点位在</w:t>
            </w:r>
            <w:r>
              <w:rPr>
                <w:rFonts w:hint="eastAsia"/>
                <w:color w:val="auto"/>
                <w:kern w:val="21"/>
                <w:sz w:val="24"/>
                <w:lang w:val="en-US" w:eastAsia="zh-CN"/>
              </w:rPr>
              <w:t>本项目周边</w:t>
            </w:r>
            <w:r>
              <w:rPr>
                <w:rFonts w:hint="eastAsia"/>
                <w:color w:val="auto"/>
                <w:kern w:val="21"/>
                <w:sz w:val="24"/>
              </w:rPr>
              <w:t>5km 范围内满足《建设项目环境影响报告表编制技术指南</w:t>
            </w:r>
            <w:r>
              <w:rPr>
                <w:rFonts w:hint="eastAsia"/>
                <w:color w:val="auto"/>
                <w:kern w:val="21"/>
                <w:sz w:val="24"/>
                <w:lang w:eastAsia="zh-CN"/>
              </w:rPr>
              <w:t>（</w:t>
            </w:r>
            <w:r>
              <w:rPr>
                <w:rFonts w:hint="eastAsia"/>
                <w:color w:val="auto"/>
                <w:kern w:val="21"/>
                <w:sz w:val="24"/>
              </w:rPr>
              <w:t>污染影响类</w:t>
            </w:r>
            <w:r>
              <w:rPr>
                <w:rFonts w:hint="eastAsia"/>
                <w:color w:val="auto"/>
                <w:kern w:val="21"/>
                <w:sz w:val="24"/>
                <w:lang w:eastAsia="zh-CN"/>
              </w:rPr>
              <w:t>）（</w:t>
            </w:r>
            <w:r>
              <w:rPr>
                <w:rFonts w:hint="eastAsia"/>
                <w:color w:val="auto"/>
                <w:kern w:val="21"/>
                <w:sz w:val="24"/>
              </w:rPr>
              <w:t>试行</w:t>
            </w:r>
            <w:r>
              <w:rPr>
                <w:rFonts w:hint="eastAsia"/>
                <w:color w:val="auto"/>
                <w:kern w:val="21"/>
                <w:sz w:val="24"/>
                <w:lang w:eastAsia="zh-CN"/>
              </w:rPr>
              <w:t>）</w:t>
            </w:r>
            <w:r>
              <w:rPr>
                <w:rFonts w:hint="eastAsia"/>
                <w:color w:val="auto"/>
                <w:kern w:val="21"/>
                <w:sz w:val="24"/>
              </w:rPr>
              <w:t>》要求</w:t>
            </w:r>
            <w:r>
              <w:rPr>
                <w:rFonts w:hint="eastAsia"/>
                <w:color w:val="auto"/>
                <w:kern w:val="21"/>
                <w:sz w:val="24"/>
                <w:lang w:eastAsia="zh-CN"/>
              </w:rPr>
              <w:t>。</w:t>
            </w:r>
          </w:p>
          <w:p w14:paraId="25F87C48">
            <w:pPr>
              <w:adjustRightInd w:val="0"/>
              <w:snapToGrid w:val="0"/>
              <w:spacing w:line="500" w:lineRule="exact"/>
              <w:jc w:val="center"/>
              <w:outlineLvl w:val="9"/>
              <w:rPr>
                <w:rFonts w:hint="default"/>
                <w:b/>
                <w:bCs/>
                <w:color w:val="auto"/>
                <w:sz w:val="21"/>
                <w:szCs w:val="21"/>
                <w:lang w:val="en-US" w:eastAsia="zh-CN"/>
              </w:rPr>
            </w:pPr>
            <w:r>
              <w:rPr>
                <w:rFonts w:hint="default"/>
                <w:b/>
                <w:bCs/>
                <w:color w:val="auto"/>
                <w:sz w:val="21"/>
                <w:szCs w:val="21"/>
                <w:lang w:val="en-US" w:eastAsia="zh-CN"/>
              </w:rPr>
              <w:t>表3-</w:t>
            </w:r>
            <w:r>
              <w:rPr>
                <w:rFonts w:hint="eastAsia"/>
                <w:b/>
                <w:bCs/>
                <w:color w:val="auto"/>
                <w:sz w:val="21"/>
                <w:szCs w:val="21"/>
                <w:lang w:val="en-US" w:eastAsia="zh-CN"/>
              </w:rPr>
              <w:t xml:space="preserve">2 </w:t>
            </w:r>
            <w:r>
              <w:rPr>
                <w:rFonts w:hint="default"/>
                <w:b/>
                <w:bCs/>
                <w:color w:val="auto"/>
                <w:sz w:val="21"/>
                <w:szCs w:val="21"/>
                <w:lang w:val="en-US" w:eastAsia="zh-CN"/>
              </w:rPr>
              <w:t xml:space="preserve"> 其他污染物环境质量现状监测结果表</w:t>
            </w:r>
          </w:p>
          <w:tbl>
            <w:tblPr>
              <w:tblStyle w:val="32"/>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3"/>
              <w:gridCol w:w="1378"/>
              <w:gridCol w:w="1104"/>
              <w:gridCol w:w="736"/>
              <w:gridCol w:w="637"/>
              <w:gridCol w:w="1070"/>
              <w:gridCol w:w="926"/>
              <w:gridCol w:w="786"/>
              <w:gridCol w:w="786"/>
              <w:gridCol w:w="416"/>
            </w:tblGrid>
            <w:tr w14:paraId="12E63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307" w:type="pct"/>
                  <w:vMerge w:val="restart"/>
                  <w:tcBorders>
                    <w:tl2br w:val="nil"/>
                    <w:tr2bl w:val="nil"/>
                  </w:tcBorders>
                  <w:vAlign w:val="center"/>
                </w:tcPr>
                <w:p w14:paraId="05937E30">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监测点位</w:t>
                  </w:r>
                </w:p>
              </w:tc>
              <w:tc>
                <w:tcPr>
                  <w:tcW w:w="1484" w:type="pct"/>
                  <w:gridSpan w:val="2"/>
                  <w:tcBorders>
                    <w:tl2br w:val="nil"/>
                    <w:tr2bl w:val="nil"/>
                  </w:tcBorders>
                  <w:vAlign w:val="center"/>
                </w:tcPr>
                <w:p w14:paraId="0398CB02">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监测点位坐标</w:t>
                  </w:r>
                </w:p>
              </w:tc>
              <w:tc>
                <w:tcPr>
                  <w:tcW w:w="440" w:type="pct"/>
                  <w:vMerge w:val="restart"/>
                  <w:tcBorders>
                    <w:tl2br w:val="nil"/>
                    <w:tr2bl w:val="nil"/>
                  </w:tcBorders>
                  <w:vAlign w:val="center"/>
                </w:tcPr>
                <w:p w14:paraId="7A85DF49">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381" w:type="pct"/>
                  <w:vMerge w:val="restart"/>
                  <w:tcBorders>
                    <w:tl2br w:val="nil"/>
                    <w:tr2bl w:val="nil"/>
                  </w:tcBorders>
                  <w:vAlign w:val="center"/>
                </w:tcPr>
                <w:p w14:paraId="65B4B745">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平均时间</w:t>
                  </w:r>
                </w:p>
              </w:tc>
              <w:tc>
                <w:tcPr>
                  <w:tcW w:w="640" w:type="pct"/>
                  <w:vMerge w:val="restart"/>
                  <w:tcBorders>
                    <w:tl2br w:val="nil"/>
                    <w:tr2bl w:val="nil"/>
                  </w:tcBorders>
                  <w:vAlign w:val="center"/>
                </w:tcPr>
                <w:p w14:paraId="589B43A2">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评价标准（μg/m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554" w:type="pct"/>
                  <w:vMerge w:val="restart"/>
                  <w:tcBorders>
                    <w:tl2br w:val="nil"/>
                    <w:tr2bl w:val="nil"/>
                  </w:tcBorders>
                  <w:vAlign w:val="center"/>
                </w:tcPr>
                <w:p w14:paraId="371371F1">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监测浓度范围（μg/m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470" w:type="pct"/>
                  <w:vMerge w:val="restart"/>
                  <w:tcBorders>
                    <w:tl2br w:val="nil"/>
                    <w:tr2bl w:val="nil"/>
                  </w:tcBorders>
                  <w:vAlign w:val="center"/>
                </w:tcPr>
                <w:p w14:paraId="20AE6655">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最大浓度占标率（%）</w:t>
                  </w:r>
                </w:p>
              </w:tc>
              <w:tc>
                <w:tcPr>
                  <w:tcW w:w="470" w:type="pct"/>
                  <w:vMerge w:val="restart"/>
                  <w:tcBorders>
                    <w:tl2br w:val="nil"/>
                    <w:tr2bl w:val="nil"/>
                  </w:tcBorders>
                  <w:vAlign w:val="center"/>
                </w:tcPr>
                <w:p w14:paraId="3A7C56B9">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超标率（%）</w:t>
                  </w:r>
                </w:p>
              </w:tc>
              <w:tc>
                <w:tcPr>
                  <w:tcW w:w="249" w:type="pct"/>
                  <w:vMerge w:val="restart"/>
                  <w:tcBorders>
                    <w:tl2br w:val="nil"/>
                    <w:tr2bl w:val="nil"/>
                  </w:tcBorders>
                  <w:vAlign w:val="center"/>
                </w:tcPr>
                <w:p w14:paraId="1480ACA3">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达标情况</w:t>
                  </w:r>
                </w:p>
              </w:tc>
            </w:tr>
            <w:tr w14:paraId="6CDF2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307" w:type="pct"/>
                  <w:vMerge w:val="continue"/>
                  <w:tcBorders>
                    <w:tl2br w:val="nil"/>
                    <w:tr2bl w:val="nil"/>
                  </w:tcBorders>
                  <w:vAlign w:val="center"/>
                </w:tcPr>
                <w:p w14:paraId="35C37CEA">
                  <w:pPr>
                    <w:jc w:val="center"/>
                    <w:outlineLvl w:val="9"/>
                    <w:rPr>
                      <w:rFonts w:hint="default" w:ascii="Times New Roman" w:hAnsi="Times New Roman" w:cs="Times New Roman"/>
                      <w:color w:val="auto"/>
                    </w:rPr>
                  </w:pPr>
                </w:p>
              </w:tc>
              <w:tc>
                <w:tcPr>
                  <w:tcW w:w="824" w:type="pct"/>
                  <w:tcBorders>
                    <w:tl2br w:val="nil"/>
                    <w:tr2bl w:val="nil"/>
                  </w:tcBorders>
                  <w:vAlign w:val="center"/>
                </w:tcPr>
                <w:p w14:paraId="16FB2F34">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经度</w:t>
                  </w:r>
                </w:p>
              </w:tc>
              <w:tc>
                <w:tcPr>
                  <w:tcW w:w="660" w:type="pct"/>
                  <w:tcBorders>
                    <w:tl2br w:val="nil"/>
                    <w:tr2bl w:val="nil"/>
                  </w:tcBorders>
                  <w:vAlign w:val="center"/>
                </w:tcPr>
                <w:p w14:paraId="3B88E606">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纬度</w:t>
                  </w:r>
                </w:p>
              </w:tc>
              <w:tc>
                <w:tcPr>
                  <w:tcW w:w="440" w:type="pct"/>
                  <w:vMerge w:val="continue"/>
                  <w:tcBorders>
                    <w:tl2br w:val="nil"/>
                    <w:tr2bl w:val="nil"/>
                  </w:tcBorders>
                  <w:vAlign w:val="center"/>
                </w:tcPr>
                <w:p w14:paraId="27CF4295">
                  <w:pPr>
                    <w:jc w:val="center"/>
                    <w:outlineLvl w:val="9"/>
                    <w:rPr>
                      <w:rFonts w:hint="default" w:ascii="Times New Roman" w:hAnsi="Times New Roman" w:cs="Times New Roman"/>
                      <w:color w:val="auto"/>
                      <w:szCs w:val="21"/>
                    </w:rPr>
                  </w:pPr>
                </w:p>
              </w:tc>
              <w:tc>
                <w:tcPr>
                  <w:tcW w:w="381" w:type="pct"/>
                  <w:vMerge w:val="continue"/>
                  <w:tcBorders>
                    <w:tl2br w:val="nil"/>
                    <w:tr2bl w:val="nil"/>
                  </w:tcBorders>
                  <w:vAlign w:val="center"/>
                </w:tcPr>
                <w:p w14:paraId="72BBD97C">
                  <w:pPr>
                    <w:jc w:val="center"/>
                    <w:outlineLvl w:val="9"/>
                    <w:rPr>
                      <w:rFonts w:hint="default" w:ascii="Times New Roman" w:hAnsi="Times New Roman" w:cs="Times New Roman"/>
                      <w:color w:val="auto"/>
                      <w:szCs w:val="21"/>
                    </w:rPr>
                  </w:pPr>
                </w:p>
              </w:tc>
              <w:tc>
                <w:tcPr>
                  <w:tcW w:w="640" w:type="pct"/>
                  <w:vMerge w:val="continue"/>
                  <w:tcBorders>
                    <w:tl2br w:val="nil"/>
                    <w:tr2bl w:val="nil"/>
                  </w:tcBorders>
                  <w:vAlign w:val="center"/>
                </w:tcPr>
                <w:p w14:paraId="561D0CA5">
                  <w:pPr>
                    <w:jc w:val="center"/>
                    <w:outlineLvl w:val="9"/>
                    <w:rPr>
                      <w:rFonts w:hint="default" w:ascii="Times New Roman" w:hAnsi="Times New Roman" w:cs="Times New Roman"/>
                      <w:color w:val="auto"/>
                      <w:szCs w:val="21"/>
                    </w:rPr>
                  </w:pPr>
                </w:p>
              </w:tc>
              <w:tc>
                <w:tcPr>
                  <w:tcW w:w="554" w:type="pct"/>
                  <w:vMerge w:val="continue"/>
                  <w:tcBorders>
                    <w:tl2br w:val="nil"/>
                    <w:tr2bl w:val="nil"/>
                  </w:tcBorders>
                  <w:vAlign w:val="center"/>
                </w:tcPr>
                <w:p w14:paraId="21996477">
                  <w:pPr>
                    <w:jc w:val="center"/>
                    <w:outlineLvl w:val="9"/>
                    <w:rPr>
                      <w:rFonts w:hint="default" w:ascii="Times New Roman" w:hAnsi="Times New Roman" w:cs="Times New Roman"/>
                      <w:color w:val="auto"/>
                      <w:szCs w:val="21"/>
                    </w:rPr>
                  </w:pPr>
                </w:p>
              </w:tc>
              <w:tc>
                <w:tcPr>
                  <w:tcW w:w="470" w:type="pct"/>
                  <w:vMerge w:val="continue"/>
                  <w:tcBorders>
                    <w:tl2br w:val="nil"/>
                    <w:tr2bl w:val="nil"/>
                  </w:tcBorders>
                  <w:vAlign w:val="center"/>
                </w:tcPr>
                <w:p w14:paraId="6FCF4AC1">
                  <w:pPr>
                    <w:jc w:val="center"/>
                    <w:outlineLvl w:val="9"/>
                    <w:rPr>
                      <w:rFonts w:hint="default" w:ascii="Times New Roman" w:hAnsi="Times New Roman" w:cs="Times New Roman"/>
                      <w:color w:val="auto"/>
                      <w:szCs w:val="21"/>
                    </w:rPr>
                  </w:pPr>
                </w:p>
              </w:tc>
              <w:tc>
                <w:tcPr>
                  <w:tcW w:w="470" w:type="pct"/>
                  <w:vMerge w:val="continue"/>
                  <w:tcBorders>
                    <w:tl2br w:val="nil"/>
                    <w:tr2bl w:val="nil"/>
                  </w:tcBorders>
                  <w:vAlign w:val="center"/>
                </w:tcPr>
                <w:p w14:paraId="0BB5B94C">
                  <w:pPr>
                    <w:jc w:val="center"/>
                    <w:outlineLvl w:val="9"/>
                    <w:rPr>
                      <w:rFonts w:hint="default" w:ascii="Times New Roman" w:hAnsi="Times New Roman" w:cs="Times New Roman"/>
                      <w:color w:val="auto"/>
                      <w:szCs w:val="21"/>
                    </w:rPr>
                  </w:pPr>
                </w:p>
              </w:tc>
              <w:tc>
                <w:tcPr>
                  <w:tcW w:w="249" w:type="pct"/>
                  <w:vMerge w:val="continue"/>
                  <w:tcBorders>
                    <w:tl2br w:val="nil"/>
                    <w:tr2bl w:val="nil"/>
                  </w:tcBorders>
                  <w:vAlign w:val="center"/>
                </w:tcPr>
                <w:p w14:paraId="2CB5E016">
                  <w:pPr>
                    <w:jc w:val="center"/>
                    <w:outlineLvl w:val="9"/>
                    <w:rPr>
                      <w:rFonts w:hint="default" w:ascii="Times New Roman" w:hAnsi="Times New Roman" w:cs="Times New Roman"/>
                      <w:color w:val="auto"/>
                      <w:szCs w:val="21"/>
                    </w:rPr>
                  </w:pPr>
                </w:p>
              </w:tc>
            </w:tr>
            <w:tr w14:paraId="0D401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307" w:type="pct"/>
                  <w:tcBorders>
                    <w:tl2br w:val="nil"/>
                    <w:tr2bl w:val="nil"/>
                  </w:tcBorders>
                  <w:vAlign w:val="center"/>
                </w:tcPr>
                <w:p w14:paraId="50E40E41">
                  <w:pPr>
                    <w:jc w:val="center"/>
                    <w:outlineLvl w:val="9"/>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小城子村</w:t>
                  </w:r>
                </w:p>
              </w:tc>
              <w:tc>
                <w:tcPr>
                  <w:tcW w:w="824" w:type="pct"/>
                  <w:tcBorders>
                    <w:tl2br w:val="nil"/>
                    <w:tr2bl w:val="nil"/>
                  </w:tcBorders>
                  <w:vAlign w:val="center"/>
                </w:tcPr>
                <w:p w14:paraId="6E3895A9">
                  <w:pPr>
                    <w:spacing w:line="360" w:lineRule="auto"/>
                    <w:jc w:val="center"/>
                    <w:outlineLvl w:val="9"/>
                    <w:rPr>
                      <w:rFonts w:hint="eastAsia" w:ascii="Times New Roman" w:hAnsi="Times New Roman" w:eastAsia="宋体" w:cs="Times New Roman"/>
                      <w:color w:val="auto"/>
                      <w:szCs w:val="21"/>
                      <w:lang w:val="en-US" w:eastAsia="zh-CN"/>
                    </w:rPr>
                  </w:pPr>
                  <w:r>
                    <w:rPr>
                      <w:rFonts w:hint="default" w:ascii="Times New Roman" w:hAnsi="Times New Roman" w:eastAsia="宋体" w:cs="Times New Roman"/>
                      <w:color w:val="auto"/>
                      <w:position w:val="0"/>
                      <w:sz w:val="21"/>
                      <w:szCs w:val="21"/>
                      <w:highlight w:val="none"/>
                      <w:lang w:val="en-US" w:eastAsia="zh-CN"/>
                    </w:rPr>
                    <w:t>119.703346297</w:t>
                  </w:r>
                </w:p>
              </w:tc>
              <w:tc>
                <w:tcPr>
                  <w:tcW w:w="660" w:type="pct"/>
                  <w:tcBorders>
                    <w:tl2br w:val="nil"/>
                    <w:tr2bl w:val="nil"/>
                  </w:tcBorders>
                  <w:vAlign w:val="center"/>
                </w:tcPr>
                <w:p w14:paraId="5678EF8B">
                  <w:pPr>
                    <w:spacing w:line="360" w:lineRule="auto"/>
                    <w:jc w:val="center"/>
                    <w:outlineLvl w:val="9"/>
                    <w:rPr>
                      <w:rFonts w:hint="default" w:ascii="Times New Roman" w:hAnsi="Times New Roman" w:cs="Times New Roman"/>
                      <w:color w:val="auto"/>
                      <w:szCs w:val="21"/>
                    </w:rPr>
                  </w:pPr>
                  <w:r>
                    <w:rPr>
                      <w:rFonts w:hint="default" w:ascii="Times New Roman" w:hAnsi="Times New Roman" w:eastAsia="宋体" w:cs="Times New Roman"/>
                      <w:color w:val="auto"/>
                      <w:position w:val="0"/>
                      <w:sz w:val="21"/>
                      <w:szCs w:val="21"/>
                      <w:highlight w:val="none"/>
                      <w:lang w:val="en-US" w:eastAsia="zh-CN"/>
                    </w:rPr>
                    <w:t>41.145247646</w:t>
                  </w:r>
                </w:p>
              </w:tc>
              <w:tc>
                <w:tcPr>
                  <w:tcW w:w="440" w:type="pct"/>
                  <w:tcBorders>
                    <w:tl2br w:val="nil"/>
                    <w:tr2bl w:val="nil"/>
                  </w:tcBorders>
                  <w:vAlign w:val="center"/>
                </w:tcPr>
                <w:p w14:paraId="5B3CC512">
                  <w:pPr>
                    <w:spacing w:line="360" w:lineRule="auto"/>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TSP</w:t>
                  </w:r>
                </w:p>
              </w:tc>
              <w:tc>
                <w:tcPr>
                  <w:tcW w:w="381" w:type="pct"/>
                  <w:tcBorders>
                    <w:tl2br w:val="nil"/>
                    <w:tr2bl w:val="nil"/>
                  </w:tcBorders>
                  <w:vAlign w:val="center"/>
                </w:tcPr>
                <w:p w14:paraId="13DB73B2">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24小时均值</w:t>
                  </w:r>
                </w:p>
              </w:tc>
              <w:tc>
                <w:tcPr>
                  <w:tcW w:w="640" w:type="pct"/>
                  <w:tcBorders>
                    <w:tl2br w:val="nil"/>
                    <w:tr2bl w:val="nil"/>
                  </w:tcBorders>
                  <w:vAlign w:val="center"/>
                </w:tcPr>
                <w:p w14:paraId="0C2B047C">
                  <w:pPr>
                    <w:spacing w:line="360" w:lineRule="auto"/>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554" w:type="pct"/>
                  <w:tcBorders>
                    <w:tl2br w:val="nil"/>
                    <w:tr2bl w:val="nil"/>
                  </w:tcBorders>
                  <w:vAlign w:val="center"/>
                </w:tcPr>
                <w:p w14:paraId="04BC9CB4">
                  <w:pPr>
                    <w:spacing w:line="360" w:lineRule="auto"/>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100</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105</w:t>
                  </w:r>
                </w:p>
              </w:tc>
              <w:tc>
                <w:tcPr>
                  <w:tcW w:w="470" w:type="pct"/>
                  <w:tcBorders>
                    <w:tl2br w:val="nil"/>
                    <w:tr2bl w:val="nil"/>
                  </w:tcBorders>
                  <w:vAlign w:val="center"/>
                </w:tcPr>
                <w:p w14:paraId="6EBF25C3">
                  <w:pPr>
                    <w:spacing w:line="360" w:lineRule="auto"/>
                    <w:jc w:val="center"/>
                    <w:outlineLvl w:val="9"/>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35</w:t>
                  </w:r>
                </w:p>
              </w:tc>
              <w:tc>
                <w:tcPr>
                  <w:tcW w:w="470" w:type="pct"/>
                  <w:tcBorders>
                    <w:tl2br w:val="nil"/>
                    <w:tr2bl w:val="nil"/>
                  </w:tcBorders>
                  <w:vAlign w:val="center"/>
                </w:tcPr>
                <w:p w14:paraId="4950B10B">
                  <w:pPr>
                    <w:spacing w:line="360" w:lineRule="auto"/>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249" w:type="pct"/>
                  <w:tcBorders>
                    <w:tl2br w:val="nil"/>
                    <w:tr2bl w:val="nil"/>
                  </w:tcBorders>
                  <w:vAlign w:val="center"/>
                </w:tcPr>
                <w:p w14:paraId="37041176">
                  <w:pPr>
                    <w:spacing w:line="360" w:lineRule="auto"/>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bl>
          <w:p w14:paraId="31BB058B">
            <w:pPr>
              <w:tabs>
                <w:tab w:val="left" w:pos="2520"/>
              </w:tabs>
              <w:adjustRightInd w:val="0"/>
              <w:snapToGrid w:val="0"/>
              <w:spacing w:line="360" w:lineRule="auto"/>
              <w:ind w:firstLine="480" w:firstLineChars="200"/>
              <w:outlineLvl w:val="9"/>
              <w:rPr>
                <w:rFonts w:hint="eastAsia"/>
                <w:color w:val="auto"/>
                <w:kern w:val="21"/>
                <w:sz w:val="24"/>
                <w:lang w:eastAsia="zh-CN"/>
              </w:rPr>
            </w:pPr>
            <w:r>
              <w:rPr>
                <w:rFonts w:hint="eastAsia"/>
                <w:color w:val="auto"/>
                <w:kern w:val="21"/>
                <w:sz w:val="24"/>
                <w:lang w:eastAsia="zh-CN"/>
              </w:rPr>
              <w:t>由上表可知，建设项目所在地TSP满足《环境空气质量标</w:t>
            </w:r>
            <w:r>
              <w:rPr>
                <w:rFonts w:hint="eastAsia"/>
                <w:color w:val="auto"/>
                <w:kern w:val="21"/>
                <w:sz w:val="24"/>
                <w:lang w:val="en-US" w:eastAsia="zh-CN"/>
              </w:rPr>
              <w:t>准》（</w:t>
            </w:r>
            <w:r>
              <w:rPr>
                <w:rFonts w:hint="eastAsia"/>
                <w:color w:val="auto"/>
                <w:kern w:val="21"/>
                <w:sz w:val="24"/>
                <w:lang w:eastAsia="zh-CN"/>
              </w:rPr>
              <w:t>GB3095-20</w:t>
            </w:r>
            <w:r>
              <w:rPr>
                <w:rFonts w:hint="eastAsia"/>
                <w:color w:val="auto"/>
                <w:kern w:val="21"/>
                <w:sz w:val="24"/>
                <w:lang w:val="en-US" w:eastAsia="zh-CN"/>
              </w:rPr>
              <w:t>26）过渡期</w:t>
            </w:r>
            <w:r>
              <w:rPr>
                <w:rFonts w:hint="eastAsia"/>
                <w:color w:val="auto"/>
                <w:kern w:val="21"/>
                <w:sz w:val="24"/>
                <w:lang w:eastAsia="zh-CN"/>
              </w:rPr>
              <w:t>二级标准限值要求。</w:t>
            </w:r>
          </w:p>
          <w:p w14:paraId="567FA555">
            <w:pPr>
              <w:adjustRightInd w:val="0"/>
              <w:snapToGrid w:val="0"/>
              <w:spacing w:line="360" w:lineRule="auto"/>
              <w:ind w:firstLine="482" w:firstLineChars="200"/>
              <w:outlineLvl w:val="9"/>
              <w:rPr>
                <w:rFonts w:hint="eastAsia" w:eastAsia="宋体"/>
                <w:b/>
                <w:bCs/>
                <w:color w:val="auto"/>
                <w:sz w:val="24"/>
              </w:rPr>
            </w:pPr>
            <w:r>
              <w:rPr>
                <w:rFonts w:hint="eastAsia" w:eastAsia="宋体"/>
                <w:b/>
                <w:bCs/>
                <w:color w:val="auto"/>
                <w:sz w:val="24"/>
                <w:lang w:val="en-US" w:eastAsia="zh-CN"/>
              </w:rPr>
              <w:t>1.3</w:t>
            </w:r>
            <w:r>
              <w:rPr>
                <w:rFonts w:hint="default" w:eastAsia="宋体"/>
                <w:b/>
                <w:bCs/>
                <w:color w:val="auto"/>
                <w:sz w:val="24"/>
              </w:rPr>
              <w:t>朝阳古生物化石群自然保护区</w:t>
            </w:r>
            <w:r>
              <w:rPr>
                <w:rFonts w:hint="eastAsia" w:eastAsia="宋体"/>
                <w:b/>
                <w:bCs/>
                <w:color w:val="auto"/>
                <w:sz w:val="24"/>
              </w:rPr>
              <w:t>环境质量现状</w:t>
            </w:r>
          </w:p>
          <w:p w14:paraId="7DB89DB6">
            <w:pPr>
              <w:tabs>
                <w:tab w:val="left" w:pos="2520"/>
              </w:tabs>
              <w:adjustRightInd w:val="0"/>
              <w:snapToGrid w:val="0"/>
              <w:spacing w:line="360" w:lineRule="auto"/>
              <w:ind w:firstLine="480" w:firstLineChars="200"/>
              <w:outlineLvl w:val="9"/>
              <w:rPr>
                <w:rFonts w:hint="default" w:eastAsia="宋体"/>
                <w:color w:val="auto"/>
                <w:kern w:val="21"/>
                <w:sz w:val="24"/>
                <w:lang w:val="en-US" w:eastAsia="zh-CN"/>
              </w:rPr>
            </w:pPr>
            <w:r>
              <w:rPr>
                <w:rFonts w:hint="eastAsia"/>
                <w:color w:val="auto"/>
                <w:kern w:val="21"/>
                <w:sz w:val="24"/>
                <w:lang w:val="en-US" w:eastAsia="zh-CN"/>
              </w:rPr>
              <w:t>本次评价引用《</w:t>
            </w:r>
            <w:r>
              <w:rPr>
                <w:rFonts w:hint="eastAsia"/>
                <w:color w:val="auto"/>
                <w:sz w:val="24"/>
                <w:lang w:val="en-US" w:eastAsia="zh-CN"/>
              </w:rPr>
              <w:t>朝阳红山化工有限责任公司年产20000t乳化炸药生产线扩能升级改造项目</w:t>
            </w:r>
            <w:r>
              <w:rPr>
                <w:rFonts w:hint="eastAsia"/>
                <w:color w:val="auto"/>
                <w:kern w:val="21"/>
                <w:sz w:val="24"/>
                <w:lang w:val="en-US" w:eastAsia="zh-CN"/>
              </w:rPr>
              <w:t>》监测数据，</w:t>
            </w:r>
            <w:r>
              <w:rPr>
                <w:rFonts w:hint="eastAsia" w:eastAsia="宋体"/>
                <w:color w:val="auto"/>
                <w:kern w:val="21"/>
                <w:sz w:val="24"/>
                <w:lang w:val="en-US" w:eastAsia="zh-CN"/>
              </w:rPr>
              <w:t>监测结果详见附件。</w:t>
            </w:r>
          </w:p>
          <w:p w14:paraId="0D58BA0F">
            <w:pPr>
              <w:spacing w:before="65" w:line="228" w:lineRule="auto"/>
              <w:jc w:val="center"/>
              <w:rPr>
                <w:rFonts w:hint="eastAsia" w:ascii="宋体" w:hAnsi="宋体" w:eastAsia="宋体" w:cs="宋体"/>
                <w:b/>
                <w:bCs/>
                <w:color w:val="auto"/>
                <w:sz w:val="20"/>
                <w:szCs w:val="20"/>
                <w:lang w:val="en-US" w:eastAsia="zh-CN"/>
              </w:rPr>
            </w:pPr>
            <w:r>
              <w:rPr>
                <w:rFonts w:hint="default" w:ascii="Times New Roman" w:hAnsi="Times New Roman" w:eastAsia="宋体" w:cs="Times New Roman"/>
                <w:b/>
                <w:bCs/>
                <w:caps w:val="0"/>
                <w:smallCaps w:val="0"/>
                <w:color w:val="auto"/>
                <w:spacing w:val="0"/>
                <w:sz w:val="24"/>
                <w:highlight w:val="none"/>
              </w:rPr>
              <w:t>表</w:t>
            </w:r>
            <w:r>
              <w:rPr>
                <w:rFonts w:hint="eastAsia" w:cs="Times New Roman"/>
                <w:b/>
                <w:bCs/>
                <w:caps w:val="0"/>
                <w:smallCaps w:val="0"/>
                <w:color w:val="auto"/>
                <w:spacing w:val="0"/>
                <w:sz w:val="24"/>
                <w:highlight w:val="none"/>
                <w:lang w:val="en-US" w:eastAsia="zh-CN"/>
              </w:rPr>
              <w:t>3-3</w:t>
            </w:r>
            <w:r>
              <w:rPr>
                <w:rFonts w:hint="default" w:ascii="Times New Roman" w:hAnsi="Times New Roman" w:eastAsia="宋体" w:cs="Times New Roman"/>
                <w:b/>
                <w:bCs/>
                <w:caps w:val="0"/>
                <w:smallCaps w:val="0"/>
                <w:color w:val="auto"/>
                <w:spacing w:val="0"/>
                <w:sz w:val="24"/>
                <w:highlight w:val="none"/>
              </w:rPr>
              <w:t xml:space="preserve">  朝阳古生物化石群自然保护区环境空气监测结果</w:t>
            </w:r>
            <w:r>
              <w:rPr>
                <w:rFonts w:hint="eastAsia" w:eastAsia="宋体" w:cs="Times New Roman"/>
                <w:b/>
                <w:bCs/>
                <w:caps w:val="0"/>
                <w:smallCaps w:val="0"/>
                <w:color w:val="auto"/>
                <w:spacing w:val="0"/>
                <w:sz w:val="24"/>
                <w:highlight w:val="none"/>
                <w:lang w:val="en-US" w:eastAsia="zh-CN"/>
              </w:rPr>
              <w:t>表</w:t>
            </w:r>
          </w:p>
          <w:tbl>
            <w:tblPr>
              <w:tblStyle w:val="32"/>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087"/>
              <w:gridCol w:w="1193"/>
              <w:gridCol w:w="1082"/>
              <w:gridCol w:w="1486"/>
              <w:gridCol w:w="1028"/>
              <w:gridCol w:w="814"/>
              <w:gridCol w:w="808"/>
            </w:tblGrid>
            <w:tr w14:paraId="0F614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pct"/>
                  <w:vMerge w:val="restart"/>
                  <w:tcBorders>
                    <w:tl2br w:val="nil"/>
                    <w:tr2bl w:val="nil"/>
                  </w:tcBorders>
                  <w:noWrap w:val="0"/>
                  <w:vAlign w:val="center"/>
                </w:tcPr>
                <w:p w14:paraId="177EDB29">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监测点位</w:t>
                  </w:r>
                </w:p>
              </w:tc>
              <w:tc>
                <w:tcPr>
                  <w:tcW w:w="651" w:type="pct"/>
                  <w:vMerge w:val="restart"/>
                  <w:tcBorders>
                    <w:tl2br w:val="nil"/>
                    <w:tr2bl w:val="nil"/>
                  </w:tcBorders>
                  <w:noWrap w:val="0"/>
                  <w:vAlign w:val="center"/>
                </w:tcPr>
                <w:p w14:paraId="4B7E1E16">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污染物</w:t>
                  </w:r>
                </w:p>
              </w:tc>
              <w:tc>
                <w:tcPr>
                  <w:tcW w:w="714" w:type="pct"/>
                  <w:vMerge w:val="restart"/>
                  <w:tcBorders>
                    <w:tl2br w:val="nil"/>
                    <w:tr2bl w:val="nil"/>
                  </w:tcBorders>
                  <w:noWrap w:val="0"/>
                  <w:vAlign w:val="center"/>
                </w:tcPr>
                <w:p w14:paraId="45AD799B">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平均时间</w:t>
                  </w:r>
                </w:p>
              </w:tc>
              <w:tc>
                <w:tcPr>
                  <w:tcW w:w="648" w:type="pct"/>
                  <w:vMerge w:val="restart"/>
                  <w:tcBorders>
                    <w:tl2br w:val="nil"/>
                    <w:tr2bl w:val="nil"/>
                  </w:tcBorders>
                  <w:noWrap w:val="0"/>
                  <w:vAlign w:val="center"/>
                </w:tcPr>
                <w:p w14:paraId="6B3F66FC">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评价标准/（</w:t>
                  </w:r>
                  <w:r>
                    <w:rPr>
                      <w:rFonts w:hint="default" w:ascii="Times New Roman" w:hAnsi="Times New Roman" w:cs="Times New Roman"/>
                      <w:b/>
                      <w:bCs/>
                      <w:color w:val="auto"/>
                      <w:kern w:val="0"/>
                      <w:sz w:val="21"/>
                      <w:szCs w:val="21"/>
                      <w:highlight w:val="none"/>
                      <w:lang w:val="en-US" w:eastAsia="zh-CN" w:bidi="ar"/>
                    </w:rPr>
                    <w:t>m</w:t>
                  </w:r>
                  <w:r>
                    <w:rPr>
                      <w:rFonts w:hint="default" w:ascii="Times New Roman" w:hAnsi="Times New Roman" w:cs="Times New Roman"/>
                      <w:b/>
                      <w:bCs/>
                      <w:color w:val="auto"/>
                      <w:kern w:val="0"/>
                      <w:sz w:val="21"/>
                      <w:szCs w:val="21"/>
                      <w:highlight w:val="none"/>
                      <w:lang w:bidi="ar"/>
                    </w:rPr>
                    <w:t>g/m</w:t>
                  </w:r>
                  <w:r>
                    <w:rPr>
                      <w:rFonts w:hint="default" w:ascii="Times New Roman" w:hAnsi="Times New Roman" w:cs="Times New Roman"/>
                      <w:b/>
                      <w:bCs/>
                      <w:color w:val="auto"/>
                      <w:kern w:val="0"/>
                      <w:sz w:val="21"/>
                      <w:szCs w:val="21"/>
                      <w:highlight w:val="none"/>
                      <w:vertAlign w:val="superscript"/>
                      <w:lang w:bidi="ar"/>
                    </w:rPr>
                    <w:t>3</w:t>
                  </w:r>
                  <w:r>
                    <w:rPr>
                      <w:rFonts w:hint="default" w:ascii="Times New Roman" w:hAnsi="Times New Roman" w:cs="Times New Roman"/>
                      <w:b/>
                      <w:bCs/>
                      <w:color w:val="auto"/>
                      <w:kern w:val="0"/>
                      <w:sz w:val="21"/>
                      <w:szCs w:val="21"/>
                      <w:highlight w:val="none"/>
                      <w:lang w:bidi="ar"/>
                    </w:rPr>
                    <w:t>）</w:t>
                  </w:r>
                </w:p>
              </w:tc>
              <w:tc>
                <w:tcPr>
                  <w:tcW w:w="890" w:type="pct"/>
                  <w:vMerge w:val="restart"/>
                  <w:tcBorders>
                    <w:tl2br w:val="nil"/>
                    <w:tr2bl w:val="nil"/>
                  </w:tcBorders>
                  <w:noWrap w:val="0"/>
                  <w:vAlign w:val="center"/>
                </w:tcPr>
                <w:p w14:paraId="3609906B">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监测浓度范围/（</w:t>
                  </w:r>
                  <w:r>
                    <w:rPr>
                      <w:rFonts w:hint="default" w:ascii="Times New Roman" w:hAnsi="Times New Roman" w:cs="Times New Roman"/>
                      <w:b/>
                      <w:bCs/>
                      <w:color w:val="auto"/>
                      <w:kern w:val="0"/>
                      <w:sz w:val="21"/>
                      <w:szCs w:val="21"/>
                      <w:highlight w:val="none"/>
                      <w:lang w:val="en-US" w:eastAsia="zh-CN" w:bidi="ar"/>
                    </w:rPr>
                    <w:t>m</w:t>
                  </w:r>
                  <w:r>
                    <w:rPr>
                      <w:rFonts w:hint="default" w:ascii="Times New Roman" w:hAnsi="Times New Roman" w:cs="Times New Roman"/>
                      <w:b/>
                      <w:bCs/>
                      <w:color w:val="auto"/>
                      <w:kern w:val="0"/>
                      <w:sz w:val="21"/>
                      <w:szCs w:val="21"/>
                      <w:highlight w:val="none"/>
                      <w:lang w:bidi="ar"/>
                    </w:rPr>
                    <w:t>g/m</w:t>
                  </w:r>
                  <w:r>
                    <w:rPr>
                      <w:rFonts w:hint="default" w:ascii="Times New Roman" w:hAnsi="Times New Roman" w:cs="Times New Roman"/>
                      <w:b/>
                      <w:bCs/>
                      <w:color w:val="auto"/>
                      <w:kern w:val="0"/>
                      <w:sz w:val="21"/>
                      <w:szCs w:val="21"/>
                      <w:highlight w:val="none"/>
                      <w:vertAlign w:val="superscript"/>
                      <w:lang w:bidi="ar"/>
                    </w:rPr>
                    <w:t>3</w:t>
                  </w:r>
                  <w:r>
                    <w:rPr>
                      <w:rFonts w:hint="default" w:ascii="Times New Roman" w:hAnsi="Times New Roman" w:cs="Times New Roman"/>
                      <w:b/>
                      <w:bCs/>
                      <w:color w:val="auto"/>
                      <w:kern w:val="0"/>
                      <w:sz w:val="21"/>
                      <w:szCs w:val="21"/>
                      <w:highlight w:val="none"/>
                      <w:lang w:bidi="ar"/>
                    </w:rPr>
                    <w:t>）</w:t>
                  </w:r>
                </w:p>
              </w:tc>
              <w:tc>
                <w:tcPr>
                  <w:tcW w:w="615" w:type="pct"/>
                  <w:vMerge w:val="restart"/>
                  <w:tcBorders>
                    <w:tl2br w:val="nil"/>
                    <w:tr2bl w:val="nil"/>
                  </w:tcBorders>
                  <w:noWrap w:val="0"/>
                  <w:vAlign w:val="center"/>
                </w:tcPr>
                <w:p w14:paraId="70F46517">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最大浓度占标率/%</w:t>
                  </w:r>
                </w:p>
              </w:tc>
              <w:tc>
                <w:tcPr>
                  <w:tcW w:w="487" w:type="pct"/>
                  <w:vMerge w:val="restart"/>
                  <w:tcBorders>
                    <w:tl2br w:val="nil"/>
                    <w:tr2bl w:val="nil"/>
                  </w:tcBorders>
                  <w:noWrap w:val="0"/>
                  <w:vAlign w:val="center"/>
                </w:tcPr>
                <w:p w14:paraId="6CEDC435">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超标率/%</w:t>
                  </w:r>
                </w:p>
              </w:tc>
              <w:tc>
                <w:tcPr>
                  <w:tcW w:w="484" w:type="pct"/>
                  <w:vMerge w:val="restart"/>
                  <w:tcBorders>
                    <w:tl2br w:val="nil"/>
                    <w:tr2bl w:val="nil"/>
                  </w:tcBorders>
                  <w:noWrap w:val="0"/>
                  <w:vAlign w:val="center"/>
                </w:tcPr>
                <w:p w14:paraId="04D33AEA">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达标</w:t>
                  </w:r>
                </w:p>
                <w:p w14:paraId="2DEE8CC8">
                  <w:pPr>
                    <w:widowControl/>
                    <w:spacing w:line="240" w:lineRule="auto"/>
                    <w:ind w:firstLine="0" w:firstLineChars="0"/>
                    <w:jc w:val="center"/>
                    <w:rPr>
                      <w:rFonts w:hint="default" w:ascii="Times New Roman" w:hAnsi="Times New Roman" w:cs="Times New Roman"/>
                      <w:b/>
                      <w:bCs/>
                      <w:color w:val="auto"/>
                      <w:kern w:val="0"/>
                      <w:sz w:val="21"/>
                      <w:szCs w:val="21"/>
                      <w:highlight w:val="none"/>
                      <w:lang w:bidi="ar"/>
                    </w:rPr>
                  </w:pPr>
                  <w:r>
                    <w:rPr>
                      <w:rFonts w:hint="default" w:ascii="Times New Roman" w:hAnsi="Times New Roman" w:cs="Times New Roman"/>
                      <w:b/>
                      <w:bCs/>
                      <w:color w:val="auto"/>
                      <w:kern w:val="0"/>
                      <w:sz w:val="21"/>
                      <w:szCs w:val="21"/>
                      <w:highlight w:val="none"/>
                      <w:lang w:bidi="ar"/>
                    </w:rPr>
                    <w:t>情况</w:t>
                  </w:r>
                </w:p>
              </w:tc>
            </w:tr>
            <w:tr w14:paraId="51B54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pct"/>
                  <w:vMerge w:val="continue"/>
                  <w:tcBorders>
                    <w:tl2br w:val="nil"/>
                    <w:tr2bl w:val="nil"/>
                  </w:tcBorders>
                  <w:noWrap w:val="0"/>
                  <w:vAlign w:val="center"/>
                </w:tcPr>
                <w:p w14:paraId="0D2C9E22">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c>
                <w:tcPr>
                  <w:tcW w:w="651" w:type="pct"/>
                  <w:vMerge w:val="continue"/>
                  <w:tcBorders>
                    <w:tl2br w:val="nil"/>
                    <w:tr2bl w:val="nil"/>
                  </w:tcBorders>
                  <w:noWrap w:val="0"/>
                  <w:vAlign w:val="center"/>
                </w:tcPr>
                <w:p w14:paraId="3A1E1C2F">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c>
                <w:tcPr>
                  <w:tcW w:w="714" w:type="pct"/>
                  <w:vMerge w:val="continue"/>
                  <w:tcBorders>
                    <w:tl2br w:val="nil"/>
                    <w:tr2bl w:val="nil"/>
                  </w:tcBorders>
                  <w:noWrap w:val="0"/>
                  <w:vAlign w:val="center"/>
                </w:tcPr>
                <w:p w14:paraId="1D2FCE16">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c>
                <w:tcPr>
                  <w:tcW w:w="648" w:type="pct"/>
                  <w:vMerge w:val="continue"/>
                  <w:tcBorders>
                    <w:tl2br w:val="nil"/>
                    <w:tr2bl w:val="nil"/>
                  </w:tcBorders>
                  <w:noWrap w:val="0"/>
                  <w:vAlign w:val="center"/>
                </w:tcPr>
                <w:p w14:paraId="727BF739">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c>
                <w:tcPr>
                  <w:tcW w:w="890" w:type="pct"/>
                  <w:vMerge w:val="continue"/>
                  <w:tcBorders>
                    <w:tl2br w:val="nil"/>
                    <w:tr2bl w:val="nil"/>
                  </w:tcBorders>
                  <w:noWrap w:val="0"/>
                  <w:vAlign w:val="center"/>
                </w:tcPr>
                <w:p w14:paraId="779F3B97">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c>
                <w:tcPr>
                  <w:tcW w:w="615" w:type="pct"/>
                  <w:vMerge w:val="continue"/>
                  <w:tcBorders>
                    <w:tl2br w:val="nil"/>
                    <w:tr2bl w:val="nil"/>
                  </w:tcBorders>
                  <w:noWrap w:val="0"/>
                  <w:vAlign w:val="center"/>
                </w:tcPr>
                <w:p w14:paraId="73A55A86">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c>
                <w:tcPr>
                  <w:tcW w:w="487" w:type="pct"/>
                  <w:vMerge w:val="continue"/>
                  <w:tcBorders>
                    <w:tl2br w:val="nil"/>
                    <w:tr2bl w:val="nil"/>
                  </w:tcBorders>
                  <w:noWrap w:val="0"/>
                  <w:vAlign w:val="center"/>
                </w:tcPr>
                <w:p w14:paraId="6B6BA22F">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c>
                <w:tcPr>
                  <w:tcW w:w="484" w:type="pct"/>
                  <w:vMerge w:val="continue"/>
                  <w:tcBorders>
                    <w:tl2br w:val="nil"/>
                    <w:tr2bl w:val="nil"/>
                  </w:tcBorders>
                  <w:noWrap w:val="0"/>
                  <w:vAlign w:val="center"/>
                </w:tcPr>
                <w:p w14:paraId="0E96639E">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p>
              </w:tc>
            </w:tr>
            <w:tr w14:paraId="1101E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pct"/>
                  <w:tcBorders>
                    <w:tl2br w:val="nil"/>
                    <w:tr2bl w:val="nil"/>
                  </w:tcBorders>
                  <w:noWrap w:val="0"/>
                  <w:vAlign w:val="center"/>
                </w:tcPr>
                <w:p w14:paraId="7B3EFB26">
                  <w:pPr>
                    <w:widowControl/>
                    <w:spacing w:line="240" w:lineRule="auto"/>
                    <w:ind w:firstLine="0" w:firstLineChars="0"/>
                    <w:jc w:val="center"/>
                    <w:rPr>
                      <w:rFonts w:hint="default" w:ascii="Times New Roman" w:hAnsi="Times New Roman" w:cs="Times New Roman" w:eastAsiaTheme="minorEastAsia"/>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bidi="ar"/>
                    </w:rPr>
                    <w:t>朝阳古生物化石群自然保护区</w:t>
                  </w:r>
                </w:p>
              </w:tc>
              <w:tc>
                <w:tcPr>
                  <w:tcW w:w="651" w:type="pct"/>
                  <w:tcBorders>
                    <w:tl2br w:val="nil"/>
                    <w:tr2bl w:val="nil"/>
                  </w:tcBorders>
                  <w:shd w:val="clear" w:color="auto" w:fill="auto"/>
                  <w:noWrap w:val="0"/>
                  <w:vAlign w:val="center"/>
                </w:tcPr>
                <w:p w14:paraId="16B38625">
                  <w:pPr>
                    <w:widowControl/>
                    <w:spacing w:line="240" w:lineRule="auto"/>
                    <w:ind w:firstLine="0" w:firstLineChars="0"/>
                    <w:jc w:val="center"/>
                    <w:rPr>
                      <w:rFonts w:hint="eastAsia" w:ascii="Times New Roman" w:hAnsi="Times New Roman" w:cs="Times New Roman" w:eastAsiaTheme="minorEastAsia"/>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TSP</w:t>
                  </w:r>
                </w:p>
              </w:tc>
              <w:tc>
                <w:tcPr>
                  <w:tcW w:w="714" w:type="pct"/>
                  <w:tcBorders>
                    <w:tl2br w:val="nil"/>
                    <w:tr2bl w:val="nil"/>
                  </w:tcBorders>
                  <w:shd w:val="clear" w:color="auto" w:fill="auto"/>
                  <w:noWrap w:val="0"/>
                  <w:vAlign w:val="center"/>
                </w:tcPr>
                <w:p w14:paraId="75F7D3E0">
                  <w:pPr>
                    <w:widowControl/>
                    <w:spacing w:line="240" w:lineRule="auto"/>
                    <w:ind w:firstLine="0" w:firstLineChars="0"/>
                    <w:jc w:val="center"/>
                    <w:rPr>
                      <w:rFonts w:hint="default" w:ascii="Times New Roman" w:hAnsi="Times New Roman" w:cs="Times New Roman" w:eastAsiaTheme="minorEastAsia"/>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24小时</w:t>
                  </w:r>
                  <w:r>
                    <w:rPr>
                      <w:rFonts w:hint="default" w:ascii="Times New Roman" w:hAnsi="Times New Roman" w:cs="Times New Roman"/>
                      <w:color w:val="auto"/>
                      <w:kern w:val="0"/>
                      <w:sz w:val="21"/>
                      <w:szCs w:val="21"/>
                      <w:highlight w:val="none"/>
                      <w:lang w:bidi="ar"/>
                    </w:rPr>
                    <w:t>平均</w:t>
                  </w:r>
                </w:p>
              </w:tc>
              <w:tc>
                <w:tcPr>
                  <w:tcW w:w="648" w:type="pct"/>
                  <w:tcBorders>
                    <w:tl2br w:val="nil"/>
                    <w:tr2bl w:val="nil"/>
                  </w:tcBorders>
                  <w:noWrap w:val="0"/>
                  <w:vAlign w:val="center"/>
                </w:tcPr>
                <w:p w14:paraId="233E9F0B">
                  <w:pPr>
                    <w:widowControl/>
                    <w:spacing w:line="240" w:lineRule="auto"/>
                    <w:ind w:firstLine="0" w:firstLineChars="0"/>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0.12</w:t>
                  </w:r>
                </w:p>
              </w:tc>
              <w:tc>
                <w:tcPr>
                  <w:tcW w:w="890" w:type="pct"/>
                  <w:tcBorders>
                    <w:tl2br w:val="nil"/>
                    <w:tr2bl w:val="nil"/>
                  </w:tcBorders>
                  <w:noWrap w:val="0"/>
                  <w:vAlign w:val="center"/>
                </w:tcPr>
                <w:p w14:paraId="7E0A5BE7">
                  <w:pPr>
                    <w:widowControl/>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0.089~0.092</w:t>
                  </w:r>
                </w:p>
              </w:tc>
              <w:tc>
                <w:tcPr>
                  <w:tcW w:w="615" w:type="pct"/>
                  <w:tcBorders>
                    <w:tl2br w:val="nil"/>
                    <w:tr2bl w:val="nil"/>
                  </w:tcBorders>
                  <w:noWrap w:val="0"/>
                  <w:vAlign w:val="center"/>
                </w:tcPr>
                <w:p w14:paraId="7233893E">
                  <w:pPr>
                    <w:widowControl/>
                    <w:spacing w:line="240" w:lineRule="auto"/>
                    <w:ind w:firstLine="0" w:firstLineChars="0"/>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76.7</w:t>
                  </w:r>
                </w:p>
              </w:tc>
              <w:tc>
                <w:tcPr>
                  <w:tcW w:w="487" w:type="pct"/>
                  <w:tcBorders>
                    <w:tl2br w:val="nil"/>
                    <w:tr2bl w:val="nil"/>
                  </w:tcBorders>
                  <w:noWrap w:val="0"/>
                  <w:vAlign w:val="center"/>
                </w:tcPr>
                <w:p w14:paraId="08F38E69">
                  <w:pPr>
                    <w:widowControl/>
                    <w:spacing w:line="240" w:lineRule="auto"/>
                    <w:ind w:firstLine="0" w:firstLineChars="0"/>
                    <w:jc w:val="center"/>
                    <w:rPr>
                      <w:rFonts w:hint="eastAsia" w:ascii="Times New Roman" w:hAnsi="Times New Roman" w:cs="Times New Roman" w:eastAsiaTheme="minorEastAsia"/>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0</w:t>
                  </w:r>
                </w:p>
              </w:tc>
              <w:tc>
                <w:tcPr>
                  <w:tcW w:w="484" w:type="pct"/>
                  <w:tcBorders>
                    <w:tl2br w:val="nil"/>
                    <w:tr2bl w:val="nil"/>
                  </w:tcBorders>
                  <w:noWrap w:val="0"/>
                  <w:vAlign w:val="center"/>
                </w:tcPr>
                <w:p w14:paraId="18338F87">
                  <w:pPr>
                    <w:widowControl/>
                    <w:spacing w:line="240" w:lineRule="auto"/>
                    <w:ind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达标</w:t>
                  </w:r>
                </w:p>
              </w:tc>
            </w:tr>
          </w:tbl>
          <w:p w14:paraId="3DB903ED">
            <w:pPr>
              <w:tabs>
                <w:tab w:val="left" w:pos="2520"/>
              </w:tabs>
              <w:adjustRightInd w:val="0"/>
              <w:snapToGrid w:val="0"/>
              <w:spacing w:line="360" w:lineRule="auto"/>
              <w:ind w:firstLine="480" w:firstLineChars="200"/>
              <w:outlineLvl w:val="9"/>
              <w:rPr>
                <w:rFonts w:hint="default" w:eastAsia="宋体"/>
                <w:color w:val="auto"/>
                <w:kern w:val="21"/>
                <w:sz w:val="24"/>
                <w:lang w:val="en-US" w:eastAsia="zh-CN"/>
              </w:rPr>
            </w:pPr>
            <w:r>
              <w:rPr>
                <w:rFonts w:hint="eastAsia" w:eastAsia="宋体"/>
                <w:color w:val="auto"/>
                <w:kern w:val="21"/>
                <w:sz w:val="24"/>
                <w:lang w:val="en-US" w:eastAsia="zh-CN"/>
              </w:rPr>
              <w:t>由上表可知，</w:t>
            </w:r>
            <w:r>
              <w:rPr>
                <w:rFonts w:hint="default" w:eastAsia="宋体"/>
                <w:color w:val="auto"/>
                <w:kern w:val="21"/>
                <w:sz w:val="24"/>
                <w:lang w:eastAsia="zh-CN"/>
              </w:rPr>
              <w:t>朝阳古生物化石群自然保护区</w:t>
            </w:r>
            <w:r>
              <w:rPr>
                <w:rFonts w:hint="eastAsia" w:eastAsia="宋体"/>
                <w:color w:val="auto"/>
                <w:kern w:val="21"/>
                <w:sz w:val="24"/>
                <w:lang w:val="en-US" w:eastAsia="zh-CN"/>
              </w:rPr>
              <w:t>TSP满足</w:t>
            </w:r>
            <w:r>
              <w:rPr>
                <w:rFonts w:hint="eastAsia" w:eastAsia="宋体"/>
                <w:color w:val="auto"/>
                <w:kern w:val="21"/>
                <w:sz w:val="24"/>
                <w:lang w:eastAsia="zh-CN"/>
              </w:rPr>
              <w:t>《环境空气质量标</w:t>
            </w:r>
            <w:r>
              <w:rPr>
                <w:rFonts w:hint="eastAsia" w:eastAsia="宋体"/>
                <w:color w:val="auto"/>
                <w:kern w:val="21"/>
                <w:sz w:val="24"/>
                <w:lang w:val="en-US" w:eastAsia="zh-CN"/>
              </w:rPr>
              <w:t>准》</w:t>
            </w:r>
            <w:r>
              <w:rPr>
                <w:rFonts w:hint="eastAsia"/>
                <w:color w:val="auto"/>
                <w:kern w:val="21"/>
                <w:sz w:val="24"/>
                <w:lang w:val="en-US" w:eastAsia="zh-CN"/>
              </w:rPr>
              <w:t>（</w:t>
            </w:r>
            <w:r>
              <w:rPr>
                <w:rFonts w:hint="eastAsia" w:eastAsia="宋体"/>
                <w:color w:val="auto"/>
                <w:kern w:val="21"/>
                <w:sz w:val="24"/>
                <w:lang w:eastAsia="zh-CN"/>
              </w:rPr>
              <w:t>GB3095-20</w:t>
            </w:r>
            <w:r>
              <w:rPr>
                <w:rFonts w:hint="eastAsia" w:eastAsia="宋体"/>
                <w:color w:val="auto"/>
                <w:kern w:val="21"/>
                <w:sz w:val="24"/>
                <w:lang w:val="en-US" w:eastAsia="zh-CN"/>
              </w:rPr>
              <w:t>26</w:t>
            </w:r>
            <w:r>
              <w:rPr>
                <w:rFonts w:hint="eastAsia"/>
                <w:color w:val="auto"/>
                <w:kern w:val="21"/>
                <w:sz w:val="24"/>
                <w:lang w:val="en-US" w:eastAsia="zh-CN"/>
              </w:rPr>
              <w:t>）</w:t>
            </w:r>
            <w:r>
              <w:rPr>
                <w:rFonts w:hint="eastAsia" w:eastAsia="宋体"/>
                <w:color w:val="auto"/>
                <w:kern w:val="21"/>
                <w:sz w:val="24"/>
                <w:lang w:val="en-US" w:eastAsia="zh-CN"/>
              </w:rPr>
              <w:t>一级标准。</w:t>
            </w:r>
          </w:p>
          <w:p w14:paraId="21E21429">
            <w:pPr>
              <w:tabs>
                <w:tab w:val="left" w:pos="2520"/>
              </w:tabs>
              <w:adjustRightInd w:val="0"/>
              <w:snapToGrid w:val="0"/>
              <w:spacing w:line="360" w:lineRule="auto"/>
              <w:ind w:firstLine="482" w:firstLineChars="200"/>
              <w:outlineLvl w:val="9"/>
              <w:rPr>
                <w:rFonts w:hint="eastAsia" w:ascii="宋体" w:hAnsi="宋体" w:cs="宋体"/>
                <w:b/>
                <w:bCs/>
                <w:color w:val="auto"/>
                <w:sz w:val="24"/>
              </w:rPr>
            </w:pPr>
            <w:r>
              <w:rPr>
                <w:rFonts w:hint="eastAsia" w:ascii="宋体" w:hAnsi="宋体" w:cs="宋体"/>
                <w:b/>
                <w:bCs/>
                <w:color w:val="auto"/>
                <w:sz w:val="24"/>
              </w:rPr>
              <w:t>2、地表水环境质量现状</w:t>
            </w:r>
          </w:p>
          <w:p w14:paraId="55F8FB3D">
            <w:pPr>
              <w:pStyle w:val="68"/>
              <w:outlineLvl w:val="9"/>
              <w:rPr>
                <w:rFonts w:hint="default" w:ascii="Times New Roman" w:hAnsi="Times New Roman" w:eastAsia="宋体" w:cs="Times New Roman"/>
                <w:caps w:val="0"/>
                <w:smallCaps w:val="0"/>
                <w:color w:val="auto"/>
                <w:spacing w:val="0"/>
                <w:sz w:val="24"/>
                <w:szCs w:val="24"/>
                <w:highlight w:val="none"/>
              </w:rPr>
            </w:pPr>
            <w:r>
              <w:rPr>
                <w:color w:val="auto"/>
                <w:kern w:val="21"/>
              </w:rPr>
              <w:t>本项目无废水</w:t>
            </w:r>
            <w:r>
              <w:rPr>
                <w:rFonts w:hint="eastAsia"/>
                <w:color w:val="auto"/>
                <w:kern w:val="21"/>
              </w:rPr>
              <w:t>排入地表水</w:t>
            </w:r>
            <w:r>
              <w:rPr>
                <w:color w:val="auto"/>
                <w:kern w:val="21"/>
              </w:rPr>
              <w:t>，</w:t>
            </w:r>
            <w:r>
              <w:rPr>
                <w:rFonts w:hint="default" w:ascii="Times New Roman" w:hAnsi="Times New Roman" w:eastAsia="宋体" w:cs="Times New Roman"/>
                <w:caps w:val="0"/>
                <w:smallCaps w:val="0"/>
                <w:color w:val="auto"/>
                <w:spacing w:val="0"/>
                <w:sz w:val="24"/>
                <w:szCs w:val="24"/>
                <w:highlight w:val="none"/>
              </w:rPr>
              <w:t>距离本项目最近地表水</w:t>
            </w:r>
            <w:r>
              <w:rPr>
                <w:rFonts w:hint="eastAsia" w:ascii="Times New Roman" w:hAnsi="Times New Roman" w:eastAsia="宋体" w:cs="Times New Roman"/>
                <w:b w:val="0"/>
                <w:bCs w:val="0"/>
                <w:color w:val="auto"/>
                <w:spacing w:val="0"/>
                <w:sz w:val="24"/>
                <w:szCs w:val="24"/>
                <w:highlight w:val="none"/>
                <w:lang w:val="en-US" w:eastAsia="zh-CN"/>
              </w:rPr>
              <w:t>南侧</w:t>
            </w:r>
            <w:bookmarkStart w:id="75" w:name="OLE_LINK140"/>
            <w:r>
              <w:rPr>
                <w:rFonts w:hint="eastAsia" w:ascii="Times New Roman" w:hAnsi="Times New Roman" w:eastAsia="宋体" w:cs="Times New Roman"/>
                <w:b w:val="0"/>
                <w:bCs w:val="0"/>
                <w:color w:val="auto"/>
                <w:spacing w:val="0"/>
                <w:sz w:val="24"/>
                <w:szCs w:val="24"/>
                <w:highlight w:val="none"/>
                <w:lang w:val="en-US" w:eastAsia="zh-CN"/>
              </w:rPr>
              <w:t>大凌河西</w:t>
            </w:r>
            <w:bookmarkEnd w:id="75"/>
            <w:r>
              <w:rPr>
                <w:rFonts w:hint="eastAsia" w:ascii="Times New Roman" w:hAnsi="Times New Roman" w:eastAsia="宋体" w:cs="Times New Roman"/>
                <w:b w:val="0"/>
                <w:bCs w:val="0"/>
                <w:color w:val="auto"/>
                <w:spacing w:val="0"/>
                <w:sz w:val="24"/>
                <w:szCs w:val="24"/>
                <w:highlight w:val="none"/>
                <w:lang w:val="en-US" w:eastAsia="zh-CN"/>
              </w:rPr>
              <w:t>支</w:t>
            </w:r>
            <w:r>
              <w:rPr>
                <w:rFonts w:hint="default" w:ascii="Times New Roman" w:hAnsi="Times New Roman" w:eastAsia="宋体" w:cs="Times New Roman"/>
                <w:caps w:val="0"/>
                <w:smallCaps w:val="0"/>
                <w:color w:val="auto"/>
                <w:spacing w:val="0"/>
                <w:sz w:val="24"/>
                <w:szCs w:val="24"/>
                <w:highlight w:val="none"/>
              </w:rPr>
              <w:t>，根据</w:t>
            </w:r>
            <w:r>
              <w:rPr>
                <w:rFonts w:hint="default" w:ascii="Times New Roman" w:hAnsi="Times New Roman" w:cs="Times New Roman"/>
                <w:color w:val="auto"/>
                <w:spacing w:val="0"/>
                <w:position w:val="0"/>
                <w:sz w:val="24"/>
                <w:highlight w:val="none"/>
                <w:lang w:val="en-US" w:eastAsia="zh-CN"/>
              </w:rPr>
              <w:t>《朝阳市生态环境质量公报</w:t>
            </w:r>
            <w:r>
              <w:rPr>
                <w:rFonts w:hint="eastAsia"/>
                <w:color w:val="auto"/>
                <w:sz w:val="24"/>
                <w:highlight w:val="none"/>
                <w:lang w:val="en-US" w:eastAsia="zh-CN"/>
              </w:rPr>
              <w:t>（2024年）</w:t>
            </w:r>
            <w:r>
              <w:rPr>
                <w:rFonts w:hint="default" w:ascii="Times New Roman" w:hAnsi="Times New Roman" w:cs="Times New Roman"/>
                <w:color w:val="auto"/>
                <w:spacing w:val="0"/>
                <w:position w:val="0"/>
                <w:sz w:val="24"/>
                <w:highlight w:val="none"/>
                <w:lang w:val="en-US" w:eastAsia="zh-CN"/>
              </w:rPr>
              <w:t>》</w:t>
            </w:r>
            <w:r>
              <w:rPr>
                <w:rFonts w:hint="default" w:ascii="Times New Roman" w:hAnsi="Times New Roman" w:eastAsia="宋体" w:cs="Times New Roman"/>
                <w:caps w:val="0"/>
                <w:smallCaps w:val="0"/>
                <w:color w:val="auto"/>
                <w:spacing w:val="0"/>
                <w:sz w:val="24"/>
                <w:szCs w:val="24"/>
                <w:highlight w:val="none"/>
              </w:rPr>
              <w:t>，距离本项目最近监测断面为东南方向3473米处大凌河西支河段监测断面</w:t>
            </w:r>
            <w:r>
              <w:rPr>
                <w:rFonts w:hint="eastAsia" w:ascii="Times New Roman" w:hAnsi="Times New Roman" w:eastAsia="宋体" w:cs="Times New Roman"/>
                <w:caps w:val="0"/>
                <w:smallCaps w:val="0"/>
                <w:color w:val="auto"/>
                <w:spacing w:val="0"/>
                <w:sz w:val="24"/>
                <w:szCs w:val="24"/>
                <w:highlight w:val="none"/>
                <w:lang w:eastAsia="zh-CN"/>
              </w:rPr>
              <w:t>，</w:t>
            </w:r>
            <w:r>
              <w:rPr>
                <w:rFonts w:hint="eastAsia" w:eastAsia="宋体" w:cs="Times New Roman"/>
                <w:caps w:val="0"/>
                <w:smallCaps w:val="0"/>
                <w:color w:val="auto"/>
                <w:spacing w:val="0"/>
                <w:sz w:val="24"/>
                <w:szCs w:val="24"/>
                <w:highlight w:val="none"/>
                <w:lang w:val="en-US" w:eastAsia="zh-CN"/>
              </w:rPr>
              <w:t>断面水质</w:t>
            </w:r>
            <w:r>
              <w:rPr>
                <w:rFonts w:hint="default" w:ascii="Times New Roman" w:hAnsi="Times New Roman" w:eastAsia="宋体" w:cs="Times New Roman"/>
                <w:caps w:val="0"/>
                <w:smallCaps w:val="0"/>
                <w:color w:val="auto"/>
                <w:spacing w:val="0"/>
                <w:sz w:val="24"/>
                <w:szCs w:val="24"/>
                <w:highlight w:val="none"/>
              </w:rPr>
              <w:t>符合《地表水环境质量标准》（GB3838-2002）</w:t>
            </w:r>
            <w:r>
              <w:rPr>
                <w:rFonts w:hint="default" w:ascii="Times New Roman" w:hAnsi="Times New Roman" w:eastAsia="宋体" w:cs="Times New Roman"/>
                <w:b w:val="0"/>
                <w:bCs w:val="0"/>
                <w:color w:val="auto"/>
                <w:spacing w:val="0"/>
                <w:sz w:val="24"/>
                <w:szCs w:val="24"/>
                <w:highlight w:val="none"/>
                <w:lang w:val="en-US" w:eastAsia="zh-CN"/>
              </w:rPr>
              <w:t>Ⅲ</w:t>
            </w:r>
            <w:r>
              <w:rPr>
                <w:rFonts w:hint="default" w:ascii="Times New Roman" w:hAnsi="Times New Roman" w:eastAsia="宋体" w:cs="Times New Roman"/>
                <w:caps w:val="0"/>
                <w:smallCaps w:val="0"/>
                <w:color w:val="auto"/>
                <w:spacing w:val="0"/>
                <w:sz w:val="24"/>
                <w:szCs w:val="24"/>
                <w:highlight w:val="none"/>
              </w:rPr>
              <w:t>类标准要求</w:t>
            </w:r>
            <w:r>
              <w:rPr>
                <w:rFonts w:hint="eastAsia" w:eastAsia="宋体" w:cs="Times New Roman"/>
                <w:caps w:val="0"/>
                <w:smallCaps w:val="0"/>
                <w:color w:val="auto"/>
                <w:spacing w:val="0"/>
                <w:sz w:val="24"/>
                <w:szCs w:val="24"/>
                <w:highlight w:val="none"/>
                <w:lang w:eastAsia="zh-CN"/>
              </w:rPr>
              <w:t>，</w:t>
            </w:r>
            <w:r>
              <w:rPr>
                <w:rFonts w:hint="eastAsia" w:eastAsia="宋体" w:cs="Times New Roman"/>
                <w:caps w:val="0"/>
                <w:smallCaps w:val="0"/>
                <w:color w:val="auto"/>
                <w:spacing w:val="0"/>
                <w:sz w:val="24"/>
                <w:szCs w:val="24"/>
                <w:highlight w:val="none"/>
                <w:lang w:val="en-US" w:eastAsia="zh-CN"/>
              </w:rPr>
              <w:t>本项目所在区域地表水环境质量较好</w:t>
            </w:r>
            <w:r>
              <w:rPr>
                <w:rFonts w:hint="default" w:ascii="Times New Roman" w:hAnsi="Times New Roman" w:eastAsia="宋体" w:cs="Times New Roman"/>
                <w:caps w:val="0"/>
                <w:smallCaps w:val="0"/>
                <w:color w:val="auto"/>
                <w:spacing w:val="0"/>
                <w:sz w:val="24"/>
                <w:szCs w:val="24"/>
                <w:highlight w:val="none"/>
              </w:rPr>
              <w:t>。</w:t>
            </w:r>
          </w:p>
          <w:p w14:paraId="274845C7">
            <w:pPr>
              <w:adjustRightInd w:val="0"/>
              <w:snapToGrid w:val="0"/>
              <w:spacing w:line="360" w:lineRule="auto"/>
              <w:ind w:firstLine="482" w:firstLineChars="200"/>
              <w:outlineLvl w:val="9"/>
              <w:rPr>
                <w:b/>
                <w:bCs/>
                <w:color w:val="auto"/>
                <w:sz w:val="24"/>
              </w:rPr>
            </w:pPr>
            <w:r>
              <w:rPr>
                <w:rFonts w:hint="eastAsia"/>
                <w:b/>
                <w:bCs/>
                <w:color w:val="auto"/>
                <w:sz w:val="24"/>
                <w:lang w:val="en-US" w:eastAsia="zh-CN"/>
              </w:rPr>
              <w:t>3</w:t>
            </w:r>
            <w:r>
              <w:rPr>
                <w:rFonts w:hint="eastAsia"/>
                <w:b/>
                <w:bCs/>
                <w:color w:val="auto"/>
                <w:sz w:val="24"/>
              </w:rPr>
              <w:t>、</w:t>
            </w:r>
            <w:r>
              <w:rPr>
                <w:b/>
                <w:bCs/>
                <w:color w:val="auto"/>
                <w:sz w:val="24"/>
              </w:rPr>
              <w:t>声环境质量现状</w:t>
            </w:r>
          </w:p>
          <w:p w14:paraId="06445264">
            <w:pPr>
              <w:adjustRightInd w:val="0"/>
              <w:snapToGrid w:val="0"/>
              <w:spacing w:line="360" w:lineRule="auto"/>
              <w:ind w:firstLine="480" w:firstLineChars="200"/>
              <w:outlineLvl w:val="9"/>
              <w:rPr>
                <w:color w:val="auto"/>
                <w:kern w:val="2"/>
                <w:sz w:val="24"/>
                <w:szCs w:val="24"/>
                <w:lang w:bidi="ar"/>
              </w:rPr>
            </w:pPr>
            <w:r>
              <w:rPr>
                <w:color w:val="auto"/>
                <w:kern w:val="2"/>
                <w:sz w:val="24"/>
                <w:szCs w:val="24"/>
                <w:lang w:bidi="ar"/>
              </w:rPr>
              <w:t>本次评价委托辽宁卓大环境检测有限公司对本项目声环境质量现状进行了检测</w:t>
            </w:r>
            <w:r>
              <w:rPr>
                <w:rFonts w:hint="eastAsia"/>
                <w:color w:val="auto"/>
                <w:kern w:val="2"/>
                <w:sz w:val="24"/>
                <w:szCs w:val="24"/>
                <w:lang w:eastAsia="zh-CN" w:bidi="ar"/>
              </w:rPr>
              <w:t>，</w:t>
            </w:r>
            <w:r>
              <w:rPr>
                <w:rFonts w:hint="eastAsia"/>
                <w:color w:val="auto"/>
                <w:kern w:val="2"/>
                <w:sz w:val="24"/>
                <w:szCs w:val="24"/>
                <w:lang w:val="en-US" w:eastAsia="zh-CN" w:bidi="ar"/>
              </w:rPr>
              <w:t>监测时间为2025年09月17日、2025年09月19日</w:t>
            </w:r>
            <w:r>
              <w:rPr>
                <w:color w:val="auto"/>
                <w:kern w:val="2"/>
                <w:sz w:val="24"/>
                <w:szCs w:val="24"/>
                <w:lang w:bidi="ar"/>
              </w:rPr>
              <w:t>。</w:t>
            </w:r>
          </w:p>
          <w:p w14:paraId="03332B6A">
            <w:pPr>
              <w:jc w:val="center"/>
              <w:outlineLvl w:val="9"/>
              <w:rPr>
                <w:b/>
                <w:bCs/>
                <w:color w:val="auto"/>
                <w:szCs w:val="21"/>
              </w:rPr>
            </w:pPr>
            <w:r>
              <w:rPr>
                <w:b/>
                <w:bCs/>
                <w:color w:val="auto"/>
                <w:szCs w:val="21"/>
              </w:rPr>
              <w:t>表3-</w:t>
            </w:r>
            <w:r>
              <w:rPr>
                <w:rFonts w:hint="eastAsia"/>
                <w:b/>
                <w:bCs/>
                <w:color w:val="auto"/>
                <w:szCs w:val="21"/>
                <w:lang w:val="en-US" w:eastAsia="zh-CN"/>
              </w:rPr>
              <w:t>4</w:t>
            </w:r>
            <w:r>
              <w:rPr>
                <w:b/>
                <w:bCs/>
                <w:color w:val="auto"/>
                <w:szCs w:val="21"/>
              </w:rPr>
              <w:t xml:space="preserve">  噪声检测项目表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1658"/>
              <w:gridCol w:w="3411"/>
              <w:gridCol w:w="1970"/>
            </w:tblGrid>
            <w:tr w14:paraId="2B1AB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87" w:type="pct"/>
                  <w:tcBorders>
                    <w:tl2br w:val="nil"/>
                    <w:tr2bl w:val="nil"/>
                  </w:tcBorders>
                  <w:vAlign w:val="center"/>
                </w:tcPr>
                <w:p w14:paraId="1C228EE2">
                  <w:pPr>
                    <w:widowControl/>
                    <w:jc w:val="center"/>
                    <w:textAlignment w:val="center"/>
                    <w:outlineLvl w:val="9"/>
                    <w:rPr>
                      <w:color w:val="auto"/>
                      <w:kern w:val="0"/>
                      <w:szCs w:val="21"/>
                    </w:rPr>
                  </w:pPr>
                  <w:r>
                    <w:rPr>
                      <w:color w:val="auto"/>
                      <w:kern w:val="0"/>
                      <w:szCs w:val="21"/>
                    </w:rPr>
                    <w:t>检测因子</w:t>
                  </w:r>
                </w:p>
              </w:tc>
              <w:tc>
                <w:tcPr>
                  <w:tcW w:w="992" w:type="pct"/>
                  <w:tcBorders>
                    <w:tl2br w:val="nil"/>
                    <w:tr2bl w:val="nil"/>
                  </w:tcBorders>
                  <w:shd w:val="clear" w:color="auto" w:fill="auto"/>
                  <w:vAlign w:val="center"/>
                </w:tcPr>
                <w:p w14:paraId="7C762B50">
                  <w:pPr>
                    <w:widowControl/>
                    <w:jc w:val="center"/>
                    <w:textAlignment w:val="center"/>
                    <w:outlineLvl w:val="9"/>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检测</w:t>
                  </w:r>
                  <w:r>
                    <w:rPr>
                      <w:color w:val="auto"/>
                      <w:szCs w:val="21"/>
                    </w:rPr>
                    <w:t>点位编号</w:t>
                  </w:r>
                </w:p>
              </w:tc>
              <w:tc>
                <w:tcPr>
                  <w:tcW w:w="2041" w:type="pct"/>
                  <w:tcBorders>
                    <w:tl2br w:val="nil"/>
                    <w:tr2bl w:val="nil"/>
                  </w:tcBorders>
                  <w:vAlign w:val="center"/>
                </w:tcPr>
                <w:p w14:paraId="591E8F67">
                  <w:pPr>
                    <w:widowControl/>
                    <w:jc w:val="center"/>
                    <w:textAlignment w:val="center"/>
                    <w:outlineLvl w:val="9"/>
                    <w:rPr>
                      <w:color w:val="auto"/>
                      <w:szCs w:val="21"/>
                    </w:rPr>
                  </w:pPr>
                  <w:r>
                    <w:rPr>
                      <w:rFonts w:hint="default" w:ascii="Times New Roman" w:hAnsi="Times New Roman" w:eastAsia="宋体" w:cs="Times New Roman"/>
                      <w:b w:val="0"/>
                      <w:bCs w:val="0"/>
                      <w:caps w:val="0"/>
                      <w:smallCaps w:val="0"/>
                      <w:color w:val="auto"/>
                      <w:spacing w:val="0"/>
                      <w:sz w:val="21"/>
                      <w:szCs w:val="21"/>
                      <w:highlight w:val="none"/>
                    </w:rPr>
                    <w:t>监测点位置（</w:t>
                  </w:r>
                  <w:r>
                    <w:rPr>
                      <w:rFonts w:hint="eastAsia" w:ascii="Times New Roman" w:hAnsi="Times New Roman" w:eastAsia="宋体" w:cs="Times New Roman"/>
                      <w:b w:val="0"/>
                      <w:bCs w:val="0"/>
                      <w:caps w:val="0"/>
                      <w:smallCaps w:val="0"/>
                      <w:color w:val="auto"/>
                      <w:spacing w:val="0"/>
                      <w:sz w:val="21"/>
                      <w:szCs w:val="21"/>
                      <w:highlight w:val="none"/>
                      <w:lang w:val="en-US" w:eastAsia="zh-CN"/>
                    </w:rPr>
                    <w:t>坐标</w:t>
                  </w:r>
                  <w:r>
                    <w:rPr>
                      <w:rFonts w:hint="default" w:ascii="Times New Roman" w:hAnsi="Times New Roman" w:eastAsia="宋体" w:cs="Times New Roman"/>
                      <w:b w:val="0"/>
                      <w:bCs w:val="0"/>
                      <w:caps w:val="0"/>
                      <w:smallCaps w:val="0"/>
                      <w:color w:val="auto"/>
                      <w:spacing w:val="0"/>
                      <w:sz w:val="21"/>
                      <w:szCs w:val="21"/>
                      <w:highlight w:val="none"/>
                    </w:rPr>
                    <w:t>）</w:t>
                  </w:r>
                </w:p>
              </w:tc>
              <w:tc>
                <w:tcPr>
                  <w:tcW w:w="1179" w:type="pct"/>
                  <w:tcBorders>
                    <w:tl2br w:val="nil"/>
                    <w:tr2bl w:val="nil"/>
                  </w:tcBorders>
                  <w:vAlign w:val="center"/>
                </w:tcPr>
                <w:p w14:paraId="0A06D589">
                  <w:pPr>
                    <w:spacing w:line="300" w:lineRule="exact"/>
                    <w:jc w:val="center"/>
                    <w:textAlignment w:val="center"/>
                    <w:outlineLvl w:val="9"/>
                    <w:rPr>
                      <w:color w:val="auto"/>
                      <w:kern w:val="0"/>
                      <w:szCs w:val="21"/>
                    </w:rPr>
                  </w:pPr>
                  <w:r>
                    <w:rPr>
                      <w:color w:val="auto"/>
                      <w:kern w:val="0"/>
                      <w:szCs w:val="21"/>
                    </w:rPr>
                    <w:t>检测频次</w:t>
                  </w:r>
                </w:p>
              </w:tc>
            </w:tr>
            <w:tr w14:paraId="17C2F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restart"/>
                  <w:tcBorders>
                    <w:tl2br w:val="nil"/>
                    <w:tr2bl w:val="nil"/>
                  </w:tcBorders>
                  <w:vAlign w:val="center"/>
                </w:tcPr>
                <w:p w14:paraId="4BD65BCA">
                  <w:pPr>
                    <w:widowControl/>
                    <w:jc w:val="center"/>
                    <w:textAlignment w:val="center"/>
                    <w:outlineLvl w:val="9"/>
                    <w:rPr>
                      <w:bCs/>
                      <w:color w:val="auto"/>
                      <w:kern w:val="0"/>
                      <w:szCs w:val="21"/>
                    </w:rPr>
                  </w:pPr>
                  <w:r>
                    <w:rPr>
                      <w:bCs/>
                      <w:color w:val="auto"/>
                      <w:kern w:val="0"/>
                      <w:szCs w:val="21"/>
                    </w:rPr>
                    <w:t>噪声</w:t>
                  </w:r>
                </w:p>
              </w:tc>
              <w:tc>
                <w:tcPr>
                  <w:tcW w:w="992" w:type="pct"/>
                  <w:tcBorders>
                    <w:tl2br w:val="nil"/>
                    <w:tr2bl w:val="nil"/>
                  </w:tcBorders>
                  <w:shd w:val="clear" w:color="auto" w:fill="auto"/>
                  <w:vAlign w:val="center"/>
                </w:tcPr>
                <w:p w14:paraId="42DF59E4">
                  <w:pPr>
                    <w:jc w:val="center"/>
                    <w:outlineLvl w:val="9"/>
                    <w:rPr>
                      <w:rFonts w:hint="eastAsia" w:ascii="Times New Roman" w:hAnsi="Times New Roman" w:eastAsia="宋体" w:cs="Times New Roman"/>
                      <w:bCs/>
                      <w:color w:val="auto"/>
                      <w:kern w:val="2"/>
                      <w:sz w:val="21"/>
                      <w:szCs w:val="21"/>
                      <w:lang w:val="en-US" w:eastAsia="zh-CN" w:bidi="ar-SA"/>
                    </w:rPr>
                  </w:pPr>
                  <w:r>
                    <w:rPr>
                      <w:bCs/>
                      <w:color w:val="auto"/>
                      <w:szCs w:val="21"/>
                    </w:rPr>
                    <w:t>1</w:t>
                  </w:r>
                  <w:r>
                    <w:rPr>
                      <w:rFonts w:hint="eastAsia"/>
                      <w:bCs/>
                      <w:color w:val="auto"/>
                      <w:szCs w:val="21"/>
                      <w:lang w:val="en-US" w:eastAsia="zh-CN"/>
                    </w:rPr>
                    <w:t>#</w:t>
                  </w:r>
                </w:p>
              </w:tc>
              <w:tc>
                <w:tcPr>
                  <w:tcW w:w="2041" w:type="pct"/>
                  <w:tcBorders>
                    <w:tl2br w:val="nil"/>
                    <w:tr2bl w:val="nil"/>
                  </w:tcBorders>
                  <w:vAlign w:val="center"/>
                </w:tcPr>
                <w:p w14:paraId="5615AB40">
                  <w:pPr>
                    <w:jc w:val="center"/>
                    <w:outlineLvl w:val="9"/>
                    <w:rPr>
                      <w:bCs/>
                      <w:color w:val="auto"/>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42</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58.8</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8</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56.2</w:t>
                  </w:r>
                  <w:r>
                    <w:rPr>
                      <w:rFonts w:hint="default" w:ascii="Times New Roman" w:hAnsi="Times New Roman" w:eastAsia="宋体" w:cs="Times New Roman"/>
                      <w:bCs/>
                      <w:color w:val="auto"/>
                      <w:sz w:val="21"/>
                      <w:szCs w:val="21"/>
                    </w:rPr>
                    <w:t>″</w:t>
                  </w:r>
                </w:p>
              </w:tc>
              <w:tc>
                <w:tcPr>
                  <w:tcW w:w="1179" w:type="pct"/>
                  <w:vMerge w:val="restart"/>
                  <w:tcBorders>
                    <w:tl2br w:val="nil"/>
                    <w:tr2bl w:val="nil"/>
                  </w:tcBorders>
                  <w:vAlign w:val="center"/>
                </w:tcPr>
                <w:p w14:paraId="0F272FFA">
                  <w:pPr>
                    <w:widowControl/>
                    <w:tabs>
                      <w:tab w:val="left" w:pos="1890"/>
                    </w:tabs>
                    <w:jc w:val="center"/>
                    <w:textAlignment w:val="center"/>
                    <w:outlineLvl w:val="9"/>
                    <w:rPr>
                      <w:bCs/>
                      <w:color w:val="auto"/>
                      <w:szCs w:val="21"/>
                    </w:rPr>
                  </w:pPr>
                  <w:r>
                    <w:rPr>
                      <w:bCs/>
                      <w:color w:val="auto"/>
                      <w:szCs w:val="21"/>
                    </w:rPr>
                    <w:t>连续检测2天，</w:t>
                  </w:r>
                </w:p>
                <w:p w14:paraId="7F651FE8">
                  <w:pPr>
                    <w:widowControl/>
                    <w:tabs>
                      <w:tab w:val="left" w:pos="1890"/>
                    </w:tabs>
                    <w:jc w:val="center"/>
                    <w:textAlignment w:val="center"/>
                    <w:outlineLvl w:val="9"/>
                    <w:rPr>
                      <w:bCs/>
                      <w:color w:val="auto"/>
                      <w:szCs w:val="21"/>
                    </w:rPr>
                  </w:pPr>
                  <w:r>
                    <w:rPr>
                      <w:bCs/>
                      <w:color w:val="auto"/>
                      <w:szCs w:val="21"/>
                    </w:rPr>
                    <w:t>昼夜各1次/天</w:t>
                  </w:r>
                </w:p>
              </w:tc>
            </w:tr>
            <w:tr w14:paraId="6395E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continue"/>
                  <w:tcBorders>
                    <w:tl2br w:val="nil"/>
                    <w:tr2bl w:val="nil"/>
                  </w:tcBorders>
                  <w:vAlign w:val="center"/>
                </w:tcPr>
                <w:p w14:paraId="4CCAA236">
                  <w:pPr>
                    <w:widowControl/>
                    <w:jc w:val="center"/>
                    <w:textAlignment w:val="center"/>
                    <w:outlineLvl w:val="9"/>
                    <w:rPr>
                      <w:bCs/>
                      <w:color w:val="auto"/>
                      <w:kern w:val="0"/>
                      <w:szCs w:val="21"/>
                    </w:rPr>
                  </w:pPr>
                </w:p>
              </w:tc>
              <w:tc>
                <w:tcPr>
                  <w:tcW w:w="992" w:type="pct"/>
                  <w:tcBorders>
                    <w:tl2br w:val="nil"/>
                    <w:tr2bl w:val="nil"/>
                  </w:tcBorders>
                  <w:shd w:val="clear" w:color="auto" w:fill="auto"/>
                  <w:vAlign w:val="center"/>
                </w:tcPr>
                <w:p w14:paraId="09BB6B01">
                  <w:pPr>
                    <w:jc w:val="center"/>
                    <w:outlineLvl w:val="9"/>
                    <w:rPr>
                      <w:rFonts w:hint="eastAsia" w:ascii="Times New Roman" w:hAnsi="Times New Roman" w:eastAsia="宋体" w:cs="Times New Roman"/>
                      <w:bCs/>
                      <w:color w:val="auto"/>
                      <w:kern w:val="2"/>
                      <w:sz w:val="21"/>
                      <w:szCs w:val="21"/>
                      <w:lang w:val="en-US" w:eastAsia="zh-CN" w:bidi="ar-SA"/>
                    </w:rPr>
                  </w:pPr>
                  <w:r>
                    <w:rPr>
                      <w:bCs/>
                      <w:color w:val="auto"/>
                      <w:szCs w:val="21"/>
                    </w:rPr>
                    <w:t>2</w:t>
                  </w:r>
                  <w:r>
                    <w:rPr>
                      <w:rFonts w:hint="eastAsia"/>
                      <w:bCs/>
                      <w:color w:val="auto"/>
                      <w:szCs w:val="21"/>
                      <w:lang w:val="en-US" w:eastAsia="zh-CN"/>
                    </w:rPr>
                    <w:t>#</w:t>
                  </w:r>
                </w:p>
              </w:tc>
              <w:tc>
                <w:tcPr>
                  <w:tcW w:w="2041" w:type="pct"/>
                  <w:tcBorders>
                    <w:tl2br w:val="nil"/>
                    <w:tr2bl w:val="nil"/>
                  </w:tcBorders>
                  <w:vAlign w:val="center"/>
                </w:tcPr>
                <w:p w14:paraId="17FB6AD0">
                  <w:pPr>
                    <w:jc w:val="center"/>
                    <w:outlineLvl w:val="9"/>
                    <w:rPr>
                      <w:bCs/>
                      <w:color w:val="auto"/>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43</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6.2</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1.9</w:t>
                  </w:r>
                  <w:r>
                    <w:rPr>
                      <w:rFonts w:hint="default" w:ascii="Times New Roman" w:hAnsi="Times New Roman" w:eastAsia="宋体" w:cs="Times New Roman"/>
                      <w:bCs/>
                      <w:color w:val="auto"/>
                      <w:sz w:val="21"/>
                      <w:szCs w:val="21"/>
                    </w:rPr>
                    <w:t>″</w:t>
                  </w:r>
                </w:p>
              </w:tc>
              <w:tc>
                <w:tcPr>
                  <w:tcW w:w="1179" w:type="pct"/>
                  <w:vMerge w:val="continue"/>
                  <w:tcBorders>
                    <w:tl2br w:val="nil"/>
                    <w:tr2bl w:val="nil"/>
                  </w:tcBorders>
                  <w:vAlign w:val="center"/>
                </w:tcPr>
                <w:p w14:paraId="366FBCE5">
                  <w:pPr>
                    <w:widowControl/>
                    <w:jc w:val="center"/>
                    <w:textAlignment w:val="center"/>
                    <w:outlineLvl w:val="9"/>
                    <w:rPr>
                      <w:bCs/>
                      <w:color w:val="auto"/>
                      <w:szCs w:val="21"/>
                    </w:rPr>
                  </w:pPr>
                </w:p>
              </w:tc>
            </w:tr>
            <w:tr w14:paraId="71FEF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continue"/>
                  <w:tcBorders>
                    <w:tl2br w:val="nil"/>
                    <w:tr2bl w:val="nil"/>
                  </w:tcBorders>
                  <w:vAlign w:val="center"/>
                </w:tcPr>
                <w:p w14:paraId="70B10782">
                  <w:pPr>
                    <w:widowControl/>
                    <w:jc w:val="center"/>
                    <w:textAlignment w:val="center"/>
                    <w:outlineLvl w:val="9"/>
                    <w:rPr>
                      <w:bCs/>
                      <w:color w:val="auto"/>
                      <w:kern w:val="0"/>
                      <w:szCs w:val="21"/>
                    </w:rPr>
                  </w:pPr>
                </w:p>
              </w:tc>
              <w:tc>
                <w:tcPr>
                  <w:tcW w:w="992" w:type="pct"/>
                  <w:tcBorders>
                    <w:tl2br w:val="nil"/>
                    <w:tr2bl w:val="nil"/>
                  </w:tcBorders>
                  <w:shd w:val="clear" w:color="auto" w:fill="auto"/>
                  <w:vAlign w:val="center"/>
                </w:tcPr>
                <w:p w14:paraId="7A66BB85">
                  <w:pPr>
                    <w:jc w:val="center"/>
                    <w:outlineLvl w:val="9"/>
                    <w:rPr>
                      <w:rFonts w:hint="eastAsia" w:ascii="Times New Roman" w:hAnsi="Times New Roman" w:eastAsia="宋体" w:cs="Times New Roman"/>
                      <w:bCs/>
                      <w:snapToGrid w:val="0"/>
                      <w:color w:val="auto"/>
                      <w:kern w:val="44"/>
                      <w:sz w:val="21"/>
                      <w:szCs w:val="21"/>
                      <w:lang w:val="en-US" w:eastAsia="zh-CN" w:bidi="ar-SA"/>
                    </w:rPr>
                  </w:pPr>
                  <w:r>
                    <w:rPr>
                      <w:bCs/>
                      <w:color w:val="auto"/>
                      <w:szCs w:val="21"/>
                    </w:rPr>
                    <w:t>3</w:t>
                  </w:r>
                  <w:r>
                    <w:rPr>
                      <w:rFonts w:hint="eastAsia"/>
                      <w:bCs/>
                      <w:color w:val="auto"/>
                      <w:szCs w:val="21"/>
                      <w:lang w:val="en-US" w:eastAsia="zh-CN"/>
                    </w:rPr>
                    <w:t>#</w:t>
                  </w:r>
                </w:p>
              </w:tc>
              <w:tc>
                <w:tcPr>
                  <w:tcW w:w="2041" w:type="pct"/>
                  <w:tcBorders>
                    <w:tl2br w:val="nil"/>
                    <w:tr2bl w:val="nil"/>
                  </w:tcBorders>
                  <w:vAlign w:val="center"/>
                </w:tcPr>
                <w:p w14:paraId="085F2743">
                  <w:pPr>
                    <w:jc w:val="center"/>
                    <w:outlineLvl w:val="9"/>
                    <w:rPr>
                      <w:bCs/>
                      <w:snapToGrid w:val="0"/>
                      <w:color w:val="auto"/>
                      <w:kern w:val="44"/>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43</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16.9</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27.0</w:t>
                  </w:r>
                  <w:r>
                    <w:rPr>
                      <w:rFonts w:hint="default" w:ascii="Times New Roman" w:hAnsi="Times New Roman" w:eastAsia="宋体" w:cs="Times New Roman"/>
                      <w:bCs/>
                      <w:color w:val="auto"/>
                      <w:sz w:val="21"/>
                      <w:szCs w:val="21"/>
                    </w:rPr>
                    <w:t>″</w:t>
                  </w:r>
                </w:p>
              </w:tc>
              <w:tc>
                <w:tcPr>
                  <w:tcW w:w="1179" w:type="pct"/>
                  <w:vMerge w:val="continue"/>
                  <w:tcBorders>
                    <w:tl2br w:val="nil"/>
                    <w:tr2bl w:val="nil"/>
                  </w:tcBorders>
                  <w:vAlign w:val="center"/>
                </w:tcPr>
                <w:p w14:paraId="150E2A06">
                  <w:pPr>
                    <w:widowControl/>
                    <w:jc w:val="center"/>
                    <w:textAlignment w:val="center"/>
                    <w:outlineLvl w:val="9"/>
                    <w:rPr>
                      <w:bCs/>
                      <w:color w:val="auto"/>
                      <w:szCs w:val="21"/>
                    </w:rPr>
                  </w:pPr>
                </w:p>
              </w:tc>
            </w:tr>
            <w:tr w14:paraId="2D36F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continue"/>
                  <w:tcBorders>
                    <w:tl2br w:val="nil"/>
                    <w:tr2bl w:val="nil"/>
                  </w:tcBorders>
                  <w:vAlign w:val="center"/>
                </w:tcPr>
                <w:p w14:paraId="75851727">
                  <w:pPr>
                    <w:widowControl/>
                    <w:jc w:val="center"/>
                    <w:textAlignment w:val="center"/>
                    <w:outlineLvl w:val="9"/>
                    <w:rPr>
                      <w:bCs/>
                      <w:color w:val="auto"/>
                      <w:kern w:val="0"/>
                      <w:szCs w:val="21"/>
                    </w:rPr>
                  </w:pPr>
                </w:p>
              </w:tc>
              <w:tc>
                <w:tcPr>
                  <w:tcW w:w="992" w:type="pct"/>
                  <w:tcBorders>
                    <w:tl2br w:val="nil"/>
                    <w:tr2bl w:val="nil"/>
                  </w:tcBorders>
                  <w:shd w:val="clear" w:color="auto" w:fill="auto"/>
                  <w:vAlign w:val="center"/>
                </w:tcPr>
                <w:p w14:paraId="36EDCC44">
                  <w:pPr>
                    <w:jc w:val="center"/>
                    <w:outlineLvl w:val="9"/>
                    <w:rPr>
                      <w:rFonts w:hint="eastAsia" w:ascii="Times New Roman" w:hAnsi="Times New Roman" w:eastAsia="宋体" w:cs="Times New Roman"/>
                      <w:bCs/>
                      <w:snapToGrid w:val="0"/>
                      <w:color w:val="auto"/>
                      <w:kern w:val="44"/>
                      <w:sz w:val="21"/>
                      <w:szCs w:val="21"/>
                      <w:lang w:val="en-US" w:eastAsia="zh-CN" w:bidi="ar-SA"/>
                    </w:rPr>
                  </w:pPr>
                  <w:r>
                    <w:rPr>
                      <w:bCs/>
                      <w:color w:val="auto"/>
                      <w:szCs w:val="21"/>
                    </w:rPr>
                    <w:t>4</w:t>
                  </w:r>
                  <w:r>
                    <w:rPr>
                      <w:rFonts w:hint="eastAsia"/>
                      <w:bCs/>
                      <w:color w:val="auto"/>
                      <w:szCs w:val="21"/>
                      <w:lang w:val="en-US" w:eastAsia="zh-CN"/>
                    </w:rPr>
                    <w:t>#</w:t>
                  </w:r>
                </w:p>
              </w:tc>
              <w:tc>
                <w:tcPr>
                  <w:tcW w:w="2041" w:type="pct"/>
                  <w:tcBorders>
                    <w:tl2br w:val="nil"/>
                    <w:tr2bl w:val="nil"/>
                  </w:tcBorders>
                  <w:vAlign w:val="center"/>
                </w:tcPr>
                <w:p w14:paraId="720C7A4E">
                  <w:pPr>
                    <w:jc w:val="center"/>
                    <w:outlineLvl w:val="9"/>
                    <w:rPr>
                      <w:bCs/>
                      <w:snapToGrid w:val="0"/>
                      <w:color w:val="auto"/>
                      <w:kern w:val="44"/>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43</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1.8</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5.4</w:t>
                  </w:r>
                  <w:r>
                    <w:rPr>
                      <w:rFonts w:hint="default" w:ascii="Times New Roman" w:hAnsi="Times New Roman" w:eastAsia="宋体" w:cs="Times New Roman"/>
                      <w:bCs/>
                      <w:color w:val="auto"/>
                      <w:sz w:val="21"/>
                      <w:szCs w:val="21"/>
                    </w:rPr>
                    <w:t>″</w:t>
                  </w:r>
                </w:p>
              </w:tc>
              <w:tc>
                <w:tcPr>
                  <w:tcW w:w="1179" w:type="pct"/>
                  <w:vMerge w:val="continue"/>
                  <w:tcBorders>
                    <w:tl2br w:val="nil"/>
                    <w:tr2bl w:val="nil"/>
                  </w:tcBorders>
                  <w:vAlign w:val="center"/>
                </w:tcPr>
                <w:p w14:paraId="366D6B60">
                  <w:pPr>
                    <w:widowControl/>
                    <w:jc w:val="center"/>
                    <w:textAlignment w:val="center"/>
                    <w:outlineLvl w:val="9"/>
                    <w:rPr>
                      <w:bCs/>
                      <w:color w:val="auto"/>
                      <w:szCs w:val="21"/>
                    </w:rPr>
                  </w:pPr>
                </w:p>
              </w:tc>
            </w:tr>
            <w:tr w14:paraId="61170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continue"/>
                  <w:tcBorders>
                    <w:tl2br w:val="nil"/>
                    <w:tr2bl w:val="nil"/>
                  </w:tcBorders>
                  <w:vAlign w:val="center"/>
                </w:tcPr>
                <w:p w14:paraId="491C9646">
                  <w:pPr>
                    <w:widowControl/>
                    <w:jc w:val="center"/>
                    <w:textAlignment w:val="center"/>
                    <w:outlineLvl w:val="9"/>
                    <w:rPr>
                      <w:bCs/>
                      <w:color w:val="auto"/>
                      <w:kern w:val="0"/>
                      <w:szCs w:val="21"/>
                    </w:rPr>
                  </w:pPr>
                </w:p>
              </w:tc>
              <w:tc>
                <w:tcPr>
                  <w:tcW w:w="992" w:type="pct"/>
                  <w:tcBorders>
                    <w:tl2br w:val="nil"/>
                    <w:tr2bl w:val="nil"/>
                  </w:tcBorders>
                  <w:vAlign w:val="center"/>
                </w:tcPr>
                <w:p w14:paraId="0940F779">
                  <w:pPr>
                    <w:widowControl/>
                    <w:jc w:val="center"/>
                    <w:textAlignment w:val="center"/>
                    <w:outlineLvl w:val="9"/>
                    <w:rPr>
                      <w:rFonts w:hint="default" w:eastAsia="宋体"/>
                      <w:bCs/>
                      <w:color w:val="auto"/>
                      <w:kern w:val="0"/>
                      <w:szCs w:val="21"/>
                      <w:lang w:val="en-US" w:eastAsia="zh-CN"/>
                    </w:rPr>
                  </w:pPr>
                  <w:r>
                    <w:rPr>
                      <w:rFonts w:hint="eastAsia"/>
                      <w:bCs/>
                      <w:color w:val="auto"/>
                      <w:kern w:val="0"/>
                      <w:szCs w:val="21"/>
                      <w:lang w:val="en-US" w:eastAsia="zh-CN"/>
                    </w:rPr>
                    <w:t>5#</w:t>
                  </w:r>
                </w:p>
              </w:tc>
              <w:tc>
                <w:tcPr>
                  <w:tcW w:w="2041" w:type="pct"/>
                  <w:tcBorders>
                    <w:tl2br w:val="nil"/>
                    <w:tr2bl w:val="nil"/>
                  </w:tcBorders>
                  <w:vAlign w:val="center"/>
                </w:tcPr>
                <w:p w14:paraId="13BA2D31">
                  <w:pPr>
                    <w:jc w:val="center"/>
                    <w:outlineLvl w:val="9"/>
                    <w:rPr>
                      <w:bCs/>
                      <w:color w:val="auto"/>
                      <w:kern w:val="0"/>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42</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54.0</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8.6</w:t>
                  </w:r>
                  <w:r>
                    <w:rPr>
                      <w:rFonts w:hint="default" w:ascii="Times New Roman" w:hAnsi="Times New Roman" w:eastAsia="宋体" w:cs="Times New Roman"/>
                      <w:bCs/>
                      <w:color w:val="auto"/>
                      <w:sz w:val="21"/>
                      <w:szCs w:val="21"/>
                    </w:rPr>
                    <w:t>″</w:t>
                  </w:r>
                </w:p>
              </w:tc>
              <w:tc>
                <w:tcPr>
                  <w:tcW w:w="1179" w:type="pct"/>
                  <w:vMerge w:val="continue"/>
                  <w:tcBorders>
                    <w:tl2br w:val="nil"/>
                    <w:tr2bl w:val="nil"/>
                  </w:tcBorders>
                  <w:vAlign w:val="center"/>
                </w:tcPr>
                <w:p w14:paraId="32DB1636">
                  <w:pPr>
                    <w:widowControl/>
                    <w:jc w:val="center"/>
                    <w:textAlignment w:val="center"/>
                    <w:outlineLvl w:val="9"/>
                    <w:rPr>
                      <w:bCs/>
                      <w:color w:val="auto"/>
                      <w:szCs w:val="21"/>
                    </w:rPr>
                  </w:pPr>
                </w:p>
              </w:tc>
            </w:tr>
            <w:tr w14:paraId="3951F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continue"/>
                  <w:tcBorders>
                    <w:tl2br w:val="nil"/>
                    <w:tr2bl w:val="nil"/>
                  </w:tcBorders>
                  <w:vAlign w:val="center"/>
                </w:tcPr>
                <w:p w14:paraId="02237CF2">
                  <w:pPr>
                    <w:widowControl/>
                    <w:jc w:val="center"/>
                    <w:textAlignment w:val="center"/>
                    <w:outlineLvl w:val="9"/>
                    <w:rPr>
                      <w:bCs/>
                      <w:color w:val="auto"/>
                      <w:kern w:val="0"/>
                      <w:szCs w:val="21"/>
                    </w:rPr>
                  </w:pPr>
                </w:p>
              </w:tc>
              <w:tc>
                <w:tcPr>
                  <w:tcW w:w="992" w:type="pct"/>
                  <w:tcBorders>
                    <w:tl2br w:val="nil"/>
                    <w:tr2bl w:val="nil"/>
                  </w:tcBorders>
                  <w:vAlign w:val="center"/>
                </w:tcPr>
                <w:p w14:paraId="41BF6C76">
                  <w:pPr>
                    <w:widowControl/>
                    <w:jc w:val="center"/>
                    <w:textAlignment w:val="center"/>
                    <w:outlineLvl w:val="9"/>
                    <w:rPr>
                      <w:rFonts w:hint="default" w:eastAsia="宋体"/>
                      <w:bCs/>
                      <w:color w:val="auto"/>
                      <w:kern w:val="0"/>
                      <w:szCs w:val="21"/>
                      <w:lang w:val="en-US" w:eastAsia="zh-CN"/>
                    </w:rPr>
                  </w:pPr>
                  <w:r>
                    <w:rPr>
                      <w:rFonts w:hint="eastAsia"/>
                      <w:bCs/>
                      <w:color w:val="auto"/>
                      <w:kern w:val="0"/>
                      <w:szCs w:val="21"/>
                      <w:lang w:val="en-US" w:eastAsia="zh-CN"/>
                    </w:rPr>
                    <w:t>6#</w:t>
                  </w:r>
                </w:p>
              </w:tc>
              <w:tc>
                <w:tcPr>
                  <w:tcW w:w="2041" w:type="pct"/>
                  <w:tcBorders>
                    <w:tl2br w:val="nil"/>
                    <w:tr2bl w:val="nil"/>
                  </w:tcBorders>
                  <w:vAlign w:val="center"/>
                </w:tcPr>
                <w:p w14:paraId="32FFA94A">
                  <w:pPr>
                    <w:jc w:val="center"/>
                    <w:outlineLvl w:val="9"/>
                    <w:rPr>
                      <w:bCs/>
                      <w:color w:val="auto"/>
                      <w:kern w:val="0"/>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42</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48.3</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14.2</w:t>
                  </w:r>
                  <w:r>
                    <w:rPr>
                      <w:rFonts w:hint="default" w:ascii="Times New Roman" w:hAnsi="Times New Roman" w:eastAsia="宋体" w:cs="Times New Roman"/>
                      <w:bCs/>
                      <w:color w:val="auto"/>
                      <w:sz w:val="21"/>
                      <w:szCs w:val="21"/>
                    </w:rPr>
                    <w:t>″</w:t>
                  </w:r>
                </w:p>
              </w:tc>
              <w:tc>
                <w:tcPr>
                  <w:tcW w:w="1179" w:type="pct"/>
                  <w:vMerge w:val="continue"/>
                  <w:tcBorders>
                    <w:tl2br w:val="nil"/>
                    <w:tr2bl w:val="nil"/>
                  </w:tcBorders>
                  <w:vAlign w:val="center"/>
                </w:tcPr>
                <w:p w14:paraId="4C7FB47D">
                  <w:pPr>
                    <w:widowControl/>
                    <w:jc w:val="center"/>
                    <w:textAlignment w:val="center"/>
                    <w:outlineLvl w:val="9"/>
                    <w:rPr>
                      <w:bCs/>
                      <w:color w:val="auto"/>
                      <w:szCs w:val="21"/>
                    </w:rPr>
                  </w:pPr>
                </w:p>
              </w:tc>
            </w:tr>
            <w:tr w14:paraId="2B223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continue"/>
                  <w:tcBorders>
                    <w:tl2br w:val="nil"/>
                    <w:tr2bl w:val="nil"/>
                  </w:tcBorders>
                  <w:vAlign w:val="center"/>
                </w:tcPr>
                <w:p w14:paraId="4BBA856E">
                  <w:pPr>
                    <w:widowControl/>
                    <w:jc w:val="center"/>
                    <w:textAlignment w:val="center"/>
                    <w:outlineLvl w:val="9"/>
                    <w:rPr>
                      <w:bCs/>
                      <w:color w:val="auto"/>
                      <w:kern w:val="0"/>
                      <w:szCs w:val="21"/>
                    </w:rPr>
                  </w:pPr>
                </w:p>
              </w:tc>
              <w:tc>
                <w:tcPr>
                  <w:tcW w:w="992" w:type="pct"/>
                  <w:tcBorders>
                    <w:tl2br w:val="nil"/>
                    <w:tr2bl w:val="nil"/>
                  </w:tcBorders>
                  <w:vAlign w:val="center"/>
                </w:tcPr>
                <w:p w14:paraId="4CC1CBA6">
                  <w:pPr>
                    <w:widowControl/>
                    <w:jc w:val="center"/>
                    <w:textAlignment w:val="center"/>
                    <w:outlineLvl w:val="9"/>
                    <w:rPr>
                      <w:rFonts w:hint="default" w:eastAsia="宋体"/>
                      <w:bCs/>
                      <w:color w:val="auto"/>
                      <w:kern w:val="0"/>
                      <w:szCs w:val="21"/>
                      <w:lang w:val="en-US" w:eastAsia="zh-CN"/>
                    </w:rPr>
                  </w:pPr>
                  <w:r>
                    <w:rPr>
                      <w:rFonts w:hint="eastAsia"/>
                      <w:bCs/>
                      <w:color w:val="auto"/>
                      <w:kern w:val="0"/>
                      <w:szCs w:val="21"/>
                      <w:lang w:val="en-US" w:eastAsia="zh-CN"/>
                    </w:rPr>
                    <w:t>7#</w:t>
                  </w:r>
                </w:p>
              </w:tc>
              <w:tc>
                <w:tcPr>
                  <w:tcW w:w="2041" w:type="pct"/>
                  <w:tcBorders>
                    <w:tl2br w:val="nil"/>
                    <w:tr2bl w:val="nil"/>
                  </w:tcBorders>
                  <w:vAlign w:val="center"/>
                </w:tcPr>
                <w:p w14:paraId="47977952">
                  <w:pPr>
                    <w:jc w:val="center"/>
                    <w:outlineLvl w:val="9"/>
                    <w:rPr>
                      <w:bCs/>
                      <w:color w:val="auto"/>
                      <w:kern w:val="0"/>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42</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49.9</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7.9</w:t>
                  </w:r>
                  <w:r>
                    <w:rPr>
                      <w:rFonts w:hint="default" w:ascii="Times New Roman" w:hAnsi="Times New Roman" w:eastAsia="宋体" w:cs="Times New Roman"/>
                      <w:bCs/>
                      <w:color w:val="auto"/>
                      <w:sz w:val="21"/>
                      <w:szCs w:val="21"/>
                    </w:rPr>
                    <w:t>″</w:t>
                  </w:r>
                </w:p>
              </w:tc>
              <w:tc>
                <w:tcPr>
                  <w:tcW w:w="1179" w:type="pct"/>
                  <w:vMerge w:val="continue"/>
                  <w:tcBorders>
                    <w:tl2br w:val="nil"/>
                    <w:tr2bl w:val="nil"/>
                  </w:tcBorders>
                  <w:vAlign w:val="center"/>
                </w:tcPr>
                <w:p w14:paraId="482E961E">
                  <w:pPr>
                    <w:widowControl/>
                    <w:jc w:val="center"/>
                    <w:textAlignment w:val="center"/>
                    <w:outlineLvl w:val="9"/>
                    <w:rPr>
                      <w:bCs/>
                      <w:color w:val="auto"/>
                      <w:szCs w:val="21"/>
                    </w:rPr>
                  </w:pPr>
                </w:p>
              </w:tc>
            </w:tr>
            <w:tr w14:paraId="4B605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7" w:type="pct"/>
                  <w:vMerge w:val="continue"/>
                  <w:tcBorders>
                    <w:tl2br w:val="nil"/>
                    <w:tr2bl w:val="nil"/>
                  </w:tcBorders>
                  <w:vAlign w:val="center"/>
                </w:tcPr>
                <w:p w14:paraId="7D353A17">
                  <w:pPr>
                    <w:widowControl/>
                    <w:jc w:val="center"/>
                    <w:textAlignment w:val="center"/>
                    <w:outlineLvl w:val="9"/>
                    <w:rPr>
                      <w:bCs/>
                      <w:color w:val="auto"/>
                      <w:kern w:val="0"/>
                      <w:szCs w:val="21"/>
                    </w:rPr>
                  </w:pPr>
                </w:p>
              </w:tc>
              <w:tc>
                <w:tcPr>
                  <w:tcW w:w="992" w:type="pct"/>
                  <w:tcBorders>
                    <w:tl2br w:val="nil"/>
                    <w:tr2bl w:val="nil"/>
                  </w:tcBorders>
                  <w:vAlign w:val="center"/>
                </w:tcPr>
                <w:p w14:paraId="69D50118">
                  <w:pPr>
                    <w:widowControl/>
                    <w:jc w:val="center"/>
                    <w:textAlignment w:val="center"/>
                    <w:outlineLvl w:val="9"/>
                    <w:rPr>
                      <w:rFonts w:hint="default" w:eastAsia="宋体"/>
                      <w:bCs/>
                      <w:color w:val="auto"/>
                      <w:kern w:val="0"/>
                      <w:szCs w:val="21"/>
                      <w:lang w:val="en-US" w:eastAsia="zh-CN"/>
                    </w:rPr>
                  </w:pPr>
                  <w:r>
                    <w:rPr>
                      <w:rFonts w:hint="eastAsia"/>
                      <w:bCs/>
                      <w:color w:val="auto"/>
                      <w:kern w:val="0"/>
                      <w:szCs w:val="21"/>
                      <w:lang w:val="en-US" w:eastAsia="zh-CN"/>
                    </w:rPr>
                    <w:t>8#</w:t>
                  </w:r>
                </w:p>
              </w:tc>
              <w:tc>
                <w:tcPr>
                  <w:tcW w:w="2041" w:type="pct"/>
                  <w:tcBorders>
                    <w:tl2br w:val="nil"/>
                    <w:tr2bl w:val="nil"/>
                  </w:tcBorders>
                  <w:vAlign w:val="center"/>
                </w:tcPr>
                <w:p w14:paraId="5E715DD1">
                  <w:pPr>
                    <w:jc w:val="center"/>
                    <w:outlineLvl w:val="9"/>
                    <w:rPr>
                      <w:bCs/>
                      <w:color w:val="auto"/>
                      <w:kern w:val="0"/>
                      <w:szCs w:val="21"/>
                    </w:rPr>
                  </w:pPr>
                  <w:r>
                    <w:rPr>
                      <w:rFonts w:hint="eastAsia"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42</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54.3</w:t>
                  </w:r>
                  <w:r>
                    <w:rPr>
                      <w:rFonts w:hint="default" w:ascii="Times New Roman" w:hAnsi="Times New Roman" w:eastAsia="宋体" w:cs="Times New Roman"/>
                      <w:bCs/>
                      <w:color w:val="auto"/>
                      <w:sz w:val="21"/>
                      <w:szCs w:val="21"/>
                    </w:rPr>
                    <w:t>″</w:t>
                  </w:r>
                  <w:r>
                    <w:rPr>
                      <w:rFonts w:hint="eastAsia" w:cs="Times New Roman"/>
                      <w:bCs/>
                      <w:color w:val="auto"/>
                      <w:sz w:val="21"/>
                      <w:szCs w:val="21"/>
                      <w:lang w:eastAsia="zh-CN"/>
                    </w:rPr>
                    <w:t>，</w:t>
                  </w:r>
                  <w:r>
                    <w:rPr>
                      <w:rFonts w:hint="eastAsia"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eastAsia"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8</w:t>
                  </w:r>
                  <w:r>
                    <w:rPr>
                      <w:rFonts w:hint="default" w:ascii="Times New Roman" w:hAnsi="Times New Roman" w:eastAsia="宋体" w:cs="Times New Roman"/>
                      <w:bCs/>
                      <w:color w:val="auto"/>
                      <w:sz w:val="21"/>
                      <w:szCs w:val="21"/>
                    </w:rPr>
                    <w:t>′</w:t>
                  </w:r>
                  <w:r>
                    <w:rPr>
                      <w:rFonts w:hint="eastAsia" w:cs="Times New Roman"/>
                      <w:bCs/>
                      <w:color w:val="auto"/>
                      <w:sz w:val="21"/>
                      <w:szCs w:val="21"/>
                      <w:lang w:val="en-US" w:eastAsia="zh-CN"/>
                    </w:rPr>
                    <w:t>57.0</w:t>
                  </w:r>
                  <w:r>
                    <w:rPr>
                      <w:rFonts w:hint="default" w:ascii="Times New Roman" w:hAnsi="Times New Roman" w:eastAsia="宋体" w:cs="Times New Roman"/>
                      <w:bCs/>
                      <w:color w:val="auto"/>
                      <w:sz w:val="21"/>
                      <w:szCs w:val="21"/>
                    </w:rPr>
                    <w:t>″</w:t>
                  </w:r>
                </w:p>
              </w:tc>
              <w:tc>
                <w:tcPr>
                  <w:tcW w:w="1179" w:type="pct"/>
                  <w:vMerge w:val="continue"/>
                  <w:tcBorders>
                    <w:tl2br w:val="nil"/>
                    <w:tr2bl w:val="nil"/>
                  </w:tcBorders>
                  <w:vAlign w:val="center"/>
                </w:tcPr>
                <w:p w14:paraId="5FD53404">
                  <w:pPr>
                    <w:widowControl/>
                    <w:jc w:val="center"/>
                    <w:textAlignment w:val="center"/>
                    <w:outlineLvl w:val="9"/>
                    <w:rPr>
                      <w:bCs/>
                      <w:color w:val="auto"/>
                      <w:szCs w:val="21"/>
                    </w:rPr>
                  </w:pPr>
                </w:p>
              </w:tc>
            </w:tr>
          </w:tbl>
          <w:p w14:paraId="4785F346">
            <w:pPr>
              <w:pStyle w:val="29"/>
              <w:adjustRightInd w:val="0"/>
              <w:snapToGrid w:val="0"/>
              <w:spacing w:before="120" w:beforeLines="50" w:beforeAutospacing="0" w:after="0" w:afterAutospacing="0"/>
              <w:ind w:firstLine="656" w:firstLineChars="300"/>
              <w:outlineLvl w:val="9"/>
              <w:rPr>
                <w:color w:val="auto"/>
                <w:spacing w:val="4"/>
                <w:sz w:val="21"/>
                <w:szCs w:val="21"/>
              </w:rPr>
            </w:pPr>
            <w:r>
              <w:rPr>
                <w:b/>
                <w:color w:val="auto"/>
                <w:spacing w:val="4"/>
                <w:sz w:val="21"/>
                <w:szCs w:val="21"/>
                <w:lang w:bidi="ar"/>
              </w:rPr>
              <w:t>表3-</w:t>
            </w:r>
            <w:r>
              <w:rPr>
                <w:rFonts w:hint="eastAsia"/>
                <w:b/>
                <w:color w:val="auto"/>
                <w:spacing w:val="4"/>
                <w:sz w:val="21"/>
                <w:szCs w:val="21"/>
                <w:lang w:val="en-US" w:eastAsia="zh-CN" w:bidi="ar"/>
              </w:rPr>
              <w:t>5</w:t>
            </w:r>
            <w:r>
              <w:rPr>
                <w:b/>
                <w:color w:val="auto"/>
                <w:spacing w:val="4"/>
                <w:sz w:val="21"/>
                <w:szCs w:val="21"/>
                <w:lang w:bidi="ar"/>
              </w:rPr>
              <w:t xml:space="preserve">  噪声分析方法</w:t>
            </w:r>
          </w:p>
          <w:tbl>
            <w:tblPr>
              <w:tblStyle w:val="32"/>
              <w:tblW w:w="0" w:type="auto"/>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446"/>
              <w:gridCol w:w="4163"/>
              <w:gridCol w:w="1911"/>
              <w:gridCol w:w="1450"/>
            </w:tblGrid>
            <w:tr w14:paraId="0A12A1F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446" w:type="dxa"/>
                  <w:tcBorders>
                    <w:tl2br w:val="nil"/>
                    <w:tr2bl w:val="nil"/>
                  </w:tcBorders>
                  <w:vAlign w:val="center"/>
                </w:tcPr>
                <w:p w14:paraId="23C61800">
                  <w:pPr>
                    <w:widowControl/>
                    <w:jc w:val="center"/>
                    <w:textAlignment w:val="center"/>
                    <w:outlineLvl w:val="9"/>
                    <w:rPr>
                      <w:color w:val="auto"/>
                      <w:kern w:val="0"/>
                      <w:szCs w:val="21"/>
                    </w:rPr>
                  </w:pPr>
                  <w:r>
                    <w:rPr>
                      <w:color w:val="auto"/>
                      <w:kern w:val="0"/>
                      <w:szCs w:val="21"/>
                    </w:rPr>
                    <w:t>检测项目</w:t>
                  </w:r>
                </w:p>
              </w:tc>
              <w:tc>
                <w:tcPr>
                  <w:tcW w:w="4163" w:type="dxa"/>
                  <w:tcBorders>
                    <w:tl2br w:val="nil"/>
                    <w:tr2bl w:val="nil"/>
                  </w:tcBorders>
                  <w:vAlign w:val="center"/>
                </w:tcPr>
                <w:p w14:paraId="4C815E3D">
                  <w:pPr>
                    <w:widowControl/>
                    <w:jc w:val="center"/>
                    <w:textAlignment w:val="center"/>
                    <w:outlineLvl w:val="9"/>
                    <w:rPr>
                      <w:color w:val="auto"/>
                      <w:kern w:val="0"/>
                      <w:szCs w:val="21"/>
                    </w:rPr>
                  </w:pPr>
                  <w:r>
                    <w:rPr>
                      <w:color w:val="auto"/>
                      <w:kern w:val="0"/>
                      <w:szCs w:val="21"/>
                    </w:rPr>
                    <w:t>分析方法及依据</w:t>
                  </w:r>
                </w:p>
              </w:tc>
              <w:tc>
                <w:tcPr>
                  <w:tcW w:w="1911" w:type="dxa"/>
                  <w:tcBorders>
                    <w:tl2br w:val="nil"/>
                    <w:tr2bl w:val="nil"/>
                  </w:tcBorders>
                  <w:vAlign w:val="center"/>
                </w:tcPr>
                <w:p w14:paraId="1A99C3DD">
                  <w:pPr>
                    <w:widowControl/>
                    <w:jc w:val="center"/>
                    <w:textAlignment w:val="center"/>
                    <w:outlineLvl w:val="9"/>
                    <w:rPr>
                      <w:color w:val="auto"/>
                      <w:kern w:val="0"/>
                      <w:szCs w:val="21"/>
                    </w:rPr>
                  </w:pPr>
                  <w:r>
                    <w:rPr>
                      <w:color w:val="auto"/>
                      <w:kern w:val="0"/>
                      <w:szCs w:val="21"/>
                    </w:rPr>
                    <w:t>分析仪器</w:t>
                  </w:r>
                </w:p>
              </w:tc>
              <w:tc>
                <w:tcPr>
                  <w:tcW w:w="1450" w:type="dxa"/>
                  <w:tcBorders>
                    <w:tl2br w:val="nil"/>
                    <w:tr2bl w:val="nil"/>
                  </w:tcBorders>
                  <w:vAlign w:val="center"/>
                </w:tcPr>
                <w:p w14:paraId="46BE613B">
                  <w:pPr>
                    <w:widowControl/>
                    <w:jc w:val="center"/>
                    <w:textAlignment w:val="center"/>
                    <w:outlineLvl w:val="9"/>
                    <w:rPr>
                      <w:color w:val="auto"/>
                      <w:kern w:val="0"/>
                      <w:szCs w:val="21"/>
                    </w:rPr>
                  </w:pPr>
                  <w:r>
                    <w:rPr>
                      <w:color w:val="auto"/>
                      <w:kern w:val="0"/>
                      <w:szCs w:val="21"/>
                    </w:rPr>
                    <w:t>检出限</w:t>
                  </w:r>
                </w:p>
              </w:tc>
            </w:tr>
            <w:tr w14:paraId="402D951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35" w:hRule="atLeast"/>
                <w:jc w:val="center"/>
              </w:trPr>
              <w:tc>
                <w:tcPr>
                  <w:tcW w:w="1446" w:type="dxa"/>
                  <w:tcBorders>
                    <w:tl2br w:val="nil"/>
                    <w:tr2bl w:val="nil"/>
                  </w:tcBorders>
                  <w:shd w:val="clear" w:color="000000" w:fill="FFFFFF"/>
                  <w:vAlign w:val="center"/>
                </w:tcPr>
                <w:p w14:paraId="446E90B5">
                  <w:pPr>
                    <w:keepNext w:val="0"/>
                    <w:keepLines w:val="0"/>
                    <w:widowControl/>
                    <w:suppressLineNumbers w:val="0"/>
                    <w:jc w:val="center"/>
                    <w:textAlignment w:val="center"/>
                    <w:outlineLvl w:val="9"/>
                    <w:rPr>
                      <w:color w:val="auto"/>
                      <w:kern w:val="0"/>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环境噪声</w:t>
                  </w:r>
                </w:p>
              </w:tc>
              <w:tc>
                <w:tcPr>
                  <w:tcW w:w="4163" w:type="dxa"/>
                  <w:tcBorders>
                    <w:tl2br w:val="nil"/>
                    <w:tr2bl w:val="nil"/>
                  </w:tcBorders>
                  <w:shd w:val="clear" w:color="000000" w:fill="auto"/>
                  <w:vAlign w:val="center"/>
                </w:tcPr>
                <w:p w14:paraId="514074E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声环境质量标准</w:t>
                  </w:r>
                </w:p>
                <w:p w14:paraId="2C69F95E">
                  <w:pPr>
                    <w:keepNext w:val="0"/>
                    <w:keepLines w:val="0"/>
                    <w:widowControl/>
                    <w:suppressLineNumbers w:val="0"/>
                    <w:jc w:val="center"/>
                    <w:textAlignment w:val="center"/>
                    <w:outlineLvl w:val="9"/>
                    <w:rPr>
                      <w:color w:val="auto"/>
                      <w:kern w:val="0"/>
                      <w:szCs w:val="21"/>
                    </w:rPr>
                  </w:pPr>
                  <w:r>
                    <w:rPr>
                      <w:rFonts w:hint="default" w:ascii="Times New Roman" w:hAnsi="Times New Roman" w:eastAsia="宋体" w:cs="Times New Roman"/>
                      <w:i w:val="0"/>
                      <w:iCs w:val="0"/>
                      <w:color w:val="auto"/>
                      <w:kern w:val="0"/>
                      <w:sz w:val="21"/>
                      <w:szCs w:val="21"/>
                      <w:highlight w:val="none"/>
                      <w:u w:val="none"/>
                      <w:lang w:val="en-US" w:eastAsia="zh-CN" w:bidi="ar"/>
                    </w:rPr>
                    <w:t>GB 3096-2008</w:t>
                  </w:r>
                </w:p>
              </w:tc>
              <w:tc>
                <w:tcPr>
                  <w:tcW w:w="1911" w:type="dxa"/>
                  <w:tcBorders>
                    <w:tl2br w:val="nil"/>
                    <w:tr2bl w:val="nil"/>
                  </w:tcBorders>
                  <w:vAlign w:val="center"/>
                </w:tcPr>
                <w:p w14:paraId="6F96BB70">
                  <w:pPr>
                    <w:keepNext w:val="0"/>
                    <w:keepLines w:val="0"/>
                    <w:widowControl/>
                    <w:suppressLineNumbers w:val="0"/>
                    <w:jc w:val="center"/>
                    <w:textAlignment w:val="center"/>
                    <w:outlineLvl w:val="9"/>
                    <w:rPr>
                      <w:snapToGrid w:val="0"/>
                      <w:color w:val="auto"/>
                      <w:kern w:val="44"/>
                      <w:szCs w:val="21"/>
                      <w:highlight w:val="yellow"/>
                      <w:vertAlign w:val="superscript"/>
                    </w:rPr>
                  </w:pPr>
                  <w:r>
                    <w:rPr>
                      <w:rFonts w:hint="default" w:ascii="Times New Roman" w:hAnsi="Times New Roman" w:eastAsia="宋体" w:cs="Times New Roman"/>
                      <w:i w:val="0"/>
                      <w:iCs w:val="0"/>
                      <w:color w:val="auto"/>
                      <w:kern w:val="0"/>
                      <w:sz w:val="21"/>
                      <w:szCs w:val="21"/>
                      <w:highlight w:val="none"/>
                      <w:u w:val="none"/>
                      <w:lang w:val="en-US" w:eastAsia="zh-CN" w:bidi="ar"/>
                    </w:rPr>
                    <w:t>多功能声级计AWA</w:t>
                  </w:r>
                  <w:r>
                    <w:rPr>
                      <w:rFonts w:hint="eastAsia" w:cs="Times New Roman"/>
                      <w:i w:val="0"/>
                      <w:iCs w:val="0"/>
                      <w:color w:val="auto"/>
                      <w:kern w:val="0"/>
                      <w:sz w:val="21"/>
                      <w:szCs w:val="21"/>
                      <w:highlight w:val="none"/>
                      <w:u w:val="none"/>
                      <w:lang w:val="en-US" w:eastAsia="zh-CN" w:bidi="ar"/>
                    </w:rPr>
                    <w:t>5680</w:t>
                  </w:r>
                </w:p>
              </w:tc>
              <w:tc>
                <w:tcPr>
                  <w:tcW w:w="1450" w:type="dxa"/>
                  <w:tcBorders>
                    <w:tl2br w:val="nil"/>
                    <w:tr2bl w:val="nil"/>
                  </w:tcBorders>
                  <w:vAlign w:val="center"/>
                </w:tcPr>
                <w:p w14:paraId="51DF400F">
                  <w:pPr>
                    <w:widowControl/>
                    <w:jc w:val="center"/>
                    <w:textAlignment w:val="center"/>
                    <w:outlineLvl w:val="9"/>
                    <w:rPr>
                      <w:snapToGrid w:val="0"/>
                      <w:color w:val="auto"/>
                      <w:kern w:val="44"/>
                      <w:szCs w:val="21"/>
                    </w:rPr>
                  </w:pPr>
                  <w:r>
                    <w:rPr>
                      <w:rFonts w:hint="default" w:ascii="Times New Roman" w:hAnsi="Times New Roman" w:eastAsia="宋体" w:cs="Times New Roman"/>
                      <w:color w:val="auto"/>
                      <w:sz w:val="21"/>
                      <w:szCs w:val="21"/>
                      <w:highlight w:val="none"/>
                      <w:lang w:val="en-US" w:eastAsia="zh-CN"/>
                    </w:rPr>
                    <w:t>—</w:t>
                  </w:r>
                </w:p>
              </w:tc>
            </w:tr>
          </w:tbl>
          <w:p w14:paraId="6DE2A210">
            <w:pPr>
              <w:pStyle w:val="29"/>
              <w:widowControl w:val="0"/>
              <w:spacing w:before="0" w:beforeAutospacing="0" w:after="0" w:afterAutospacing="0" w:line="360" w:lineRule="auto"/>
              <w:ind w:firstLine="480" w:firstLineChars="200"/>
              <w:jc w:val="both"/>
              <w:outlineLvl w:val="9"/>
              <w:rPr>
                <w:color w:val="auto"/>
                <w:sz w:val="24"/>
                <w:szCs w:val="24"/>
              </w:rPr>
            </w:pPr>
            <w:r>
              <w:rPr>
                <w:color w:val="auto"/>
                <w:kern w:val="2"/>
                <w:sz w:val="24"/>
                <w:szCs w:val="24"/>
                <w:lang w:bidi="ar"/>
              </w:rPr>
              <w:t>声环境质量监测结果及评价见下表。</w:t>
            </w:r>
          </w:p>
          <w:p w14:paraId="1414497F">
            <w:pPr>
              <w:pStyle w:val="29"/>
              <w:adjustRightInd w:val="0"/>
              <w:snapToGrid w:val="0"/>
              <w:spacing w:before="120" w:beforeLines="50" w:beforeAutospacing="0" w:after="0" w:afterAutospacing="0"/>
              <w:ind w:firstLine="656" w:firstLineChars="300"/>
              <w:outlineLvl w:val="9"/>
              <w:rPr>
                <w:b/>
                <w:color w:val="auto"/>
                <w:spacing w:val="4"/>
                <w:sz w:val="21"/>
                <w:szCs w:val="21"/>
                <w:lang w:bidi="ar"/>
              </w:rPr>
            </w:pPr>
            <w:r>
              <w:rPr>
                <w:b/>
                <w:color w:val="auto"/>
                <w:spacing w:val="4"/>
                <w:sz w:val="21"/>
                <w:szCs w:val="21"/>
                <w:lang w:bidi="ar"/>
              </w:rPr>
              <w:t>表3-</w:t>
            </w:r>
            <w:r>
              <w:rPr>
                <w:rFonts w:hint="eastAsia"/>
                <w:b/>
                <w:color w:val="auto"/>
                <w:spacing w:val="4"/>
                <w:sz w:val="21"/>
                <w:szCs w:val="21"/>
                <w:lang w:val="en-US" w:eastAsia="zh-CN" w:bidi="ar"/>
              </w:rPr>
              <w:t>6</w:t>
            </w:r>
            <w:r>
              <w:rPr>
                <w:b/>
                <w:color w:val="auto"/>
                <w:spacing w:val="4"/>
                <w:sz w:val="21"/>
                <w:szCs w:val="21"/>
                <w:lang w:bidi="ar"/>
              </w:rPr>
              <w:t xml:space="preserve">  声环境质量监测结果</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23" w:type="dxa"/>
                <w:bottom w:w="0" w:type="dxa"/>
                <w:right w:w="23" w:type="dxa"/>
              </w:tblCellMar>
            </w:tblPr>
            <w:tblGrid>
              <w:gridCol w:w="2374"/>
              <w:gridCol w:w="1491"/>
              <w:gridCol w:w="2"/>
              <w:gridCol w:w="1492"/>
              <w:gridCol w:w="1491"/>
              <w:gridCol w:w="3"/>
              <w:gridCol w:w="1501"/>
            </w:tblGrid>
            <w:tr w14:paraId="2FFEFCC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0" w:hRule="atLeast"/>
                <w:jc w:val="center"/>
              </w:trPr>
              <w:tc>
                <w:tcPr>
                  <w:tcW w:w="1421" w:type="pct"/>
                  <w:vMerge w:val="restart"/>
                  <w:tcBorders>
                    <w:tl2br w:val="nil"/>
                    <w:tr2bl w:val="nil"/>
                  </w:tcBorders>
                  <w:noWrap w:val="0"/>
                  <w:vAlign w:val="center"/>
                </w:tcPr>
                <w:p w14:paraId="0F3EA6D3">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b/>
                      <w:bCs w:val="0"/>
                      <w:caps w:val="0"/>
                      <w:smallCaps w:val="0"/>
                      <w:color w:val="auto"/>
                      <w:spacing w:val="0"/>
                      <w:sz w:val="21"/>
                      <w:szCs w:val="21"/>
                      <w:highlight w:val="none"/>
                    </w:rPr>
                  </w:pPr>
                  <w:r>
                    <w:rPr>
                      <w:rFonts w:hint="default" w:ascii="Times New Roman" w:hAnsi="Times New Roman" w:eastAsia="宋体" w:cs="Times New Roman"/>
                      <w:b/>
                      <w:bCs w:val="0"/>
                      <w:caps w:val="0"/>
                      <w:smallCaps w:val="0"/>
                      <w:color w:val="auto"/>
                      <w:spacing w:val="0"/>
                      <w:sz w:val="21"/>
                      <w:szCs w:val="21"/>
                      <w:highlight w:val="none"/>
                    </w:rPr>
                    <w:t>编号</w:t>
                  </w:r>
                </w:p>
              </w:tc>
              <w:tc>
                <w:tcPr>
                  <w:tcW w:w="3578" w:type="pct"/>
                  <w:gridSpan w:val="6"/>
                  <w:tcBorders>
                    <w:tl2br w:val="nil"/>
                    <w:tr2bl w:val="nil"/>
                  </w:tcBorders>
                  <w:noWrap w:val="0"/>
                  <w:vAlign w:val="center"/>
                </w:tcPr>
                <w:p w14:paraId="3A3213BD">
                  <w:pPr>
                    <w:pStyle w:val="29"/>
                    <w:adjustRightInd w:val="0"/>
                    <w:snapToGrid w:val="0"/>
                    <w:spacing w:before="120" w:beforeLines="50" w:beforeAutospacing="0" w:after="0" w:afterAutospacing="0"/>
                    <w:ind w:firstLine="632" w:firstLineChars="300"/>
                    <w:outlineLvl w:val="9"/>
                    <w:rPr>
                      <w:rFonts w:hint="default" w:ascii="Times New Roman" w:hAnsi="Times New Roman" w:eastAsia="宋体" w:cs="Times New Roman"/>
                      <w:b/>
                      <w:bCs w:val="0"/>
                      <w:caps w:val="0"/>
                      <w:smallCaps w:val="0"/>
                      <w:color w:val="auto"/>
                      <w:spacing w:val="0"/>
                      <w:sz w:val="21"/>
                      <w:szCs w:val="21"/>
                      <w:highlight w:val="none"/>
                    </w:rPr>
                  </w:pPr>
                  <w:r>
                    <w:rPr>
                      <w:rFonts w:hint="default" w:ascii="Times New Roman" w:hAnsi="Times New Roman" w:eastAsia="宋体" w:cs="Times New Roman"/>
                      <w:b/>
                      <w:bCs w:val="0"/>
                      <w:caps w:val="0"/>
                      <w:smallCaps w:val="0"/>
                      <w:color w:val="auto"/>
                      <w:spacing w:val="0"/>
                      <w:sz w:val="21"/>
                      <w:szCs w:val="21"/>
                      <w:highlight w:val="none"/>
                    </w:rPr>
                    <w:t>检测结果</w:t>
                  </w:r>
                  <w:r>
                    <w:rPr>
                      <w:rFonts w:hint="eastAsia" w:ascii="Times New Roman" w:hAnsi="Times New Roman" w:eastAsia="宋体" w:cs="Times New Roman"/>
                      <w:b/>
                      <w:bCs w:val="0"/>
                      <w:caps w:val="0"/>
                      <w:smallCaps w:val="0"/>
                      <w:color w:val="auto"/>
                      <w:spacing w:val="0"/>
                      <w:sz w:val="21"/>
                      <w:szCs w:val="21"/>
                      <w:highlight w:val="none"/>
                      <w:lang w:eastAsia="zh-CN"/>
                    </w:rPr>
                    <w:t>（</w:t>
                  </w:r>
                  <w:r>
                    <w:rPr>
                      <w:b/>
                      <w:color w:val="auto"/>
                      <w:spacing w:val="4"/>
                      <w:sz w:val="21"/>
                      <w:szCs w:val="21"/>
                      <w:lang w:bidi="ar"/>
                    </w:rPr>
                    <w:t>dB（A）</w:t>
                  </w:r>
                  <w:r>
                    <w:rPr>
                      <w:rFonts w:hint="eastAsia" w:ascii="Times New Roman" w:hAnsi="Times New Roman" w:eastAsia="宋体" w:cs="Times New Roman"/>
                      <w:b/>
                      <w:bCs w:val="0"/>
                      <w:caps w:val="0"/>
                      <w:smallCaps w:val="0"/>
                      <w:color w:val="auto"/>
                      <w:spacing w:val="0"/>
                      <w:sz w:val="21"/>
                      <w:szCs w:val="21"/>
                      <w:highlight w:val="none"/>
                      <w:lang w:eastAsia="zh-CN"/>
                    </w:rPr>
                    <w:t>）</w:t>
                  </w:r>
                </w:p>
              </w:tc>
            </w:tr>
            <w:tr w14:paraId="7512585F">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0" w:hRule="atLeast"/>
                <w:jc w:val="center"/>
              </w:trPr>
              <w:tc>
                <w:tcPr>
                  <w:tcW w:w="1421" w:type="pct"/>
                  <w:vMerge w:val="continue"/>
                  <w:tcBorders>
                    <w:tl2br w:val="nil"/>
                    <w:tr2bl w:val="nil"/>
                  </w:tcBorders>
                  <w:noWrap w:val="0"/>
                  <w:vAlign w:val="center"/>
                </w:tcPr>
                <w:p w14:paraId="379B48EA">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b/>
                      <w:bCs w:val="0"/>
                      <w:caps w:val="0"/>
                      <w:smallCaps w:val="0"/>
                      <w:color w:val="auto"/>
                      <w:spacing w:val="0"/>
                      <w:sz w:val="21"/>
                      <w:szCs w:val="21"/>
                      <w:highlight w:val="none"/>
                    </w:rPr>
                  </w:pPr>
                </w:p>
              </w:tc>
              <w:tc>
                <w:tcPr>
                  <w:tcW w:w="1786" w:type="pct"/>
                  <w:gridSpan w:val="3"/>
                  <w:tcBorders>
                    <w:tl2br w:val="nil"/>
                    <w:tr2bl w:val="nil"/>
                  </w:tcBorders>
                  <w:noWrap w:val="0"/>
                  <w:vAlign w:val="center"/>
                </w:tcPr>
                <w:p w14:paraId="24D18C46">
                  <w:pPr>
                    <w:keepNext w:val="0"/>
                    <w:keepLines w:val="0"/>
                    <w:pageBreakBefore w:val="0"/>
                    <w:widowControl/>
                    <w:shd w:val="clear" w:color="auto" w:fill="auto"/>
                    <w:kinsoku/>
                    <w:wordWrap/>
                    <w:overflowPunct/>
                    <w:topLinePunct w:val="0"/>
                    <w:autoSpaceDE/>
                    <w:bidi w:val="0"/>
                    <w:spacing w:line="300" w:lineRule="exact"/>
                    <w:ind w:firstLine="0" w:firstLineChars="0"/>
                    <w:jc w:val="center"/>
                    <w:textAlignment w:val="center"/>
                    <w:outlineLvl w:val="9"/>
                    <w:rPr>
                      <w:rFonts w:hint="default"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2025.09.17</w:t>
                  </w:r>
                </w:p>
              </w:tc>
              <w:tc>
                <w:tcPr>
                  <w:tcW w:w="1791" w:type="pct"/>
                  <w:gridSpan w:val="3"/>
                  <w:tcBorders>
                    <w:tl2br w:val="nil"/>
                    <w:tr2bl w:val="nil"/>
                  </w:tcBorders>
                  <w:noWrap w:val="0"/>
                  <w:vAlign w:val="center"/>
                </w:tcPr>
                <w:p w14:paraId="7EF971BB">
                  <w:pPr>
                    <w:keepNext w:val="0"/>
                    <w:keepLines w:val="0"/>
                    <w:pageBreakBefore w:val="0"/>
                    <w:widowControl/>
                    <w:shd w:val="clear" w:color="auto" w:fill="auto"/>
                    <w:kinsoku/>
                    <w:wordWrap/>
                    <w:overflowPunct/>
                    <w:topLinePunct w:val="0"/>
                    <w:autoSpaceDE/>
                    <w:bidi w:val="0"/>
                    <w:spacing w:line="300" w:lineRule="exact"/>
                    <w:ind w:firstLine="0" w:firstLineChars="0"/>
                    <w:jc w:val="center"/>
                    <w:textAlignment w:val="center"/>
                    <w:outlineLvl w:val="9"/>
                    <w:rPr>
                      <w:rFonts w:hint="default"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2025.09.19</w:t>
                  </w:r>
                </w:p>
              </w:tc>
            </w:tr>
            <w:tr w14:paraId="14B969E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285" w:hRule="atLeast"/>
                <w:jc w:val="center"/>
              </w:trPr>
              <w:tc>
                <w:tcPr>
                  <w:tcW w:w="1421" w:type="pct"/>
                  <w:vMerge w:val="continue"/>
                  <w:tcBorders>
                    <w:tl2br w:val="nil"/>
                    <w:tr2bl w:val="nil"/>
                  </w:tcBorders>
                  <w:noWrap w:val="0"/>
                  <w:vAlign w:val="center"/>
                </w:tcPr>
                <w:p w14:paraId="4A8BE4D1">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b/>
                      <w:bCs w:val="0"/>
                      <w:caps w:val="0"/>
                      <w:smallCaps w:val="0"/>
                      <w:color w:val="auto"/>
                      <w:spacing w:val="0"/>
                      <w:sz w:val="21"/>
                      <w:szCs w:val="21"/>
                      <w:highlight w:val="none"/>
                    </w:rPr>
                  </w:pPr>
                </w:p>
              </w:tc>
              <w:tc>
                <w:tcPr>
                  <w:tcW w:w="892" w:type="pct"/>
                  <w:tcBorders>
                    <w:tl2br w:val="nil"/>
                    <w:tr2bl w:val="nil"/>
                  </w:tcBorders>
                  <w:noWrap w:val="0"/>
                  <w:vAlign w:val="center"/>
                </w:tcPr>
                <w:p w14:paraId="1BA1487A">
                  <w:pPr>
                    <w:keepNext w:val="0"/>
                    <w:keepLines w:val="0"/>
                    <w:pageBreakBefore w:val="0"/>
                    <w:widowControl/>
                    <w:shd w:val="clear" w:color="auto" w:fill="auto"/>
                    <w:kinsoku/>
                    <w:wordWrap/>
                    <w:overflowPunct/>
                    <w:topLinePunct w:val="0"/>
                    <w:autoSpaceDE/>
                    <w:bidi w:val="0"/>
                    <w:spacing w:line="300" w:lineRule="exact"/>
                    <w:ind w:firstLine="0" w:firstLineChars="0"/>
                    <w:jc w:val="center"/>
                    <w:textAlignment w:val="center"/>
                    <w:outlineLvl w:val="9"/>
                    <w:rPr>
                      <w:rFonts w:hint="default" w:ascii="Times New Roman" w:hAnsi="Times New Roman" w:eastAsia="宋体" w:cs="Times New Roman"/>
                      <w:b/>
                      <w:bCs w:val="0"/>
                      <w:caps w:val="0"/>
                      <w:smallCaps w:val="0"/>
                      <w:color w:val="auto"/>
                      <w:spacing w:val="0"/>
                      <w:sz w:val="21"/>
                      <w:szCs w:val="21"/>
                      <w:highlight w:val="none"/>
                      <w:lang w:val="en-US" w:eastAsia="zh-CN"/>
                    </w:rPr>
                  </w:pPr>
                  <w:r>
                    <w:rPr>
                      <w:rFonts w:hint="default" w:ascii="Times New Roman" w:hAnsi="Times New Roman" w:eastAsia="宋体" w:cs="Times New Roman"/>
                      <w:b/>
                      <w:bCs w:val="0"/>
                      <w:color w:val="auto"/>
                      <w:sz w:val="21"/>
                      <w:szCs w:val="21"/>
                      <w:highlight w:val="none"/>
                    </w:rPr>
                    <w:t>昼间</w:t>
                  </w:r>
                </w:p>
              </w:tc>
              <w:tc>
                <w:tcPr>
                  <w:tcW w:w="894" w:type="pct"/>
                  <w:gridSpan w:val="2"/>
                  <w:tcBorders>
                    <w:tl2br w:val="nil"/>
                    <w:tr2bl w:val="nil"/>
                  </w:tcBorders>
                  <w:noWrap w:val="0"/>
                  <w:vAlign w:val="center"/>
                </w:tcPr>
                <w:p w14:paraId="420E96D6">
                  <w:pPr>
                    <w:keepNext w:val="0"/>
                    <w:keepLines w:val="0"/>
                    <w:pageBreakBefore w:val="0"/>
                    <w:widowControl/>
                    <w:shd w:val="clear" w:color="auto" w:fill="auto"/>
                    <w:kinsoku/>
                    <w:wordWrap/>
                    <w:overflowPunct/>
                    <w:topLinePunct w:val="0"/>
                    <w:autoSpaceDE/>
                    <w:bidi w:val="0"/>
                    <w:spacing w:line="300" w:lineRule="exact"/>
                    <w:ind w:firstLine="0" w:firstLineChars="0"/>
                    <w:jc w:val="center"/>
                    <w:textAlignment w:val="center"/>
                    <w:outlineLvl w:val="9"/>
                    <w:rPr>
                      <w:rFonts w:hint="default" w:ascii="Times New Roman" w:hAnsi="Times New Roman" w:eastAsia="宋体" w:cs="Times New Roman"/>
                      <w:b/>
                      <w:bCs w:val="0"/>
                      <w:caps w:val="0"/>
                      <w:smallCaps w:val="0"/>
                      <w:color w:val="auto"/>
                      <w:spacing w:val="0"/>
                      <w:sz w:val="21"/>
                      <w:szCs w:val="21"/>
                      <w:highlight w:val="none"/>
                      <w:lang w:val="en-US" w:eastAsia="zh-CN"/>
                    </w:rPr>
                  </w:pPr>
                  <w:r>
                    <w:rPr>
                      <w:rFonts w:hint="default" w:ascii="Times New Roman" w:hAnsi="Times New Roman" w:eastAsia="宋体" w:cs="Times New Roman"/>
                      <w:b/>
                      <w:bCs w:val="0"/>
                      <w:color w:val="auto"/>
                      <w:sz w:val="21"/>
                      <w:szCs w:val="21"/>
                      <w:highlight w:val="none"/>
                    </w:rPr>
                    <w:t>夜间</w:t>
                  </w:r>
                </w:p>
              </w:tc>
              <w:tc>
                <w:tcPr>
                  <w:tcW w:w="892" w:type="pct"/>
                  <w:tcBorders>
                    <w:tl2br w:val="nil"/>
                    <w:tr2bl w:val="nil"/>
                  </w:tcBorders>
                  <w:noWrap w:val="0"/>
                  <w:vAlign w:val="center"/>
                </w:tcPr>
                <w:p w14:paraId="0A44B5C0">
                  <w:pPr>
                    <w:keepNext w:val="0"/>
                    <w:keepLines w:val="0"/>
                    <w:pageBreakBefore w:val="0"/>
                    <w:widowControl/>
                    <w:shd w:val="clear" w:color="auto" w:fill="auto"/>
                    <w:kinsoku/>
                    <w:wordWrap/>
                    <w:overflowPunct/>
                    <w:topLinePunct w:val="0"/>
                    <w:autoSpaceDE/>
                    <w:bidi w:val="0"/>
                    <w:spacing w:line="300" w:lineRule="exact"/>
                    <w:ind w:firstLine="0" w:firstLineChars="0"/>
                    <w:jc w:val="center"/>
                    <w:textAlignment w:val="center"/>
                    <w:outlineLvl w:val="9"/>
                    <w:rPr>
                      <w:rFonts w:hint="default" w:ascii="Times New Roman" w:hAnsi="Times New Roman" w:eastAsia="宋体" w:cs="Times New Roman"/>
                      <w:b/>
                      <w:bCs w:val="0"/>
                      <w:caps w:val="0"/>
                      <w:smallCaps w:val="0"/>
                      <w:color w:val="auto"/>
                      <w:spacing w:val="0"/>
                      <w:sz w:val="21"/>
                      <w:szCs w:val="21"/>
                      <w:highlight w:val="none"/>
                      <w:lang w:val="en-US" w:eastAsia="zh-CN"/>
                    </w:rPr>
                  </w:pPr>
                  <w:r>
                    <w:rPr>
                      <w:rFonts w:hint="default" w:ascii="Times New Roman" w:hAnsi="Times New Roman" w:eastAsia="宋体" w:cs="Times New Roman"/>
                      <w:b/>
                      <w:bCs w:val="0"/>
                      <w:color w:val="auto"/>
                      <w:sz w:val="21"/>
                      <w:szCs w:val="21"/>
                      <w:highlight w:val="none"/>
                    </w:rPr>
                    <w:t>昼间</w:t>
                  </w:r>
                </w:p>
              </w:tc>
              <w:tc>
                <w:tcPr>
                  <w:tcW w:w="898" w:type="pct"/>
                  <w:gridSpan w:val="2"/>
                  <w:tcBorders>
                    <w:tl2br w:val="nil"/>
                    <w:tr2bl w:val="nil"/>
                  </w:tcBorders>
                  <w:noWrap w:val="0"/>
                  <w:vAlign w:val="center"/>
                </w:tcPr>
                <w:p w14:paraId="5D8B9A5B">
                  <w:pPr>
                    <w:keepNext w:val="0"/>
                    <w:keepLines w:val="0"/>
                    <w:pageBreakBefore w:val="0"/>
                    <w:widowControl/>
                    <w:shd w:val="clear" w:color="auto" w:fill="auto"/>
                    <w:kinsoku/>
                    <w:wordWrap/>
                    <w:overflowPunct/>
                    <w:topLinePunct w:val="0"/>
                    <w:autoSpaceDE/>
                    <w:bidi w:val="0"/>
                    <w:spacing w:line="300" w:lineRule="exact"/>
                    <w:ind w:firstLine="0" w:firstLineChars="0"/>
                    <w:jc w:val="center"/>
                    <w:textAlignment w:val="center"/>
                    <w:outlineLvl w:val="9"/>
                    <w:rPr>
                      <w:rFonts w:hint="default" w:ascii="Times New Roman" w:hAnsi="Times New Roman" w:eastAsia="宋体" w:cs="Times New Roman"/>
                      <w:b/>
                      <w:bCs w:val="0"/>
                      <w:caps w:val="0"/>
                      <w:smallCaps w:val="0"/>
                      <w:color w:val="auto"/>
                      <w:spacing w:val="0"/>
                      <w:sz w:val="21"/>
                      <w:szCs w:val="21"/>
                      <w:highlight w:val="none"/>
                      <w:lang w:val="en-US" w:eastAsia="zh-CN"/>
                    </w:rPr>
                  </w:pPr>
                  <w:r>
                    <w:rPr>
                      <w:rFonts w:hint="default" w:ascii="Times New Roman" w:hAnsi="Times New Roman" w:eastAsia="宋体" w:cs="Times New Roman"/>
                      <w:b/>
                      <w:bCs w:val="0"/>
                      <w:color w:val="auto"/>
                      <w:sz w:val="21"/>
                      <w:szCs w:val="21"/>
                      <w:highlight w:val="none"/>
                    </w:rPr>
                    <w:t>夜间</w:t>
                  </w:r>
                </w:p>
              </w:tc>
            </w:tr>
            <w:tr w14:paraId="41AB838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5366EB0B">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bCs/>
                      <w:caps w:val="0"/>
                      <w:smallCaps w:val="0"/>
                      <w:color w:val="auto"/>
                      <w:spacing w:val="0"/>
                      <w:sz w:val="21"/>
                      <w:szCs w:val="21"/>
                      <w:highlight w:val="none"/>
                    </w:rPr>
                    <w:t>1#</w:t>
                  </w:r>
                </w:p>
              </w:tc>
              <w:tc>
                <w:tcPr>
                  <w:tcW w:w="1496" w:type="dxa"/>
                  <w:tcBorders>
                    <w:tl2br w:val="nil"/>
                    <w:tr2bl w:val="nil"/>
                  </w:tcBorders>
                  <w:noWrap w:val="0"/>
                  <w:vAlign w:val="center"/>
                </w:tcPr>
                <w:p w14:paraId="0B5D77BA">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0"/>
                      <w:sz w:val="21"/>
                      <w:szCs w:val="21"/>
                      <w:lang w:val="en-US" w:eastAsia="zh-CN" w:bidi="ar"/>
                    </w:rPr>
                    <w:t>43</w:t>
                  </w:r>
                </w:p>
              </w:tc>
              <w:tc>
                <w:tcPr>
                  <w:tcW w:w="1500" w:type="dxa"/>
                  <w:gridSpan w:val="2"/>
                  <w:tcBorders>
                    <w:tl2br w:val="nil"/>
                    <w:tr2bl w:val="nil"/>
                  </w:tcBorders>
                  <w:noWrap w:val="0"/>
                  <w:vAlign w:val="center"/>
                </w:tcPr>
                <w:p w14:paraId="625CFDC2">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0"/>
                      <w:sz w:val="21"/>
                      <w:szCs w:val="21"/>
                      <w:lang w:val="en-US" w:eastAsia="zh-CN" w:bidi="ar"/>
                    </w:rPr>
                    <w:t>42</w:t>
                  </w:r>
                </w:p>
              </w:tc>
              <w:tc>
                <w:tcPr>
                  <w:tcW w:w="1496" w:type="dxa"/>
                  <w:tcBorders>
                    <w:tl2br w:val="nil"/>
                    <w:tr2bl w:val="nil"/>
                  </w:tcBorders>
                  <w:noWrap w:val="0"/>
                  <w:vAlign w:val="center"/>
                </w:tcPr>
                <w:p w14:paraId="7822BDB4">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c>
                <w:tcPr>
                  <w:tcW w:w="1509" w:type="dxa"/>
                  <w:gridSpan w:val="2"/>
                  <w:tcBorders>
                    <w:tl2br w:val="nil"/>
                    <w:tr2bl w:val="nil"/>
                  </w:tcBorders>
                  <w:noWrap w:val="0"/>
                  <w:vAlign w:val="center"/>
                </w:tcPr>
                <w:p w14:paraId="0EC17779">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r>
            <w:tr w14:paraId="7A9D2B4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2B4B981A">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bCs/>
                      <w:caps w:val="0"/>
                      <w:smallCaps w:val="0"/>
                      <w:color w:val="auto"/>
                      <w:spacing w:val="0"/>
                      <w:sz w:val="21"/>
                      <w:szCs w:val="21"/>
                      <w:highlight w:val="none"/>
                    </w:rPr>
                    <w:t>2#</w:t>
                  </w:r>
                </w:p>
              </w:tc>
              <w:tc>
                <w:tcPr>
                  <w:tcW w:w="1496" w:type="dxa"/>
                  <w:tcBorders>
                    <w:tl2br w:val="nil"/>
                    <w:tr2bl w:val="nil"/>
                  </w:tcBorders>
                  <w:noWrap w:val="0"/>
                  <w:vAlign w:val="center"/>
                </w:tcPr>
                <w:p w14:paraId="1593125E">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highlight w:val="none"/>
                      <w:lang w:val="en-US" w:eastAsia="zh-CN" w:bidi="ar-SA"/>
                    </w:rPr>
                    <w:t>46</w:t>
                  </w:r>
                </w:p>
              </w:tc>
              <w:tc>
                <w:tcPr>
                  <w:tcW w:w="1500" w:type="dxa"/>
                  <w:gridSpan w:val="2"/>
                  <w:tcBorders>
                    <w:tl2br w:val="nil"/>
                    <w:tr2bl w:val="nil"/>
                  </w:tcBorders>
                  <w:noWrap w:val="0"/>
                  <w:vAlign w:val="center"/>
                </w:tcPr>
                <w:p w14:paraId="5FFEA105">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0"/>
                      <w:sz w:val="21"/>
                      <w:szCs w:val="21"/>
                      <w:lang w:val="en-US" w:eastAsia="zh-CN" w:bidi="ar"/>
                    </w:rPr>
                    <w:t>42</w:t>
                  </w:r>
                </w:p>
              </w:tc>
              <w:tc>
                <w:tcPr>
                  <w:tcW w:w="1496" w:type="dxa"/>
                  <w:tcBorders>
                    <w:tl2br w:val="nil"/>
                    <w:tr2bl w:val="nil"/>
                  </w:tcBorders>
                  <w:noWrap w:val="0"/>
                  <w:vAlign w:val="center"/>
                </w:tcPr>
                <w:p w14:paraId="77888CB9">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45</w:t>
                  </w:r>
                </w:p>
              </w:tc>
              <w:tc>
                <w:tcPr>
                  <w:tcW w:w="1509" w:type="dxa"/>
                  <w:gridSpan w:val="2"/>
                  <w:tcBorders>
                    <w:tl2br w:val="nil"/>
                    <w:tr2bl w:val="nil"/>
                  </w:tcBorders>
                  <w:noWrap w:val="0"/>
                  <w:vAlign w:val="center"/>
                </w:tcPr>
                <w:p w14:paraId="341A7745">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r>
            <w:tr w14:paraId="2740E08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23D67BDC">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bCs/>
                      <w:caps w:val="0"/>
                      <w:smallCaps w:val="0"/>
                      <w:color w:val="auto"/>
                      <w:spacing w:val="0"/>
                      <w:sz w:val="21"/>
                      <w:szCs w:val="21"/>
                      <w:highlight w:val="none"/>
                    </w:rPr>
                    <w:t>3#</w:t>
                  </w:r>
                </w:p>
              </w:tc>
              <w:tc>
                <w:tcPr>
                  <w:tcW w:w="1496" w:type="dxa"/>
                  <w:tcBorders>
                    <w:tl2br w:val="nil"/>
                    <w:tr2bl w:val="nil"/>
                  </w:tcBorders>
                  <w:noWrap w:val="0"/>
                  <w:vAlign w:val="center"/>
                </w:tcPr>
                <w:p w14:paraId="507CF175">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52</w:t>
                  </w:r>
                </w:p>
              </w:tc>
              <w:tc>
                <w:tcPr>
                  <w:tcW w:w="1500" w:type="dxa"/>
                  <w:gridSpan w:val="2"/>
                  <w:tcBorders>
                    <w:tl2br w:val="nil"/>
                    <w:tr2bl w:val="nil"/>
                  </w:tcBorders>
                  <w:noWrap w:val="0"/>
                  <w:vAlign w:val="center"/>
                </w:tcPr>
                <w:p w14:paraId="56EEF0DD">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42</w:t>
                  </w:r>
                </w:p>
              </w:tc>
              <w:tc>
                <w:tcPr>
                  <w:tcW w:w="1496" w:type="dxa"/>
                  <w:tcBorders>
                    <w:tl2br w:val="nil"/>
                    <w:tr2bl w:val="nil"/>
                  </w:tcBorders>
                  <w:noWrap w:val="0"/>
                  <w:vAlign w:val="center"/>
                </w:tcPr>
                <w:p w14:paraId="349F4205">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46</w:t>
                  </w:r>
                </w:p>
              </w:tc>
              <w:tc>
                <w:tcPr>
                  <w:tcW w:w="1509" w:type="dxa"/>
                  <w:gridSpan w:val="2"/>
                  <w:tcBorders>
                    <w:tl2br w:val="nil"/>
                    <w:tr2bl w:val="nil"/>
                  </w:tcBorders>
                  <w:noWrap w:val="0"/>
                  <w:vAlign w:val="center"/>
                </w:tcPr>
                <w:p w14:paraId="372F8CC0">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44</w:t>
                  </w:r>
                </w:p>
              </w:tc>
            </w:tr>
            <w:tr w14:paraId="3358A37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622F2A92">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bCs/>
                      <w:caps w:val="0"/>
                      <w:smallCaps w:val="0"/>
                      <w:color w:val="auto"/>
                      <w:spacing w:val="0"/>
                      <w:sz w:val="21"/>
                      <w:szCs w:val="21"/>
                      <w:highlight w:val="none"/>
                    </w:rPr>
                    <w:t>4#</w:t>
                  </w:r>
                </w:p>
              </w:tc>
              <w:tc>
                <w:tcPr>
                  <w:tcW w:w="1496" w:type="dxa"/>
                  <w:tcBorders>
                    <w:tl2br w:val="nil"/>
                    <w:tr2bl w:val="nil"/>
                  </w:tcBorders>
                  <w:noWrap w:val="0"/>
                  <w:vAlign w:val="center"/>
                </w:tcPr>
                <w:p w14:paraId="7F6F4847">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50</w:t>
                  </w:r>
                </w:p>
              </w:tc>
              <w:tc>
                <w:tcPr>
                  <w:tcW w:w="1500" w:type="dxa"/>
                  <w:gridSpan w:val="2"/>
                  <w:tcBorders>
                    <w:tl2br w:val="nil"/>
                    <w:tr2bl w:val="nil"/>
                  </w:tcBorders>
                  <w:noWrap w:val="0"/>
                  <w:vAlign w:val="center"/>
                </w:tcPr>
                <w:p w14:paraId="0BCBC1D0">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c>
                <w:tcPr>
                  <w:tcW w:w="1496" w:type="dxa"/>
                  <w:tcBorders>
                    <w:tl2br w:val="nil"/>
                    <w:tr2bl w:val="nil"/>
                  </w:tcBorders>
                  <w:noWrap w:val="0"/>
                  <w:vAlign w:val="center"/>
                </w:tcPr>
                <w:p w14:paraId="790B44CF">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49</w:t>
                  </w:r>
                </w:p>
              </w:tc>
              <w:tc>
                <w:tcPr>
                  <w:tcW w:w="1509" w:type="dxa"/>
                  <w:gridSpan w:val="2"/>
                  <w:tcBorders>
                    <w:tl2br w:val="nil"/>
                    <w:tr2bl w:val="nil"/>
                  </w:tcBorders>
                  <w:noWrap w:val="0"/>
                  <w:vAlign w:val="center"/>
                </w:tcPr>
                <w:p w14:paraId="0C3AC5C2">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r>
            <w:tr w14:paraId="1D975B1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06594F91">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ascii="Times New Roman" w:hAnsi="Times New Roman" w:eastAsia="宋体" w:cs="Times New Roman"/>
                      <w:bCs/>
                      <w:caps w:val="0"/>
                      <w:smallCaps w:val="0"/>
                      <w:color w:val="auto"/>
                      <w:spacing w:val="0"/>
                      <w:sz w:val="21"/>
                      <w:szCs w:val="21"/>
                      <w:highlight w:val="none"/>
                      <w:lang w:val="en-US" w:eastAsia="zh-CN"/>
                    </w:rPr>
                    <w:t>5#</w:t>
                  </w:r>
                </w:p>
              </w:tc>
              <w:tc>
                <w:tcPr>
                  <w:tcW w:w="1496" w:type="dxa"/>
                  <w:tcBorders>
                    <w:tl2br w:val="nil"/>
                    <w:tr2bl w:val="nil"/>
                  </w:tcBorders>
                  <w:noWrap w:val="0"/>
                  <w:vAlign w:val="center"/>
                </w:tcPr>
                <w:p w14:paraId="5815BBAF">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53</w:t>
                  </w:r>
                </w:p>
              </w:tc>
              <w:tc>
                <w:tcPr>
                  <w:tcW w:w="1500" w:type="dxa"/>
                  <w:gridSpan w:val="2"/>
                  <w:tcBorders>
                    <w:tl2br w:val="nil"/>
                    <w:tr2bl w:val="nil"/>
                  </w:tcBorders>
                  <w:noWrap w:val="0"/>
                  <w:vAlign w:val="center"/>
                </w:tcPr>
                <w:p w14:paraId="26D7534D">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42</w:t>
                  </w:r>
                </w:p>
              </w:tc>
              <w:tc>
                <w:tcPr>
                  <w:tcW w:w="1496" w:type="dxa"/>
                  <w:tcBorders>
                    <w:tl2br w:val="nil"/>
                    <w:tr2bl w:val="nil"/>
                  </w:tcBorders>
                  <w:noWrap w:val="0"/>
                  <w:vAlign w:val="center"/>
                </w:tcPr>
                <w:p w14:paraId="3A9B45A3">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46</w:t>
                  </w:r>
                </w:p>
              </w:tc>
              <w:tc>
                <w:tcPr>
                  <w:tcW w:w="1509" w:type="dxa"/>
                  <w:gridSpan w:val="2"/>
                  <w:tcBorders>
                    <w:tl2br w:val="nil"/>
                    <w:tr2bl w:val="nil"/>
                  </w:tcBorders>
                  <w:noWrap w:val="0"/>
                  <w:vAlign w:val="center"/>
                </w:tcPr>
                <w:p w14:paraId="43E5C91A">
                  <w:pPr>
                    <w:widowControl/>
                    <w:jc w:val="center"/>
                    <w:textAlignment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r>
            <w:tr w14:paraId="0DF0436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022B1CF1">
                  <w:pPr>
                    <w:widowControl/>
                    <w:jc w:val="center"/>
                    <w:textAlignment w:val="center"/>
                    <w:outlineLvl w:val="9"/>
                    <w:rPr>
                      <w:rFonts w:hint="eastAsia" w:ascii="Times New Roman" w:hAnsi="Times New Roman" w:eastAsia="宋体" w:cs="Times New Roman"/>
                      <w:bCs/>
                      <w:caps w:val="0"/>
                      <w:smallCaps w:val="0"/>
                      <w:color w:val="auto"/>
                      <w:spacing w:val="0"/>
                      <w:sz w:val="21"/>
                      <w:szCs w:val="21"/>
                      <w:highlight w:val="none"/>
                      <w:lang w:val="en-US" w:eastAsia="zh-CN"/>
                    </w:rPr>
                  </w:pPr>
                  <w:r>
                    <w:rPr>
                      <w:rFonts w:hint="eastAsia"/>
                      <w:bCs/>
                      <w:color w:val="auto"/>
                      <w:kern w:val="0"/>
                      <w:szCs w:val="21"/>
                      <w:lang w:val="en-US" w:eastAsia="zh-CN"/>
                    </w:rPr>
                    <w:t>6#</w:t>
                  </w:r>
                </w:p>
              </w:tc>
              <w:tc>
                <w:tcPr>
                  <w:tcW w:w="1496" w:type="dxa"/>
                  <w:tcBorders>
                    <w:tl2br w:val="nil"/>
                    <w:tr2bl w:val="nil"/>
                  </w:tcBorders>
                  <w:noWrap w:val="0"/>
                  <w:vAlign w:val="center"/>
                </w:tcPr>
                <w:p w14:paraId="691320ED">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53</w:t>
                  </w:r>
                </w:p>
              </w:tc>
              <w:tc>
                <w:tcPr>
                  <w:tcW w:w="1500" w:type="dxa"/>
                  <w:gridSpan w:val="2"/>
                  <w:tcBorders>
                    <w:tl2br w:val="nil"/>
                    <w:tr2bl w:val="nil"/>
                  </w:tcBorders>
                  <w:noWrap w:val="0"/>
                  <w:vAlign w:val="center"/>
                </w:tcPr>
                <w:p w14:paraId="464D2E1D">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41</w:t>
                  </w:r>
                </w:p>
              </w:tc>
              <w:tc>
                <w:tcPr>
                  <w:tcW w:w="1496" w:type="dxa"/>
                  <w:tcBorders>
                    <w:tl2br w:val="nil"/>
                    <w:tr2bl w:val="nil"/>
                  </w:tcBorders>
                  <w:noWrap w:val="0"/>
                  <w:vAlign w:val="center"/>
                </w:tcPr>
                <w:p w14:paraId="32850589">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49</w:t>
                  </w:r>
                </w:p>
              </w:tc>
              <w:tc>
                <w:tcPr>
                  <w:tcW w:w="1509" w:type="dxa"/>
                  <w:gridSpan w:val="2"/>
                  <w:tcBorders>
                    <w:tl2br w:val="nil"/>
                    <w:tr2bl w:val="nil"/>
                  </w:tcBorders>
                  <w:noWrap w:val="0"/>
                  <w:vAlign w:val="center"/>
                </w:tcPr>
                <w:p w14:paraId="5BF04DC8">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r>
            <w:tr w14:paraId="3863F66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173EFC40">
                  <w:pPr>
                    <w:widowControl/>
                    <w:jc w:val="center"/>
                    <w:textAlignment w:val="center"/>
                    <w:outlineLvl w:val="9"/>
                    <w:rPr>
                      <w:rFonts w:hint="eastAsia" w:ascii="Times New Roman" w:hAnsi="Times New Roman" w:eastAsia="宋体" w:cs="Times New Roman"/>
                      <w:bCs/>
                      <w:caps w:val="0"/>
                      <w:smallCaps w:val="0"/>
                      <w:color w:val="auto"/>
                      <w:spacing w:val="0"/>
                      <w:sz w:val="21"/>
                      <w:szCs w:val="21"/>
                      <w:highlight w:val="none"/>
                      <w:lang w:val="en-US" w:eastAsia="zh-CN"/>
                    </w:rPr>
                  </w:pPr>
                  <w:r>
                    <w:rPr>
                      <w:rFonts w:hint="eastAsia"/>
                      <w:bCs/>
                      <w:color w:val="auto"/>
                      <w:kern w:val="0"/>
                      <w:szCs w:val="21"/>
                      <w:lang w:val="en-US" w:eastAsia="zh-CN"/>
                    </w:rPr>
                    <w:t>7#</w:t>
                  </w:r>
                </w:p>
              </w:tc>
              <w:tc>
                <w:tcPr>
                  <w:tcW w:w="1496" w:type="dxa"/>
                  <w:tcBorders>
                    <w:tl2br w:val="nil"/>
                    <w:tr2bl w:val="nil"/>
                  </w:tcBorders>
                  <w:noWrap w:val="0"/>
                  <w:vAlign w:val="center"/>
                </w:tcPr>
                <w:p w14:paraId="4BA9D2ED">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54</w:t>
                  </w:r>
                </w:p>
              </w:tc>
              <w:tc>
                <w:tcPr>
                  <w:tcW w:w="1500" w:type="dxa"/>
                  <w:gridSpan w:val="2"/>
                  <w:tcBorders>
                    <w:tl2br w:val="nil"/>
                    <w:tr2bl w:val="nil"/>
                  </w:tcBorders>
                  <w:noWrap w:val="0"/>
                  <w:vAlign w:val="center"/>
                </w:tcPr>
                <w:p w14:paraId="4A7C31FB">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c>
                <w:tcPr>
                  <w:tcW w:w="1496" w:type="dxa"/>
                  <w:tcBorders>
                    <w:tl2br w:val="nil"/>
                    <w:tr2bl w:val="nil"/>
                  </w:tcBorders>
                  <w:noWrap w:val="0"/>
                  <w:vAlign w:val="center"/>
                </w:tcPr>
                <w:p w14:paraId="7B85BFC9">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51</w:t>
                  </w:r>
                </w:p>
              </w:tc>
              <w:tc>
                <w:tcPr>
                  <w:tcW w:w="1509" w:type="dxa"/>
                  <w:gridSpan w:val="2"/>
                  <w:tcBorders>
                    <w:tl2br w:val="nil"/>
                    <w:tr2bl w:val="nil"/>
                  </w:tcBorders>
                  <w:noWrap w:val="0"/>
                  <w:vAlign w:val="center"/>
                </w:tcPr>
                <w:p w14:paraId="21D151B2">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42</w:t>
                  </w:r>
                </w:p>
              </w:tc>
            </w:tr>
            <w:tr w14:paraId="24D66ED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center"/>
                </w:tcPr>
                <w:p w14:paraId="280F562A">
                  <w:pPr>
                    <w:widowControl/>
                    <w:jc w:val="center"/>
                    <w:textAlignment w:val="center"/>
                    <w:outlineLvl w:val="9"/>
                    <w:rPr>
                      <w:rFonts w:hint="eastAsia" w:ascii="Times New Roman" w:hAnsi="Times New Roman" w:eastAsia="宋体" w:cs="Times New Roman"/>
                      <w:bCs/>
                      <w:caps w:val="0"/>
                      <w:smallCaps w:val="0"/>
                      <w:color w:val="auto"/>
                      <w:spacing w:val="0"/>
                      <w:sz w:val="21"/>
                      <w:szCs w:val="21"/>
                      <w:highlight w:val="none"/>
                      <w:lang w:val="en-US" w:eastAsia="zh-CN"/>
                    </w:rPr>
                  </w:pPr>
                  <w:r>
                    <w:rPr>
                      <w:rFonts w:hint="eastAsia"/>
                      <w:bCs/>
                      <w:color w:val="auto"/>
                      <w:kern w:val="0"/>
                      <w:szCs w:val="21"/>
                      <w:lang w:val="en-US" w:eastAsia="zh-CN"/>
                    </w:rPr>
                    <w:t>8#</w:t>
                  </w:r>
                </w:p>
              </w:tc>
              <w:tc>
                <w:tcPr>
                  <w:tcW w:w="1496" w:type="dxa"/>
                  <w:tcBorders>
                    <w:tl2br w:val="nil"/>
                    <w:tr2bl w:val="nil"/>
                  </w:tcBorders>
                  <w:noWrap w:val="0"/>
                  <w:vAlign w:val="center"/>
                </w:tcPr>
                <w:p w14:paraId="6F980A5B">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50</w:t>
                  </w:r>
                </w:p>
              </w:tc>
              <w:tc>
                <w:tcPr>
                  <w:tcW w:w="1500" w:type="dxa"/>
                  <w:gridSpan w:val="2"/>
                  <w:tcBorders>
                    <w:tl2br w:val="nil"/>
                    <w:tr2bl w:val="nil"/>
                  </w:tcBorders>
                  <w:noWrap w:val="0"/>
                  <w:vAlign w:val="center"/>
                </w:tcPr>
                <w:p w14:paraId="7151E148">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c>
                <w:tcPr>
                  <w:tcW w:w="1496" w:type="dxa"/>
                  <w:tcBorders>
                    <w:tl2br w:val="nil"/>
                    <w:tr2bl w:val="nil"/>
                  </w:tcBorders>
                  <w:noWrap w:val="0"/>
                  <w:vAlign w:val="center"/>
                </w:tcPr>
                <w:p w14:paraId="119226BA">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53</w:t>
                  </w:r>
                </w:p>
              </w:tc>
              <w:tc>
                <w:tcPr>
                  <w:tcW w:w="1509" w:type="dxa"/>
                  <w:gridSpan w:val="2"/>
                  <w:tcBorders>
                    <w:tl2br w:val="nil"/>
                    <w:tr2bl w:val="nil"/>
                  </w:tcBorders>
                  <w:noWrap w:val="0"/>
                  <w:vAlign w:val="center"/>
                </w:tcPr>
                <w:p w14:paraId="337EA7F6">
                  <w:pPr>
                    <w:widowControl/>
                    <w:jc w:val="center"/>
                    <w:textAlignment w:val="center"/>
                    <w:outlineLvl w:val="9"/>
                    <w:rPr>
                      <w:rFonts w:hint="eastAsia" w:ascii="Times New Roman" w:hAnsi="Times New Roman" w:eastAsia="宋体" w:cs="Times New Roman"/>
                      <w:caps w:val="0"/>
                      <w:smallCaps w:val="0"/>
                      <w:color w:val="auto"/>
                      <w:spacing w:val="0"/>
                      <w:sz w:val="21"/>
                      <w:szCs w:val="21"/>
                      <w:highlight w:val="none"/>
                      <w:lang w:val="en-US" w:eastAsia="zh-CN"/>
                    </w:rPr>
                  </w:pPr>
                  <w:r>
                    <w:rPr>
                      <w:rFonts w:hint="eastAsia" w:cs="Times New Roman"/>
                      <w:color w:val="auto"/>
                      <w:kern w:val="2"/>
                      <w:sz w:val="21"/>
                      <w:szCs w:val="21"/>
                      <w:lang w:val="en-US" w:eastAsia="zh-CN" w:bidi="ar-SA"/>
                    </w:rPr>
                    <w:t>43</w:t>
                  </w:r>
                </w:p>
              </w:tc>
            </w:tr>
            <w:tr w14:paraId="1D535E4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23" w:type="dxa"/>
                  <w:bottom w:w="0" w:type="dxa"/>
                  <w:right w:w="23" w:type="dxa"/>
                </w:tblCellMar>
              </w:tblPrEx>
              <w:trPr>
                <w:trHeight w:val="397" w:hRule="atLeast"/>
                <w:jc w:val="center"/>
              </w:trPr>
              <w:tc>
                <w:tcPr>
                  <w:tcW w:w="1421" w:type="pct"/>
                  <w:tcBorders>
                    <w:tl2br w:val="nil"/>
                    <w:tr2bl w:val="nil"/>
                  </w:tcBorders>
                  <w:noWrap w:val="0"/>
                  <w:vAlign w:val="top"/>
                </w:tcPr>
                <w:p w14:paraId="3A402EB2">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rPr>
                  </w:pPr>
                  <w:r>
                    <w:rPr>
                      <w:rFonts w:hint="eastAsia" w:cs="Times New Roman"/>
                      <w:caps w:val="0"/>
                      <w:smallCaps w:val="0"/>
                      <w:color w:val="auto"/>
                      <w:spacing w:val="0"/>
                      <w:sz w:val="21"/>
                      <w:szCs w:val="21"/>
                      <w:highlight w:val="none"/>
                      <w:lang w:eastAsia="zh-CN"/>
                    </w:rPr>
                    <w:t>（</w:t>
                  </w:r>
                  <w:r>
                    <w:rPr>
                      <w:rFonts w:hint="default" w:ascii="Times New Roman" w:hAnsi="Times New Roman" w:eastAsia="宋体" w:cs="Times New Roman"/>
                      <w:caps w:val="0"/>
                      <w:smallCaps w:val="0"/>
                      <w:color w:val="auto"/>
                      <w:spacing w:val="0"/>
                      <w:sz w:val="21"/>
                      <w:szCs w:val="21"/>
                      <w:highlight w:val="none"/>
                    </w:rPr>
                    <w:t>GB3096-2008</w:t>
                  </w:r>
                  <w:r>
                    <w:rPr>
                      <w:rFonts w:hint="eastAsia" w:ascii="Times New Roman" w:hAnsi="Times New Roman" w:eastAsia="宋体" w:cs="Times New Roman"/>
                      <w:caps w:val="0"/>
                      <w:smallCaps w:val="0"/>
                      <w:color w:val="auto"/>
                      <w:spacing w:val="0"/>
                      <w:sz w:val="21"/>
                      <w:szCs w:val="21"/>
                      <w:highlight w:val="none"/>
                      <w:lang w:eastAsia="zh-CN"/>
                    </w:rPr>
                    <w:t>）</w:t>
                  </w:r>
                  <w:r>
                    <w:rPr>
                      <w:rFonts w:hint="default" w:ascii="Times New Roman" w:hAnsi="Times New Roman" w:eastAsia="宋体" w:cs="Times New Roman"/>
                      <w:caps w:val="0"/>
                      <w:smallCaps w:val="0"/>
                      <w:color w:val="auto"/>
                      <w:spacing w:val="0"/>
                      <w:sz w:val="21"/>
                      <w:szCs w:val="21"/>
                      <w:highlight w:val="none"/>
                    </w:rPr>
                    <w:t>中</w:t>
                  </w:r>
                  <w:r>
                    <w:rPr>
                      <w:rFonts w:hint="eastAsia" w:ascii="Times New Roman" w:hAnsi="Times New Roman" w:eastAsia="宋体" w:cs="Times New Roman"/>
                      <w:caps w:val="0"/>
                      <w:smallCaps w:val="0"/>
                      <w:color w:val="auto"/>
                      <w:spacing w:val="0"/>
                      <w:sz w:val="21"/>
                      <w:szCs w:val="21"/>
                      <w:highlight w:val="none"/>
                      <w:lang w:val="en-US" w:eastAsia="zh-CN"/>
                    </w:rPr>
                    <w:t>1</w:t>
                  </w:r>
                  <w:r>
                    <w:rPr>
                      <w:rFonts w:hint="default" w:ascii="Times New Roman" w:hAnsi="Times New Roman" w:eastAsia="宋体" w:cs="Times New Roman"/>
                      <w:caps w:val="0"/>
                      <w:smallCaps w:val="0"/>
                      <w:color w:val="auto"/>
                      <w:spacing w:val="0"/>
                      <w:sz w:val="21"/>
                      <w:szCs w:val="21"/>
                      <w:highlight w:val="none"/>
                    </w:rPr>
                    <w:t>类标准</w:t>
                  </w:r>
                </w:p>
              </w:tc>
              <w:tc>
                <w:tcPr>
                  <w:tcW w:w="893" w:type="pct"/>
                  <w:gridSpan w:val="2"/>
                  <w:tcBorders>
                    <w:tl2br w:val="nil"/>
                    <w:tr2bl w:val="nil"/>
                  </w:tcBorders>
                  <w:noWrap w:val="0"/>
                  <w:vAlign w:val="center"/>
                </w:tcPr>
                <w:p w14:paraId="4744BA8F">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ascii="Times New Roman" w:hAnsi="Times New Roman" w:eastAsia="宋体" w:cs="Times New Roman"/>
                      <w:caps w:val="0"/>
                      <w:smallCaps w:val="0"/>
                      <w:color w:val="auto"/>
                      <w:spacing w:val="0"/>
                      <w:sz w:val="21"/>
                      <w:szCs w:val="21"/>
                      <w:highlight w:val="none"/>
                      <w:lang w:val="en-US" w:eastAsia="zh-CN"/>
                    </w:rPr>
                    <w:t>55</w:t>
                  </w:r>
                </w:p>
              </w:tc>
              <w:tc>
                <w:tcPr>
                  <w:tcW w:w="893" w:type="pct"/>
                  <w:tcBorders>
                    <w:tl2br w:val="nil"/>
                    <w:tr2bl w:val="nil"/>
                  </w:tcBorders>
                  <w:noWrap w:val="0"/>
                  <w:vAlign w:val="center"/>
                </w:tcPr>
                <w:p w14:paraId="4A6242FE">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ascii="Times New Roman" w:hAnsi="Times New Roman" w:eastAsia="宋体" w:cs="Times New Roman"/>
                      <w:caps w:val="0"/>
                      <w:smallCaps w:val="0"/>
                      <w:color w:val="auto"/>
                      <w:spacing w:val="0"/>
                      <w:sz w:val="21"/>
                      <w:szCs w:val="21"/>
                      <w:highlight w:val="none"/>
                      <w:lang w:val="en-US" w:eastAsia="zh-CN"/>
                    </w:rPr>
                    <w:t>45</w:t>
                  </w:r>
                </w:p>
              </w:tc>
              <w:tc>
                <w:tcPr>
                  <w:tcW w:w="894" w:type="pct"/>
                  <w:gridSpan w:val="2"/>
                  <w:tcBorders>
                    <w:tl2br w:val="nil"/>
                    <w:tr2bl w:val="nil"/>
                  </w:tcBorders>
                  <w:noWrap w:val="0"/>
                  <w:vAlign w:val="center"/>
                </w:tcPr>
                <w:p w14:paraId="2B5DF4D2">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ascii="Times New Roman" w:hAnsi="Times New Roman" w:eastAsia="宋体" w:cs="Times New Roman"/>
                      <w:caps w:val="0"/>
                      <w:smallCaps w:val="0"/>
                      <w:color w:val="auto"/>
                      <w:spacing w:val="0"/>
                      <w:sz w:val="21"/>
                      <w:szCs w:val="21"/>
                      <w:highlight w:val="none"/>
                      <w:lang w:val="en-US" w:eastAsia="zh-CN"/>
                    </w:rPr>
                    <w:t>55</w:t>
                  </w:r>
                </w:p>
              </w:tc>
              <w:tc>
                <w:tcPr>
                  <w:tcW w:w="897" w:type="pct"/>
                  <w:tcBorders>
                    <w:tl2br w:val="nil"/>
                    <w:tr2bl w:val="nil"/>
                  </w:tcBorders>
                  <w:noWrap w:val="0"/>
                  <w:vAlign w:val="center"/>
                </w:tcPr>
                <w:p w14:paraId="3A214C30">
                  <w:pPr>
                    <w:keepNext w:val="0"/>
                    <w:keepLines w:val="0"/>
                    <w:pageBreakBefore w:val="0"/>
                    <w:shd w:val="clear" w:color="auto" w:fill="auto"/>
                    <w:kinsoku/>
                    <w:wordWrap/>
                    <w:overflowPunct/>
                    <w:topLinePunct w:val="0"/>
                    <w:autoSpaceDE/>
                    <w:bidi w:val="0"/>
                    <w:spacing w:line="300" w:lineRule="exact"/>
                    <w:ind w:firstLine="0" w:firstLineChars="0"/>
                    <w:jc w:val="center"/>
                    <w:outlineLvl w:val="9"/>
                    <w:rPr>
                      <w:rFonts w:hint="default" w:ascii="Times New Roman" w:hAnsi="Times New Roman" w:eastAsia="宋体" w:cs="Times New Roman"/>
                      <w:caps w:val="0"/>
                      <w:smallCaps w:val="0"/>
                      <w:color w:val="auto"/>
                      <w:spacing w:val="0"/>
                      <w:sz w:val="21"/>
                      <w:szCs w:val="21"/>
                      <w:highlight w:val="none"/>
                      <w:lang w:val="en-US" w:eastAsia="zh-CN"/>
                    </w:rPr>
                  </w:pPr>
                  <w:r>
                    <w:rPr>
                      <w:rFonts w:hint="eastAsia" w:ascii="Times New Roman" w:hAnsi="Times New Roman" w:eastAsia="宋体" w:cs="Times New Roman"/>
                      <w:caps w:val="0"/>
                      <w:smallCaps w:val="0"/>
                      <w:color w:val="auto"/>
                      <w:spacing w:val="0"/>
                      <w:sz w:val="21"/>
                      <w:szCs w:val="21"/>
                      <w:highlight w:val="none"/>
                      <w:lang w:val="en-US" w:eastAsia="zh-CN"/>
                    </w:rPr>
                    <w:t>45</w:t>
                  </w:r>
                </w:p>
              </w:tc>
            </w:tr>
          </w:tbl>
          <w:p w14:paraId="248B70B5">
            <w:pPr>
              <w:pStyle w:val="29"/>
              <w:widowControl w:val="0"/>
              <w:spacing w:before="0" w:beforeAutospacing="0" w:after="0" w:afterAutospacing="0" w:line="360" w:lineRule="auto"/>
              <w:ind w:firstLine="480" w:firstLineChars="200"/>
              <w:jc w:val="both"/>
              <w:outlineLvl w:val="9"/>
              <w:rPr>
                <w:color w:val="auto"/>
                <w:kern w:val="2"/>
                <w:sz w:val="24"/>
                <w:szCs w:val="24"/>
                <w:lang w:bidi="ar"/>
              </w:rPr>
            </w:pPr>
            <w:r>
              <w:rPr>
                <w:color w:val="auto"/>
                <w:kern w:val="2"/>
                <w:sz w:val="24"/>
                <w:szCs w:val="24"/>
                <w:lang w:bidi="ar"/>
              </w:rPr>
              <w:t>根据上表分析可知，厂界</w:t>
            </w:r>
            <w:r>
              <w:rPr>
                <w:rFonts w:hint="eastAsia"/>
                <w:color w:val="auto"/>
                <w:kern w:val="2"/>
                <w:sz w:val="24"/>
                <w:szCs w:val="24"/>
                <w:lang w:val="en-US" w:eastAsia="zh-CN" w:bidi="ar"/>
              </w:rPr>
              <w:t>四周</w:t>
            </w:r>
            <w:r>
              <w:rPr>
                <w:rFonts w:hint="default" w:ascii="Times New Roman" w:hAnsi="Times New Roman" w:eastAsia="宋体" w:cs="Times New Roman"/>
                <w:color w:val="auto"/>
                <w:kern w:val="2"/>
                <w:sz w:val="24"/>
                <w:szCs w:val="24"/>
                <w:lang w:bidi="ar"/>
              </w:rPr>
              <w:t>昼、夜间声环境质量均能达到《声环境质量标准》（GB3096-2008）中</w:t>
            </w:r>
            <w:r>
              <w:rPr>
                <w:rFonts w:hint="eastAsia" w:ascii="Times New Roman" w:hAnsi="Times New Roman" w:eastAsia="宋体" w:cs="Times New Roman"/>
                <w:color w:val="auto"/>
                <w:kern w:val="2"/>
                <w:sz w:val="24"/>
                <w:szCs w:val="24"/>
                <w:lang w:val="en-US" w:eastAsia="zh-CN" w:bidi="ar"/>
              </w:rPr>
              <w:t>1</w:t>
            </w:r>
            <w:r>
              <w:rPr>
                <w:rFonts w:hint="default" w:ascii="Times New Roman" w:hAnsi="Times New Roman" w:eastAsia="宋体" w:cs="Times New Roman"/>
                <w:color w:val="auto"/>
                <w:kern w:val="2"/>
                <w:sz w:val="24"/>
                <w:szCs w:val="24"/>
                <w:lang w:bidi="ar"/>
              </w:rPr>
              <w:t>类区标准要求，</w:t>
            </w:r>
            <w:r>
              <w:rPr>
                <w:rFonts w:ascii="Times New Roman" w:hAnsi="Times New Roman" w:eastAsia="宋体" w:cs="Times New Roman"/>
                <w:color w:val="auto"/>
                <w:kern w:val="2"/>
                <w:sz w:val="24"/>
                <w:szCs w:val="24"/>
                <w:lang w:bidi="ar"/>
              </w:rPr>
              <w:t>声环</w:t>
            </w:r>
            <w:r>
              <w:rPr>
                <w:color w:val="auto"/>
                <w:kern w:val="2"/>
                <w:sz w:val="24"/>
                <w:szCs w:val="24"/>
                <w:lang w:bidi="ar"/>
              </w:rPr>
              <w:t>境质量较好。</w:t>
            </w:r>
          </w:p>
          <w:p w14:paraId="2DAA9C00">
            <w:pPr>
              <w:adjustRightInd w:val="0"/>
              <w:snapToGrid w:val="0"/>
              <w:spacing w:line="360" w:lineRule="auto"/>
              <w:ind w:firstLine="482" w:firstLineChars="200"/>
              <w:outlineLvl w:val="9"/>
              <w:rPr>
                <w:b/>
                <w:bCs/>
                <w:color w:val="auto"/>
                <w:sz w:val="24"/>
              </w:rPr>
            </w:pPr>
            <w:r>
              <w:rPr>
                <w:rFonts w:hint="eastAsia"/>
                <w:b/>
                <w:bCs/>
                <w:color w:val="auto"/>
                <w:sz w:val="24"/>
              </w:rPr>
              <w:t>4、</w:t>
            </w:r>
            <w:r>
              <w:rPr>
                <w:b/>
                <w:bCs/>
                <w:color w:val="auto"/>
                <w:sz w:val="24"/>
              </w:rPr>
              <w:t>生态环境</w:t>
            </w:r>
          </w:p>
          <w:p w14:paraId="5A565C85">
            <w:pPr>
              <w:adjustRightInd w:val="0"/>
              <w:snapToGrid w:val="0"/>
              <w:spacing w:line="360" w:lineRule="auto"/>
              <w:ind w:firstLine="480" w:firstLineChars="200"/>
              <w:outlineLvl w:val="9"/>
              <w:rPr>
                <w:rFonts w:ascii="Times New Roman" w:hAnsi="Times New Roman" w:eastAsia="宋体" w:cs="Times New Roman"/>
                <w:color w:val="auto"/>
                <w:kern w:val="0"/>
                <w:sz w:val="24"/>
                <w:lang w:bidi="ar"/>
              </w:rPr>
            </w:pPr>
            <w:r>
              <w:rPr>
                <w:rFonts w:ascii="Times New Roman" w:hAnsi="Times New Roman" w:eastAsia="宋体" w:cs="Times New Roman"/>
                <w:color w:val="auto"/>
                <w:kern w:val="0"/>
                <w:sz w:val="24"/>
                <w:lang w:bidi="ar"/>
              </w:rPr>
              <w:t>本项目为污染影响类项目，</w:t>
            </w:r>
            <w:r>
              <w:rPr>
                <w:rFonts w:hint="eastAsia" w:ascii="Times New Roman" w:hAnsi="Times New Roman" w:eastAsia="宋体" w:cs="Times New Roman"/>
                <w:color w:val="auto"/>
                <w:kern w:val="0"/>
                <w:sz w:val="24"/>
                <w:lang w:val="en-US" w:eastAsia="zh-CN" w:bidi="ar"/>
              </w:rPr>
              <w:t>新增用地性质属于工业用地，占地范围内无生态环境保护目标，</w:t>
            </w:r>
            <w:r>
              <w:rPr>
                <w:rFonts w:hint="eastAsia" w:ascii="Times New Roman" w:hAnsi="Times New Roman" w:eastAsia="宋体" w:cs="Times New Roman"/>
                <w:color w:val="auto"/>
                <w:kern w:val="0"/>
                <w:sz w:val="24"/>
                <w:lang w:bidi="ar"/>
              </w:rPr>
              <w:t>故</w:t>
            </w:r>
            <w:r>
              <w:rPr>
                <w:rFonts w:ascii="Times New Roman" w:hAnsi="Times New Roman" w:eastAsia="宋体" w:cs="Times New Roman"/>
                <w:color w:val="auto"/>
                <w:kern w:val="0"/>
                <w:sz w:val="24"/>
                <w:lang w:bidi="ar"/>
              </w:rPr>
              <w:t>未开展生态现状调查。</w:t>
            </w:r>
          </w:p>
          <w:p w14:paraId="38653FD8">
            <w:pPr>
              <w:spacing w:line="360" w:lineRule="auto"/>
              <w:ind w:firstLine="482" w:firstLineChars="200"/>
              <w:outlineLvl w:val="9"/>
              <w:rPr>
                <w:rFonts w:hint="eastAsia" w:ascii="宋体" w:hAnsi="宋体" w:eastAsia="宋体" w:cs="宋体"/>
                <w:b/>
                <w:bCs/>
                <w:color w:val="auto"/>
                <w:sz w:val="24"/>
                <w:lang w:val="en-US" w:eastAsia="zh-CN"/>
              </w:rPr>
            </w:pPr>
            <w:r>
              <w:rPr>
                <w:rFonts w:hint="eastAsia" w:ascii="宋体" w:hAnsi="宋体" w:eastAsia="宋体" w:cs="宋体"/>
                <w:b/>
                <w:bCs/>
                <w:color w:val="auto"/>
                <w:sz w:val="24"/>
                <w:lang w:val="en-US" w:eastAsia="zh-CN"/>
              </w:rPr>
              <w:t>5、地下水环境质量现状</w:t>
            </w:r>
          </w:p>
          <w:p w14:paraId="74541871">
            <w:pPr>
              <w:pStyle w:val="124"/>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caps w:val="0"/>
                <w:smallCaps w:val="0"/>
                <w:color w:val="auto"/>
                <w:spacing w:val="0"/>
                <w:sz w:val="24"/>
                <w:szCs w:val="24"/>
                <w:highlight w:val="none"/>
              </w:rPr>
            </w:pPr>
            <w:r>
              <w:rPr>
                <w:color w:val="auto"/>
                <w:sz w:val="24"/>
              </w:rPr>
              <w:t>根据《建设项目环境影响报告表编制技术指南（污染影响类）（试行）》中</w:t>
            </w:r>
            <w:r>
              <w:rPr>
                <w:rFonts w:hint="eastAsia" w:eastAsia="宋体"/>
                <w:color w:val="auto"/>
                <w:sz w:val="24"/>
                <w:lang w:eastAsia="zh-CN"/>
              </w:rPr>
              <w:t>“</w:t>
            </w:r>
            <w:r>
              <w:rPr>
                <w:rFonts w:hint="eastAsia" w:ascii="宋体" w:hAnsi="宋体" w:cs="宋体"/>
                <w:color w:val="auto"/>
                <w:szCs w:val="21"/>
              </w:rPr>
              <w:t>建设项目存在土壤、地下水环境污染途径的，应结合污染源、保护目标分布情况开展现状调查以留作背景值。</w:t>
            </w:r>
            <w:r>
              <w:rPr>
                <w:rFonts w:hint="eastAsia" w:eastAsia="宋体"/>
                <w:color w:val="auto"/>
                <w:sz w:val="24"/>
                <w:lang w:eastAsia="zh-CN"/>
              </w:rPr>
              <w:t>”</w:t>
            </w:r>
            <w:r>
              <w:rPr>
                <w:rFonts w:hint="eastAsia" w:ascii="Times New Roman" w:hAnsi="Times New Roman" w:eastAsia="宋体" w:cs="Times New Roman"/>
                <w:color w:val="auto"/>
                <w:sz w:val="24"/>
                <w:szCs w:val="24"/>
                <w:lang w:val="en-US" w:eastAsia="zh-CN"/>
              </w:rPr>
              <w:t>本项目地下水水质引用</w:t>
            </w:r>
            <w:r>
              <w:rPr>
                <w:rFonts w:hint="eastAsia"/>
                <w:color w:val="auto"/>
                <w:sz w:val="24"/>
                <w:lang w:val="en-US" w:eastAsia="zh-CN"/>
              </w:rPr>
              <w:t>《朝阳红山化工有限责任公司年产20000t乳化炸药生产线扩能升级改造项目》监测结果，</w:t>
            </w:r>
            <w:r>
              <w:rPr>
                <w:rFonts w:hint="eastAsia"/>
                <w:color w:val="auto"/>
                <w:kern w:val="21"/>
                <w:sz w:val="24"/>
                <w:lang w:val="en-US" w:eastAsia="zh-CN"/>
              </w:rPr>
              <w:t>监测点位位</w:t>
            </w:r>
            <w:r>
              <w:rPr>
                <w:rFonts w:hint="eastAsia"/>
                <w:color w:val="auto"/>
                <w:kern w:val="21"/>
                <w:sz w:val="24"/>
                <w:szCs w:val="24"/>
                <w:lang w:val="en-US" w:eastAsia="zh-CN"/>
              </w:rPr>
              <w:t>于小城子村</w:t>
            </w:r>
            <w:r>
              <w:rPr>
                <w:rFonts w:hint="eastAsia" w:ascii="Times New Roman" w:hAnsi="Times New Roman" w:eastAsia="宋体" w:cs="Times New Roman"/>
                <w:snapToGrid w:val="0"/>
                <w:color w:val="auto"/>
                <w:sz w:val="24"/>
                <w:szCs w:val="24"/>
                <w:highlight w:val="none"/>
                <w:lang w:val="en-US" w:eastAsia="zh-CN" w:bidi="ar-SA"/>
              </w:rPr>
              <w:t>W4</w:t>
            </w:r>
            <w:r>
              <w:rPr>
                <w:rFonts w:hint="eastAsia"/>
                <w:color w:val="auto"/>
                <w:kern w:val="21"/>
                <w:sz w:val="24"/>
                <w:lang w:val="en-US" w:eastAsia="zh-CN"/>
              </w:rPr>
              <w:t>，监测报告详见附件。</w:t>
            </w:r>
            <w:r>
              <w:rPr>
                <w:rFonts w:hint="eastAsia"/>
                <w:color w:val="auto"/>
                <w:sz w:val="24"/>
                <w:lang w:val="en-US" w:eastAsia="zh-CN"/>
              </w:rPr>
              <w:t>引用监测点位、</w:t>
            </w:r>
            <w:r>
              <w:rPr>
                <w:rFonts w:hint="eastAsia" w:eastAsia="宋体" w:cs="Times New Roman"/>
                <w:caps w:val="0"/>
                <w:smallCaps w:val="0"/>
                <w:color w:val="auto"/>
                <w:spacing w:val="0"/>
                <w:sz w:val="24"/>
                <w:szCs w:val="24"/>
                <w:highlight w:val="none"/>
                <w:lang w:val="en-US" w:eastAsia="zh-CN"/>
              </w:rPr>
              <w:t>项目</w:t>
            </w:r>
            <w:r>
              <w:rPr>
                <w:rFonts w:hint="eastAsia" w:ascii="Times New Roman" w:hAnsi="Times New Roman" w:eastAsia="宋体" w:cs="Times New Roman"/>
                <w:caps w:val="0"/>
                <w:smallCaps w:val="0"/>
                <w:color w:val="auto"/>
                <w:spacing w:val="0"/>
                <w:sz w:val="24"/>
                <w:szCs w:val="24"/>
                <w:highlight w:val="none"/>
                <w:lang w:val="en-US" w:eastAsia="zh-CN"/>
              </w:rPr>
              <w:t>情况</w:t>
            </w:r>
            <w:r>
              <w:rPr>
                <w:rFonts w:hint="default" w:ascii="Times New Roman" w:hAnsi="Times New Roman" w:eastAsia="宋体" w:cs="Times New Roman"/>
                <w:caps w:val="0"/>
                <w:smallCaps w:val="0"/>
                <w:color w:val="auto"/>
                <w:spacing w:val="0"/>
                <w:sz w:val="24"/>
                <w:szCs w:val="24"/>
                <w:highlight w:val="none"/>
              </w:rPr>
              <w:t>见表</w:t>
            </w:r>
            <w:r>
              <w:rPr>
                <w:rFonts w:hint="eastAsia" w:cs="Times New Roman"/>
                <w:caps w:val="0"/>
                <w:smallCaps w:val="0"/>
                <w:color w:val="auto"/>
                <w:spacing w:val="0"/>
                <w:sz w:val="24"/>
                <w:szCs w:val="24"/>
                <w:highlight w:val="none"/>
                <w:lang w:val="en-US" w:eastAsia="zh-CN"/>
              </w:rPr>
              <w:t>3-7</w:t>
            </w:r>
            <w:r>
              <w:rPr>
                <w:rFonts w:hint="default" w:ascii="Times New Roman" w:hAnsi="Times New Roman" w:eastAsia="宋体" w:cs="Times New Roman"/>
                <w:caps w:val="0"/>
                <w:smallCaps w:val="0"/>
                <w:color w:val="auto"/>
                <w:spacing w:val="0"/>
                <w:sz w:val="24"/>
                <w:szCs w:val="24"/>
                <w:highlight w:val="none"/>
              </w:rPr>
              <w:t>。</w:t>
            </w:r>
          </w:p>
          <w:p w14:paraId="0A3CF098">
            <w:pPr>
              <w:adjustRightInd w:val="0"/>
              <w:snapToGrid w:val="0"/>
              <w:spacing w:beforeLines="50"/>
              <w:jc w:val="center"/>
              <w:outlineLvl w:val="9"/>
              <w:rPr>
                <w:b/>
                <w:bCs/>
                <w:color w:val="auto"/>
                <w:sz w:val="21"/>
                <w:szCs w:val="21"/>
                <w:highlight w:val="none"/>
              </w:rPr>
            </w:pPr>
            <w:r>
              <w:rPr>
                <w:rFonts w:hint="default" w:ascii="Times New Roman" w:hAnsi="Times New Roman" w:cs="Times New Roman"/>
                <w:b/>
                <w:bCs/>
                <w:color w:val="auto"/>
                <w:sz w:val="21"/>
                <w:szCs w:val="21"/>
                <w:highlight w:val="none"/>
                <w:lang w:val="en-US" w:eastAsia="zh-CN"/>
              </w:rPr>
              <w:t>表</w:t>
            </w:r>
            <w:r>
              <w:rPr>
                <w:rFonts w:hint="eastAsia" w:cs="Times New Roman"/>
                <w:b/>
                <w:bCs/>
                <w:color w:val="auto"/>
                <w:sz w:val="21"/>
                <w:szCs w:val="21"/>
                <w:highlight w:val="none"/>
                <w:lang w:val="en-US" w:eastAsia="zh-CN"/>
              </w:rPr>
              <w:t>3-7</w:t>
            </w:r>
            <w:r>
              <w:rPr>
                <w:rFonts w:hint="default" w:ascii="Times New Roman" w:hAnsi="Times New Roman" w:cs="Times New Roman"/>
                <w:b/>
                <w:bCs/>
                <w:color w:val="auto"/>
                <w:sz w:val="21"/>
                <w:szCs w:val="21"/>
                <w:highlight w:val="none"/>
                <w:lang w:val="en-US" w:eastAsia="zh-CN"/>
              </w:rPr>
              <w:t xml:space="preserve">  </w:t>
            </w:r>
            <w:r>
              <w:rPr>
                <w:rFonts w:hint="eastAsia" w:cs="Times New Roman"/>
                <w:b/>
                <w:bCs/>
                <w:color w:val="auto"/>
                <w:sz w:val="21"/>
                <w:szCs w:val="21"/>
                <w:highlight w:val="none"/>
                <w:lang w:val="en-US" w:eastAsia="zh-CN"/>
              </w:rPr>
              <w:t>引用</w:t>
            </w:r>
            <w:r>
              <w:rPr>
                <w:rFonts w:hint="default" w:ascii="Times New Roman" w:hAnsi="Times New Roman" w:cs="Times New Roman"/>
                <w:b/>
                <w:bCs/>
                <w:color w:val="auto"/>
                <w:sz w:val="21"/>
                <w:szCs w:val="21"/>
                <w:highlight w:val="none"/>
                <w:lang w:val="en-US" w:eastAsia="zh-CN"/>
              </w:rPr>
              <w:t>地下水监测</w:t>
            </w:r>
            <w:r>
              <w:rPr>
                <w:rFonts w:hint="eastAsia" w:cs="Times New Roman"/>
                <w:b/>
                <w:bCs/>
                <w:color w:val="auto"/>
                <w:sz w:val="21"/>
                <w:szCs w:val="21"/>
                <w:highlight w:val="none"/>
                <w:lang w:val="en-US" w:eastAsia="zh-CN"/>
              </w:rPr>
              <w:t>项目</w:t>
            </w:r>
            <w:r>
              <w:rPr>
                <w:rFonts w:hint="eastAsia"/>
                <w:b/>
                <w:bCs/>
                <w:color w:val="auto"/>
                <w:sz w:val="21"/>
                <w:szCs w:val="21"/>
                <w:highlight w:val="none"/>
              </w:rPr>
              <w:t>表</w:t>
            </w:r>
          </w:p>
          <w:tbl>
            <w:tblPr>
              <w:tblStyle w:val="3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5"/>
              <w:gridCol w:w="2772"/>
              <w:gridCol w:w="3191"/>
              <w:gridCol w:w="1816"/>
            </w:tblGrid>
            <w:tr w14:paraId="52F7D4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4" w:type="pct"/>
                  <w:tcBorders>
                    <w:tl2br w:val="nil"/>
                    <w:tr2bl w:val="nil"/>
                  </w:tcBorders>
                  <w:vAlign w:val="center"/>
                </w:tcPr>
                <w:p w14:paraId="63B61376">
                  <w:pPr>
                    <w:snapToGrid w:val="0"/>
                    <w:spacing w:line="240" w:lineRule="auto"/>
                    <w:ind w:firstLine="0"/>
                    <w:jc w:val="center"/>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编号</w:t>
                  </w:r>
                </w:p>
              </w:tc>
              <w:tc>
                <w:tcPr>
                  <w:tcW w:w="1658" w:type="pct"/>
                  <w:tcBorders>
                    <w:tl2br w:val="nil"/>
                    <w:tr2bl w:val="nil"/>
                  </w:tcBorders>
                  <w:vAlign w:val="center"/>
                </w:tcPr>
                <w:p w14:paraId="3486B2B7">
                  <w:pPr>
                    <w:snapToGrid w:val="0"/>
                    <w:spacing w:line="240" w:lineRule="auto"/>
                    <w:ind w:firstLine="0"/>
                    <w:jc w:val="center"/>
                    <w:outlineLvl w:val="9"/>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lang w:val="en-US" w:eastAsia="zh-CN"/>
                    </w:rPr>
                    <w:t>监测点</w:t>
                  </w:r>
                  <w:r>
                    <w:rPr>
                      <w:rFonts w:hint="default" w:ascii="Times New Roman" w:hAnsi="Times New Roman" w:cs="Times New Roman"/>
                      <w:b/>
                      <w:bCs/>
                      <w:color w:val="auto"/>
                      <w:sz w:val="21"/>
                      <w:szCs w:val="21"/>
                      <w:highlight w:val="none"/>
                    </w:rPr>
                    <w:t>位</w:t>
                  </w:r>
                </w:p>
              </w:tc>
              <w:tc>
                <w:tcPr>
                  <w:tcW w:w="1909" w:type="pct"/>
                  <w:tcBorders>
                    <w:tl2br w:val="nil"/>
                    <w:tr2bl w:val="nil"/>
                  </w:tcBorders>
                  <w:vAlign w:val="center"/>
                </w:tcPr>
                <w:p w14:paraId="4A71CDE1">
                  <w:pPr>
                    <w:snapToGrid w:val="0"/>
                    <w:spacing w:line="240" w:lineRule="auto"/>
                    <w:ind w:firstLine="0"/>
                    <w:jc w:val="center"/>
                    <w:outlineLvl w:val="9"/>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监测项目</w:t>
                  </w:r>
                </w:p>
              </w:tc>
              <w:tc>
                <w:tcPr>
                  <w:tcW w:w="1086" w:type="pct"/>
                  <w:tcBorders>
                    <w:tl2br w:val="nil"/>
                    <w:tr2bl w:val="nil"/>
                  </w:tcBorders>
                  <w:vAlign w:val="center"/>
                </w:tcPr>
                <w:p w14:paraId="1AE8B00D">
                  <w:pPr>
                    <w:snapToGrid w:val="0"/>
                    <w:spacing w:line="240" w:lineRule="auto"/>
                    <w:ind w:firstLine="0"/>
                    <w:jc w:val="center"/>
                    <w:outlineLvl w:val="9"/>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监测时间与频率</w:t>
                  </w:r>
                </w:p>
              </w:tc>
            </w:tr>
            <w:tr w14:paraId="33DDC8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4" w:type="pct"/>
                  <w:tcBorders>
                    <w:tl2br w:val="nil"/>
                    <w:tr2bl w:val="nil"/>
                  </w:tcBorders>
                  <w:vAlign w:val="center"/>
                </w:tcPr>
                <w:p w14:paraId="454AF31C">
                  <w:pPr>
                    <w:snapToGrid w:val="0"/>
                    <w:spacing w:line="240" w:lineRule="auto"/>
                    <w:ind w:firstLine="0"/>
                    <w:jc w:val="center"/>
                    <w:outlineLvl w:val="9"/>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bidi="ar-SA"/>
                    </w:rPr>
                    <w:t>W4</w:t>
                  </w:r>
                </w:p>
              </w:tc>
              <w:tc>
                <w:tcPr>
                  <w:tcW w:w="1658" w:type="pct"/>
                  <w:tcBorders>
                    <w:tl2br w:val="nil"/>
                    <w:tr2bl w:val="nil"/>
                  </w:tcBorders>
                  <w:vAlign w:val="center"/>
                </w:tcPr>
                <w:p w14:paraId="47BFFE02">
                  <w:pPr>
                    <w:snapToGrid w:val="0"/>
                    <w:spacing w:line="240" w:lineRule="auto"/>
                    <w:ind w:firstLine="0"/>
                    <w:jc w:val="center"/>
                    <w:outlineLvl w:val="9"/>
                    <w:rPr>
                      <w:rFonts w:hint="default" w:ascii="Times New Roman" w:hAnsi="Times New Roman" w:cs="Times New Roman"/>
                      <w:color w:val="auto"/>
                      <w:sz w:val="21"/>
                      <w:szCs w:val="21"/>
                      <w:highlight w:val="none"/>
                    </w:rPr>
                  </w:pPr>
                  <w:r>
                    <w:rPr>
                      <w:rFonts w:hint="default"/>
                      <w:color w:val="auto"/>
                      <w:sz w:val="21"/>
                      <w:szCs w:val="21"/>
                      <w:highlight w:val="none"/>
                      <w:vertAlign w:val="baseline"/>
                      <w:lang w:val="en-US" w:eastAsia="zh-CN"/>
                    </w:rPr>
                    <w:t>119.701192483,41.145692893</w:t>
                  </w:r>
                </w:p>
              </w:tc>
              <w:tc>
                <w:tcPr>
                  <w:tcW w:w="1909" w:type="pct"/>
                  <w:tcBorders>
                    <w:tl2br w:val="nil"/>
                    <w:tr2bl w:val="nil"/>
                  </w:tcBorders>
                  <w:vAlign w:val="center"/>
                </w:tcPr>
                <w:p w14:paraId="3D1EFD55">
                  <w:pPr>
                    <w:snapToGrid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pacing w:val="0"/>
                      <w:sz w:val="24"/>
                      <w:szCs w:val="24"/>
                      <w:highlight w:val="none"/>
                    </w:rPr>
                    <w:t>pH、氨氮、硝酸盐、亚硝酸盐、挥发性酚类、氰化物、砷、汞、铬（六价）、总硬度、铅、氟化物、铁、镉、锰、溶解性总固体、耗氧量、硫酸盐、氯化物、细菌总数</w:t>
                  </w:r>
                  <w:r>
                    <w:rPr>
                      <w:rFonts w:hint="eastAsia" w:eastAsia="宋体" w:cs="Times New Roman"/>
                      <w:color w:val="auto"/>
                      <w:spacing w:val="0"/>
                      <w:sz w:val="24"/>
                      <w:szCs w:val="24"/>
                      <w:highlight w:val="none"/>
                      <w:lang w:eastAsia="zh-CN"/>
                    </w:rPr>
                    <w:t>、</w:t>
                  </w:r>
                  <w:r>
                    <w:rPr>
                      <w:rFonts w:hint="default" w:ascii="Times New Roman" w:hAnsi="Times New Roman" w:eastAsia="宋体" w:cs="Times New Roman"/>
                      <w:color w:val="auto"/>
                      <w:spacing w:val="0"/>
                      <w:sz w:val="24"/>
                      <w:szCs w:val="24"/>
                      <w:highlight w:val="none"/>
                    </w:rPr>
                    <w:t>总大肠菌群</w:t>
                  </w:r>
                  <w:r>
                    <w:rPr>
                      <w:rFonts w:hint="default" w:ascii="Times New Roman" w:hAnsi="Times New Roman" w:eastAsia="宋体" w:cs="Times New Roman"/>
                      <w:color w:val="auto"/>
                      <w:spacing w:val="0"/>
                      <w:sz w:val="24"/>
                      <w:szCs w:val="24"/>
                      <w:highlight w:val="none"/>
                      <w:lang w:val="en-US" w:eastAsia="zh-CN"/>
                    </w:rPr>
                    <w:t>和石油类</w:t>
                  </w:r>
                  <w:r>
                    <w:rPr>
                      <w:rFonts w:hint="default" w:ascii="Times New Roman" w:hAnsi="Times New Roman" w:eastAsia="宋体" w:cs="Times New Roman"/>
                      <w:color w:val="auto"/>
                      <w:spacing w:val="0"/>
                      <w:sz w:val="24"/>
                      <w:szCs w:val="24"/>
                      <w:highlight w:val="none"/>
                      <w:lang w:eastAsia="zh-CN"/>
                    </w:rPr>
                    <w:t>，同时监测</w:t>
                  </w:r>
                  <w:r>
                    <w:rPr>
                      <w:rFonts w:hint="default" w:ascii="Times New Roman" w:hAnsi="Times New Roman" w:eastAsia="宋体" w:cs="Times New Roman"/>
                      <w:color w:val="auto"/>
                      <w:spacing w:val="6"/>
                      <w:sz w:val="24"/>
                      <w:szCs w:val="24"/>
                      <w:highlight w:val="none"/>
                    </w:rPr>
                    <w:t>K</w:t>
                  </w:r>
                  <w:r>
                    <w:rPr>
                      <w:rFonts w:hint="default" w:ascii="Times New Roman" w:hAnsi="Times New Roman" w:eastAsia="宋体" w:cs="Times New Roman"/>
                      <w:color w:val="auto"/>
                      <w:spacing w:val="6"/>
                      <w:sz w:val="24"/>
                      <w:szCs w:val="24"/>
                      <w:highlight w:val="none"/>
                      <w:vertAlign w:val="superscript"/>
                    </w:rPr>
                    <w:t>+</w:t>
                  </w:r>
                  <w:r>
                    <w:rPr>
                      <w:rFonts w:hint="default" w:ascii="Times New Roman" w:hAnsi="Times New Roman" w:eastAsia="宋体" w:cs="Times New Roman"/>
                      <w:color w:val="auto"/>
                      <w:spacing w:val="6"/>
                      <w:sz w:val="24"/>
                      <w:szCs w:val="24"/>
                      <w:highlight w:val="none"/>
                    </w:rPr>
                    <w:t>、Na</w:t>
                  </w:r>
                  <w:r>
                    <w:rPr>
                      <w:rFonts w:hint="default" w:ascii="Times New Roman" w:hAnsi="Times New Roman" w:eastAsia="宋体" w:cs="Times New Roman"/>
                      <w:color w:val="auto"/>
                      <w:spacing w:val="6"/>
                      <w:sz w:val="24"/>
                      <w:szCs w:val="24"/>
                      <w:highlight w:val="none"/>
                      <w:vertAlign w:val="superscript"/>
                    </w:rPr>
                    <w:t>+</w:t>
                  </w:r>
                  <w:r>
                    <w:rPr>
                      <w:rFonts w:hint="default" w:ascii="Times New Roman" w:hAnsi="Times New Roman" w:eastAsia="宋体" w:cs="Times New Roman"/>
                      <w:color w:val="auto"/>
                      <w:spacing w:val="6"/>
                      <w:sz w:val="24"/>
                      <w:szCs w:val="24"/>
                      <w:highlight w:val="none"/>
                    </w:rPr>
                    <w:t>、Mg</w:t>
                  </w:r>
                  <w:r>
                    <w:rPr>
                      <w:rFonts w:hint="default" w:ascii="Times New Roman" w:hAnsi="Times New Roman" w:eastAsia="宋体" w:cs="Times New Roman"/>
                      <w:color w:val="auto"/>
                      <w:spacing w:val="6"/>
                      <w:sz w:val="24"/>
                      <w:szCs w:val="24"/>
                      <w:highlight w:val="none"/>
                      <w:vertAlign w:val="superscript"/>
                    </w:rPr>
                    <w:t>2+</w:t>
                  </w:r>
                  <w:r>
                    <w:rPr>
                      <w:rFonts w:hint="default" w:ascii="Times New Roman" w:hAnsi="Times New Roman" w:eastAsia="宋体" w:cs="Times New Roman"/>
                      <w:color w:val="auto"/>
                      <w:spacing w:val="6"/>
                      <w:sz w:val="24"/>
                      <w:szCs w:val="24"/>
                      <w:highlight w:val="none"/>
                    </w:rPr>
                    <w:t>、Ca</w:t>
                  </w:r>
                  <w:r>
                    <w:rPr>
                      <w:rFonts w:hint="default" w:ascii="Times New Roman" w:hAnsi="Times New Roman" w:eastAsia="宋体" w:cs="Times New Roman"/>
                      <w:color w:val="auto"/>
                      <w:spacing w:val="6"/>
                      <w:sz w:val="24"/>
                      <w:szCs w:val="24"/>
                      <w:highlight w:val="none"/>
                      <w:vertAlign w:val="superscript"/>
                    </w:rPr>
                    <w:t>2+</w:t>
                  </w:r>
                  <w:r>
                    <w:rPr>
                      <w:rFonts w:hint="default" w:ascii="Times New Roman" w:hAnsi="Times New Roman" w:eastAsia="宋体" w:cs="Times New Roman"/>
                      <w:color w:val="auto"/>
                      <w:spacing w:val="6"/>
                      <w:sz w:val="24"/>
                      <w:szCs w:val="24"/>
                      <w:highlight w:val="none"/>
                    </w:rPr>
                    <w:t>、HCO</w:t>
                  </w:r>
                  <w:r>
                    <w:rPr>
                      <w:rFonts w:hint="default" w:ascii="Times New Roman" w:hAnsi="Times New Roman" w:eastAsia="宋体" w:cs="Times New Roman"/>
                      <w:color w:val="auto"/>
                      <w:spacing w:val="6"/>
                      <w:sz w:val="24"/>
                      <w:szCs w:val="24"/>
                      <w:highlight w:val="none"/>
                      <w:vertAlign w:val="subscript"/>
                    </w:rPr>
                    <w:t>3</w:t>
                  </w:r>
                  <w:r>
                    <w:rPr>
                      <w:rFonts w:hint="default" w:ascii="Times New Roman" w:hAnsi="Times New Roman" w:eastAsia="宋体" w:cs="Times New Roman"/>
                      <w:color w:val="auto"/>
                      <w:spacing w:val="6"/>
                      <w:sz w:val="24"/>
                      <w:szCs w:val="24"/>
                      <w:highlight w:val="none"/>
                      <w:vertAlign w:val="superscript"/>
                    </w:rPr>
                    <w:t>-</w:t>
                  </w:r>
                  <w:r>
                    <w:rPr>
                      <w:rFonts w:hint="default" w:ascii="Times New Roman" w:hAnsi="Times New Roman" w:eastAsia="宋体" w:cs="Times New Roman"/>
                      <w:color w:val="auto"/>
                      <w:spacing w:val="6"/>
                      <w:sz w:val="24"/>
                      <w:szCs w:val="24"/>
                      <w:highlight w:val="none"/>
                    </w:rPr>
                    <w:t>、CO</w:t>
                  </w:r>
                  <w:r>
                    <w:rPr>
                      <w:rFonts w:hint="default" w:ascii="Times New Roman" w:hAnsi="Times New Roman" w:eastAsia="宋体" w:cs="Times New Roman"/>
                      <w:color w:val="auto"/>
                      <w:spacing w:val="6"/>
                      <w:sz w:val="24"/>
                      <w:szCs w:val="24"/>
                      <w:highlight w:val="none"/>
                      <w:vertAlign w:val="subscript"/>
                    </w:rPr>
                    <w:t>3</w:t>
                  </w:r>
                  <w:r>
                    <w:rPr>
                      <w:rFonts w:hint="default" w:ascii="Times New Roman" w:hAnsi="Times New Roman" w:eastAsia="宋体" w:cs="Times New Roman"/>
                      <w:color w:val="auto"/>
                      <w:spacing w:val="6"/>
                      <w:sz w:val="24"/>
                      <w:szCs w:val="24"/>
                      <w:highlight w:val="none"/>
                      <w:vertAlign w:val="superscript"/>
                    </w:rPr>
                    <w:t>2</w:t>
                  </w:r>
                  <w:r>
                    <w:rPr>
                      <w:rFonts w:hint="eastAsia" w:ascii="Times New Roman" w:hAnsi="Times New Roman" w:eastAsia="宋体" w:cs="Times New Roman"/>
                      <w:color w:val="auto"/>
                      <w:spacing w:val="6"/>
                      <w:sz w:val="24"/>
                      <w:szCs w:val="24"/>
                      <w:highlight w:val="none"/>
                      <w:vertAlign w:val="superscript"/>
                      <w:lang w:val="en-US" w:eastAsia="zh-CN"/>
                    </w:rPr>
                    <w:t>-</w:t>
                  </w:r>
                  <w:r>
                    <w:rPr>
                      <w:rFonts w:hint="default" w:ascii="Times New Roman" w:hAnsi="Times New Roman" w:eastAsia="宋体" w:cs="Times New Roman"/>
                      <w:color w:val="auto"/>
                      <w:spacing w:val="0"/>
                      <w:sz w:val="24"/>
                      <w:szCs w:val="24"/>
                      <w:highlight w:val="none"/>
                      <w:lang w:val="en-US" w:eastAsia="zh-CN"/>
                    </w:rPr>
                    <w:t>的浓度</w:t>
                  </w:r>
                </w:p>
              </w:tc>
              <w:tc>
                <w:tcPr>
                  <w:tcW w:w="1086" w:type="pct"/>
                  <w:tcBorders>
                    <w:tl2br w:val="nil"/>
                    <w:tr2bl w:val="nil"/>
                  </w:tcBorders>
                  <w:vAlign w:val="center"/>
                </w:tcPr>
                <w:p w14:paraId="092EAACB">
                  <w:pPr>
                    <w:snapToGrid w:val="0"/>
                    <w:spacing w:line="240" w:lineRule="auto"/>
                    <w:ind w:firstLine="0"/>
                    <w:jc w:val="center"/>
                    <w:outlineLvl w:val="9"/>
                    <w:rPr>
                      <w:rFonts w:hint="default" w:ascii="Times New Roman" w:hAnsi="Times New Roman" w:cs="Times New Roman"/>
                      <w:color w:val="auto"/>
                      <w:sz w:val="21"/>
                      <w:szCs w:val="21"/>
                      <w:highlight w:val="none"/>
                    </w:rPr>
                  </w:pPr>
                  <w:r>
                    <w:rPr>
                      <w:rFonts w:hint="default" w:ascii="Times New Roman" w:hAnsi="Times New Roman" w:eastAsia="宋体" w:cs="Times New Roman"/>
                      <w:caps w:val="0"/>
                      <w:smallCaps w:val="0"/>
                      <w:color w:val="auto"/>
                      <w:spacing w:val="0"/>
                      <w:sz w:val="24"/>
                      <w:szCs w:val="24"/>
                      <w:highlight w:val="none"/>
                    </w:rPr>
                    <w:t>连续监测2天，每天采样1次</w:t>
                  </w:r>
                </w:p>
              </w:tc>
            </w:tr>
          </w:tbl>
          <w:p w14:paraId="4FA9CFA1">
            <w:pPr>
              <w:pStyle w:val="125"/>
              <w:keepNext w:val="0"/>
              <w:keepLines w:val="0"/>
              <w:pageBreakBefore w:val="0"/>
              <w:widowControl w:val="0"/>
              <w:shd w:val="clear" w:color="auto" w:fill="auto"/>
              <w:kinsoku/>
              <w:wordWrap/>
              <w:overflowPunct/>
              <w:topLinePunct w:val="0"/>
              <w:autoSpaceDE/>
              <w:autoSpaceDN/>
              <w:bidi w:val="0"/>
              <w:adjustRightInd/>
              <w:snapToGrid/>
              <w:spacing w:before="0" w:beforeLines="0" w:line="480" w:lineRule="exact"/>
              <w:ind w:firstLine="422" w:firstLineChars="200"/>
              <w:textAlignment w:val="auto"/>
              <w:outlineLvl w:val="9"/>
              <w:rPr>
                <w:rFonts w:hint="default" w:ascii="Times New Roman" w:hAnsi="Times New Roman" w:eastAsia="宋体" w:cs="Times New Roman"/>
                <w:caps w:val="0"/>
                <w:smallCaps w:val="0"/>
                <w:color w:val="auto"/>
                <w:spacing w:val="0"/>
                <w:sz w:val="21"/>
                <w:szCs w:val="21"/>
                <w:highlight w:val="none"/>
              </w:rPr>
            </w:pPr>
            <w:r>
              <w:rPr>
                <w:rFonts w:hint="default" w:ascii="Times New Roman" w:hAnsi="Times New Roman" w:eastAsia="宋体" w:cs="Times New Roman"/>
                <w:caps w:val="0"/>
                <w:smallCaps w:val="0"/>
                <w:color w:val="auto"/>
                <w:spacing w:val="0"/>
                <w:sz w:val="21"/>
                <w:szCs w:val="21"/>
                <w:highlight w:val="none"/>
              </w:rPr>
              <w:t>表</w:t>
            </w:r>
            <w:r>
              <w:rPr>
                <w:rFonts w:hint="eastAsia" w:ascii="Times New Roman" w:hAnsi="Times New Roman" w:cs="Times New Roman"/>
                <w:caps w:val="0"/>
                <w:smallCaps w:val="0"/>
                <w:color w:val="auto"/>
                <w:spacing w:val="0"/>
                <w:sz w:val="21"/>
                <w:szCs w:val="21"/>
                <w:highlight w:val="none"/>
                <w:lang w:val="en-US" w:eastAsia="zh-CN"/>
              </w:rPr>
              <w:t>3-8</w:t>
            </w:r>
            <w:r>
              <w:rPr>
                <w:rFonts w:hint="default" w:ascii="Times New Roman" w:hAnsi="Times New Roman" w:eastAsia="宋体" w:cs="Times New Roman"/>
                <w:caps w:val="0"/>
                <w:smallCaps w:val="0"/>
                <w:color w:val="auto"/>
                <w:spacing w:val="0"/>
                <w:sz w:val="21"/>
                <w:szCs w:val="21"/>
                <w:highlight w:val="none"/>
              </w:rPr>
              <w:t xml:space="preserve">  地下水监测项目及分析方法</w:t>
            </w:r>
          </w:p>
          <w:tbl>
            <w:tblPr>
              <w:tblStyle w:val="32"/>
              <w:tblW w:w="0" w:type="auto"/>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466"/>
              <w:gridCol w:w="4002"/>
              <w:gridCol w:w="2048"/>
              <w:gridCol w:w="1241"/>
            </w:tblGrid>
            <w:tr w14:paraId="586D946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273" w:hRule="atLeast"/>
                <w:tblHeader/>
                <w:jc w:val="center"/>
              </w:trPr>
              <w:tc>
                <w:tcPr>
                  <w:tcW w:w="1466" w:type="dxa"/>
                  <w:tcBorders>
                    <w:tl2br w:val="nil"/>
                    <w:tr2bl w:val="nil"/>
                  </w:tcBorders>
                  <w:noWrap w:val="0"/>
                  <w:vAlign w:val="center"/>
                </w:tcPr>
                <w:p w14:paraId="68D4CDC3">
                  <w:pPr>
                    <w:widowControl/>
                    <w:spacing w:line="240" w:lineRule="auto"/>
                    <w:ind w:firstLine="0" w:firstLineChars="0"/>
                    <w:jc w:val="center"/>
                    <w:outlineLvl w:val="9"/>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检测项目</w:t>
                  </w:r>
                </w:p>
              </w:tc>
              <w:tc>
                <w:tcPr>
                  <w:tcW w:w="4002" w:type="dxa"/>
                  <w:tcBorders>
                    <w:tl2br w:val="nil"/>
                    <w:tr2bl w:val="nil"/>
                  </w:tcBorders>
                  <w:noWrap w:val="0"/>
                  <w:vAlign w:val="center"/>
                </w:tcPr>
                <w:p w14:paraId="03B97D7C">
                  <w:pPr>
                    <w:widowControl/>
                    <w:spacing w:line="240" w:lineRule="auto"/>
                    <w:ind w:firstLine="0" w:firstLineChars="0"/>
                    <w:jc w:val="center"/>
                    <w:outlineLvl w:val="9"/>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分析方法及依据</w:t>
                  </w:r>
                </w:p>
              </w:tc>
              <w:tc>
                <w:tcPr>
                  <w:tcW w:w="2048" w:type="dxa"/>
                  <w:tcBorders>
                    <w:tl2br w:val="nil"/>
                    <w:tr2bl w:val="nil"/>
                  </w:tcBorders>
                  <w:noWrap w:val="0"/>
                  <w:vAlign w:val="center"/>
                </w:tcPr>
                <w:p w14:paraId="19973227">
                  <w:pPr>
                    <w:widowControl/>
                    <w:spacing w:line="240" w:lineRule="auto"/>
                    <w:ind w:firstLine="0" w:firstLineChars="0"/>
                    <w:jc w:val="center"/>
                    <w:outlineLvl w:val="9"/>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分析仪器</w:t>
                  </w:r>
                </w:p>
              </w:tc>
              <w:tc>
                <w:tcPr>
                  <w:tcW w:w="1241" w:type="dxa"/>
                  <w:tcBorders>
                    <w:tl2br w:val="nil"/>
                    <w:tr2bl w:val="nil"/>
                  </w:tcBorders>
                  <w:noWrap w:val="0"/>
                  <w:vAlign w:val="center"/>
                </w:tcPr>
                <w:p w14:paraId="3F1AE977">
                  <w:pPr>
                    <w:widowControl/>
                    <w:spacing w:line="240" w:lineRule="auto"/>
                    <w:ind w:firstLine="0" w:firstLineChars="0"/>
                    <w:jc w:val="center"/>
                    <w:outlineLvl w:val="9"/>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检出限</w:t>
                  </w:r>
                </w:p>
              </w:tc>
            </w:tr>
            <w:tr w14:paraId="025E0F7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572F703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钾</w:t>
                  </w:r>
                </w:p>
              </w:tc>
              <w:tc>
                <w:tcPr>
                  <w:tcW w:w="4002" w:type="dxa"/>
                  <w:tcBorders>
                    <w:tl2br w:val="nil"/>
                    <w:tr2bl w:val="nil"/>
                  </w:tcBorders>
                  <w:noWrap w:val="0"/>
                  <w:vAlign w:val="center"/>
                </w:tcPr>
                <w:p w14:paraId="693DB14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《生活饮用水标准检验法 第6部分：金属和类金属指标》GB/T 5750.6-2023 25.1 火焰原子吸收分光光度法</w:t>
                  </w:r>
                </w:p>
              </w:tc>
              <w:tc>
                <w:tcPr>
                  <w:tcW w:w="2048" w:type="dxa"/>
                  <w:tcBorders>
                    <w:tl2br w:val="nil"/>
                    <w:tr2bl w:val="nil"/>
                  </w:tcBorders>
                  <w:noWrap w:val="0"/>
                  <w:vAlign w:val="center"/>
                </w:tcPr>
                <w:p w14:paraId="59025DD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78F8E99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0AC5D70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0.05mg/L</w:t>
                  </w:r>
                </w:p>
              </w:tc>
            </w:tr>
            <w:tr w14:paraId="705DC02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40D6CA0D">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钠</w:t>
                  </w:r>
                </w:p>
              </w:tc>
              <w:tc>
                <w:tcPr>
                  <w:tcW w:w="4002" w:type="dxa"/>
                  <w:tcBorders>
                    <w:tl2br w:val="nil"/>
                    <w:tr2bl w:val="nil"/>
                  </w:tcBorders>
                  <w:noWrap w:val="0"/>
                  <w:vAlign w:val="center"/>
                </w:tcPr>
                <w:p w14:paraId="1E06514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《生活饮用水标准检验法 第6部分：金属和类金属指标》GB/T 5750.6-2023 25.1 火焰原子吸收分光光度法</w:t>
                  </w:r>
                </w:p>
              </w:tc>
              <w:tc>
                <w:tcPr>
                  <w:tcW w:w="2048" w:type="dxa"/>
                  <w:tcBorders>
                    <w:tl2br w:val="nil"/>
                    <w:tr2bl w:val="nil"/>
                  </w:tcBorders>
                  <w:noWrap w:val="0"/>
                  <w:vAlign w:val="center"/>
                </w:tcPr>
                <w:p w14:paraId="1CC2E2C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52240C4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396FEAB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0.01mg/L</w:t>
                  </w:r>
                </w:p>
              </w:tc>
            </w:tr>
            <w:tr w14:paraId="4F1F86E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5907C5D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钙</w:t>
                  </w:r>
                </w:p>
              </w:tc>
              <w:tc>
                <w:tcPr>
                  <w:tcW w:w="4002" w:type="dxa"/>
                  <w:tcBorders>
                    <w:tl2br w:val="nil"/>
                    <w:tr2bl w:val="nil"/>
                  </w:tcBorders>
                  <w:noWrap w:val="0"/>
                  <w:vAlign w:val="center"/>
                </w:tcPr>
                <w:p w14:paraId="5348916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钙和镁的测定 原子吸收分光光度法》GB/T 11905-1989</w:t>
                  </w:r>
                </w:p>
              </w:tc>
              <w:tc>
                <w:tcPr>
                  <w:tcW w:w="2048" w:type="dxa"/>
                  <w:tcBorders>
                    <w:tl2br w:val="nil"/>
                    <w:tr2bl w:val="nil"/>
                  </w:tcBorders>
                  <w:noWrap w:val="0"/>
                  <w:vAlign w:val="center"/>
                </w:tcPr>
                <w:p w14:paraId="0CC5FCE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01C88560">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52FBEDF7">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0.02mg/L</w:t>
                  </w:r>
                </w:p>
              </w:tc>
            </w:tr>
            <w:tr w14:paraId="5B53501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1466" w:type="dxa"/>
                  <w:tcBorders>
                    <w:tl2br w:val="nil"/>
                    <w:tr2bl w:val="nil"/>
                  </w:tcBorders>
                  <w:noWrap w:val="0"/>
                  <w:vAlign w:val="center"/>
                </w:tcPr>
                <w:p w14:paraId="621BB8C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镁</w:t>
                  </w:r>
                </w:p>
              </w:tc>
              <w:tc>
                <w:tcPr>
                  <w:tcW w:w="4002" w:type="dxa"/>
                  <w:tcBorders>
                    <w:tl2br w:val="nil"/>
                    <w:tr2bl w:val="nil"/>
                  </w:tcBorders>
                  <w:noWrap w:val="0"/>
                  <w:vAlign w:val="center"/>
                </w:tcPr>
                <w:p w14:paraId="4EDFE86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钙和镁的测定 原子吸收分光光度法》GB/T 11905-1989</w:t>
                  </w:r>
                </w:p>
              </w:tc>
              <w:tc>
                <w:tcPr>
                  <w:tcW w:w="2048" w:type="dxa"/>
                  <w:tcBorders>
                    <w:tl2br w:val="nil"/>
                    <w:tr2bl w:val="nil"/>
                  </w:tcBorders>
                  <w:noWrap w:val="0"/>
                  <w:vAlign w:val="center"/>
                </w:tcPr>
                <w:p w14:paraId="0E7D807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013F109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511C930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0.002mg/L</w:t>
                  </w:r>
                </w:p>
              </w:tc>
            </w:tr>
            <w:tr w14:paraId="3F279BF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191C322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碳酸盐</w:t>
                  </w:r>
                </w:p>
              </w:tc>
              <w:tc>
                <w:tcPr>
                  <w:tcW w:w="4002" w:type="dxa"/>
                  <w:tcBorders>
                    <w:tl2br w:val="nil"/>
                    <w:tr2bl w:val="nil"/>
                  </w:tcBorders>
                  <w:noWrap w:val="0"/>
                  <w:vAlign w:val="center"/>
                </w:tcPr>
                <w:p w14:paraId="7490187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《水和废水监测分析方法》第四版 国家环境保护总局（2002年）第三篇 第一章 十二 碱度的测定 酸碱指示剂滴定法</w:t>
                  </w:r>
                </w:p>
              </w:tc>
              <w:tc>
                <w:tcPr>
                  <w:tcW w:w="2048" w:type="dxa"/>
                  <w:tcBorders>
                    <w:tl2br w:val="nil"/>
                    <w:tr2bl w:val="nil"/>
                  </w:tcBorders>
                  <w:noWrap w:val="0"/>
                  <w:vAlign w:val="center"/>
                </w:tcPr>
                <w:p w14:paraId="4F7F45D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滴定管25mL</w:t>
                  </w:r>
                </w:p>
                <w:p w14:paraId="69BA100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DDG-25-白-01</w:t>
                  </w:r>
                </w:p>
              </w:tc>
              <w:tc>
                <w:tcPr>
                  <w:tcW w:w="1241" w:type="dxa"/>
                  <w:tcBorders>
                    <w:tl2br w:val="nil"/>
                    <w:tr2bl w:val="nil"/>
                  </w:tcBorders>
                  <w:noWrap w:val="0"/>
                  <w:vAlign w:val="center"/>
                </w:tcPr>
                <w:p w14:paraId="6A20EDF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62D6725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75A61A9A">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重碳酸盐</w:t>
                  </w:r>
                </w:p>
              </w:tc>
              <w:tc>
                <w:tcPr>
                  <w:tcW w:w="4002" w:type="dxa"/>
                  <w:tcBorders>
                    <w:tl2br w:val="nil"/>
                    <w:tr2bl w:val="nil"/>
                  </w:tcBorders>
                  <w:noWrap w:val="0"/>
                  <w:vAlign w:val="center"/>
                </w:tcPr>
                <w:p w14:paraId="0D989B2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《水和废水监测分析方法》第四版 国家环境保护总局（2002年）第三篇 第一章 十二 碱度的测定 酸碱指示剂滴定法</w:t>
                  </w:r>
                </w:p>
              </w:tc>
              <w:tc>
                <w:tcPr>
                  <w:tcW w:w="2048" w:type="dxa"/>
                  <w:tcBorders>
                    <w:tl2br w:val="nil"/>
                    <w:tr2bl w:val="nil"/>
                  </w:tcBorders>
                  <w:noWrap w:val="0"/>
                  <w:vAlign w:val="center"/>
                </w:tcPr>
                <w:p w14:paraId="3A1BD50A">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滴定管25mL</w:t>
                  </w:r>
                </w:p>
                <w:p w14:paraId="71FF34D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DDG-25-白-01</w:t>
                  </w:r>
                </w:p>
              </w:tc>
              <w:tc>
                <w:tcPr>
                  <w:tcW w:w="1241" w:type="dxa"/>
                  <w:tcBorders>
                    <w:tl2br w:val="nil"/>
                    <w:tr2bl w:val="nil"/>
                  </w:tcBorders>
                  <w:noWrap w:val="0"/>
                  <w:vAlign w:val="center"/>
                </w:tcPr>
                <w:p w14:paraId="0D19A11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2388CD9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34" w:hRule="atLeast"/>
                <w:jc w:val="center"/>
              </w:trPr>
              <w:tc>
                <w:tcPr>
                  <w:tcW w:w="1466" w:type="dxa"/>
                  <w:tcBorders>
                    <w:tl2br w:val="nil"/>
                    <w:tr2bl w:val="nil"/>
                  </w:tcBorders>
                  <w:noWrap w:val="0"/>
                  <w:vAlign w:val="center"/>
                </w:tcPr>
                <w:p w14:paraId="1D9BF262">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pH值</w:t>
                  </w:r>
                </w:p>
              </w:tc>
              <w:tc>
                <w:tcPr>
                  <w:tcW w:w="4002" w:type="dxa"/>
                  <w:tcBorders>
                    <w:tl2br w:val="nil"/>
                    <w:tr2bl w:val="nil"/>
                  </w:tcBorders>
                  <w:noWrap w:val="0"/>
                  <w:vAlign w:val="center"/>
                </w:tcPr>
                <w:p w14:paraId="76C7413A">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《水质 pH值的测定 电极法》 </w:t>
                  </w:r>
                </w:p>
                <w:p w14:paraId="6E9CF53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HJ 1147-2020</w:t>
                  </w:r>
                </w:p>
              </w:tc>
              <w:tc>
                <w:tcPr>
                  <w:tcW w:w="2048" w:type="dxa"/>
                  <w:tcBorders>
                    <w:tl2br w:val="nil"/>
                    <w:tr2bl w:val="nil"/>
                  </w:tcBorders>
                  <w:noWrap w:val="0"/>
                  <w:vAlign w:val="center"/>
                </w:tcPr>
                <w:p w14:paraId="25E99D9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便携式pH计</w:t>
                  </w:r>
                </w:p>
                <w:p w14:paraId="6F77455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PHBJ-260</w:t>
                  </w:r>
                </w:p>
                <w:p w14:paraId="106E28F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LHSY-YQ-96</w:t>
                  </w:r>
                </w:p>
              </w:tc>
              <w:tc>
                <w:tcPr>
                  <w:tcW w:w="1241" w:type="dxa"/>
                  <w:tcBorders>
                    <w:tl2br w:val="nil"/>
                    <w:tr2bl w:val="nil"/>
                  </w:tcBorders>
                  <w:noWrap w:val="0"/>
                  <w:vAlign w:val="center"/>
                </w:tcPr>
                <w:p w14:paraId="739AAD3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1BD38D2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44" w:hRule="atLeast"/>
                <w:jc w:val="center"/>
              </w:trPr>
              <w:tc>
                <w:tcPr>
                  <w:tcW w:w="1466" w:type="dxa"/>
                  <w:tcBorders>
                    <w:tl2br w:val="nil"/>
                    <w:tr2bl w:val="nil"/>
                  </w:tcBorders>
                  <w:noWrap w:val="0"/>
                  <w:vAlign w:val="center"/>
                </w:tcPr>
                <w:p w14:paraId="06FA37BD">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总硬度</w:t>
                  </w:r>
                </w:p>
              </w:tc>
              <w:tc>
                <w:tcPr>
                  <w:tcW w:w="4002" w:type="dxa"/>
                  <w:tcBorders>
                    <w:tl2br w:val="nil"/>
                    <w:tr2bl w:val="nil"/>
                  </w:tcBorders>
                  <w:noWrap w:val="0"/>
                  <w:vAlign w:val="center"/>
                </w:tcPr>
                <w:p w14:paraId="6D7992C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《生活饮用水标准检验方法 第4部分：感官性状和物理指标》 GB/T 5750.4-2023 </w:t>
                  </w:r>
                </w:p>
                <w:p w14:paraId="76F9917F">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10.1 乙二胺四乙酸二钠滴定法</w:t>
                  </w:r>
                </w:p>
              </w:tc>
              <w:tc>
                <w:tcPr>
                  <w:tcW w:w="2048" w:type="dxa"/>
                  <w:tcBorders>
                    <w:tl2br w:val="nil"/>
                    <w:tr2bl w:val="nil"/>
                  </w:tcBorders>
                  <w:noWrap w:val="0"/>
                  <w:vAlign w:val="center"/>
                </w:tcPr>
                <w:p w14:paraId="13E20BE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滴定管25mL</w:t>
                  </w:r>
                </w:p>
                <w:p w14:paraId="53BD275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DDG-25-白-01</w:t>
                  </w:r>
                </w:p>
              </w:tc>
              <w:tc>
                <w:tcPr>
                  <w:tcW w:w="1241" w:type="dxa"/>
                  <w:tcBorders>
                    <w:tl2br w:val="nil"/>
                    <w:tr2bl w:val="nil"/>
                  </w:tcBorders>
                  <w:noWrap w:val="0"/>
                  <w:vAlign w:val="center"/>
                </w:tcPr>
                <w:p w14:paraId="20F13840">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1.0mg/L</w:t>
                  </w:r>
                </w:p>
              </w:tc>
            </w:tr>
            <w:tr w14:paraId="35F1BE6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4CF12C8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溶解性总固体</w:t>
                  </w:r>
                </w:p>
              </w:tc>
              <w:tc>
                <w:tcPr>
                  <w:tcW w:w="4002" w:type="dxa"/>
                  <w:tcBorders>
                    <w:tl2br w:val="nil"/>
                    <w:tr2bl w:val="nil"/>
                  </w:tcBorders>
                  <w:noWrap w:val="0"/>
                  <w:vAlign w:val="center"/>
                </w:tcPr>
                <w:p w14:paraId="1C0CF552">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《生活饮用水标准检验方法 第4部分：感官性状和物理指标》 GB/T 5750.4-2023  </w:t>
                  </w:r>
                </w:p>
                <w:p w14:paraId="34E84E0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11.1 称量法</w:t>
                  </w:r>
                </w:p>
              </w:tc>
              <w:tc>
                <w:tcPr>
                  <w:tcW w:w="2048" w:type="dxa"/>
                  <w:tcBorders>
                    <w:tl2br w:val="nil"/>
                    <w:tr2bl w:val="nil"/>
                  </w:tcBorders>
                  <w:noWrap w:val="0"/>
                  <w:vAlign w:val="center"/>
                </w:tcPr>
                <w:p w14:paraId="1A0B54B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电子天平  </w:t>
                  </w:r>
                </w:p>
                <w:p w14:paraId="18C88C2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FA2004B</w:t>
                  </w:r>
                </w:p>
                <w:p w14:paraId="70DCB04F">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LHSY-YQ-23</w:t>
                  </w:r>
                </w:p>
              </w:tc>
              <w:tc>
                <w:tcPr>
                  <w:tcW w:w="1241" w:type="dxa"/>
                  <w:tcBorders>
                    <w:tl2br w:val="nil"/>
                    <w:tr2bl w:val="nil"/>
                  </w:tcBorders>
                  <w:noWrap w:val="0"/>
                  <w:vAlign w:val="center"/>
                </w:tcPr>
                <w:p w14:paraId="654D97E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0EF27BA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04E1514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硫酸盐</w:t>
                  </w:r>
                </w:p>
              </w:tc>
              <w:tc>
                <w:tcPr>
                  <w:tcW w:w="4002" w:type="dxa"/>
                  <w:tcBorders>
                    <w:tl2br w:val="nil"/>
                    <w:tr2bl w:val="nil"/>
                  </w:tcBorders>
                  <w:noWrap w:val="0"/>
                  <w:vAlign w:val="center"/>
                </w:tcPr>
                <w:p w14:paraId="09414DD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硫酸盐的测定 铬酸钡分光光度法（试行）》HJ/T 342-2007</w:t>
                  </w:r>
                </w:p>
              </w:tc>
              <w:tc>
                <w:tcPr>
                  <w:tcW w:w="2048" w:type="dxa"/>
                  <w:tcBorders>
                    <w:tl2br w:val="nil"/>
                    <w:tr2bl w:val="nil"/>
                  </w:tcBorders>
                  <w:noWrap w:val="0"/>
                  <w:vAlign w:val="center"/>
                </w:tcPr>
                <w:p w14:paraId="2281F96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紫外可见分光光度计T6-1650F</w:t>
                  </w:r>
                </w:p>
                <w:p w14:paraId="154D692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LHSY-YQ-05</w:t>
                  </w:r>
                </w:p>
              </w:tc>
              <w:tc>
                <w:tcPr>
                  <w:tcW w:w="1241" w:type="dxa"/>
                  <w:tcBorders>
                    <w:tl2br w:val="nil"/>
                    <w:tr2bl w:val="nil"/>
                  </w:tcBorders>
                  <w:noWrap w:val="0"/>
                  <w:vAlign w:val="center"/>
                </w:tcPr>
                <w:p w14:paraId="0F586FE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8mg/L</w:t>
                  </w:r>
                </w:p>
              </w:tc>
            </w:tr>
            <w:tr w14:paraId="3709C39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1828D2B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氯化物</w:t>
                  </w:r>
                </w:p>
              </w:tc>
              <w:tc>
                <w:tcPr>
                  <w:tcW w:w="4002" w:type="dxa"/>
                  <w:tcBorders>
                    <w:tl2br w:val="nil"/>
                    <w:tr2bl w:val="nil"/>
                  </w:tcBorders>
                  <w:noWrap w:val="0"/>
                  <w:vAlign w:val="center"/>
                </w:tcPr>
                <w:p w14:paraId="2B664A9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《生活饮用水标准检验方法 第5部分：无机非金属指标》 GB/T 5750.5-2023 5.1 硝酸银容量法</w:t>
                  </w:r>
                </w:p>
              </w:tc>
              <w:tc>
                <w:tcPr>
                  <w:tcW w:w="2048" w:type="dxa"/>
                  <w:tcBorders>
                    <w:tl2br w:val="nil"/>
                    <w:tr2bl w:val="nil"/>
                  </w:tcBorders>
                  <w:noWrap w:val="0"/>
                  <w:vAlign w:val="center"/>
                </w:tcPr>
                <w:p w14:paraId="615ED1A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滴定管50mL</w:t>
                  </w:r>
                </w:p>
                <w:p w14:paraId="3541465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DDG-50-棕-01</w:t>
                  </w:r>
                </w:p>
              </w:tc>
              <w:tc>
                <w:tcPr>
                  <w:tcW w:w="1241" w:type="dxa"/>
                  <w:tcBorders>
                    <w:tl2br w:val="nil"/>
                    <w:tr2bl w:val="nil"/>
                  </w:tcBorders>
                  <w:noWrap w:val="0"/>
                  <w:vAlign w:val="center"/>
                </w:tcPr>
                <w:p w14:paraId="17FB2E62">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1.0mg/L</w:t>
                  </w:r>
                </w:p>
              </w:tc>
            </w:tr>
            <w:tr w14:paraId="0789A81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753B485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挥发酚</w:t>
                  </w:r>
                </w:p>
              </w:tc>
              <w:tc>
                <w:tcPr>
                  <w:tcW w:w="4002" w:type="dxa"/>
                  <w:tcBorders>
                    <w:tl2br w:val="nil"/>
                    <w:tr2bl w:val="nil"/>
                  </w:tcBorders>
                  <w:noWrap w:val="0"/>
                  <w:vAlign w:val="center"/>
                </w:tcPr>
                <w:p w14:paraId="5358726F">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挥发酚的测定 4-氨基安替比林分光光度法》 HJ 503-2009</w:t>
                  </w:r>
                </w:p>
              </w:tc>
              <w:tc>
                <w:tcPr>
                  <w:tcW w:w="2048" w:type="dxa"/>
                  <w:tcBorders>
                    <w:tl2br w:val="nil"/>
                    <w:tr2bl w:val="nil"/>
                  </w:tcBorders>
                  <w:noWrap w:val="0"/>
                  <w:vAlign w:val="center"/>
                </w:tcPr>
                <w:p w14:paraId="3E0104DB">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紫外可见分光光度计UV-5500</w:t>
                  </w:r>
                </w:p>
                <w:p w14:paraId="587C482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LHSY-YQ-129</w:t>
                  </w:r>
                </w:p>
              </w:tc>
              <w:tc>
                <w:tcPr>
                  <w:tcW w:w="1241" w:type="dxa"/>
                  <w:tcBorders>
                    <w:tl2br w:val="nil"/>
                    <w:tr2bl w:val="nil"/>
                  </w:tcBorders>
                  <w:noWrap w:val="0"/>
                  <w:vAlign w:val="center"/>
                </w:tcPr>
                <w:p w14:paraId="79D38BBA">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0.0003mg/L</w:t>
                  </w:r>
                </w:p>
              </w:tc>
            </w:tr>
            <w:tr w14:paraId="5A797A5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382614A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高锰酸盐指数</w:t>
                  </w:r>
                </w:p>
              </w:tc>
              <w:tc>
                <w:tcPr>
                  <w:tcW w:w="4002" w:type="dxa"/>
                  <w:tcBorders>
                    <w:tl2br w:val="nil"/>
                    <w:tr2bl w:val="nil"/>
                  </w:tcBorders>
                  <w:noWrap w:val="0"/>
                  <w:vAlign w:val="center"/>
                </w:tcPr>
                <w:p w14:paraId="0DDDFDB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高锰酸盐指数的测定》</w:t>
                  </w:r>
                </w:p>
                <w:p w14:paraId="3FC6A21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GB/T 11892-1989</w:t>
                  </w:r>
                </w:p>
              </w:tc>
              <w:tc>
                <w:tcPr>
                  <w:tcW w:w="2048" w:type="dxa"/>
                  <w:tcBorders>
                    <w:tl2br w:val="nil"/>
                    <w:tr2bl w:val="nil"/>
                  </w:tcBorders>
                  <w:noWrap w:val="0"/>
                  <w:vAlign w:val="center"/>
                </w:tcPr>
                <w:p w14:paraId="2D292C5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滴定管25mL</w:t>
                  </w:r>
                </w:p>
                <w:p w14:paraId="1372DCB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DDG-25-白-01</w:t>
                  </w:r>
                </w:p>
                <w:p w14:paraId="74A19C0F">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DDG-25-棕-01</w:t>
                  </w:r>
                </w:p>
              </w:tc>
              <w:tc>
                <w:tcPr>
                  <w:tcW w:w="1241" w:type="dxa"/>
                  <w:tcBorders>
                    <w:tl2br w:val="nil"/>
                    <w:tr2bl w:val="nil"/>
                  </w:tcBorders>
                  <w:noWrap w:val="0"/>
                  <w:vAlign w:val="center"/>
                </w:tcPr>
                <w:p w14:paraId="2255DC0D">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0.5mg/L</w:t>
                  </w:r>
                </w:p>
              </w:tc>
            </w:tr>
            <w:tr w14:paraId="54B56DB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17A5B3A2">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氨氮</w:t>
                  </w:r>
                </w:p>
              </w:tc>
              <w:tc>
                <w:tcPr>
                  <w:tcW w:w="4002" w:type="dxa"/>
                  <w:tcBorders>
                    <w:tl2br w:val="nil"/>
                    <w:tr2bl w:val="nil"/>
                  </w:tcBorders>
                  <w:noWrap w:val="0"/>
                  <w:vAlign w:val="center"/>
                </w:tcPr>
                <w:p w14:paraId="1637434A">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氨氮的测定 纳氏试剂分光光度法》 HJ 535-2009</w:t>
                  </w:r>
                </w:p>
              </w:tc>
              <w:tc>
                <w:tcPr>
                  <w:tcW w:w="2048" w:type="dxa"/>
                  <w:tcBorders>
                    <w:tl2br w:val="nil"/>
                    <w:tr2bl w:val="nil"/>
                  </w:tcBorders>
                  <w:noWrap w:val="0"/>
                  <w:vAlign w:val="center"/>
                </w:tcPr>
                <w:p w14:paraId="113FA00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紫外可见分光光度计UV-5500</w:t>
                  </w:r>
                </w:p>
                <w:p w14:paraId="2F7C86F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LHSY-YQ-129</w:t>
                  </w:r>
                </w:p>
              </w:tc>
              <w:tc>
                <w:tcPr>
                  <w:tcW w:w="1241" w:type="dxa"/>
                  <w:tcBorders>
                    <w:tl2br w:val="nil"/>
                    <w:tr2bl w:val="nil"/>
                  </w:tcBorders>
                  <w:noWrap w:val="0"/>
                  <w:vAlign w:val="center"/>
                </w:tcPr>
                <w:p w14:paraId="579163F0">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0.025mg/L</w:t>
                  </w:r>
                </w:p>
              </w:tc>
            </w:tr>
            <w:tr w14:paraId="586FAAA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5E8E6A8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硝酸盐氮</w:t>
                  </w:r>
                </w:p>
              </w:tc>
              <w:tc>
                <w:tcPr>
                  <w:tcW w:w="4002" w:type="dxa"/>
                  <w:tcBorders>
                    <w:tl2br w:val="nil"/>
                    <w:tr2bl w:val="nil"/>
                  </w:tcBorders>
                  <w:noWrap w:val="0"/>
                  <w:vAlign w:val="center"/>
                </w:tcPr>
                <w:p w14:paraId="533CF75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硝酸盐氮的测定 酚二磺酸分光光度法》GB/T 7480-1987</w:t>
                  </w:r>
                </w:p>
              </w:tc>
              <w:tc>
                <w:tcPr>
                  <w:tcW w:w="2048" w:type="dxa"/>
                  <w:tcBorders>
                    <w:tl2br w:val="nil"/>
                    <w:tr2bl w:val="nil"/>
                  </w:tcBorders>
                  <w:noWrap w:val="0"/>
                  <w:vAlign w:val="center"/>
                </w:tcPr>
                <w:p w14:paraId="23B00BB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紫外可见分光光度计UV-5500</w:t>
                  </w:r>
                </w:p>
                <w:p w14:paraId="486C94B7">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LHSY-YQ-129</w:t>
                  </w:r>
                </w:p>
              </w:tc>
              <w:tc>
                <w:tcPr>
                  <w:tcW w:w="1241" w:type="dxa"/>
                  <w:tcBorders>
                    <w:tl2br w:val="nil"/>
                    <w:tr2bl w:val="nil"/>
                  </w:tcBorders>
                  <w:noWrap w:val="0"/>
                  <w:vAlign w:val="center"/>
                </w:tcPr>
                <w:p w14:paraId="39AE7DF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0.02mg/L</w:t>
                  </w:r>
                </w:p>
              </w:tc>
            </w:tr>
            <w:tr w14:paraId="2D6E4F7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43F8359F">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亚硝酸盐氮</w:t>
                  </w:r>
                </w:p>
              </w:tc>
              <w:tc>
                <w:tcPr>
                  <w:tcW w:w="4002" w:type="dxa"/>
                  <w:tcBorders>
                    <w:tl2br w:val="nil"/>
                    <w:tr2bl w:val="nil"/>
                  </w:tcBorders>
                  <w:noWrap w:val="0"/>
                  <w:vAlign w:val="center"/>
                </w:tcPr>
                <w:p w14:paraId="7AF515C2">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亚硝酸盐氮的测定 分光光度法》GB/T 7493-1987</w:t>
                  </w:r>
                </w:p>
              </w:tc>
              <w:tc>
                <w:tcPr>
                  <w:tcW w:w="2048" w:type="dxa"/>
                  <w:tcBorders>
                    <w:tl2br w:val="nil"/>
                    <w:tr2bl w:val="nil"/>
                  </w:tcBorders>
                  <w:noWrap w:val="0"/>
                  <w:vAlign w:val="center"/>
                </w:tcPr>
                <w:p w14:paraId="3B20AEFB">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紫外可见分光光度计UV-5500</w:t>
                  </w:r>
                </w:p>
                <w:p w14:paraId="1E4A93BA">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LHSY-YQ-129</w:t>
                  </w:r>
                </w:p>
              </w:tc>
              <w:tc>
                <w:tcPr>
                  <w:tcW w:w="1241" w:type="dxa"/>
                  <w:tcBorders>
                    <w:tl2br w:val="nil"/>
                    <w:tr2bl w:val="nil"/>
                  </w:tcBorders>
                  <w:noWrap w:val="0"/>
                  <w:vAlign w:val="center"/>
                </w:tcPr>
                <w:p w14:paraId="71A22E5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0.003mg/L</w:t>
                  </w:r>
                </w:p>
              </w:tc>
            </w:tr>
            <w:tr w14:paraId="0255417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0254F9C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氰化物</w:t>
                  </w:r>
                </w:p>
              </w:tc>
              <w:tc>
                <w:tcPr>
                  <w:tcW w:w="4002" w:type="dxa"/>
                  <w:tcBorders>
                    <w:tl2br w:val="nil"/>
                    <w:tr2bl w:val="nil"/>
                  </w:tcBorders>
                  <w:noWrap w:val="0"/>
                  <w:vAlign w:val="center"/>
                </w:tcPr>
                <w:p w14:paraId="5FFFE86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《生活饮用水标准检验方法 第5部分：无机非金属指标》 GB/T 5750.5-2023 7.1 异烟酸-吡唑啉酮分光光度法</w:t>
                  </w:r>
                </w:p>
              </w:tc>
              <w:tc>
                <w:tcPr>
                  <w:tcW w:w="2048" w:type="dxa"/>
                  <w:tcBorders>
                    <w:tl2br w:val="nil"/>
                    <w:tr2bl w:val="nil"/>
                  </w:tcBorders>
                  <w:noWrap w:val="0"/>
                  <w:vAlign w:val="center"/>
                </w:tcPr>
                <w:p w14:paraId="6CF4642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紫外可见分光光度计T6-1650F</w:t>
                  </w:r>
                </w:p>
                <w:p w14:paraId="363082FB">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LHSY-YQ-05</w:t>
                  </w:r>
                </w:p>
              </w:tc>
              <w:tc>
                <w:tcPr>
                  <w:tcW w:w="1241" w:type="dxa"/>
                  <w:tcBorders>
                    <w:tl2br w:val="nil"/>
                    <w:tr2bl w:val="nil"/>
                  </w:tcBorders>
                  <w:noWrap w:val="0"/>
                  <w:vAlign w:val="center"/>
                </w:tcPr>
                <w:p w14:paraId="55A8686B">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0.002mg/L</w:t>
                  </w:r>
                </w:p>
              </w:tc>
            </w:tr>
            <w:tr w14:paraId="455F269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75D8D5E0">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氟化物</w:t>
                  </w:r>
                </w:p>
              </w:tc>
              <w:tc>
                <w:tcPr>
                  <w:tcW w:w="4002" w:type="dxa"/>
                  <w:tcBorders>
                    <w:tl2br w:val="nil"/>
                    <w:tr2bl w:val="nil"/>
                  </w:tcBorders>
                  <w:noWrap w:val="0"/>
                  <w:vAlign w:val="center"/>
                </w:tcPr>
                <w:p w14:paraId="4F7B474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氟化物的测定 离子选择电极法》 GB/T 7484-1987</w:t>
                  </w:r>
                </w:p>
              </w:tc>
              <w:tc>
                <w:tcPr>
                  <w:tcW w:w="2048" w:type="dxa"/>
                  <w:tcBorders>
                    <w:tl2br w:val="nil"/>
                    <w:tr2bl w:val="nil"/>
                  </w:tcBorders>
                  <w:noWrap w:val="0"/>
                  <w:vAlign w:val="center"/>
                </w:tcPr>
                <w:p w14:paraId="3560CD6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离子计</w:t>
                  </w:r>
                </w:p>
                <w:p w14:paraId="58B4EF5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PXS-270</w:t>
                  </w:r>
                </w:p>
                <w:p w14:paraId="1022E8C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LHSY-YQ-17</w:t>
                  </w:r>
                </w:p>
              </w:tc>
              <w:tc>
                <w:tcPr>
                  <w:tcW w:w="1241" w:type="dxa"/>
                  <w:tcBorders>
                    <w:tl2br w:val="nil"/>
                    <w:tr2bl w:val="nil"/>
                  </w:tcBorders>
                  <w:noWrap w:val="0"/>
                  <w:vAlign w:val="center"/>
                </w:tcPr>
                <w:p w14:paraId="03CBEAE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0.05mg/L</w:t>
                  </w:r>
                </w:p>
              </w:tc>
            </w:tr>
            <w:tr w14:paraId="23A683F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761EFC50">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砷</w:t>
                  </w:r>
                </w:p>
              </w:tc>
              <w:tc>
                <w:tcPr>
                  <w:tcW w:w="4002" w:type="dxa"/>
                  <w:tcBorders>
                    <w:tl2br w:val="nil"/>
                    <w:tr2bl w:val="nil"/>
                  </w:tcBorders>
                  <w:noWrap w:val="0"/>
                  <w:vAlign w:val="center"/>
                </w:tcPr>
                <w:p w14:paraId="1A2B1E5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《水质汞、砷、硒、铋和锑的测定 原子荧光法》 HJ 694-2014</w:t>
                  </w:r>
                </w:p>
              </w:tc>
              <w:tc>
                <w:tcPr>
                  <w:tcW w:w="2048" w:type="dxa"/>
                  <w:tcBorders>
                    <w:tl2br w:val="nil"/>
                    <w:tr2bl w:val="nil"/>
                  </w:tcBorders>
                  <w:noWrap w:val="0"/>
                  <w:vAlign w:val="center"/>
                </w:tcPr>
                <w:p w14:paraId="7C00E7E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原子荧光分光光度计AFS-8220</w:t>
                  </w:r>
                </w:p>
                <w:p w14:paraId="7D58428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LHSY-YQ-03</w:t>
                  </w:r>
                </w:p>
              </w:tc>
              <w:tc>
                <w:tcPr>
                  <w:tcW w:w="1241" w:type="dxa"/>
                  <w:tcBorders>
                    <w:tl2br w:val="nil"/>
                    <w:tr2bl w:val="nil"/>
                  </w:tcBorders>
                  <w:noWrap w:val="0"/>
                  <w:vAlign w:val="center"/>
                </w:tcPr>
                <w:p w14:paraId="5496F9C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0.3μg/L</w:t>
                  </w:r>
                </w:p>
              </w:tc>
            </w:tr>
            <w:tr w14:paraId="2B85071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781EB0FB">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汞</w:t>
                  </w:r>
                </w:p>
              </w:tc>
              <w:tc>
                <w:tcPr>
                  <w:tcW w:w="4002" w:type="dxa"/>
                  <w:tcBorders>
                    <w:tl2br w:val="nil"/>
                    <w:tr2bl w:val="nil"/>
                  </w:tcBorders>
                  <w:noWrap w:val="0"/>
                  <w:vAlign w:val="center"/>
                </w:tcPr>
                <w:p w14:paraId="6BA0DD1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《水质汞、砷、硒、铋和锑的测定 原子荧光法》 HJ 694-2014</w:t>
                  </w:r>
                </w:p>
              </w:tc>
              <w:tc>
                <w:tcPr>
                  <w:tcW w:w="2048" w:type="dxa"/>
                  <w:tcBorders>
                    <w:tl2br w:val="nil"/>
                    <w:tr2bl w:val="nil"/>
                  </w:tcBorders>
                  <w:noWrap w:val="0"/>
                  <w:vAlign w:val="center"/>
                </w:tcPr>
                <w:p w14:paraId="670C6E8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原子荧光分光光度计AFS-8220</w:t>
                  </w:r>
                </w:p>
                <w:p w14:paraId="7FBE45AD">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LHSY-YQ-03</w:t>
                  </w:r>
                </w:p>
              </w:tc>
              <w:tc>
                <w:tcPr>
                  <w:tcW w:w="1241" w:type="dxa"/>
                  <w:tcBorders>
                    <w:tl2br w:val="nil"/>
                    <w:tr2bl w:val="nil"/>
                  </w:tcBorders>
                  <w:noWrap w:val="0"/>
                  <w:vAlign w:val="center"/>
                </w:tcPr>
                <w:p w14:paraId="1F869EF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0.04μg/L</w:t>
                  </w:r>
                </w:p>
              </w:tc>
            </w:tr>
            <w:tr w14:paraId="12A95D6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536A1B8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镉</w:t>
                  </w:r>
                </w:p>
              </w:tc>
              <w:tc>
                <w:tcPr>
                  <w:tcW w:w="4002" w:type="dxa"/>
                  <w:tcBorders>
                    <w:tl2br w:val="nil"/>
                    <w:tr2bl w:val="nil"/>
                  </w:tcBorders>
                  <w:noWrap w:val="0"/>
                  <w:vAlign w:val="center"/>
                </w:tcPr>
                <w:p w14:paraId="7C753746">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《生活饮用水标准检验法 第6部分：金属和类金属指标》GB/T 5750.6-2023 12.1 无火焰原子吸收分光光度法</w:t>
                  </w:r>
                </w:p>
              </w:tc>
              <w:tc>
                <w:tcPr>
                  <w:tcW w:w="2048" w:type="dxa"/>
                  <w:tcBorders>
                    <w:tl2br w:val="nil"/>
                    <w:tr2bl w:val="nil"/>
                  </w:tcBorders>
                  <w:noWrap w:val="0"/>
                  <w:vAlign w:val="center"/>
                </w:tcPr>
                <w:p w14:paraId="5302AFC4">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6C95848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0F7261D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0.5μg/L</w:t>
                  </w:r>
                </w:p>
              </w:tc>
            </w:tr>
            <w:tr w14:paraId="3EC9D98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4D6F9A9A">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铬（六价）</w:t>
                  </w:r>
                </w:p>
              </w:tc>
              <w:tc>
                <w:tcPr>
                  <w:tcW w:w="4002" w:type="dxa"/>
                  <w:tcBorders>
                    <w:tl2br w:val="nil"/>
                    <w:tr2bl w:val="nil"/>
                  </w:tcBorders>
                  <w:noWrap w:val="0"/>
                  <w:vAlign w:val="center"/>
                </w:tcPr>
                <w:p w14:paraId="06686480">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《生活饮用水标准检验法 第6部分：金属和类金属指标》GB/T 5750.6-2023 13.1 二苯碳酰二肼分光光度法</w:t>
                  </w:r>
                </w:p>
              </w:tc>
              <w:tc>
                <w:tcPr>
                  <w:tcW w:w="2048" w:type="dxa"/>
                  <w:tcBorders>
                    <w:tl2br w:val="nil"/>
                    <w:tr2bl w:val="nil"/>
                  </w:tcBorders>
                  <w:noWrap w:val="0"/>
                  <w:vAlign w:val="center"/>
                </w:tcPr>
                <w:p w14:paraId="1656704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紫外可见分光光度计UV-5500</w:t>
                  </w:r>
                </w:p>
                <w:p w14:paraId="5DD455E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LHSY-YQ-129</w:t>
                  </w:r>
                </w:p>
              </w:tc>
              <w:tc>
                <w:tcPr>
                  <w:tcW w:w="1241" w:type="dxa"/>
                  <w:tcBorders>
                    <w:tl2br w:val="nil"/>
                    <w:tr2bl w:val="nil"/>
                  </w:tcBorders>
                  <w:noWrap w:val="0"/>
                  <w:vAlign w:val="center"/>
                </w:tcPr>
                <w:p w14:paraId="21031E9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0.004mg/L</w:t>
                  </w:r>
                </w:p>
              </w:tc>
            </w:tr>
            <w:tr w14:paraId="5EC631D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29903762">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铅</w:t>
                  </w:r>
                </w:p>
              </w:tc>
              <w:tc>
                <w:tcPr>
                  <w:tcW w:w="4002" w:type="dxa"/>
                  <w:tcBorders>
                    <w:tl2br w:val="nil"/>
                    <w:tr2bl w:val="nil"/>
                  </w:tcBorders>
                  <w:noWrap w:val="0"/>
                  <w:vAlign w:val="center"/>
                </w:tcPr>
                <w:p w14:paraId="05DA2E4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《生活饮用水标准检验法 第6部分：金属和类金属指标》GB/T 5750.6-2023 14.1 无火焰原子吸收分光光度法</w:t>
                  </w:r>
                </w:p>
              </w:tc>
              <w:tc>
                <w:tcPr>
                  <w:tcW w:w="2048" w:type="dxa"/>
                  <w:tcBorders>
                    <w:tl2br w:val="nil"/>
                    <w:tr2bl w:val="nil"/>
                  </w:tcBorders>
                  <w:noWrap w:val="0"/>
                  <w:vAlign w:val="center"/>
                </w:tcPr>
                <w:p w14:paraId="030E5E8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6E9AF229">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61AE7125">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2.5μg/L</w:t>
                  </w:r>
                </w:p>
              </w:tc>
            </w:tr>
            <w:tr w14:paraId="3301BC5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0D7C150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铁</w:t>
                  </w:r>
                </w:p>
              </w:tc>
              <w:tc>
                <w:tcPr>
                  <w:tcW w:w="4002" w:type="dxa"/>
                  <w:tcBorders>
                    <w:tl2br w:val="nil"/>
                    <w:tr2bl w:val="nil"/>
                  </w:tcBorders>
                  <w:noWrap w:val="0"/>
                  <w:vAlign w:val="center"/>
                </w:tcPr>
                <w:p w14:paraId="01233280">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铁、锰的测定 火焰原子吸收分光光度法》GB/T 11911-1989</w:t>
                  </w:r>
                </w:p>
              </w:tc>
              <w:tc>
                <w:tcPr>
                  <w:tcW w:w="2048" w:type="dxa"/>
                  <w:tcBorders>
                    <w:tl2br w:val="nil"/>
                    <w:tr2bl w:val="nil"/>
                  </w:tcBorders>
                  <w:noWrap w:val="0"/>
                  <w:vAlign w:val="center"/>
                </w:tcPr>
                <w:p w14:paraId="7C96844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6D25D25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13BBB27F">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0.03mg/L</w:t>
                  </w:r>
                </w:p>
              </w:tc>
            </w:tr>
            <w:tr w14:paraId="138AC69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22" w:hRule="atLeast"/>
                <w:jc w:val="center"/>
              </w:trPr>
              <w:tc>
                <w:tcPr>
                  <w:tcW w:w="1466" w:type="dxa"/>
                  <w:tcBorders>
                    <w:tl2br w:val="nil"/>
                    <w:tr2bl w:val="nil"/>
                  </w:tcBorders>
                  <w:noWrap w:val="0"/>
                  <w:vAlign w:val="center"/>
                </w:tcPr>
                <w:p w14:paraId="238A4FD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锰</w:t>
                  </w:r>
                </w:p>
              </w:tc>
              <w:tc>
                <w:tcPr>
                  <w:tcW w:w="4002" w:type="dxa"/>
                  <w:tcBorders>
                    <w:tl2br w:val="nil"/>
                    <w:tr2bl w:val="nil"/>
                  </w:tcBorders>
                  <w:noWrap w:val="0"/>
                  <w:vAlign w:val="center"/>
                </w:tcPr>
                <w:p w14:paraId="32F9353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铁、锰的测定 火焰原子吸收分光光度法》GB/T 11911-1989</w:t>
                  </w:r>
                </w:p>
              </w:tc>
              <w:tc>
                <w:tcPr>
                  <w:tcW w:w="2048" w:type="dxa"/>
                  <w:tcBorders>
                    <w:tl2br w:val="nil"/>
                    <w:tr2bl w:val="nil"/>
                  </w:tcBorders>
                  <w:noWrap w:val="0"/>
                  <w:vAlign w:val="center"/>
                </w:tcPr>
                <w:p w14:paraId="68F48D87">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原子吸收分光光度计AA-7020</w:t>
                  </w:r>
                </w:p>
                <w:p w14:paraId="696F859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LHSY-YQ-01</w:t>
                  </w:r>
                </w:p>
              </w:tc>
              <w:tc>
                <w:tcPr>
                  <w:tcW w:w="1241" w:type="dxa"/>
                  <w:tcBorders>
                    <w:tl2br w:val="nil"/>
                    <w:tr2bl w:val="nil"/>
                  </w:tcBorders>
                  <w:noWrap w:val="0"/>
                  <w:vAlign w:val="center"/>
                </w:tcPr>
                <w:p w14:paraId="6C13845B">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0.01mg/L</w:t>
                  </w:r>
                </w:p>
              </w:tc>
            </w:tr>
            <w:tr w14:paraId="36B629D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45" w:hRule="atLeast"/>
                <w:jc w:val="center"/>
              </w:trPr>
              <w:tc>
                <w:tcPr>
                  <w:tcW w:w="1466" w:type="dxa"/>
                  <w:tcBorders>
                    <w:tl2br w:val="nil"/>
                    <w:tr2bl w:val="nil"/>
                  </w:tcBorders>
                  <w:noWrap w:val="0"/>
                  <w:vAlign w:val="center"/>
                </w:tcPr>
                <w:p w14:paraId="1FE7C2F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4002" w:type="dxa"/>
                  <w:tcBorders>
                    <w:tl2br w:val="nil"/>
                    <w:tr2bl w:val="nil"/>
                  </w:tcBorders>
                  <w:noWrap w:val="0"/>
                  <w:vAlign w:val="center"/>
                </w:tcPr>
                <w:p w14:paraId="7CC8D38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《水质 石油类的测定 紫外分光光度法（试行）》HJ 970-2018</w:t>
                  </w:r>
                </w:p>
              </w:tc>
              <w:tc>
                <w:tcPr>
                  <w:tcW w:w="2048" w:type="dxa"/>
                  <w:tcBorders>
                    <w:tl2br w:val="nil"/>
                    <w:tr2bl w:val="nil"/>
                  </w:tcBorders>
                  <w:noWrap w:val="0"/>
                  <w:vAlign w:val="center"/>
                </w:tcPr>
                <w:p w14:paraId="1B58D328">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紫外可见分光光度计 T6-1650F</w:t>
                  </w:r>
                </w:p>
                <w:p w14:paraId="386F5BA1">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LHSY-YQ-05</w:t>
                  </w:r>
                </w:p>
              </w:tc>
              <w:tc>
                <w:tcPr>
                  <w:tcW w:w="1241" w:type="dxa"/>
                  <w:tcBorders>
                    <w:tl2br w:val="nil"/>
                    <w:tr2bl w:val="nil"/>
                  </w:tcBorders>
                  <w:noWrap w:val="0"/>
                  <w:vAlign w:val="center"/>
                </w:tcPr>
                <w:p w14:paraId="03090232">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0.01mg/L</w:t>
                  </w:r>
                </w:p>
              </w:tc>
            </w:tr>
            <w:tr w14:paraId="078B218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700" w:hRule="atLeast"/>
                <w:jc w:val="center"/>
              </w:trPr>
              <w:tc>
                <w:tcPr>
                  <w:tcW w:w="1466" w:type="dxa"/>
                  <w:tcBorders>
                    <w:tl2br w:val="nil"/>
                    <w:tr2bl w:val="nil"/>
                  </w:tcBorders>
                  <w:noWrap w:val="0"/>
                  <w:vAlign w:val="center"/>
                </w:tcPr>
                <w:p w14:paraId="6EA374EF">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菌落</w:t>
                  </w:r>
                  <w:r>
                    <w:rPr>
                      <w:rFonts w:hint="default" w:ascii="Times New Roman" w:hAnsi="Times New Roman" w:eastAsia="宋体" w:cs="Times New Roman"/>
                      <w:color w:val="auto"/>
                      <w:sz w:val="21"/>
                      <w:szCs w:val="21"/>
                      <w:highlight w:val="none"/>
                      <w:lang w:val="en-US" w:eastAsia="zh-CN"/>
                    </w:rPr>
                    <w:t>总数</w:t>
                  </w:r>
                </w:p>
              </w:tc>
              <w:tc>
                <w:tcPr>
                  <w:tcW w:w="4002" w:type="dxa"/>
                  <w:tcBorders>
                    <w:tl2br w:val="nil"/>
                    <w:tr2bl w:val="nil"/>
                  </w:tcBorders>
                  <w:noWrap w:val="0"/>
                  <w:vAlign w:val="center"/>
                </w:tcPr>
                <w:p w14:paraId="39DC0684">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生活饮用水标准检验方法 第12部分：微生物指标 GB/T 5750.12-2023</w:t>
                  </w:r>
                </w:p>
                <w:p w14:paraId="4394189E">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4.1平皿计数法</w:t>
                  </w:r>
                </w:p>
              </w:tc>
              <w:tc>
                <w:tcPr>
                  <w:tcW w:w="2048" w:type="dxa"/>
                  <w:tcBorders>
                    <w:tl2br w:val="nil"/>
                    <w:tr2bl w:val="nil"/>
                  </w:tcBorders>
                  <w:noWrap w:val="0"/>
                  <w:vAlign w:val="center"/>
                </w:tcPr>
                <w:p w14:paraId="4104D268">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立式自动电热压力蒸汽灭菌器LX-B50L</w:t>
                  </w:r>
                </w:p>
                <w:p w14:paraId="0AF9675C">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电热恒温培养箱DHP-600</w:t>
                  </w:r>
                </w:p>
              </w:tc>
              <w:tc>
                <w:tcPr>
                  <w:tcW w:w="1241" w:type="dxa"/>
                  <w:tcBorders>
                    <w:tl2br w:val="nil"/>
                    <w:tr2bl w:val="nil"/>
                  </w:tcBorders>
                  <w:noWrap w:val="0"/>
                  <w:vAlign w:val="center"/>
                </w:tcPr>
                <w:p w14:paraId="09C15283">
                  <w:pPr>
                    <w:widowControl/>
                    <w:spacing w:line="240" w:lineRule="auto"/>
                    <w:ind w:firstLine="0" w:firstLineChars="0"/>
                    <w:jc w:val="center"/>
                    <w:outlineLvl w:val="9"/>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C94D1B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700" w:hRule="atLeast"/>
                <w:jc w:val="center"/>
              </w:trPr>
              <w:tc>
                <w:tcPr>
                  <w:tcW w:w="1466" w:type="dxa"/>
                  <w:tcBorders>
                    <w:tl2br w:val="nil"/>
                    <w:tr2bl w:val="nil"/>
                  </w:tcBorders>
                  <w:noWrap w:val="0"/>
                  <w:vAlign w:val="center"/>
                </w:tcPr>
                <w:p w14:paraId="1D82AFE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总大肠菌群</w:t>
                  </w:r>
                </w:p>
              </w:tc>
              <w:tc>
                <w:tcPr>
                  <w:tcW w:w="4002" w:type="dxa"/>
                  <w:tcBorders>
                    <w:tl2br w:val="nil"/>
                    <w:tr2bl w:val="nil"/>
                  </w:tcBorders>
                  <w:noWrap w:val="0"/>
                  <w:vAlign w:val="center"/>
                </w:tcPr>
                <w:p w14:paraId="4139011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生活饮用水标准检验方法 第12部分：微生物指标 GB/T 5750.12-2023</w:t>
                  </w:r>
                </w:p>
                <w:p w14:paraId="6BE863A3">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5.1多管发酵法</w:t>
                  </w:r>
                </w:p>
              </w:tc>
              <w:tc>
                <w:tcPr>
                  <w:tcW w:w="2048" w:type="dxa"/>
                  <w:tcBorders>
                    <w:tl2br w:val="nil"/>
                    <w:tr2bl w:val="nil"/>
                  </w:tcBorders>
                  <w:noWrap w:val="0"/>
                  <w:vAlign w:val="center"/>
                </w:tcPr>
                <w:p w14:paraId="29854862">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立式自动电热压力蒸汽灭菌器LX-B50L</w:t>
                  </w:r>
                </w:p>
                <w:p w14:paraId="4908A4E8">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电热恒温培养箱DHP-600</w:t>
                  </w:r>
                </w:p>
              </w:tc>
              <w:tc>
                <w:tcPr>
                  <w:tcW w:w="1241" w:type="dxa"/>
                  <w:tcBorders>
                    <w:tl2br w:val="nil"/>
                    <w:tr2bl w:val="nil"/>
                  </w:tcBorders>
                  <w:noWrap w:val="0"/>
                  <w:vAlign w:val="center"/>
                </w:tcPr>
                <w:p w14:paraId="4FD7DEE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bl>
          <w:p w14:paraId="3C9B5EAC">
            <w:pPr>
              <w:jc w:val="center"/>
              <w:outlineLvl w:val="9"/>
              <w:rPr>
                <w:rFonts w:hint="default" w:ascii="Times New Roman" w:hAnsi="Times New Roman" w:cs="Times New Roman"/>
                <w:b/>
                <w:bCs/>
                <w:color w:val="auto"/>
                <w:szCs w:val="21"/>
              </w:rPr>
            </w:pPr>
          </w:p>
          <w:p w14:paraId="05F6BE46">
            <w:pPr>
              <w:jc w:val="center"/>
              <w:outlineLvl w:val="9"/>
              <w:rPr>
                <w:rFonts w:hint="default" w:ascii="Times New Roman" w:hAnsi="Times New Roman" w:eastAsia="宋体" w:cs="Times New Roman"/>
                <w:b/>
                <w:bCs/>
                <w:color w:val="auto"/>
                <w:sz w:val="24"/>
                <w:lang w:val="en-US" w:eastAsia="zh-CN"/>
              </w:rPr>
            </w:pPr>
            <w:r>
              <w:rPr>
                <w:rFonts w:hint="default" w:ascii="Times New Roman" w:hAnsi="Times New Roman" w:cs="Times New Roman"/>
                <w:b/>
                <w:bCs/>
                <w:color w:val="auto"/>
                <w:szCs w:val="21"/>
              </w:rPr>
              <w:t>表3-</w:t>
            </w:r>
            <w:r>
              <w:rPr>
                <w:rFonts w:hint="eastAsia" w:cs="Times New Roman"/>
                <w:b/>
                <w:bCs/>
                <w:color w:val="auto"/>
                <w:szCs w:val="21"/>
                <w:lang w:val="en-US" w:eastAsia="zh-CN"/>
              </w:rPr>
              <w:t>9</w:t>
            </w:r>
            <w:r>
              <w:rPr>
                <w:rFonts w:hint="default" w:ascii="Times New Roman" w:hAnsi="Times New Roman" w:cs="Times New Roman"/>
                <w:b/>
                <w:bCs/>
                <w:color w:val="auto"/>
                <w:szCs w:val="21"/>
              </w:rPr>
              <w:t xml:space="preserve">  地下水检测结果</w:t>
            </w:r>
          </w:p>
          <w:tbl>
            <w:tblPr>
              <w:tblStyle w:val="32"/>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75"/>
              <w:gridCol w:w="1583"/>
              <w:gridCol w:w="1804"/>
              <w:gridCol w:w="1433"/>
              <w:gridCol w:w="1640"/>
              <w:gridCol w:w="1117"/>
            </w:tblGrid>
            <w:tr w14:paraId="663FA0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14:paraId="461AC8D5">
                  <w:pPr>
                    <w:widowControl/>
                    <w:spacing w:line="240" w:lineRule="auto"/>
                    <w:ind w:firstLine="0" w:firstLineChars="0"/>
                    <w:jc w:val="center"/>
                    <w:outlineLvl w:val="9"/>
                    <w:rPr>
                      <w:rFonts w:hint="default" w:ascii="Times New Roman" w:hAnsi="Times New Roman" w:cs="Times New Roman"/>
                      <w:b/>
                      <w:bCs/>
                      <w:color w:val="auto"/>
                      <w:highlight w:val="none"/>
                    </w:rPr>
                  </w:pPr>
                  <w:r>
                    <w:rPr>
                      <w:rFonts w:hint="default" w:ascii="Times New Roman" w:hAnsi="Times New Roman" w:cs="Times New Roman"/>
                      <w:b/>
                      <w:bCs/>
                      <w:color w:val="auto"/>
                      <w:kern w:val="0"/>
                      <w:sz w:val="21"/>
                      <w:szCs w:val="21"/>
                      <w:highlight w:val="none"/>
                      <w:lang w:bidi="ar"/>
                    </w:rPr>
                    <w:t>序号</w:t>
                  </w:r>
                </w:p>
              </w:tc>
              <w:tc>
                <w:tcPr>
                  <w:tcW w:w="947" w:type="pct"/>
                  <w:tcBorders>
                    <w:tl2br w:val="nil"/>
                    <w:tr2bl w:val="nil"/>
                  </w:tcBorders>
                  <w:noWrap w:val="0"/>
                  <w:vAlign w:val="center"/>
                </w:tcPr>
                <w:p w14:paraId="35371D4C">
                  <w:pPr>
                    <w:widowControl/>
                    <w:spacing w:line="240" w:lineRule="auto"/>
                    <w:ind w:firstLine="0" w:firstLineChars="0"/>
                    <w:jc w:val="center"/>
                    <w:outlineLvl w:val="9"/>
                    <w:rPr>
                      <w:rFonts w:hint="default" w:ascii="Times New Roman" w:hAnsi="Times New Roman" w:cs="Times New Roman"/>
                      <w:b/>
                      <w:bCs/>
                      <w:color w:val="auto"/>
                      <w:highlight w:val="none"/>
                    </w:rPr>
                  </w:pPr>
                  <w:r>
                    <w:rPr>
                      <w:rFonts w:hint="default" w:ascii="Times New Roman" w:hAnsi="Times New Roman" w:cs="Times New Roman"/>
                      <w:b/>
                      <w:bCs/>
                      <w:color w:val="auto"/>
                      <w:kern w:val="0"/>
                      <w:sz w:val="21"/>
                      <w:szCs w:val="21"/>
                      <w:highlight w:val="none"/>
                      <w:lang w:bidi="ar"/>
                    </w:rPr>
                    <w:t>检测项目</w:t>
                  </w:r>
                </w:p>
              </w:tc>
              <w:tc>
                <w:tcPr>
                  <w:tcW w:w="1079" w:type="pct"/>
                  <w:tcBorders>
                    <w:tl2br w:val="nil"/>
                    <w:tr2bl w:val="nil"/>
                  </w:tcBorders>
                  <w:noWrap w:val="0"/>
                  <w:vAlign w:val="center"/>
                </w:tcPr>
                <w:p w14:paraId="5DCB77C1">
                  <w:pPr>
                    <w:widowControl/>
                    <w:spacing w:line="240" w:lineRule="auto"/>
                    <w:ind w:firstLine="0" w:firstLineChars="0"/>
                    <w:jc w:val="center"/>
                    <w:outlineLvl w:val="9"/>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cs="Times New Roman"/>
                      <w:b/>
                      <w:bCs/>
                      <w:color w:val="auto"/>
                      <w:kern w:val="0"/>
                      <w:sz w:val="21"/>
                      <w:szCs w:val="21"/>
                      <w:highlight w:val="none"/>
                      <w:lang w:val="en-US" w:eastAsia="zh-CN" w:bidi="ar"/>
                    </w:rPr>
                    <w:t>检测结果</w:t>
                  </w:r>
                </w:p>
              </w:tc>
              <w:tc>
                <w:tcPr>
                  <w:tcW w:w="857" w:type="pct"/>
                  <w:tcBorders>
                    <w:tl2br w:val="nil"/>
                    <w:tr2bl w:val="nil"/>
                  </w:tcBorders>
                  <w:noWrap w:val="0"/>
                  <w:vAlign w:val="center"/>
                </w:tcPr>
                <w:p w14:paraId="33FFF985">
                  <w:pPr>
                    <w:widowControl/>
                    <w:spacing w:line="240" w:lineRule="auto"/>
                    <w:ind w:firstLine="0" w:firstLineChars="0"/>
                    <w:jc w:val="center"/>
                    <w:outlineLvl w:val="9"/>
                    <w:rPr>
                      <w:rFonts w:hint="default" w:ascii="Times New Roman" w:hAnsi="Times New Roman" w:cs="Times New Roman"/>
                      <w:b/>
                      <w:bCs/>
                      <w:color w:val="auto"/>
                      <w:kern w:val="0"/>
                      <w:sz w:val="21"/>
                      <w:szCs w:val="21"/>
                      <w:highlight w:val="none"/>
                      <w:lang w:val="en-US" w:eastAsia="zh-CN" w:bidi="ar"/>
                    </w:rPr>
                  </w:pPr>
                  <w:r>
                    <w:rPr>
                      <w:rFonts w:hint="default" w:ascii="Times New Roman" w:hAnsi="Times New Roman" w:cs="Times New Roman"/>
                      <w:b/>
                      <w:bCs/>
                      <w:color w:val="auto"/>
                      <w:kern w:val="0"/>
                      <w:sz w:val="21"/>
                      <w:szCs w:val="21"/>
                      <w:highlight w:val="none"/>
                      <w:lang w:val="en-US" w:eastAsia="zh-CN" w:bidi="ar"/>
                    </w:rPr>
                    <w:t>单位</w:t>
                  </w:r>
                </w:p>
              </w:tc>
              <w:tc>
                <w:tcPr>
                  <w:tcW w:w="981" w:type="pct"/>
                  <w:tcBorders>
                    <w:tl2br w:val="nil"/>
                    <w:tr2bl w:val="nil"/>
                  </w:tcBorders>
                  <w:noWrap w:val="0"/>
                  <w:vAlign w:val="center"/>
                </w:tcPr>
                <w:p w14:paraId="02D1B64D">
                  <w:pPr>
                    <w:widowControl/>
                    <w:spacing w:line="240" w:lineRule="auto"/>
                    <w:ind w:firstLine="0" w:firstLineChars="0"/>
                    <w:jc w:val="center"/>
                    <w:outlineLvl w:val="9"/>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cs="Times New Roman"/>
                      <w:b/>
                      <w:bCs/>
                      <w:color w:val="auto"/>
                      <w:kern w:val="0"/>
                      <w:sz w:val="21"/>
                      <w:szCs w:val="21"/>
                      <w:highlight w:val="none"/>
                      <w:lang w:val="en-US" w:eastAsia="zh-CN" w:bidi="ar"/>
                    </w:rPr>
                    <w:t>标准值</w:t>
                  </w:r>
                </w:p>
              </w:tc>
              <w:tc>
                <w:tcPr>
                  <w:tcW w:w="668" w:type="pct"/>
                  <w:tcBorders>
                    <w:tl2br w:val="nil"/>
                    <w:tr2bl w:val="nil"/>
                  </w:tcBorders>
                  <w:noWrap w:val="0"/>
                  <w:vAlign w:val="center"/>
                </w:tcPr>
                <w:p w14:paraId="245ECE0C">
                  <w:pPr>
                    <w:widowControl/>
                    <w:spacing w:line="240" w:lineRule="auto"/>
                    <w:ind w:firstLine="0" w:firstLineChars="0"/>
                    <w:jc w:val="center"/>
                    <w:outlineLvl w:val="9"/>
                    <w:rPr>
                      <w:rFonts w:hint="default" w:ascii="Times New Roman" w:hAnsi="Times New Roman" w:cs="Times New Roman"/>
                      <w:b/>
                      <w:bCs/>
                      <w:color w:val="auto"/>
                      <w:kern w:val="0"/>
                      <w:sz w:val="21"/>
                      <w:szCs w:val="21"/>
                      <w:highlight w:val="none"/>
                      <w:lang w:val="en-US" w:eastAsia="zh-CN" w:bidi="ar"/>
                    </w:rPr>
                  </w:pPr>
                  <w:r>
                    <w:rPr>
                      <w:rFonts w:hint="default" w:ascii="Times New Roman" w:hAnsi="Times New Roman" w:cs="Times New Roman"/>
                      <w:b/>
                      <w:bCs/>
                      <w:color w:val="auto"/>
                      <w:kern w:val="0"/>
                      <w:sz w:val="21"/>
                      <w:szCs w:val="21"/>
                      <w:highlight w:val="none"/>
                      <w:lang w:val="en-US" w:eastAsia="zh-CN" w:bidi="ar"/>
                    </w:rPr>
                    <w:t>达标情况</w:t>
                  </w:r>
                </w:p>
              </w:tc>
            </w:tr>
            <w:tr w14:paraId="1BD9EE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583C787D">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947" w:type="pct"/>
                  <w:tcBorders>
                    <w:tl2br w:val="nil"/>
                    <w:tr2bl w:val="nil"/>
                  </w:tcBorders>
                  <w:noWrap w:val="0"/>
                  <w:vAlign w:val="center"/>
                </w:tcPr>
                <w:p w14:paraId="47AE40C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钠</w:t>
                  </w:r>
                </w:p>
              </w:tc>
              <w:tc>
                <w:tcPr>
                  <w:tcW w:w="1810" w:type="dxa"/>
                  <w:tcBorders>
                    <w:tl2br w:val="nil"/>
                    <w:tr2bl w:val="nil"/>
                  </w:tcBorders>
                  <w:noWrap w:val="0"/>
                  <w:vAlign w:val="center"/>
                </w:tcPr>
                <w:p w14:paraId="4822ED4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35.7-36.0</w:t>
                  </w:r>
                </w:p>
              </w:tc>
              <w:tc>
                <w:tcPr>
                  <w:tcW w:w="857" w:type="pct"/>
                  <w:tcBorders>
                    <w:tl2br w:val="nil"/>
                    <w:tr2bl w:val="nil"/>
                  </w:tcBorders>
                  <w:noWrap w:val="0"/>
                  <w:vAlign w:val="center"/>
                </w:tcPr>
                <w:p w14:paraId="0345DF1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6EE037F3">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668" w:type="pct"/>
                  <w:tcBorders>
                    <w:tl2br w:val="nil"/>
                    <w:tr2bl w:val="nil"/>
                  </w:tcBorders>
                  <w:noWrap w:val="0"/>
                  <w:vAlign w:val="center"/>
                </w:tcPr>
                <w:p w14:paraId="412D152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14:paraId="7A422E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5873BEE9">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947" w:type="pct"/>
                  <w:tcBorders>
                    <w:tl2br w:val="nil"/>
                    <w:tr2bl w:val="nil"/>
                  </w:tcBorders>
                  <w:noWrap w:val="0"/>
                  <w:vAlign w:val="center"/>
                </w:tcPr>
                <w:p w14:paraId="0BE64FD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钾</w:t>
                  </w:r>
                </w:p>
              </w:tc>
              <w:tc>
                <w:tcPr>
                  <w:tcW w:w="1810" w:type="dxa"/>
                  <w:tcBorders>
                    <w:tl2br w:val="nil"/>
                    <w:tr2bl w:val="nil"/>
                  </w:tcBorders>
                  <w:noWrap w:val="0"/>
                  <w:vAlign w:val="center"/>
                </w:tcPr>
                <w:p w14:paraId="0AF7A1C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i w:val="0"/>
                      <w:iCs w:val="0"/>
                      <w:color w:val="000000"/>
                      <w:kern w:val="0"/>
                      <w:sz w:val="21"/>
                      <w:szCs w:val="21"/>
                      <w:u w:val="none"/>
                      <w:lang w:val="en-US" w:eastAsia="zh-CN" w:bidi="ar"/>
                    </w:rPr>
                    <w:t>5.60-5.90</w:t>
                  </w:r>
                </w:p>
              </w:tc>
              <w:tc>
                <w:tcPr>
                  <w:tcW w:w="857" w:type="pct"/>
                  <w:tcBorders>
                    <w:tl2br w:val="nil"/>
                    <w:tr2bl w:val="nil"/>
                  </w:tcBorders>
                  <w:noWrap w:val="0"/>
                  <w:vAlign w:val="center"/>
                </w:tcPr>
                <w:p w14:paraId="46DAFF3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4006206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668" w:type="pct"/>
                  <w:tcBorders>
                    <w:tl2br w:val="nil"/>
                    <w:tr2bl w:val="nil"/>
                  </w:tcBorders>
                  <w:noWrap w:val="0"/>
                  <w:vAlign w:val="center"/>
                </w:tcPr>
                <w:p w14:paraId="5126E624">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14:paraId="11E680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2DAB7CE5">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947" w:type="pct"/>
                  <w:tcBorders>
                    <w:tl2br w:val="nil"/>
                    <w:tr2bl w:val="nil"/>
                  </w:tcBorders>
                  <w:noWrap w:val="0"/>
                  <w:vAlign w:val="center"/>
                </w:tcPr>
                <w:p w14:paraId="3FA7E6A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镁</w:t>
                  </w:r>
                </w:p>
              </w:tc>
              <w:tc>
                <w:tcPr>
                  <w:tcW w:w="1810" w:type="dxa"/>
                  <w:tcBorders>
                    <w:tl2br w:val="nil"/>
                    <w:tr2bl w:val="nil"/>
                  </w:tcBorders>
                  <w:noWrap w:val="0"/>
                  <w:vAlign w:val="center"/>
                </w:tcPr>
                <w:p w14:paraId="5EF486A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53.0-53.2</w:t>
                  </w:r>
                </w:p>
              </w:tc>
              <w:tc>
                <w:tcPr>
                  <w:tcW w:w="857" w:type="pct"/>
                  <w:tcBorders>
                    <w:tl2br w:val="nil"/>
                    <w:tr2bl w:val="nil"/>
                  </w:tcBorders>
                  <w:noWrap w:val="0"/>
                  <w:vAlign w:val="center"/>
                </w:tcPr>
                <w:p w14:paraId="2F5E3A19">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4E9FD72C">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668" w:type="pct"/>
                  <w:tcBorders>
                    <w:tl2br w:val="nil"/>
                    <w:tr2bl w:val="nil"/>
                  </w:tcBorders>
                  <w:noWrap w:val="0"/>
                  <w:vAlign w:val="center"/>
                </w:tcPr>
                <w:p w14:paraId="1D8922C3">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14:paraId="70E43B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62B988EF">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947" w:type="pct"/>
                  <w:tcBorders>
                    <w:tl2br w:val="nil"/>
                    <w:tr2bl w:val="nil"/>
                  </w:tcBorders>
                  <w:noWrap w:val="0"/>
                  <w:vAlign w:val="center"/>
                </w:tcPr>
                <w:p w14:paraId="3589DEE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钙</w:t>
                  </w:r>
                </w:p>
              </w:tc>
              <w:tc>
                <w:tcPr>
                  <w:tcW w:w="1810" w:type="dxa"/>
                  <w:tcBorders>
                    <w:tl2br w:val="nil"/>
                    <w:tr2bl w:val="nil"/>
                  </w:tcBorders>
                  <w:noWrap w:val="0"/>
                  <w:vAlign w:val="center"/>
                </w:tcPr>
                <w:p w14:paraId="5B73A26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37.7-37.9</w:t>
                  </w:r>
                </w:p>
              </w:tc>
              <w:tc>
                <w:tcPr>
                  <w:tcW w:w="857" w:type="pct"/>
                  <w:tcBorders>
                    <w:tl2br w:val="nil"/>
                    <w:tr2bl w:val="nil"/>
                  </w:tcBorders>
                  <w:noWrap w:val="0"/>
                  <w:vAlign w:val="center"/>
                </w:tcPr>
                <w:p w14:paraId="6F9CBF73">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00693346">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668" w:type="pct"/>
                  <w:tcBorders>
                    <w:tl2br w:val="nil"/>
                    <w:tr2bl w:val="nil"/>
                  </w:tcBorders>
                  <w:noWrap w:val="0"/>
                  <w:vAlign w:val="center"/>
                </w:tcPr>
                <w:p w14:paraId="4E3FFC0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14:paraId="2B279C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3ED98153">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947" w:type="pct"/>
                  <w:tcBorders>
                    <w:tl2br w:val="nil"/>
                    <w:tr2bl w:val="nil"/>
                  </w:tcBorders>
                  <w:noWrap w:val="0"/>
                  <w:vAlign w:val="center"/>
                </w:tcPr>
                <w:p w14:paraId="76856CD9">
                  <w:pPr>
                    <w:widowControl/>
                    <w:spacing w:line="240" w:lineRule="auto"/>
                    <w:ind w:firstLine="0" w:firstLineChars="0"/>
                    <w:jc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碳酸盐</w:t>
                  </w:r>
                </w:p>
              </w:tc>
              <w:tc>
                <w:tcPr>
                  <w:tcW w:w="1810" w:type="dxa"/>
                  <w:tcBorders>
                    <w:tl2br w:val="nil"/>
                    <w:tr2bl w:val="nil"/>
                  </w:tcBorders>
                  <w:noWrap w:val="0"/>
                  <w:vAlign w:val="center"/>
                </w:tcPr>
                <w:p w14:paraId="19E301E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857" w:type="pct"/>
                  <w:tcBorders>
                    <w:tl2br w:val="nil"/>
                    <w:tr2bl w:val="nil"/>
                  </w:tcBorders>
                  <w:noWrap w:val="0"/>
                  <w:vAlign w:val="center"/>
                </w:tcPr>
                <w:p w14:paraId="12CD31F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14A252BD">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668" w:type="pct"/>
                  <w:tcBorders>
                    <w:tl2br w:val="nil"/>
                    <w:tr2bl w:val="nil"/>
                  </w:tcBorders>
                  <w:noWrap w:val="0"/>
                  <w:vAlign w:val="center"/>
                </w:tcPr>
                <w:p w14:paraId="5FDBC49A">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14:paraId="201DEA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00B63E4B">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947" w:type="pct"/>
                  <w:tcBorders>
                    <w:tl2br w:val="nil"/>
                    <w:tr2bl w:val="nil"/>
                  </w:tcBorders>
                  <w:noWrap w:val="0"/>
                  <w:vAlign w:val="center"/>
                </w:tcPr>
                <w:p w14:paraId="61706C11">
                  <w:pPr>
                    <w:widowControl/>
                    <w:spacing w:line="240" w:lineRule="auto"/>
                    <w:ind w:firstLine="0" w:firstLineChars="0"/>
                    <w:jc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碳酸氢根</w:t>
                  </w:r>
                </w:p>
              </w:tc>
              <w:tc>
                <w:tcPr>
                  <w:tcW w:w="1810" w:type="dxa"/>
                  <w:tcBorders>
                    <w:tl2br w:val="nil"/>
                    <w:tr2bl w:val="nil"/>
                  </w:tcBorders>
                  <w:noWrap w:val="0"/>
                  <w:vAlign w:val="center"/>
                </w:tcPr>
                <w:p w14:paraId="27624F6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gree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317-319</w:t>
                  </w:r>
                </w:p>
              </w:tc>
              <w:tc>
                <w:tcPr>
                  <w:tcW w:w="857" w:type="pct"/>
                  <w:tcBorders>
                    <w:tl2br w:val="nil"/>
                    <w:tr2bl w:val="nil"/>
                  </w:tcBorders>
                  <w:noWrap w:val="0"/>
                  <w:vAlign w:val="center"/>
                </w:tcPr>
                <w:p w14:paraId="60B696A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30D3386F">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668" w:type="pct"/>
                  <w:tcBorders>
                    <w:tl2br w:val="nil"/>
                    <w:tr2bl w:val="nil"/>
                  </w:tcBorders>
                  <w:noWrap w:val="0"/>
                  <w:vAlign w:val="center"/>
                </w:tcPr>
                <w:p w14:paraId="458592AC">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14:paraId="5F38A8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4139354D">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947" w:type="pct"/>
                  <w:tcBorders>
                    <w:tl2br w:val="nil"/>
                    <w:tr2bl w:val="nil"/>
                  </w:tcBorders>
                  <w:noWrap w:val="0"/>
                  <w:vAlign w:val="center"/>
                </w:tcPr>
                <w:p w14:paraId="79D71AC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pH</w:t>
                  </w:r>
                </w:p>
              </w:tc>
              <w:tc>
                <w:tcPr>
                  <w:tcW w:w="1810" w:type="dxa"/>
                  <w:tcBorders>
                    <w:tl2br w:val="nil"/>
                    <w:tr2bl w:val="nil"/>
                  </w:tcBorders>
                  <w:noWrap w:val="0"/>
                  <w:vAlign w:val="center"/>
                </w:tcPr>
                <w:p w14:paraId="7B06FAA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7.1-7.2</w:t>
                  </w:r>
                </w:p>
              </w:tc>
              <w:tc>
                <w:tcPr>
                  <w:tcW w:w="857" w:type="pct"/>
                  <w:tcBorders>
                    <w:tl2br w:val="nil"/>
                    <w:tr2bl w:val="nil"/>
                  </w:tcBorders>
                  <w:noWrap w:val="0"/>
                  <w:vAlign w:val="center"/>
                </w:tcPr>
                <w:p w14:paraId="1F73B47D">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无量纲</w:t>
                  </w:r>
                </w:p>
              </w:tc>
              <w:tc>
                <w:tcPr>
                  <w:tcW w:w="981" w:type="pct"/>
                  <w:tcBorders>
                    <w:tl2br w:val="nil"/>
                    <w:tr2bl w:val="nil"/>
                  </w:tcBorders>
                  <w:noWrap w:val="0"/>
                  <w:vAlign w:val="center"/>
                </w:tcPr>
                <w:p w14:paraId="4A48A23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6.5-8.5</w:t>
                  </w:r>
                </w:p>
              </w:tc>
              <w:tc>
                <w:tcPr>
                  <w:tcW w:w="668" w:type="pct"/>
                  <w:tcBorders>
                    <w:tl2br w:val="nil"/>
                    <w:tr2bl w:val="nil"/>
                  </w:tcBorders>
                  <w:noWrap w:val="0"/>
                  <w:vAlign w:val="center"/>
                </w:tcPr>
                <w:p w14:paraId="7FBF7FEA">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3FEA9D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43F3DA81">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947" w:type="pct"/>
                  <w:tcBorders>
                    <w:tl2br w:val="nil"/>
                    <w:tr2bl w:val="nil"/>
                  </w:tcBorders>
                  <w:noWrap w:val="0"/>
                  <w:vAlign w:val="center"/>
                </w:tcPr>
                <w:p w14:paraId="3CF695B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氨氮</w:t>
                  </w:r>
                </w:p>
              </w:tc>
              <w:tc>
                <w:tcPr>
                  <w:tcW w:w="1810" w:type="dxa"/>
                  <w:tcBorders>
                    <w:tl2br w:val="nil"/>
                    <w:tr2bl w:val="nil"/>
                  </w:tcBorders>
                  <w:noWrap w:val="0"/>
                  <w:vAlign w:val="center"/>
                </w:tcPr>
                <w:p w14:paraId="3824E0F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0.206-0.232</w:t>
                  </w:r>
                </w:p>
              </w:tc>
              <w:tc>
                <w:tcPr>
                  <w:tcW w:w="857" w:type="pct"/>
                  <w:tcBorders>
                    <w:tl2br w:val="nil"/>
                    <w:tr2bl w:val="nil"/>
                  </w:tcBorders>
                  <w:noWrap w:val="0"/>
                  <w:vAlign w:val="center"/>
                </w:tcPr>
                <w:p w14:paraId="7F0E249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212CB06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lang w:val="en-US" w:eastAsia="zh-CN"/>
                    </w:rPr>
                    <w:t>0</w:t>
                  </w:r>
                </w:p>
              </w:tc>
              <w:tc>
                <w:tcPr>
                  <w:tcW w:w="668" w:type="pct"/>
                  <w:tcBorders>
                    <w:tl2br w:val="nil"/>
                    <w:tr2bl w:val="nil"/>
                  </w:tcBorders>
                  <w:noWrap w:val="0"/>
                  <w:vAlign w:val="center"/>
                </w:tcPr>
                <w:p w14:paraId="734A5D1C">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1865C0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53648B3D">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w:t>
                  </w:r>
                </w:p>
              </w:tc>
              <w:tc>
                <w:tcPr>
                  <w:tcW w:w="947" w:type="pct"/>
                  <w:tcBorders>
                    <w:tl2br w:val="nil"/>
                    <w:tr2bl w:val="nil"/>
                  </w:tcBorders>
                  <w:noWrap w:val="0"/>
                  <w:vAlign w:val="center"/>
                </w:tcPr>
                <w:p w14:paraId="7508FE5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高锰酸盐指数</w:t>
                  </w:r>
                </w:p>
              </w:tc>
              <w:tc>
                <w:tcPr>
                  <w:tcW w:w="1810" w:type="dxa"/>
                  <w:tcBorders>
                    <w:tl2br w:val="nil"/>
                    <w:tr2bl w:val="nil"/>
                  </w:tcBorders>
                  <w:noWrap w:val="0"/>
                  <w:vAlign w:val="center"/>
                </w:tcPr>
                <w:p w14:paraId="71D1DD1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2.0-2.1</w:t>
                  </w:r>
                </w:p>
              </w:tc>
              <w:tc>
                <w:tcPr>
                  <w:tcW w:w="857" w:type="pct"/>
                  <w:tcBorders>
                    <w:tl2br w:val="nil"/>
                    <w:tr2bl w:val="nil"/>
                  </w:tcBorders>
                  <w:noWrap w:val="0"/>
                  <w:vAlign w:val="center"/>
                </w:tcPr>
                <w:p w14:paraId="2B680517">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70DA0BE9">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3.0</w:t>
                  </w:r>
                </w:p>
              </w:tc>
              <w:tc>
                <w:tcPr>
                  <w:tcW w:w="668" w:type="pct"/>
                  <w:tcBorders>
                    <w:tl2br w:val="nil"/>
                    <w:tr2bl w:val="nil"/>
                  </w:tcBorders>
                  <w:noWrap w:val="0"/>
                  <w:vAlign w:val="center"/>
                </w:tcPr>
                <w:p w14:paraId="06C75E8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7F794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171C5218">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947" w:type="pct"/>
                  <w:tcBorders>
                    <w:tl2br w:val="nil"/>
                    <w:tr2bl w:val="nil"/>
                  </w:tcBorders>
                  <w:noWrap w:val="0"/>
                  <w:vAlign w:val="center"/>
                </w:tcPr>
                <w:p w14:paraId="67A98FD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氟化物</w:t>
                  </w:r>
                </w:p>
              </w:tc>
              <w:tc>
                <w:tcPr>
                  <w:tcW w:w="1810" w:type="dxa"/>
                  <w:tcBorders>
                    <w:tl2br w:val="nil"/>
                    <w:tr2bl w:val="nil"/>
                  </w:tcBorders>
                  <w:noWrap w:val="0"/>
                  <w:vAlign w:val="center"/>
                </w:tcPr>
                <w:p w14:paraId="240D065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＜0.006</w:t>
                  </w:r>
                </w:p>
              </w:tc>
              <w:tc>
                <w:tcPr>
                  <w:tcW w:w="857" w:type="pct"/>
                  <w:tcBorders>
                    <w:tl2br w:val="nil"/>
                    <w:tr2bl w:val="nil"/>
                  </w:tcBorders>
                  <w:noWrap w:val="0"/>
                  <w:vAlign w:val="center"/>
                </w:tcPr>
                <w:p w14:paraId="19911FF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4F9585D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w:t>
                  </w:r>
                </w:p>
              </w:tc>
              <w:tc>
                <w:tcPr>
                  <w:tcW w:w="668" w:type="pct"/>
                  <w:tcBorders>
                    <w:tl2br w:val="nil"/>
                    <w:tr2bl w:val="nil"/>
                  </w:tcBorders>
                  <w:noWrap w:val="0"/>
                  <w:vAlign w:val="center"/>
                </w:tcPr>
                <w:p w14:paraId="533FA21F">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79F562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63AADDC8">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w:t>
                  </w:r>
                </w:p>
              </w:tc>
              <w:tc>
                <w:tcPr>
                  <w:tcW w:w="947" w:type="pct"/>
                  <w:tcBorders>
                    <w:tl2br w:val="nil"/>
                    <w:tr2bl w:val="nil"/>
                  </w:tcBorders>
                  <w:noWrap w:val="0"/>
                  <w:vAlign w:val="center"/>
                </w:tcPr>
                <w:p w14:paraId="0161A93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氯化物</w:t>
                  </w:r>
                </w:p>
              </w:tc>
              <w:tc>
                <w:tcPr>
                  <w:tcW w:w="1810" w:type="dxa"/>
                  <w:tcBorders>
                    <w:tl2br w:val="nil"/>
                    <w:tr2bl w:val="nil"/>
                  </w:tcBorders>
                  <w:noWrap w:val="0"/>
                  <w:vAlign w:val="center"/>
                </w:tcPr>
                <w:p w14:paraId="7D7A678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75.4-77.4</w:t>
                  </w:r>
                </w:p>
              </w:tc>
              <w:tc>
                <w:tcPr>
                  <w:tcW w:w="857" w:type="pct"/>
                  <w:tcBorders>
                    <w:tl2br w:val="nil"/>
                    <w:tr2bl w:val="nil"/>
                  </w:tcBorders>
                  <w:noWrap w:val="0"/>
                  <w:vAlign w:val="center"/>
                </w:tcPr>
                <w:p w14:paraId="30C1EC8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594CB817">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w:t>
                  </w:r>
                </w:p>
              </w:tc>
              <w:tc>
                <w:tcPr>
                  <w:tcW w:w="668" w:type="pct"/>
                  <w:tcBorders>
                    <w:tl2br w:val="nil"/>
                    <w:tr2bl w:val="nil"/>
                  </w:tcBorders>
                  <w:noWrap w:val="0"/>
                  <w:vAlign w:val="center"/>
                </w:tcPr>
                <w:p w14:paraId="41E82082">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037259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64F069E2">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947" w:type="pct"/>
                  <w:tcBorders>
                    <w:tl2br w:val="nil"/>
                    <w:tr2bl w:val="nil"/>
                  </w:tcBorders>
                  <w:noWrap w:val="0"/>
                  <w:vAlign w:val="center"/>
                </w:tcPr>
                <w:p w14:paraId="5DD2017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硝酸盐</w:t>
                  </w:r>
                </w:p>
              </w:tc>
              <w:tc>
                <w:tcPr>
                  <w:tcW w:w="1810" w:type="dxa"/>
                  <w:tcBorders>
                    <w:tl2br w:val="nil"/>
                    <w:tr2bl w:val="nil"/>
                  </w:tcBorders>
                  <w:noWrap w:val="0"/>
                  <w:vAlign w:val="center"/>
                </w:tcPr>
                <w:p w14:paraId="375587F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16.1</w:t>
                  </w:r>
                </w:p>
              </w:tc>
              <w:tc>
                <w:tcPr>
                  <w:tcW w:w="857" w:type="pct"/>
                  <w:tcBorders>
                    <w:tl2br w:val="nil"/>
                    <w:tr2bl w:val="nil"/>
                  </w:tcBorders>
                  <w:noWrap w:val="0"/>
                  <w:vAlign w:val="center"/>
                </w:tcPr>
                <w:p w14:paraId="6AC5EDC7">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73A0A01F">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20.0</w:t>
                  </w:r>
                </w:p>
              </w:tc>
              <w:tc>
                <w:tcPr>
                  <w:tcW w:w="668" w:type="pct"/>
                  <w:tcBorders>
                    <w:tl2br w:val="nil"/>
                    <w:tr2bl w:val="nil"/>
                  </w:tcBorders>
                  <w:noWrap w:val="0"/>
                  <w:vAlign w:val="center"/>
                </w:tcPr>
                <w:p w14:paraId="5E2AB398">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654CD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0F232161">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w:t>
                  </w:r>
                </w:p>
              </w:tc>
              <w:tc>
                <w:tcPr>
                  <w:tcW w:w="947" w:type="pct"/>
                  <w:tcBorders>
                    <w:tl2br w:val="nil"/>
                    <w:tr2bl w:val="nil"/>
                  </w:tcBorders>
                  <w:noWrap w:val="0"/>
                  <w:vAlign w:val="center"/>
                </w:tcPr>
                <w:p w14:paraId="46042E2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硫酸盐</w:t>
                  </w:r>
                </w:p>
              </w:tc>
              <w:tc>
                <w:tcPr>
                  <w:tcW w:w="1810" w:type="dxa"/>
                  <w:tcBorders>
                    <w:tl2br w:val="nil"/>
                    <w:tr2bl w:val="nil"/>
                  </w:tcBorders>
                  <w:noWrap w:val="0"/>
                  <w:vAlign w:val="center"/>
                </w:tcPr>
                <w:p w14:paraId="3D6A847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65.0</w:t>
                  </w:r>
                </w:p>
              </w:tc>
              <w:tc>
                <w:tcPr>
                  <w:tcW w:w="857" w:type="pct"/>
                  <w:tcBorders>
                    <w:tl2br w:val="nil"/>
                    <w:tr2bl w:val="nil"/>
                  </w:tcBorders>
                  <w:noWrap w:val="0"/>
                  <w:vAlign w:val="center"/>
                </w:tcPr>
                <w:p w14:paraId="094FE7C6">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6FFC8C3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250</w:t>
                  </w:r>
                  <w:r>
                    <w:rPr>
                      <w:rFonts w:hint="default" w:ascii="Times New Roman" w:hAnsi="Times New Roman" w:eastAsia="宋体" w:cs="Times New Roman"/>
                      <w:color w:val="auto"/>
                      <w:sz w:val="21"/>
                      <w:szCs w:val="21"/>
                      <w:highlight w:val="none"/>
                      <w:lang w:val="en-US" w:eastAsia="zh-CN"/>
                    </w:rPr>
                    <w:t>.0</w:t>
                  </w:r>
                </w:p>
              </w:tc>
              <w:tc>
                <w:tcPr>
                  <w:tcW w:w="668" w:type="pct"/>
                  <w:tcBorders>
                    <w:tl2br w:val="nil"/>
                    <w:tr2bl w:val="nil"/>
                  </w:tcBorders>
                  <w:noWrap w:val="0"/>
                  <w:vAlign w:val="center"/>
                </w:tcPr>
                <w:p w14:paraId="71F3F46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579087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1C6D2522">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w:t>
                  </w:r>
                </w:p>
              </w:tc>
              <w:tc>
                <w:tcPr>
                  <w:tcW w:w="947" w:type="pct"/>
                  <w:tcBorders>
                    <w:tl2br w:val="nil"/>
                    <w:tr2bl w:val="nil"/>
                  </w:tcBorders>
                  <w:noWrap w:val="0"/>
                  <w:vAlign w:val="center"/>
                </w:tcPr>
                <w:p w14:paraId="6B50473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亚硝酸盐</w:t>
                  </w:r>
                </w:p>
              </w:tc>
              <w:tc>
                <w:tcPr>
                  <w:tcW w:w="1810" w:type="dxa"/>
                  <w:tcBorders>
                    <w:tl2br w:val="nil"/>
                    <w:tr2bl w:val="nil"/>
                  </w:tcBorders>
                  <w:noWrap w:val="0"/>
                  <w:vAlign w:val="center"/>
                </w:tcPr>
                <w:p w14:paraId="29C889D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＜0.003</w:t>
                  </w:r>
                </w:p>
              </w:tc>
              <w:tc>
                <w:tcPr>
                  <w:tcW w:w="857" w:type="pct"/>
                  <w:tcBorders>
                    <w:tl2br w:val="nil"/>
                    <w:tr2bl w:val="nil"/>
                  </w:tcBorders>
                  <w:noWrap w:val="0"/>
                  <w:vAlign w:val="center"/>
                </w:tcPr>
                <w:p w14:paraId="17A4487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51D3FC3D">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1.00</w:t>
                  </w:r>
                </w:p>
              </w:tc>
              <w:tc>
                <w:tcPr>
                  <w:tcW w:w="668" w:type="pct"/>
                  <w:tcBorders>
                    <w:tl2br w:val="nil"/>
                    <w:tr2bl w:val="nil"/>
                  </w:tcBorders>
                  <w:noWrap w:val="0"/>
                  <w:vAlign w:val="center"/>
                </w:tcPr>
                <w:p w14:paraId="67BE49B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5BBAD1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030B870A">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947" w:type="pct"/>
                  <w:tcBorders>
                    <w:tl2br w:val="nil"/>
                    <w:tr2bl w:val="nil"/>
                  </w:tcBorders>
                  <w:noWrap w:val="0"/>
                  <w:vAlign w:val="center"/>
                </w:tcPr>
                <w:p w14:paraId="29AA63C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挥发酚</w:t>
                  </w:r>
                </w:p>
              </w:tc>
              <w:tc>
                <w:tcPr>
                  <w:tcW w:w="1810" w:type="dxa"/>
                  <w:tcBorders>
                    <w:tl2br w:val="nil"/>
                    <w:tr2bl w:val="nil"/>
                  </w:tcBorders>
                  <w:noWrap w:val="0"/>
                  <w:vAlign w:val="center"/>
                </w:tcPr>
                <w:p w14:paraId="0C349B0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＜0.0003</w:t>
                  </w:r>
                </w:p>
              </w:tc>
              <w:tc>
                <w:tcPr>
                  <w:tcW w:w="857" w:type="pct"/>
                  <w:tcBorders>
                    <w:tl2br w:val="nil"/>
                    <w:tr2bl w:val="nil"/>
                  </w:tcBorders>
                  <w:noWrap w:val="0"/>
                  <w:vAlign w:val="center"/>
                </w:tcPr>
                <w:p w14:paraId="5C0CCDFF">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38F8AF87">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0.002</w:t>
                  </w:r>
                </w:p>
              </w:tc>
              <w:tc>
                <w:tcPr>
                  <w:tcW w:w="668" w:type="pct"/>
                  <w:tcBorders>
                    <w:tl2br w:val="nil"/>
                    <w:tr2bl w:val="nil"/>
                  </w:tcBorders>
                  <w:noWrap w:val="0"/>
                  <w:vAlign w:val="center"/>
                </w:tcPr>
                <w:p w14:paraId="1BEA74B2">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4FA58A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0C91EDAB">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6</w:t>
                  </w:r>
                </w:p>
              </w:tc>
              <w:tc>
                <w:tcPr>
                  <w:tcW w:w="947" w:type="pct"/>
                  <w:tcBorders>
                    <w:tl2br w:val="nil"/>
                    <w:tr2bl w:val="nil"/>
                  </w:tcBorders>
                  <w:noWrap w:val="0"/>
                  <w:vAlign w:val="center"/>
                </w:tcPr>
                <w:p w14:paraId="18A910B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氰化物</w:t>
                  </w:r>
                </w:p>
              </w:tc>
              <w:tc>
                <w:tcPr>
                  <w:tcW w:w="1810" w:type="dxa"/>
                  <w:tcBorders>
                    <w:tl2br w:val="nil"/>
                    <w:tr2bl w:val="nil"/>
                  </w:tcBorders>
                  <w:noWrap w:val="0"/>
                  <w:vAlign w:val="center"/>
                </w:tcPr>
                <w:p w14:paraId="568A06C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＜0.002</w:t>
                  </w:r>
                </w:p>
              </w:tc>
              <w:tc>
                <w:tcPr>
                  <w:tcW w:w="857" w:type="pct"/>
                  <w:tcBorders>
                    <w:tl2br w:val="nil"/>
                    <w:tr2bl w:val="nil"/>
                  </w:tcBorders>
                  <w:noWrap w:val="0"/>
                  <w:vAlign w:val="center"/>
                </w:tcPr>
                <w:p w14:paraId="3197928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08B14822">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0.05</w:t>
                  </w:r>
                </w:p>
              </w:tc>
              <w:tc>
                <w:tcPr>
                  <w:tcW w:w="668" w:type="pct"/>
                  <w:tcBorders>
                    <w:tl2br w:val="nil"/>
                    <w:tr2bl w:val="nil"/>
                  </w:tcBorders>
                  <w:noWrap w:val="0"/>
                  <w:vAlign w:val="center"/>
                </w:tcPr>
                <w:p w14:paraId="0AB29BA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1C38AC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72F64ABC">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7</w:t>
                  </w:r>
                </w:p>
              </w:tc>
              <w:tc>
                <w:tcPr>
                  <w:tcW w:w="947" w:type="pct"/>
                  <w:tcBorders>
                    <w:tl2br w:val="nil"/>
                    <w:tr2bl w:val="nil"/>
                  </w:tcBorders>
                  <w:noWrap w:val="0"/>
                  <w:vAlign w:val="center"/>
                </w:tcPr>
                <w:p w14:paraId="62FC57C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砷</w:t>
                  </w:r>
                </w:p>
              </w:tc>
              <w:tc>
                <w:tcPr>
                  <w:tcW w:w="1810" w:type="dxa"/>
                  <w:tcBorders>
                    <w:tl2br w:val="nil"/>
                    <w:tr2bl w:val="nil"/>
                  </w:tcBorders>
                  <w:noWrap w:val="0"/>
                  <w:vAlign w:val="center"/>
                </w:tcPr>
                <w:p w14:paraId="4448D7B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r>
                    <w:rPr>
                      <w:rStyle w:val="140"/>
                      <w:rFonts w:hint="default" w:ascii="Times New Roman" w:hAnsi="Times New Roman" w:eastAsia="宋体" w:cs="Times New Roman"/>
                      <w:sz w:val="21"/>
                      <w:szCs w:val="21"/>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10</w:t>
                  </w:r>
                  <w:r>
                    <w:rPr>
                      <w:rFonts w:hint="default" w:ascii="Times New Roman" w:hAnsi="Times New Roman" w:eastAsia="宋体" w:cs="Times New Roman"/>
                      <w:i w:val="0"/>
                      <w:iCs w:val="0"/>
                      <w:color w:val="000000"/>
                      <w:kern w:val="0"/>
                      <w:sz w:val="21"/>
                      <w:szCs w:val="21"/>
                      <w:u w:val="none"/>
                      <w:vertAlign w:val="superscript"/>
                      <w:lang w:val="en-US" w:eastAsia="zh-CN" w:bidi="ar"/>
                    </w:rPr>
                    <w:t>-4</w:t>
                  </w:r>
                </w:p>
              </w:tc>
              <w:tc>
                <w:tcPr>
                  <w:tcW w:w="857" w:type="pct"/>
                  <w:tcBorders>
                    <w:tl2br w:val="nil"/>
                    <w:tr2bl w:val="nil"/>
                  </w:tcBorders>
                  <w:noWrap w:val="0"/>
                  <w:vAlign w:val="center"/>
                </w:tcPr>
                <w:p w14:paraId="03E342F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0E165E3D">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1</w:t>
                  </w:r>
                </w:p>
              </w:tc>
              <w:tc>
                <w:tcPr>
                  <w:tcW w:w="668" w:type="pct"/>
                  <w:tcBorders>
                    <w:tl2br w:val="nil"/>
                    <w:tr2bl w:val="nil"/>
                  </w:tcBorders>
                  <w:noWrap w:val="0"/>
                  <w:vAlign w:val="center"/>
                </w:tcPr>
                <w:p w14:paraId="1BA7A474">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647812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01B61B48">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8</w:t>
                  </w:r>
                </w:p>
              </w:tc>
              <w:tc>
                <w:tcPr>
                  <w:tcW w:w="947" w:type="pct"/>
                  <w:tcBorders>
                    <w:tl2br w:val="nil"/>
                    <w:tr2bl w:val="nil"/>
                  </w:tcBorders>
                  <w:noWrap w:val="0"/>
                  <w:vAlign w:val="center"/>
                </w:tcPr>
                <w:p w14:paraId="51595AC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汞</w:t>
                  </w:r>
                </w:p>
              </w:tc>
              <w:tc>
                <w:tcPr>
                  <w:tcW w:w="1810" w:type="dxa"/>
                  <w:tcBorders>
                    <w:tl2br w:val="nil"/>
                    <w:tr2bl w:val="nil"/>
                  </w:tcBorders>
                  <w:noWrap w:val="0"/>
                  <w:vAlign w:val="center"/>
                </w:tcPr>
                <w:p w14:paraId="18473DA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r>
                    <w:rPr>
                      <w:rStyle w:val="140"/>
                      <w:rFonts w:hint="default" w:ascii="Times New Roman" w:hAnsi="Times New Roman" w:eastAsia="宋体" w:cs="Times New Roman"/>
                      <w:sz w:val="21"/>
                      <w:szCs w:val="21"/>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10</w:t>
                  </w:r>
                  <w:r>
                    <w:rPr>
                      <w:rFonts w:hint="default" w:ascii="Times New Roman" w:hAnsi="Times New Roman" w:eastAsia="宋体" w:cs="Times New Roman"/>
                      <w:i w:val="0"/>
                      <w:iCs w:val="0"/>
                      <w:color w:val="000000"/>
                      <w:kern w:val="0"/>
                      <w:sz w:val="21"/>
                      <w:szCs w:val="21"/>
                      <w:u w:val="none"/>
                      <w:vertAlign w:val="superscript"/>
                      <w:lang w:val="en-US" w:eastAsia="zh-CN" w:bidi="ar"/>
                    </w:rPr>
                    <w:t>-5</w:t>
                  </w:r>
                </w:p>
              </w:tc>
              <w:tc>
                <w:tcPr>
                  <w:tcW w:w="857" w:type="pct"/>
                  <w:tcBorders>
                    <w:tl2br w:val="nil"/>
                    <w:tr2bl w:val="nil"/>
                  </w:tcBorders>
                  <w:noWrap w:val="0"/>
                  <w:vAlign w:val="center"/>
                </w:tcPr>
                <w:p w14:paraId="15CF54A4">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3380636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0.001</w:t>
                  </w:r>
                </w:p>
              </w:tc>
              <w:tc>
                <w:tcPr>
                  <w:tcW w:w="668" w:type="pct"/>
                  <w:tcBorders>
                    <w:tl2br w:val="nil"/>
                    <w:tr2bl w:val="nil"/>
                  </w:tcBorders>
                  <w:noWrap w:val="0"/>
                  <w:vAlign w:val="center"/>
                </w:tcPr>
                <w:p w14:paraId="5AE77FB8">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0D99D3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6B09BE93">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19</w:t>
                  </w:r>
                </w:p>
              </w:tc>
              <w:tc>
                <w:tcPr>
                  <w:tcW w:w="947" w:type="pct"/>
                  <w:tcBorders>
                    <w:tl2br w:val="nil"/>
                    <w:tr2bl w:val="nil"/>
                  </w:tcBorders>
                  <w:noWrap w:val="0"/>
                  <w:vAlign w:val="center"/>
                </w:tcPr>
                <w:p w14:paraId="0C293F6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铬（六价）</w:t>
                  </w:r>
                </w:p>
              </w:tc>
              <w:tc>
                <w:tcPr>
                  <w:tcW w:w="1810" w:type="dxa"/>
                  <w:tcBorders>
                    <w:tl2br w:val="nil"/>
                    <w:tr2bl w:val="nil"/>
                  </w:tcBorders>
                  <w:noWrap w:val="0"/>
                  <w:vAlign w:val="center"/>
                </w:tcPr>
                <w:p w14:paraId="0B72C2F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r>
                    <w:rPr>
                      <w:rStyle w:val="140"/>
                      <w:rFonts w:hint="default" w:ascii="Times New Roman" w:hAnsi="Times New Roman" w:eastAsia="宋体" w:cs="Times New Roman"/>
                      <w:sz w:val="21"/>
                      <w:szCs w:val="21"/>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10</w:t>
                  </w:r>
                  <w:r>
                    <w:rPr>
                      <w:rFonts w:hint="default" w:ascii="Times New Roman" w:hAnsi="Times New Roman" w:eastAsia="宋体" w:cs="Times New Roman"/>
                      <w:i w:val="0"/>
                      <w:iCs w:val="0"/>
                      <w:color w:val="000000"/>
                      <w:kern w:val="0"/>
                      <w:sz w:val="21"/>
                      <w:szCs w:val="21"/>
                      <w:u w:val="none"/>
                      <w:vertAlign w:val="superscript"/>
                      <w:lang w:val="en-US" w:eastAsia="zh-CN" w:bidi="ar"/>
                    </w:rPr>
                    <w:t>-6</w:t>
                  </w:r>
                </w:p>
              </w:tc>
              <w:tc>
                <w:tcPr>
                  <w:tcW w:w="857" w:type="pct"/>
                  <w:tcBorders>
                    <w:tl2br w:val="nil"/>
                    <w:tr2bl w:val="nil"/>
                  </w:tcBorders>
                  <w:noWrap w:val="0"/>
                  <w:vAlign w:val="center"/>
                </w:tcPr>
                <w:p w14:paraId="5F3EC0A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μg/L</w:t>
                  </w:r>
                </w:p>
              </w:tc>
              <w:tc>
                <w:tcPr>
                  <w:tcW w:w="981" w:type="pct"/>
                  <w:tcBorders>
                    <w:tl2br w:val="nil"/>
                    <w:tr2bl w:val="nil"/>
                  </w:tcBorders>
                  <w:noWrap w:val="0"/>
                  <w:vAlign w:val="center"/>
                </w:tcPr>
                <w:p w14:paraId="0626CDD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000</w:t>
                  </w: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5</w:t>
                  </w:r>
                </w:p>
              </w:tc>
              <w:tc>
                <w:tcPr>
                  <w:tcW w:w="668" w:type="pct"/>
                  <w:tcBorders>
                    <w:tl2br w:val="nil"/>
                    <w:tr2bl w:val="nil"/>
                  </w:tcBorders>
                  <w:noWrap w:val="0"/>
                  <w:vAlign w:val="center"/>
                </w:tcPr>
                <w:p w14:paraId="2BCEE067">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5154F5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0D445557">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0</w:t>
                  </w:r>
                </w:p>
              </w:tc>
              <w:tc>
                <w:tcPr>
                  <w:tcW w:w="947" w:type="pct"/>
                  <w:tcBorders>
                    <w:tl2br w:val="nil"/>
                    <w:tr2bl w:val="nil"/>
                  </w:tcBorders>
                  <w:noWrap w:val="0"/>
                  <w:vAlign w:val="center"/>
                </w:tcPr>
                <w:p w14:paraId="6A5381D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总硬度</w:t>
                  </w:r>
                </w:p>
              </w:tc>
              <w:tc>
                <w:tcPr>
                  <w:tcW w:w="1810" w:type="dxa"/>
                  <w:tcBorders>
                    <w:tl2br w:val="nil"/>
                    <w:tr2bl w:val="nil"/>
                  </w:tcBorders>
                  <w:noWrap w:val="0"/>
                  <w:vAlign w:val="center"/>
                </w:tcPr>
                <w:p w14:paraId="5955B11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313</w:t>
                  </w:r>
                </w:p>
              </w:tc>
              <w:tc>
                <w:tcPr>
                  <w:tcW w:w="857" w:type="pct"/>
                  <w:tcBorders>
                    <w:tl2br w:val="nil"/>
                    <w:tr2bl w:val="nil"/>
                  </w:tcBorders>
                  <w:noWrap w:val="0"/>
                  <w:vAlign w:val="center"/>
                </w:tcPr>
                <w:p w14:paraId="6AD5308A">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4178F13E">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450</w:t>
                  </w:r>
                </w:p>
              </w:tc>
              <w:tc>
                <w:tcPr>
                  <w:tcW w:w="668" w:type="pct"/>
                  <w:tcBorders>
                    <w:tl2br w:val="nil"/>
                    <w:tr2bl w:val="nil"/>
                  </w:tcBorders>
                  <w:noWrap w:val="0"/>
                  <w:vAlign w:val="center"/>
                </w:tcPr>
                <w:p w14:paraId="04B0232F">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1B2B09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10040D4F">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1</w:t>
                  </w:r>
                </w:p>
              </w:tc>
              <w:tc>
                <w:tcPr>
                  <w:tcW w:w="947" w:type="pct"/>
                  <w:tcBorders>
                    <w:tl2br w:val="nil"/>
                    <w:tr2bl w:val="nil"/>
                  </w:tcBorders>
                  <w:noWrap w:val="0"/>
                  <w:vAlign w:val="center"/>
                </w:tcPr>
                <w:p w14:paraId="66AF9B0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铁</w:t>
                  </w:r>
                </w:p>
              </w:tc>
              <w:tc>
                <w:tcPr>
                  <w:tcW w:w="1810" w:type="dxa"/>
                  <w:tcBorders>
                    <w:tl2br w:val="nil"/>
                    <w:tr2bl w:val="nil"/>
                  </w:tcBorders>
                  <w:noWrap w:val="0"/>
                  <w:vAlign w:val="center"/>
                </w:tcPr>
                <w:p w14:paraId="5DC5125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0.06-0.07</w:t>
                  </w:r>
                </w:p>
              </w:tc>
              <w:tc>
                <w:tcPr>
                  <w:tcW w:w="857" w:type="pct"/>
                  <w:tcBorders>
                    <w:tl2br w:val="nil"/>
                    <w:tr2bl w:val="nil"/>
                  </w:tcBorders>
                  <w:noWrap w:val="0"/>
                  <w:vAlign w:val="center"/>
                </w:tcPr>
                <w:p w14:paraId="076CB804">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071F80FC">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3</w:t>
                  </w:r>
                </w:p>
              </w:tc>
              <w:tc>
                <w:tcPr>
                  <w:tcW w:w="668" w:type="pct"/>
                  <w:tcBorders>
                    <w:tl2br w:val="nil"/>
                    <w:tr2bl w:val="nil"/>
                  </w:tcBorders>
                  <w:noWrap w:val="0"/>
                  <w:vAlign w:val="center"/>
                </w:tcPr>
                <w:p w14:paraId="75ED9F66">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375B06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shd w:val="clear" w:color="auto" w:fill="auto"/>
                  <w:noWrap w:val="0"/>
                  <w:vAlign w:val="center"/>
                </w:tcPr>
                <w:p w14:paraId="6CD06F10">
                  <w:pPr>
                    <w:widowControl/>
                    <w:spacing w:line="240" w:lineRule="auto"/>
                    <w:ind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22</w:t>
                  </w:r>
                </w:p>
              </w:tc>
              <w:tc>
                <w:tcPr>
                  <w:tcW w:w="947" w:type="pct"/>
                  <w:tcBorders>
                    <w:tl2br w:val="nil"/>
                    <w:tr2bl w:val="nil"/>
                  </w:tcBorders>
                  <w:noWrap w:val="0"/>
                  <w:vAlign w:val="center"/>
                </w:tcPr>
                <w:p w14:paraId="3C7BBC8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锰</w:t>
                  </w:r>
                </w:p>
              </w:tc>
              <w:tc>
                <w:tcPr>
                  <w:tcW w:w="1810" w:type="dxa"/>
                  <w:tcBorders>
                    <w:tl2br w:val="nil"/>
                    <w:tr2bl w:val="nil"/>
                  </w:tcBorders>
                  <w:noWrap w:val="0"/>
                  <w:vAlign w:val="center"/>
                </w:tcPr>
                <w:p w14:paraId="7B862AF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857" w:type="pct"/>
                  <w:tcBorders>
                    <w:tl2br w:val="nil"/>
                    <w:tr2bl w:val="nil"/>
                  </w:tcBorders>
                  <w:noWrap w:val="0"/>
                  <w:vAlign w:val="center"/>
                </w:tcPr>
                <w:p w14:paraId="55E781C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07E02D0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10</w:t>
                  </w:r>
                </w:p>
              </w:tc>
              <w:tc>
                <w:tcPr>
                  <w:tcW w:w="668" w:type="pct"/>
                  <w:tcBorders>
                    <w:tl2br w:val="nil"/>
                    <w:tr2bl w:val="nil"/>
                  </w:tcBorders>
                  <w:noWrap w:val="0"/>
                  <w:vAlign w:val="center"/>
                </w:tcPr>
                <w:p w14:paraId="7DF902C8">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318595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14:paraId="79C1A186">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w:t>
                  </w:r>
                </w:p>
              </w:tc>
              <w:tc>
                <w:tcPr>
                  <w:tcW w:w="947" w:type="pct"/>
                  <w:tcBorders>
                    <w:tl2br w:val="nil"/>
                    <w:tr2bl w:val="nil"/>
                  </w:tcBorders>
                  <w:noWrap w:val="0"/>
                  <w:vAlign w:val="center"/>
                </w:tcPr>
                <w:p w14:paraId="7DD9B57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铅</w:t>
                  </w:r>
                </w:p>
              </w:tc>
              <w:tc>
                <w:tcPr>
                  <w:tcW w:w="1810" w:type="dxa"/>
                  <w:tcBorders>
                    <w:tl2br w:val="nil"/>
                    <w:tr2bl w:val="nil"/>
                  </w:tcBorders>
                  <w:noWrap w:val="0"/>
                  <w:vAlign w:val="center"/>
                </w:tcPr>
                <w:p w14:paraId="5B373F8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857" w:type="pct"/>
                  <w:tcBorders>
                    <w:tl2br w:val="nil"/>
                    <w:tr2bl w:val="nil"/>
                  </w:tcBorders>
                  <w:noWrap w:val="0"/>
                  <w:vAlign w:val="center"/>
                </w:tcPr>
                <w:p w14:paraId="0764BD1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μg/L</w:t>
                  </w:r>
                </w:p>
              </w:tc>
              <w:tc>
                <w:tcPr>
                  <w:tcW w:w="981" w:type="pct"/>
                  <w:tcBorders>
                    <w:tl2br w:val="nil"/>
                    <w:tr2bl w:val="nil"/>
                  </w:tcBorders>
                  <w:noWrap w:val="0"/>
                  <w:vAlign w:val="center"/>
                </w:tcPr>
                <w:p w14:paraId="1871B14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w:t>
                  </w:r>
                </w:p>
              </w:tc>
              <w:tc>
                <w:tcPr>
                  <w:tcW w:w="668" w:type="pct"/>
                  <w:tcBorders>
                    <w:tl2br w:val="nil"/>
                    <w:tr2bl w:val="nil"/>
                  </w:tcBorders>
                  <w:noWrap w:val="0"/>
                  <w:vAlign w:val="center"/>
                </w:tcPr>
                <w:p w14:paraId="0CA7088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6B6E16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14:paraId="308D00A2">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w:t>
                  </w:r>
                </w:p>
              </w:tc>
              <w:tc>
                <w:tcPr>
                  <w:tcW w:w="947" w:type="pct"/>
                  <w:tcBorders>
                    <w:tl2br w:val="nil"/>
                    <w:tr2bl w:val="nil"/>
                  </w:tcBorders>
                  <w:noWrap w:val="0"/>
                  <w:vAlign w:val="center"/>
                </w:tcPr>
                <w:p w14:paraId="2E8000D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镉</w:t>
                  </w:r>
                </w:p>
              </w:tc>
              <w:tc>
                <w:tcPr>
                  <w:tcW w:w="1810" w:type="dxa"/>
                  <w:tcBorders>
                    <w:tl2br w:val="nil"/>
                    <w:tr2bl w:val="nil"/>
                  </w:tcBorders>
                  <w:noWrap w:val="0"/>
                  <w:vAlign w:val="center"/>
                </w:tcPr>
                <w:p w14:paraId="6FDE510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0.3-0.8</w:t>
                  </w:r>
                </w:p>
              </w:tc>
              <w:tc>
                <w:tcPr>
                  <w:tcW w:w="857" w:type="pct"/>
                  <w:tcBorders>
                    <w:tl2br w:val="nil"/>
                    <w:tr2bl w:val="nil"/>
                  </w:tcBorders>
                  <w:noWrap w:val="0"/>
                  <w:vAlign w:val="center"/>
                </w:tcPr>
                <w:p w14:paraId="2E9E8C26">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μg/L</w:t>
                  </w:r>
                </w:p>
              </w:tc>
              <w:tc>
                <w:tcPr>
                  <w:tcW w:w="981" w:type="pct"/>
                  <w:tcBorders>
                    <w:tl2br w:val="nil"/>
                    <w:tr2bl w:val="nil"/>
                  </w:tcBorders>
                  <w:noWrap w:val="0"/>
                  <w:vAlign w:val="center"/>
                </w:tcPr>
                <w:p w14:paraId="53E475AA">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5</w:t>
                  </w:r>
                </w:p>
              </w:tc>
              <w:tc>
                <w:tcPr>
                  <w:tcW w:w="668" w:type="pct"/>
                  <w:tcBorders>
                    <w:tl2br w:val="nil"/>
                    <w:tr2bl w:val="nil"/>
                  </w:tcBorders>
                  <w:noWrap w:val="0"/>
                  <w:vAlign w:val="center"/>
                </w:tcPr>
                <w:p w14:paraId="403BA778">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6B1E4D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14:paraId="524CD4CB">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c>
                <w:tcPr>
                  <w:tcW w:w="947" w:type="pct"/>
                  <w:tcBorders>
                    <w:tl2br w:val="nil"/>
                    <w:tr2bl w:val="nil"/>
                  </w:tcBorders>
                  <w:noWrap w:val="0"/>
                  <w:vAlign w:val="center"/>
                </w:tcPr>
                <w:p w14:paraId="71A5F45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溶解性总固体</w:t>
                  </w:r>
                </w:p>
              </w:tc>
              <w:tc>
                <w:tcPr>
                  <w:tcW w:w="1810" w:type="dxa"/>
                  <w:tcBorders>
                    <w:tl2br w:val="nil"/>
                    <w:tr2bl w:val="nil"/>
                  </w:tcBorders>
                  <w:noWrap w:val="0"/>
                  <w:vAlign w:val="center"/>
                </w:tcPr>
                <w:p w14:paraId="1E8BEF7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325-329</w:t>
                  </w:r>
                </w:p>
              </w:tc>
              <w:tc>
                <w:tcPr>
                  <w:tcW w:w="857" w:type="pct"/>
                  <w:tcBorders>
                    <w:tl2br w:val="nil"/>
                    <w:tr2bl w:val="nil"/>
                  </w:tcBorders>
                  <w:noWrap w:val="0"/>
                  <w:vAlign w:val="center"/>
                </w:tcPr>
                <w:p w14:paraId="45B69CFC">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332AF57C">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1000</w:t>
                  </w:r>
                </w:p>
              </w:tc>
              <w:tc>
                <w:tcPr>
                  <w:tcW w:w="668" w:type="pct"/>
                  <w:tcBorders>
                    <w:tl2br w:val="nil"/>
                    <w:tr2bl w:val="nil"/>
                  </w:tcBorders>
                  <w:noWrap w:val="0"/>
                  <w:vAlign w:val="center"/>
                </w:tcPr>
                <w:p w14:paraId="610AC90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206162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14:paraId="04202BB8">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w:t>
                  </w:r>
                </w:p>
              </w:tc>
              <w:tc>
                <w:tcPr>
                  <w:tcW w:w="947" w:type="pct"/>
                  <w:tcBorders>
                    <w:tl2br w:val="nil"/>
                    <w:tr2bl w:val="nil"/>
                  </w:tcBorders>
                  <w:noWrap w:val="0"/>
                  <w:vAlign w:val="center"/>
                </w:tcPr>
                <w:p w14:paraId="322C0A6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总大肠菌群</w:t>
                  </w:r>
                </w:p>
              </w:tc>
              <w:tc>
                <w:tcPr>
                  <w:tcW w:w="1810" w:type="dxa"/>
                  <w:tcBorders>
                    <w:tl2br w:val="nil"/>
                    <w:tr2bl w:val="nil"/>
                  </w:tcBorders>
                  <w:noWrap w:val="0"/>
                  <w:vAlign w:val="center"/>
                </w:tcPr>
                <w:p w14:paraId="76B8E8B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&lt;2</w:t>
                  </w:r>
                </w:p>
              </w:tc>
              <w:tc>
                <w:tcPr>
                  <w:tcW w:w="857" w:type="pct"/>
                  <w:tcBorders>
                    <w:tl2br w:val="nil"/>
                    <w:tr2bl w:val="nil"/>
                  </w:tcBorders>
                  <w:noWrap w:val="0"/>
                  <w:vAlign w:val="center"/>
                </w:tcPr>
                <w:p w14:paraId="4360AA5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MPN/100mL</w:t>
                  </w:r>
                </w:p>
              </w:tc>
              <w:tc>
                <w:tcPr>
                  <w:tcW w:w="981" w:type="pct"/>
                  <w:tcBorders>
                    <w:tl2br w:val="nil"/>
                    <w:tr2bl w:val="nil"/>
                  </w:tcBorders>
                  <w:noWrap w:val="0"/>
                  <w:vAlign w:val="center"/>
                </w:tcPr>
                <w:p w14:paraId="0E1C05C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color w:val="auto"/>
                      <w:sz w:val="21"/>
                      <w:szCs w:val="21"/>
                      <w:highlight w:val="none"/>
                      <w:lang w:val="en-US" w:eastAsia="zh-CN"/>
                    </w:rPr>
                    <w:t>≤3.0</w:t>
                  </w:r>
                </w:p>
              </w:tc>
              <w:tc>
                <w:tcPr>
                  <w:tcW w:w="668" w:type="pct"/>
                  <w:tcBorders>
                    <w:tl2br w:val="nil"/>
                    <w:tr2bl w:val="nil"/>
                  </w:tcBorders>
                  <w:noWrap w:val="0"/>
                  <w:vAlign w:val="center"/>
                </w:tcPr>
                <w:p w14:paraId="1C7F9D40">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3E41E4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14:paraId="17535245">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27</w:t>
                  </w:r>
                </w:p>
              </w:tc>
              <w:tc>
                <w:tcPr>
                  <w:tcW w:w="947" w:type="pct"/>
                  <w:tcBorders>
                    <w:tl2br w:val="nil"/>
                    <w:tr2bl w:val="nil"/>
                  </w:tcBorders>
                  <w:noWrap w:val="0"/>
                  <w:vAlign w:val="center"/>
                </w:tcPr>
                <w:p w14:paraId="4270447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菌落总数</w:t>
                  </w:r>
                </w:p>
              </w:tc>
              <w:tc>
                <w:tcPr>
                  <w:tcW w:w="1810" w:type="dxa"/>
                  <w:tcBorders>
                    <w:tl2br w:val="nil"/>
                    <w:tr2bl w:val="nil"/>
                  </w:tcBorders>
                  <w:noWrap w:val="0"/>
                  <w:vAlign w:val="center"/>
                </w:tcPr>
                <w:p w14:paraId="505522B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10-20</w:t>
                  </w:r>
                </w:p>
              </w:tc>
              <w:tc>
                <w:tcPr>
                  <w:tcW w:w="857" w:type="pct"/>
                  <w:tcBorders>
                    <w:tl2br w:val="nil"/>
                    <w:tr2bl w:val="nil"/>
                  </w:tcBorders>
                  <w:noWrap w:val="0"/>
                  <w:vAlign w:val="center"/>
                </w:tcPr>
                <w:p w14:paraId="0CB38C6F">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CFU/mL</w:t>
                  </w:r>
                </w:p>
              </w:tc>
              <w:tc>
                <w:tcPr>
                  <w:tcW w:w="981" w:type="pct"/>
                  <w:tcBorders>
                    <w:tl2br w:val="nil"/>
                    <w:tr2bl w:val="nil"/>
                  </w:tcBorders>
                  <w:noWrap w:val="0"/>
                  <w:vAlign w:val="center"/>
                </w:tcPr>
                <w:p w14:paraId="25A1075A">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c>
                <w:tcPr>
                  <w:tcW w:w="668" w:type="pct"/>
                  <w:tcBorders>
                    <w:tl2br w:val="nil"/>
                    <w:tr2bl w:val="nil"/>
                  </w:tcBorders>
                  <w:noWrap w:val="0"/>
                  <w:vAlign w:val="center"/>
                </w:tcPr>
                <w:p w14:paraId="1A93F501">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1EA9BF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4" w:type="pct"/>
                  <w:tcBorders>
                    <w:tl2br w:val="nil"/>
                    <w:tr2bl w:val="nil"/>
                  </w:tcBorders>
                  <w:noWrap w:val="0"/>
                  <w:vAlign w:val="center"/>
                </w:tcPr>
                <w:p w14:paraId="30F9D407">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28</w:t>
                  </w:r>
                </w:p>
              </w:tc>
              <w:tc>
                <w:tcPr>
                  <w:tcW w:w="947" w:type="pct"/>
                  <w:tcBorders>
                    <w:tl2br w:val="nil"/>
                    <w:tr2bl w:val="nil"/>
                  </w:tcBorders>
                  <w:noWrap w:val="0"/>
                  <w:vAlign w:val="center"/>
                </w:tcPr>
                <w:p w14:paraId="7926B30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石油类</w:t>
                  </w:r>
                </w:p>
              </w:tc>
              <w:tc>
                <w:tcPr>
                  <w:tcW w:w="1810" w:type="dxa"/>
                  <w:tcBorders>
                    <w:tl2br w:val="nil"/>
                    <w:tr2bl w:val="nil"/>
                  </w:tcBorders>
                  <w:noWrap w:val="0"/>
                  <w:vAlign w:val="center"/>
                </w:tcPr>
                <w:p w14:paraId="60AD938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857" w:type="pct"/>
                  <w:tcBorders>
                    <w:tl2br w:val="nil"/>
                    <w:tr2bl w:val="nil"/>
                  </w:tcBorders>
                  <w:noWrap w:val="0"/>
                  <w:vAlign w:val="center"/>
                </w:tcPr>
                <w:p w14:paraId="30D6336D">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c>
                <w:tcPr>
                  <w:tcW w:w="981" w:type="pct"/>
                  <w:tcBorders>
                    <w:tl2br w:val="nil"/>
                    <w:tr2bl w:val="nil"/>
                  </w:tcBorders>
                  <w:noWrap w:val="0"/>
                  <w:vAlign w:val="center"/>
                </w:tcPr>
                <w:p w14:paraId="2E8CBF0D">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0.05</w:t>
                  </w:r>
                </w:p>
              </w:tc>
              <w:tc>
                <w:tcPr>
                  <w:tcW w:w="668" w:type="pct"/>
                  <w:tcBorders>
                    <w:tl2br w:val="nil"/>
                    <w:tr2bl w:val="nil"/>
                  </w:tcBorders>
                  <w:noWrap w:val="0"/>
                  <w:vAlign w:val="center"/>
                </w:tcPr>
                <w:p w14:paraId="5E6EA6C6">
                  <w:pPr>
                    <w:widowControl/>
                    <w:spacing w:line="240" w:lineRule="auto"/>
                    <w:ind w:firstLine="0" w:firstLine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bl>
          <w:p w14:paraId="773DE055">
            <w:pPr>
              <w:keepNext w:val="0"/>
              <w:keepLines w:val="0"/>
              <w:pageBreakBefore w:val="0"/>
              <w:shd w:val="clear" w:color="auto" w:fill="auto"/>
              <w:kinsoku/>
              <w:wordWrap/>
              <w:overflowPunct/>
              <w:topLinePunct w:val="0"/>
              <w:autoSpaceDE/>
              <w:autoSpaceDN/>
              <w:bidi w:val="0"/>
              <w:adjustRightInd/>
              <w:snapToGrid/>
              <w:spacing w:line="480" w:lineRule="exact"/>
              <w:ind w:firstLine="480" w:firstLineChars="200"/>
              <w:textAlignment w:val="auto"/>
              <w:outlineLvl w:val="9"/>
              <w:rPr>
                <w:rFonts w:hint="default" w:ascii="Times New Roman" w:hAnsi="Times New Roman" w:eastAsia="宋体" w:cs="Times New Roman"/>
                <w:caps w:val="0"/>
                <w:smallCaps w:val="0"/>
                <w:color w:val="auto"/>
                <w:spacing w:val="0"/>
                <w:sz w:val="24"/>
                <w:highlight w:val="yellow"/>
                <w:lang w:val="en-US" w:eastAsia="zh-CN"/>
              </w:rPr>
            </w:pPr>
            <w:r>
              <w:rPr>
                <w:rFonts w:hint="default" w:ascii="Times New Roman" w:hAnsi="Times New Roman" w:eastAsia="宋体" w:cs="Times New Roman"/>
                <w:caps w:val="0"/>
                <w:smallCaps w:val="0"/>
                <w:color w:val="auto"/>
                <w:spacing w:val="0"/>
                <w:sz w:val="24"/>
                <w:highlight w:val="none"/>
                <w:lang w:val="en-US" w:eastAsia="zh-CN"/>
              </w:rPr>
              <w:t>由上表可以看出，</w:t>
            </w:r>
            <w:r>
              <w:rPr>
                <w:rFonts w:hint="eastAsia"/>
                <w:color w:val="FF0000"/>
                <w:kern w:val="21"/>
                <w:sz w:val="24"/>
                <w:lang w:val="en-US" w:eastAsia="zh-CN"/>
              </w:rPr>
              <w:t>小城子村</w:t>
            </w:r>
            <w:r>
              <w:rPr>
                <w:rFonts w:hint="eastAsia" w:ascii="Times New Roman" w:hAnsi="Times New Roman" w:eastAsia="宋体" w:cs="Times New Roman"/>
                <w:caps w:val="0"/>
                <w:smallCaps w:val="0"/>
                <w:color w:val="auto"/>
                <w:spacing w:val="0"/>
                <w:sz w:val="24"/>
                <w:highlight w:val="none"/>
                <w:lang w:val="en-US" w:eastAsia="zh-CN"/>
              </w:rPr>
              <w:t>地下水</w:t>
            </w:r>
            <w:r>
              <w:rPr>
                <w:rFonts w:hint="default" w:ascii="Times New Roman" w:hAnsi="Times New Roman" w:eastAsia="宋体" w:cs="Times New Roman"/>
                <w:caps w:val="0"/>
                <w:smallCaps w:val="0"/>
                <w:color w:val="auto"/>
                <w:spacing w:val="0"/>
                <w:sz w:val="24"/>
                <w:highlight w:val="none"/>
                <w:lang w:val="en-US" w:eastAsia="zh-CN"/>
              </w:rPr>
              <w:t>各项监测指标均达到国家《地下水质量标准》（GB/T14848-2017）中的Ⅲ类标准，</w:t>
            </w:r>
            <w:r>
              <w:rPr>
                <w:rFonts w:hint="eastAsia" w:ascii="Times New Roman" w:hAnsi="Times New Roman" w:eastAsia="宋体" w:cs="Times New Roman"/>
                <w:caps w:val="0"/>
                <w:smallCaps w:val="0"/>
                <w:color w:val="auto"/>
                <w:spacing w:val="0"/>
                <w:sz w:val="24"/>
                <w:highlight w:val="none"/>
                <w:lang w:val="en-US" w:eastAsia="zh-CN"/>
              </w:rPr>
              <w:t>石油类满足</w:t>
            </w:r>
            <w:r>
              <w:rPr>
                <w:rFonts w:hint="default" w:ascii="Times New Roman" w:hAnsi="Times New Roman" w:cs="Times New Roman"/>
                <w:color w:val="auto"/>
                <w:sz w:val="24"/>
                <w:szCs w:val="24"/>
                <w:lang w:val="en-US" w:eastAsia="zh-CN"/>
              </w:rPr>
              <w:t>《地表水环境质量标准》</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GB3838-2002</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中Ⅲ类标准</w:t>
            </w:r>
            <w:r>
              <w:rPr>
                <w:rFonts w:hint="eastAsia" w:ascii="Times New Roman" w:hAnsi="Times New Roman" w:eastAsia="宋体" w:cs="Times New Roman"/>
                <w:caps w:val="0"/>
                <w:smallCaps w:val="0"/>
                <w:color w:val="auto"/>
                <w:spacing w:val="0"/>
                <w:sz w:val="24"/>
                <w:highlight w:val="none"/>
                <w:lang w:val="en-US" w:eastAsia="zh-CN"/>
              </w:rPr>
              <w:t>。本项目</w:t>
            </w:r>
            <w:r>
              <w:rPr>
                <w:rFonts w:hint="default" w:ascii="Times New Roman" w:hAnsi="Times New Roman" w:eastAsia="宋体" w:cs="Times New Roman"/>
                <w:caps w:val="0"/>
                <w:smallCaps w:val="0"/>
                <w:color w:val="auto"/>
                <w:spacing w:val="0"/>
                <w:sz w:val="24"/>
                <w:highlight w:val="none"/>
                <w:lang w:val="en-US" w:eastAsia="zh-CN"/>
              </w:rPr>
              <w:t>所在区域地下水水质较好。</w:t>
            </w:r>
          </w:p>
          <w:p w14:paraId="406BFC86">
            <w:pPr>
              <w:spacing w:line="360" w:lineRule="auto"/>
              <w:ind w:firstLine="482" w:firstLineChars="200"/>
              <w:outlineLvl w:val="9"/>
              <w:rPr>
                <w:rFonts w:hint="eastAsia" w:ascii="宋体" w:hAnsi="宋体" w:eastAsia="宋体" w:cs="宋体"/>
                <w:b/>
                <w:bCs/>
                <w:color w:val="auto"/>
                <w:sz w:val="24"/>
                <w:lang w:val="en-US" w:eastAsia="zh-CN"/>
              </w:rPr>
            </w:pPr>
            <w:r>
              <w:rPr>
                <w:rFonts w:hint="eastAsia"/>
                <w:b/>
                <w:bCs/>
                <w:color w:val="auto"/>
                <w:sz w:val="24"/>
                <w:lang w:val="en-US" w:eastAsia="zh-CN"/>
              </w:rPr>
              <w:t>6、土壤</w:t>
            </w:r>
            <w:r>
              <w:rPr>
                <w:rFonts w:hint="eastAsia" w:ascii="宋体" w:hAnsi="宋体" w:eastAsia="宋体" w:cs="宋体"/>
                <w:b/>
                <w:bCs/>
                <w:color w:val="auto"/>
                <w:sz w:val="24"/>
                <w:lang w:val="en-US" w:eastAsia="zh-CN"/>
              </w:rPr>
              <w:t>环境质量现状</w:t>
            </w:r>
          </w:p>
          <w:p w14:paraId="2E6D2458">
            <w:pPr>
              <w:adjustRightInd w:val="0"/>
              <w:snapToGrid w:val="0"/>
              <w:spacing w:line="360" w:lineRule="auto"/>
              <w:ind w:firstLine="480" w:firstLineChars="200"/>
              <w:outlineLvl w:val="9"/>
              <w:rPr>
                <w:color w:val="auto"/>
                <w:kern w:val="2"/>
                <w:sz w:val="24"/>
                <w:szCs w:val="24"/>
                <w:lang w:bidi="ar"/>
              </w:rPr>
            </w:pPr>
            <w:r>
              <w:rPr>
                <w:color w:val="auto"/>
                <w:kern w:val="2"/>
                <w:sz w:val="24"/>
                <w:szCs w:val="24"/>
                <w:lang w:bidi="ar"/>
              </w:rPr>
              <w:t>本次评价委托辽宁卓大环境检测有限公司对本项目</w:t>
            </w:r>
            <w:r>
              <w:rPr>
                <w:rFonts w:hint="eastAsia"/>
                <w:color w:val="auto"/>
                <w:kern w:val="2"/>
                <w:sz w:val="24"/>
                <w:szCs w:val="24"/>
                <w:lang w:val="en-US" w:eastAsia="zh-CN" w:bidi="ar"/>
              </w:rPr>
              <w:t>土壤</w:t>
            </w:r>
            <w:r>
              <w:rPr>
                <w:color w:val="auto"/>
                <w:kern w:val="2"/>
                <w:sz w:val="24"/>
                <w:szCs w:val="24"/>
                <w:lang w:bidi="ar"/>
              </w:rPr>
              <w:t>环境质量现状进行了检测</w:t>
            </w:r>
            <w:r>
              <w:rPr>
                <w:rFonts w:hint="eastAsia"/>
                <w:color w:val="auto"/>
                <w:kern w:val="2"/>
                <w:sz w:val="24"/>
                <w:szCs w:val="24"/>
                <w:lang w:eastAsia="zh-CN" w:bidi="ar"/>
              </w:rPr>
              <w:t>，</w:t>
            </w:r>
            <w:r>
              <w:rPr>
                <w:rFonts w:hint="default" w:ascii="Times New Roman" w:hAnsi="Times New Roman" w:cs="Times New Roman"/>
                <w:color w:val="auto"/>
                <w:sz w:val="24"/>
                <w:highlight w:val="none"/>
                <w:lang w:val="en-US" w:eastAsia="zh-CN"/>
              </w:rPr>
              <w:t>在</w:t>
            </w:r>
            <w:r>
              <w:rPr>
                <w:rFonts w:hint="eastAsia" w:ascii="宋体" w:hAnsi="宋体" w:eastAsia="宋体" w:cs="宋体"/>
                <w:color w:val="auto"/>
                <w:kern w:val="0"/>
                <w:sz w:val="24"/>
                <w:szCs w:val="24"/>
                <w:highlight w:val="none"/>
                <w:lang w:val="en-US" w:eastAsia="zh-CN" w:bidi="ar"/>
              </w:rPr>
              <w:t>乳化炸药震源药柱生产工房</w:t>
            </w:r>
            <w:r>
              <w:rPr>
                <w:rFonts w:hint="default" w:ascii="Times New Roman" w:hAnsi="Times New Roman" w:cs="Times New Roman"/>
                <w:color w:val="auto"/>
                <w:sz w:val="24"/>
                <w:highlight w:val="none"/>
                <w:lang w:val="en-US" w:eastAsia="zh-CN"/>
              </w:rPr>
              <w:t>附近选取一个土壤监测点</w:t>
            </w:r>
            <w:r>
              <w:rPr>
                <w:color w:val="auto"/>
                <w:kern w:val="2"/>
                <w:sz w:val="24"/>
                <w:szCs w:val="24"/>
                <w:lang w:bidi="ar"/>
              </w:rPr>
              <w:t>。</w:t>
            </w:r>
          </w:p>
          <w:p w14:paraId="660F32B0">
            <w:pPr>
              <w:jc w:val="center"/>
              <w:outlineLvl w:val="9"/>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eastAsia" w:cs="Times New Roman"/>
                <w:b/>
                <w:bCs/>
                <w:color w:val="auto"/>
                <w:szCs w:val="21"/>
                <w:lang w:val="en-US" w:eastAsia="zh-CN"/>
              </w:rPr>
              <w:t>10</w:t>
            </w:r>
            <w:r>
              <w:rPr>
                <w:rFonts w:hint="default" w:ascii="Times New Roman" w:hAnsi="Times New Roman" w:cs="Times New Roman"/>
                <w:b/>
                <w:bCs/>
                <w:color w:val="auto"/>
                <w:szCs w:val="21"/>
              </w:rPr>
              <w:t xml:space="preserve">  土壤检测项目表</w:t>
            </w:r>
          </w:p>
          <w:tbl>
            <w:tblPr>
              <w:tblStyle w:val="33"/>
              <w:tblW w:w="5000" w:type="pct"/>
              <w:tblInd w:w="-2"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3015"/>
              <w:gridCol w:w="3918"/>
              <w:gridCol w:w="1419"/>
            </w:tblGrid>
            <w:tr w14:paraId="59D1A58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805" w:type="pct"/>
                  <w:tcBorders>
                    <w:tl2br w:val="nil"/>
                    <w:tr2bl w:val="nil"/>
                  </w:tcBorders>
                  <w:vAlign w:val="center"/>
                </w:tcPr>
                <w:p w14:paraId="6E1C6C9D">
                  <w:pPr>
                    <w:pStyle w:val="46"/>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采样点位</w:t>
                  </w:r>
                </w:p>
              </w:tc>
              <w:tc>
                <w:tcPr>
                  <w:tcW w:w="2345" w:type="pct"/>
                  <w:tcBorders>
                    <w:tl2br w:val="nil"/>
                    <w:tr2bl w:val="nil"/>
                  </w:tcBorders>
                  <w:vAlign w:val="center"/>
                </w:tcPr>
                <w:p w14:paraId="3A2787C2">
                  <w:pPr>
                    <w:pStyle w:val="46"/>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检测项目</w:t>
                  </w:r>
                </w:p>
              </w:tc>
              <w:tc>
                <w:tcPr>
                  <w:tcW w:w="849" w:type="pct"/>
                  <w:tcBorders>
                    <w:tl2br w:val="nil"/>
                    <w:tr2bl w:val="nil"/>
                  </w:tcBorders>
                  <w:vAlign w:val="center"/>
                </w:tcPr>
                <w:p w14:paraId="166BA03E">
                  <w:pPr>
                    <w:pStyle w:val="46"/>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检测频次</w:t>
                  </w:r>
                </w:p>
              </w:tc>
            </w:tr>
            <w:tr w14:paraId="76F33A2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05" w:type="pct"/>
                  <w:tcBorders>
                    <w:tl2br w:val="nil"/>
                    <w:tr2bl w:val="nil"/>
                  </w:tcBorders>
                  <w:vAlign w:val="center"/>
                </w:tcPr>
                <w:p w14:paraId="0BE618BF">
                  <w:pPr>
                    <w:pStyle w:val="20"/>
                    <w:numPr>
                      <w:ilvl w:val="3"/>
                      <w:numId w:val="0"/>
                    </w:numPr>
                    <w:tabs>
                      <w:tab w:val="center" w:pos="4153"/>
                      <w:tab w:val="right" w:pos="8306"/>
                    </w:tabs>
                    <w:jc w:val="center"/>
                    <w:outlineLvl w:val="9"/>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乳化震源药柱生产工房附近（T1）</w:t>
                  </w:r>
                </w:p>
                <w:p w14:paraId="2305DF26">
                  <w:pPr>
                    <w:pStyle w:val="20"/>
                    <w:numPr>
                      <w:ilvl w:val="3"/>
                      <w:numId w:val="0"/>
                    </w:numPr>
                    <w:tabs>
                      <w:tab w:val="center" w:pos="4153"/>
                      <w:tab w:val="right" w:pos="8306"/>
                    </w:tabs>
                    <w:jc w:val="center"/>
                    <w:outlineLvl w:val="9"/>
                    <w:rPr>
                      <w:rFonts w:hint="default" w:ascii="Times New Roman" w:hAnsi="Times New Roman" w:eastAsia="宋体" w:cs="Times New Roman"/>
                      <w:color w:val="auto"/>
                      <w:kern w:val="2"/>
                      <w:sz w:val="21"/>
                      <w:szCs w:val="21"/>
                    </w:rPr>
                  </w:pPr>
                  <w:r>
                    <w:rPr>
                      <w:rFonts w:hint="default" w:ascii="Times New Roman" w:hAnsi="Times New Roman" w:eastAsia="宋体" w:cs="Times New Roman"/>
                      <w:bCs/>
                      <w:color w:val="auto"/>
                      <w:sz w:val="21"/>
                      <w:szCs w:val="21"/>
                      <w:lang w:val="en-US" w:eastAsia="zh-CN"/>
                    </w:rPr>
                    <w:t>E119</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42</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51.4</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N</w:t>
                  </w:r>
                  <w:r>
                    <w:rPr>
                      <w:rFonts w:hint="default" w:ascii="Times New Roman" w:hAnsi="Times New Roman" w:eastAsia="宋体" w:cs="Times New Roman"/>
                      <w:bCs/>
                      <w:color w:val="auto"/>
                      <w:sz w:val="21"/>
                      <w:szCs w:val="21"/>
                    </w:rPr>
                    <w:t>4</w:t>
                  </w:r>
                  <w:r>
                    <w:rPr>
                      <w:rFonts w:hint="default" w:ascii="Times New Roman" w:hAnsi="Times New Roman" w:eastAsia="宋体" w:cs="Times New Roman"/>
                      <w:bCs/>
                      <w:color w:val="auto"/>
                      <w:sz w:val="21"/>
                      <w:szCs w:val="21"/>
                      <w:lang w:val="en-US" w:eastAsia="zh-CN"/>
                    </w:rPr>
                    <w:t>1</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9</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8.5</w:t>
                  </w:r>
                  <w:r>
                    <w:rPr>
                      <w:rFonts w:hint="default" w:ascii="Times New Roman" w:hAnsi="Times New Roman" w:eastAsia="宋体" w:cs="Times New Roman"/>
                      <w:bCs/>
                      <w:color w:val="auto"/>
                      <w:sz w:val="21"/>
                      <w:szCs w:val="21"/>
                    </w:rPr>
                    <w:t>″</w:t>
                  </w:r>
                </w:p>
              </w:tc>
              <w:tc>
                <w:tcPr>
                  <w:tcW w:w="2345" w:type="pct"/>
                  <w:tcBorders>
                    <w:tl2br w:val="nil"/>
                    <w:tr2bl w:val="nil"/>
                  </w:tcBorders>
                  <w:vAlign w:val="center"/>
                </w:tcPr>
                <w:p w14:paraId="09C26C0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highlight w:val="none"/>
                    </w:rPr>
                    <w:t>铜、铅、镉、汞、砷、</w:t>
                  </w:r>
                  <w:r>
                    <w:rPr>
                      <w:rFonts w:hint="default" w:ascii="Times New Roman" w:hAnsi="Times New Roman" w:eastAsia="宋体" w:cs="Times New Roman"/>
                      <w:color w:val="auto"/>
                      <w:szCs w:val="21"/>
                      <w:highlight w:val="none"/>
                      <w:lang w:eastAsia="zh-CN"/>
                    </w:rPr>
                    <w:t>六价铬</w:t>
                  </w:r>
                  <w:r>
                    <w:rPr>
                      <w:rFonts w:hint="default" w:ascii="Times New Roman" w:hAnsi="Times New Roman" w:eastAsia="宋体" w:cs="Times New Roman"/>
                      <w:color w:val="auto"/>
                      <w:szCs w:val="21"/>
                      <w:highlight w:val="none"/>
                    </w:rPr>
                    <w:t>、镍</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四氯化碳、氯仿、氯甲烷、1,1-二氯乙烷、1,2-二氯乙烷、1,1-二氯乙烯、顺-1,2-二氯乙烯、反-1,2-二氯乙烯、二氯甲烷、1,2-二氯丙烷、1,1,1,2-四氯乙烷、1,1,2,2-四氯乙烷、四氯乙烯、1,1,1-三氯乙烷、1,1,2</w:t>
                  </w:r>
                  <w:r>
                    <w:rPr>
                      <w:rFonts w:hint="default" w:ascii="Times New Roman" w:hAnsi="Times New Roman" w:eastAsia="宋体" w:cs="Times New Roman"/>
                      <w:color w:val="auto"/>
                      <w:sz w:val="21"/>
                      <w:szCs w:val="21"/>
                      <w:highlight w:val="none"/>
                    </w:rPr>
                    <w:t>-三氯乙烷、三氯乙烯、1,2,3-三氯丙烷、氯乙烯、苯、氯苯、1,2-二氯苯、1,4-二氯苯、乙苯、苯乙烯、甲苯、间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对二甲苯、邻二甲苯、</w:t>
                  </w:r>
                  <w:r>
                    <w:rPr>
                      <w:rFonts w:hint="default" w:ascii="Times New Roman" w:hAnsi="Times New Roman" w:eastAsia="宋体" w:cs="Times New Roman"/>
                      <w:color w:val="auto"/>
                      <w:sz w:val="21"/>
                      <w:szCs w:val="21"/>
                      <w:highlight w:val="none"/>
                      <w:lang w:eastAsia="zh-CN"/>
                    </w:rPr>
                    <w:t>苯胺、</w:t>
                  </w:r>
                  <w:r>
                    <w:rPr>
                      <w:rFonts w:hint="default" w:ascii="Times New Roman" w:hAnsi="Times New Roman" w:eastAsia="宋体" w:cs="Times New Roman"/>
                      <w:color w:val="auto"/>
                      <w:sz w:val="21"/>
                      <w:szCs w:val="21"/>
                      <w:highlight w:val="none"/>
                    </w:rPr>
                    <w:t>硝基苯、</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氯酚</w:t>
                  </w:r>
                  <w:r>
                    <w:rPr>
                      <w:rFonts w:hint="default" w:ascii="Times New Roman" w:hAnsi="Times New Roman" w:eastAsia="宋体" w:cs="Times New Roman"/>
                      <w:color w:val="auto"/>
                      <w:sz w:val="21"/>
                      <w:szCs w:val="21"/>
                      <w:highlight w:val="none"/>
                      <w:lang w:eastAsia="zh-CN"/>
                    </w:rPr>
                    <w:t>、苯并（a）蒽</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苯并（a）芘</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苯并（b）荧蒽</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苯并（k）荧蒽</w:t>
                  </w:r>
                  <w:r>
                    <w:rPr>
                      <w:rFonts w:hint="default" w:ascii="Times New Roman" w:hAnsi="Times New Roman" w:eastAsia="宋体" w:cs="Times New Roman"/>
                      <w:color w:val="auto"/>
                      <w:sz w:val="21"/>
                      <w:szCs w:val="21"/>
                      <w:highlight w:val="none"/>
                    </w:rPr>
                    <w:t>、䓛、</w:t>
                  </w:r>
                  <w:r>
                    <w:rPr>
                      <w:rFonts w:hint="default" w:ascii="Times New Roman" w:hAnsi="Times New Roman" w:eastAsia="宋体" w:cs="Times New Roman"/>
                      <w:color w:val="auto"/>
                      <w:sz w:val="21"/>
                      <w:szCs w:val="21"/>
                      <w:highlight w:val="none"/>
                      <w:lang w:eastAsia="zh-CN"/>
                    </w:rPr>
                    <w:t>二苯并（a，h）蒽</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茚并（1,2,3-cd）芘</w:t>
                  </w:r>
                  <w:r>
                    <w:rPr>
                      <w:rFonts w:hint="default" w:ascii="Times New Roman" w:hAnsi="Times New Roman" w:eastAsia="宋体" w:cs="Times New Roman"/>
                      <w:color w:val="auto"/>
                      <w:sz w:val="21"/>
                      <w:szCs w:val="21"/>
                      <w:highlight w:val="none"/>
                    </w:rPr>
                    <w:t>、萘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石油烃（C</w:t>
                  </w:r>
                  <w:r>
                    <w:rPr>
                      <w:rFonts w:hint="default" w:ascii="Times New Roman" w:hAnsi="Times New Roman" w:eastAsia="宋体" w:cs="Times New Roman"/>
                      <w:bCs/>
                      <w:color w:val="auto"/>
                      <w:sz w:val="21"/>
                      <w:szCs w:val="21"/>
                      <w:highlight w:val="none"/>
                      <w:vertAlign w:val="subscript"/>
                      <w:lang w:val="en-US" w:eastAsia="zh-CN"/>
                    </w:rPr>
                    <w:t>10</w:t>
                  </w:r>
                  <w:r>
                    <w:rPr>
                      <w:rFonts w:hint="default" w:ascii="Times New Roman" w:hAnsi="Times New Roman" w:eastAsia="宋体" w:cs="Times New Roman"/>
                      <w:bCs/>
                      <w:color w:val="auto"/>
                      <w:sz w:val="21"/>
                      <w:szCs w:val="21"/>
                      <w:highlight w:val="none"/>
                      <w:lang w:val="en-US" w:eastAsia="zh-CN"/>
                    </w:rPr>
                    <w:t>-C</w:t>
                  </w:r>
                  <w:r>
                    <w:rPr>
                      <w:rFonts w:hint="default" w:ascii="Times New Roman" w:hAnsi="Times New Roman" w:eastAsia="宋体" w:cs="Times New Roman"/>
                      <w:bCs/>
                      <w:color w:val="auto"/>
                      <w:sz w:val="21"/>
                      <w:szCs w:val="21"/>
                      <w:highlight w:val="none"/>
                      <w:vertAlign w:val="subscript"/>
                      <w:lang w:val="en-US" w:eastAsia="zh-CN"/>
                    </w:rPr>
                    <w:t>40</w:t>
                  </w:r>
                  <w:r>
                    <w:rPr>
                      <w:rFonts w:hint="default" w:ascii="Times New Roman" w:hAnsi="Times New Roman" w:eastAsia="宋体" w:cs="Times New Roman"/>
                      <w:bCs/>
                      <w:color w:val="auto"/>
                      <w:sz w:val="21"/>
                      <w:szCs w:val="21"/>
                      <w:highlight w:val="none"/>
                      <w:lang w:val="en-US" w:eastAsia="zh-CN"/>
                    </w:rPr>
                    <w:t>）</w:t>
                  </w:r>
                </w:p>
              </w:tc>
              <w:tc>
                <w:tcPr>
                  <w:tcW w:w="849" w:type="pct"/>
                  <w:tcBorders>
                    <w:tl2br w:val="nil"/>
                    <w:tr2bl w:val="nil"/>
                  </w:tcBorders>
                  <w:vAlign w:val="center"/>
                </w:tcPr>
                <w:p w14:paraId="72C740BF">
                  <w:pPr>
                    <w:pStyle w:val="46"/>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检测1天</w:t>
                  </w:r>
                </w:p>
                <w:p w14:paraId="37CD0293">
                  <w:pPr>
                    <w:pStyle w:val="46"/>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每天检测1次</w:t>
                  </w:r>
                </w:p>
              </w:tc>
            </w:tr>
          </w:tbl>
          <w:p w14:paraId="034D1371">
            <w:pPr>
              <w:jc w:val="center"/>
              <w:outlineLvl w:val="9"/>
              <w:rPr>
                <w:rFonts w:hint="default" w:ascii="Times New Roman" w:hAnsi="Times New Roman" w:cs="Times New Roman"/>
                <w:b/>
                <w:bCs/>
                <w:color w:val="auto"/>
                <w:szCs w:val="21"/>
              </w:rPr>
            </w:pPr>
          </w:p>
          <w:p w14:paraId="43807257">
            <w:pPr>
              <w:jc w:val="center"/>
              <w:outlineLvl w:val="9"/>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eastAsia" w:cs="Times New Roman"/>
                <w:b/>
                <w:bCs/>
                <w:color w:val="auto"/>
                <w:szCs w:val="21"/>
                <w:lang w:val="en-US" w:eastAsia="zh-CN"/>
              </w:rPr>
              <w:t>11</w:t>
            </w:r>
            <w:r>
              <w:rPr>
                <w:rFonts w:hint="default" w:ascii="Times New Roman" w:hAnsi="Times New Roman" w:cs="Times New Roman"/>
                <w:b/>
                <w:bCs/>
                <w:color w:val="auto"/>
                <w:szCs w:val="21"/>
              </w:rPr>
              <w:t xml:space="preserve"> 土壤检测项目及分析方法</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603"/>
              <w:gridCol w:w="1991"/>
              <w:gridCol w:w="2482"/>
              <w:gridCol w:w="1227"/>
            </w:tblGrid>
            <w:tr w14:paraId="00618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629" w:type="pct"/>
                  <w:vAlign w:val="center"/>
                </w:tcPr>
                <w:p w14:paraId="4D1CD996">
                  <w:pPr>
                    <w:spacing w:line="360" w:lineRule="auto"/>
                    <w:jc w:val="center"/>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类别</w:t>
                  </w:r>
                </w:p>
              </w:tc>
              <w:tc>
                <w:tcPr>
                  <w:tcW w:w="959" w:type="pct"/>
                  <w:vAlign w:val="center"/>
                </w:tcPr>
                <w:p w14:paraId="5C1486C8">
                  <w:pPr>
                    <w:spacing w:line="360" w:lineRule="auto"/>
                    <w:jc w:val="center"/>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项目名称</w:t>
                  </w:r>
                </w:p>
              </w:tc>
              <w:tc>
                <w:tcPr>
                  <w:tcW w:w="1191" w:type="pct"/>
                  <w:vAlign w:val="center"/>
                </w:tcPr>
                <w:p w14:paraId="55FACF23">
                  <w:pPr>
                    <w:spacing w:line="360" w:lineRule="auto"/>
                    <w:jc w:val="center"/>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方法依据</w:t>
                  </w:r>
                </w:p>
              </w:tc>
              <w:tc>
                <w:tcPr>
                  <w:tcW w:w="1485" w:type="pct"/>
                  <w:vAlign w:val="center"/>
                </w:tcPr>
                <w:p w14:paraId="7A3E7024">
                  <w:pPr>
                    <w:spacing w:line="360" w:lineRule="auto"/>
                    <w:jc w:val="center"/>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主要仪器</w:t>
                  </w:r>
                  <w:r>
                    <w:rPr>
                      <w:rFonts w:hint="default" w:ascii="Times New Roman" w:hAnsi="Times New Roman" w:eastAsia="宋体" w:cs="Times New Roman"/>
                      <w:color w:val="auto"/>
                      <w:kern w:val="0"/>
                      <w:sz w:val="21"/>
                      <w:szCs w:val="21"/>
                      <w:highlight w:val="none"/>
                    </w:rPr>
                    <w:t>、型号</w:t>
                  </w:r>
                  <w:r>
                    <w:rPr>
                      <w:rFonts w:hint="default" w:ascii="Times New Roman" w:hAnsi="Times New Roman" w:eastAsia="宋体" w:cs="Times New Roman"/>
                      <w:color w:val="auto"/>
                      <w:kern w:val="0"/>
                      <w:sz w:val="21"/>
                      <w:szCs w:val="21"/>
                      <w:highlight w:val="none"/>
                      <w:lang w:val="en-US" w:eastAsia="zh-CN"/>
                    </w:rPr>
                    <w:t>及编号</w:t>
                  </w:r>
                </w:p>
              </w:tc>
              <w:tc>
                <w:tcPr>
                  <w:tcW w:w="734" w:type="pct"/>
                  <w:vAlign w:val="center"/>
                </w:tcPr>
                <w:p w14:paraId="0E222744">
                  <w:pPr>
                    <w:spacing w:line="360" w:lineRule="auto"/>
                    <w:jc w:val="center"/>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检出限</w:t>
                  </w:r>
                </w:p>
              </w:tc>
            </w:tr>
            <w:tr w14:paraId="41B0F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629" w:type="pct"/>
                  <w:vMerge w:val="restart"/>
                  <w:vAlign w:val="center"/>
                </w:tcPr>
                <w:p w14:paraId="69E5337C">
                  <w:pPr>
                    <w:spacing w:line="360" w:lineRule="auto"/>
                    <w:jc w:val="center"/>
                    <w:outlineLvl w:val="9"/>
                    <w:rPr>
                      <w:rFonts w:hint="default"/>
                      <w:color w:val="auto"/>
                      <w:highlight w:val="none"/>
                    </w:rPr>
                  </w:pPr>
                  <w:r>
                    <w:rPr>
                      <w:rFonts w:hint="eastAsia" w:ascii="Times New Roman" w:hAnsi="Times New Roman" w:eastAsia="宋体" w:cs="Times New Roman"/>
                      <w:color w:val="auto"/>
                      <w:kern w:val="0"/>
                      <w:sz w:val="21"/>
                      <w:szCs w:val="21"/>
                      <w:highlight w:val="none"/>
                      <w:lang w:val="en-US" w:eastAsia="zh-CN"/>
                    </w:rPr>
                    <w:t>土壤</w:t>
                  </w:r>
                </w:p>
              </w:tc>
              <w:tc>
                <w:tcPr>
                  <w:tcW w:w="959" w:type="pct"/>
                  <w:shd w:val="clear" w:color="auto" w:fill="auto"/>
                  <w:vAlign w:val="center"/>
                </w:tcPr>
                <w:p w14:paraId="19D4CA15">
                  <w:pPr>
                    <w:widowControl/>
                    <w:jc w:val="center"/>
                    <w:textAlignment w:val="center"/>
                    <w:outlineLvl w:val="9"/>
                    <w:rPr>
                      <w:rFonts w:hint="eastAsia"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砷</w:t>
                  </w:r>
                </w:p>
              </w:tc>
              <w:tc>
                <w:tcPr>
                  <w:tcW w:w="1191" w:type="pct"/>
                  <w:vMerge w:val="restart"/>
                  <w:shd w:val="clear" w:color="auto" w:fill="auto"/>
                  <w:vAlign w:val="center"/>
                </w:tcPr>
                <w:p w14:paraId="7BF8A361">
                  <w:pPr>
                    <w:keepNext w:val="0"/>
                    <w:keepLines w:val="0"/>
                    <w:widowControl/>
                    <w:suppressLineNumbers w:val="0"/>
                    <w:jc w:val="center"/>
                    <w:textAlignment w:val="top"/>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HJ 1315-2023电感耦合等离子体质谱法</w:t>
                  </w:r>
                </w:p>
              </w:tc>
              <w:tc>
                <w:tcPr>
                  <w:tcW w:w="1485" w:type="pct"/>
                  <w:vMerge w:val="restart"/>
                  <w:shd w:val="clear" w:color="auto" w:fill="auto"/>
                  <w:vAlign w:val="center"/>
                </w:tcPr>
                <w:p w14:paraId="57D946F1">
                  <w:pPr>
                    <w:keepNext w:val="0"/>
                    <w:keepLines w:val="0"/>
                    <w:widowControl/>
                    <w:suppressLineNumbers w:val="0"/>
                    <w:jc w:val="center"/>
                    <w:textAlignment w:val="center"/>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电感耦合等离子体质谱仪Agilent7500Series</w:t>
                  </w:r>
                </w:p>
                <w:p w14:paraId="2D43E6B9">
                  <w:pPr>
                    <w:keepNext w:val="0"/>
                    <w:keepLines w:val="0"/>
                    <w:widowControl/>
                    <w:suppressLineNumbers w:val="0"/>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YQ01-</w:t>
                  </w:r>
                  <w:r>
                    <w:rPr>
                      <w:rFonts w:hint="default" w:ascii="Times New Roman" w:hAnsi="Times New Roman" w:cs="Times New Roman"/>
                      <w:color w:val="auto"/>
                      <w:sz w:val="21"/>
                      <w:szCs w:val="21"/>
                      <w:highlight w:val="none"/>
                      <w:lang w:val="en-US" w:eastAsia="zh-CN"/>
                    </w:rPr>
                    <w:t>008</w:t>
                  </w:r>
                </w:p>
              </w:tc>
              <w:tc>
                <w:tcPr>
                  <w:tcW w:w="734" w:type="pct"/>
                  <w:shd w:val="clear" w:color="auto" w:fill="auto"/>
                  <w:vAlign w:val="center"/>
                </w:tcPr>
                <w:p w14:paraId="26D75E62">
                  <w:pPr>
                    <w:jc w:val="center"/>
                    <w:textAlignment w:val="bottom"/>
                    <w:outlineLvl w:val="9"/>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
                    </w:rPr>
                    <w:t>0.2mg/kg</w:t>
                  </w:r>
                </w:p>
              </w:tc>
            </w:tr>
            <w:tr w14:paraId="64DC7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29" w:type="pct"/>
                  <w:vMerge w:val="continue"/>
                  <w:vAlign w:val="center"/>
                </w:tcPr>
                <w:p w14:paraId="79B236B7">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106CBAF5">
                  <w:pPr>
                    <w:widowControl/>
                    <w:jc w:val="center"/>
                    <w:textAlignment w:val="center"/>
                    <w:outlineLvl w:val="9"/>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镉</w:t>
                  </w:r>
                </w:p>
              </w:tc>
              <w:tc>
                <w:tcPr>
                  <w:tcW w:w="1191" w:type="pct"/>
                  <w:vMerge w:val="continue"/>
                  <w:shd w:val="clear" w:color="auto" w:fill="auto"/>
                  <w:vAlign w:val="center"/>
                </w:tcPr>
                <w:p w14:paraId="064133C4">
                  <w:pPr>
                    <w:keepNext w:val="0"/>
                    <w:keepLines w:val="0"/>
                    <w:widowControl/>
                    <w:suppressLineNumbers w:val="0"/>
                    <w:jc w:val="center"/>
                    <w:textAlignment w:val="top"/>
                    <w:outlineLvl w:val="9"/>
                    <w:rPr>
                      <w:rFonts w:hint="default" w:ascii="Times New Roman" w:hAnsi="Times New Roman" w:eastAsia="宋体" w:cs="Times New Roman"/>
                      <w:color w:val="auto"/>
                      <w:kern w:val="0"/>
                      <w:sz w:val="21"/>
                      <w:szCs w:val="21"/>
                      <w:highlight w:val="none"/>
                      <w:lang w:val="en-US" w:eastAsia="zh-CN" w:bidi="ar"/>
                    </w:rPr>
                  </w:pPr>
                </w:p>
              </w:tc>
              <w:tc>
                <w:tcPr>
                  <w:tcW w:w="1485" w:type="pct"/>
                  <w:vMerge w:val="continue"/>
                  <w:shd w:val="clear" w:color="auto" w:fill="auto"/>
                  <w:vAlign w:val="center"/>
                </w:tcPr>
                <w:p w14:paraId="3F7C931C">
                  <w:pPr>
                    <w:keepNext w:val="0"/>
                    <w:keepLines w:val="0"/>
                    <w:widowControl/>
                    <w:suppressLineNumbers w:val="0"/>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p>
              </w:tc>
              <w:tc>
                <w:tcPr>
                  <w:tcW w:w="734" w:type="pct"/>
                  <w:shd w:val="clear" w:color="auto" w:fill="auto"/>
                  <w:vAlign w:val="center"/>
                </w:tcPr>
                <w:p w14:paraId="37E81D9C">
                  <w:pPr>
                    <w:jc w:val="center"/>
                    <w:textAlignment w:val="bottom"/>
                    <w:outlineLvl w:val="9"/>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
                    </w:rPr>
                    <w:t>0.03mg/kg</w:t>
                  </w:r>
                </w:p>
              </w:tc>
            </w:tr>
            <w:tr w14:paraId="740A7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629" w:type="pct"/>
                  <w:vMerge w:val="continue"/>
                  <w:vAlign w:val="center"/>
                </w:tcPr>
                <w:p w14:paraId="1F0EB785">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66715259">
                  <w:pPr>
                    <w:widowControl/>
                    <w:jc w:val="center"/>
                    <w:textAlignment w:val="center"/>
                    <w:outlineLvl w:val="9"/>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铜</w:t>
                  </w:r>
                </w:p>
              </w:tc>
              <w:tc>
                <w:tcPr>
                  <w:tcW w:w="1191" w:type="pct"/>
                  <w:vMerge w:val="continue"/>
                  <w:shd w:val="clear" w:color="auto" w:fill="FFFFFF"/>
                  <w:vAlign w:val="center"/>
                </w:tcPr>
                <w:p w14:paraId="4A47B46C">
                  <w:pPr>
                    <w:keepNext w:val="0"/>
                    <w:keepLines w:val="0"/>
                    <w:widowControl/>
                    <w:suppressLineNumbers w:val="0"/>
                    <w:jc w:val="center"/>
                    <w:textAlignment w:val="top"/>
                    <w:outlineLvl w:val="9"/>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85" w:type="pct"/>
                  <w:vMerge w:val="continue"/>
                  <w:shd w:val="clear" w:color="auto" w:fill="FFFFFF"/>
                  <w:vAlign w:val="center"/>
                </w:tcPr>
                <w:p w14:paraId="3CDC3278">
                  <w:pPr>
                    <w:keepNext w:val="0"/>
                    <w:keepLines w:val="0"/>
                    <w:widowControl/>
                    <w:suppressLineNumbers w:val="0"/>
                    <w:jc w:val="center"/>
                    <w:textAlignment w:val="top"/>
                    <w:outlineLvl w:val="9"/>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34" w:type="pct"/>
                  <w:shd w:val="clear" w:color="auto" w:fill="FFFFFF"/>
                  <w:vAlign w:val="center"/>
                </w:tcPr>
                <w:p w14:paraId="7573DA6B">
                  <w:pPr>
                    <w:jc w:val="center"/>
                    <w:textAlignment w:val="bottom"/>
                    <w:outlineLvl w:val="9"/>
                    <w:rPr>
                      <w:rFonts w:hint="default" w:ascii="Times New Roman" w:hAnsi="Times New Roman" w:cs="Times New Roman" w:eastAsiaTheme="minorEastAsia"/>
                      <w:color w:val="auto"/>
                      <w:kern w:val="2"/>
                      <w:sz w:val="21"/>
                      <w:szCs w:val="21"/>
                      <w:highlight w:val="none"/>
                      <w:lang w:val="en-US" w:eastAsia="zh-CN" w:bidi="ar"/>
                    </w:rPr>
                  </w:pPr>
                  <w:r>
                    <w:rPr>
                      <w:rFonts w:hint="default" w:ascii="Times New Roman" w:hAnsi="Times New Roman" w:cs="Times New Roman"/>
                      <w:color w:val="auto"/>
                      <w:sz w:val="21"/>
                      <w:szCs w:val="21"/>
                      <w:highlight w:val="none"/>
                      <w:lang w:val="en-US" w:eastAsia="zh-CN" w:bidi="ar"/>
                    </w:rPr>
                    <w:t>0.7mg/kg</w:t>
                  </w:r>
                </w:p>
              </w:tc>
            </w:tr>
            <w:tr w14:paraId="0837A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629" w:type="pct"/>
                  <w:vMerge w:val="continue"/>
                  <w:vAlign w:val="center"/>
                </w:tcPr>
                <w:p w14:paraId="38330A17">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20B5F883">
                  <w:pPr>
                    <w:widowControl/>
                    <w:jc w:val="center"/>
                    <w:textAlignment w:val="center"/>
                    <w:outlineLvl w:val="9"/>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铅</w:t>
                  </w:r>
                </w:p>
              </w:tc>
              <w:tc>
                <w:tcPr>
                  <w:tcW w:w="1191" w:type="pct"/>
                  <w:vMerge w:val="continue"/>
                  <w:shd w:val="clear" w:color="auto" w:fill="FFFFFF"/>
                  <w:vAlign w:val="center"/>
                </w:tcPr>
                <w:p w14:paraId="0946A6B8">
                  <w:pPr>
                    <w:keepNext w:val="0"/>
                    <w:keepLines w:val="0"/>
                    <w:widowControl/>
                    <w:suppressLineNumbers w:val="0"/>
                    <w:jc w:val="center"/>
                    <w:textAlignment w:val="top"/>
                    <w:outlineLvl w:val="9"/>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85" w:type="pct"/>
                  <w:vMerge w:val="continue"/>
                  <w:shd w:val="clear" w:color="auto" w:fill="auto"/>
                  <w:vAlign w:val="center"/>
                </w:tcPr>
                <w:p w14:paraId="3F649268">
                  <w:pPr>
                    <w:keepNext w:val="0"/>
                    <w:keepLines w:val="0"/>
                    <w:widowControl/>
                    <w:suppressLineNumbers w:val="0"/>
                    <w:jc w:val="center"/>
                    <w:textAlignment w:val="top"/>
                    <w:outlineLvl w:val="9"/>
                    <w:rPr>
                      <w:rFonts w:hint="default" w:ascii="Times New Roman" w:hAnsi="Times New Roman" w:eastAsia="宋体" w:cs="Times New Roman"/>
                      <w:color w:val="auto"/>
                      <w:kern w:val="2"/>
                      <w:sz w:val="21"/>
                      <w:szCs w:val="21"/>
                      <w:highlight w:val="yellow"/>
                      <w:lang w:val="en-US" w:eastAsia="zh-CN" w:bidi="ar-SA"/>
                    </w:rPr>
                  </w:pPr>
                </w:p>
              </w:tc>
              <w:tc>
                <w:tcPr>
                  <w:tcW w:w="734" w:type="pct"/>
                  <w:shd w:val="clear" w:color="auto" w:fill="FFFFFF"/>
                  <w:vAlign w:val="center"/>
                </w:tcPr>
                <w:p w14:paraId="34BD73E8">
                  <w:pPr>
                    <w:jc w:val="center"/>
                    <w:textAlignment w:val="bottom"/>
                    <w:outlineLvl w:val="9"/>
                    <w:rPr>
                      <w:rFonts w:hint="default" w:ascii="Times New Roman" w:hAnsi="Times New Roman" w:cs="Times New Roman" w:eastAsiaTheme="minorEastAsia"/>
                      <w:color w:val="auto"/>
                      <w:kern w:val="2"/>
                      <w:sz w:val="21"/>
                      <w:szCs w:val="21"/>
                      <w:highlight w:val="none"/>
                      <w:lang w:val="en-US" w:eastAsia="zh-CN" w:bidi="ar"/>
                    </w:rPr>
                  </w:pPr>
                  <w:r>
                    <w:rPr>
                      <w:rFonts w:hint="default" w:ascii="Times New Roman" w:hAnsi="Times New Roman" w:cs="Times New Roman"/>
                      <w:color w:val="auto"/>
                      <w:sz w:val="21"/>
                      <w:szCs w:val="21"/>
                      <w:highlight w:val="none"/>
                      <w:lang w:val="en-US" w:eastAsia="zh-CN" w:bidi="ar"/>
                    </w:rPr>
                    <w:t>1mg/kg</w:t>
                  </w:r>
                </w:p>
              </w:tc>
            </w:tr>
            <w:tr w14:paraId="7DF69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629" w:type="pct"/>
                  <w:vMerge w:val="continue"/>
                  <w:vAlign w:val="center"/>
                </w:tcPr>
                <w:p w14:paraId="59AA189C">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79DC9FB8">
                  <w:pPr>
                    <w:widowControl/>
                    <w:jc w:val="center"/>
                    <w:textAlignment w:val="center"/>
                    <w:outlineLvl w:val="9"/>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镍</w:t>
                  </w:r>
                </w:p>
              </w:tc>
              <w:tc>
                <w:tcPr>
                  <w:tcW w:w="1191" w:type="pct"/>
                  <w:vMerge w:val="continue"/>
                  <w:shd w:val="clear" w:color="auto" w:fill="FFFFFF"/>
                  <w:vAlign w:val="center"/>
                </w:tcPr>
                <w:p w14:paraId="3C4D9AA7">
                  <w:pPr>
                    <w:adjustRightInd w:val="0"/>
                    <w:snapToGrid w:val="0"/>
                    <w:jc w:val="center"/>
                    <w:outlineLvl w:val="9"/>
                    <w:rPr>
                      <w:rFonts w:hint="default" w:ascii="Times New Roman" w:hAnsi="Times New Roman" w:eastAsia="宋体" w:cs="Times New Roman"/>
                      <w:color w:val="auto"/>
                      <w:kern w:val="2"/>
                      <w:sz w:val="21"/>
                      <w:szCs w:val="21"/>
                      <w:highlight w:val="none"/>
                      <w:lang w:val="en-US" w:eastAsia="zh-CN" w:bidi="ar-SA"/>
                    </w:rPr>
                  </w:pPr>
                </w:p>
              </w:tc>
              <w:tc>
                <w:tcPr>
                  <w:tcW w:w="1485" w:type="pct"/>
                  <w:vMerge w:val="continue"/>
                  <w:shd w:val="clear" w:color="auto" w:fill="FFFFFF"/>
                  <w:vAlign w:val="center"/>
                </w:tcPr>
                <w:p w14:paraId="3FADA5BA">
                  <w:pPr>
                    <w:adjustRightInd w:val="0"/>
                    <w:snapToGrid w:val="0"/>
                    <w:jc w:val="center"/>
                    <w:outlineLvl w:val="9"/>
                    <w:rPr>
                      <w:rFonts w:hint="default" w:ascii="Times New Roman" w:hAnsi="Times New Roman" w:eastAsia="宋体" w:cs="Times New Roman"/>
                      <w:color w:val="auto"/>
                      <w:kern w:val="2"/>
                      <w:sz w:val="21"/>
                      <w:szCs w:val="21"/>
                      <w:highlight w:val="none"/>
                      <w:lang w:val="en-US" w:eastAsia="zh-CN" w:bidi="ar-SA"/>
                    </w:rPr>
                  </w:pPr>
                </w:p>
              </w:tc>
              <w:tc>
                <w:tcPr>
                  <w:tcW w:w="734" w:type="pct"/>
                  <w:shd w:val="clear" w:color="auto" w:fill="FFFFFF"/>
                  <w:vAlign w:val="center"/>
                </w:tcPr>
                <w:p w14:paraId="515923E8">
                  <w:pPr>
                    <w:snapToGrid w:val="0"/>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2mg/kg</w:t>
                  </w:r>
                </w:p>
              </w:tc>
            </w:tr>
            <w:tr w14:paraId="61C17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629" w:type="pct"/>
                  <w:vMerge w:val="continue"/>
                  <w:vAlign w:val="center"/>
                </w:tcPr>
                <w:p w14:paraId="3FA6CEC9">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253432EF">
                  <w:pPr>
                    <w:widowControl/>
                    <w:jc w:val="center"/>
                    <w:textAlignment w:val="center"/>
                    <w:outlineLvl w:val="9"/>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六价铬</w:t>
                  </w:r>
                </w:p>
              </w:tc>
              <w:tc>
                <w:tcPr>
                  <w:tcW w:w="1191" w:type="pct"/>
                  <w:shd w:val="clear" w:color="auto" w:fill="auto"/>
                  <w:vAlign w:val="center"/>
                </w:tcPr>
                <w:p w14:paraId="0D9F2C5C">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HJ 1082-2019</w:t>
                  </w:r>
                </w:p>
                <w:p w14:paraId="24BB0156">
                  <w:pPr>
                    <w:adjustRightInd w:val="0"/>
                    <w:snapToGrid w:val="0"/>
                    <w:jc w:val="center"/>
                    <w:outlineLvl w:val="9"/>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碱溶液提取一火焰原子吸收分光光度法</w:t>
                  </w:r>
                </w:p>
              </w:tc>
              <w:tc>
                <w:tcPr>
                  <w:tcW w:w="1485" w:type="pct"/>
                  <w:shd w:val="clear" w:color="auto" w:fill="auto"/>
                  <w:vAlign w:val="center"/>
                </w:tcPr>
                <w:p w14:paraId="1FAA3A39">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w:t>
                  </w:r>
                </w:p>
                <w:p w14:paraId="17070686">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（火焰）TAS-990</w:t>
                  </w:r>
                </w:p>
                <w:p w14:paraId="78D0BED7">
                  <w:pPr>
                    <w:adjustRightInd w:val="0"/>
                    <w:snapToGrid w:val="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YQ01-006</w:t>
                  </w:r>
                </w:p>
              </w:tc>
              <w:tc>
                <w:tcPr>
                  <w:tcW w:w="734" w:type="pct"/>
                  <w:shd w:val="clear" w:color="auto" w:fill="auto"/>
                  <w:vAlign w:val="center"/>
                </w:tcPr>
                <w:p w14:paraId="6C8A6A8F">
                  <w:pPr>
                    <w:snapToGrid w:val="0"/>
                    <w:jc w:val="center"/>
                    <w:outlineLvl w:val="9"/>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0.5mg/kg</w:t>
                  </w:r>
                </w:p>
              </w:tc>
            </w:tr>
            <w:tr w14:paraId="07A6B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629" w:type="pct"/>
                  <w:vMerge w:val="continue"/>
                  <w:vAlign w:val="center"/>
                </w:tcPr>
                <w:p w14:paraId="160D5B5E">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5891C9EE">
                  <w:pPr>
                    <w:widowControl/>
                    <w:jc w:val="center"/>
                    <w:textAlignment w:val="center"/>
                    <w:outlineLvl w:val="9"/>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汞</w:t>
                  </w:r>
                </w:p>
              </w:tc>
              <w:tc>
                <w:tcPr>
                  <w:tcW w:w="1191" w:type="pct"/>
                  <w:shd w:val="clear" w:color="auto" w:fill="auto"/>
                  <w:vAlign w:val="center"/>
                </w:tcPr>
                <w:p w14:paraId="50B47B5E">
                  <w:pPr>
                    <w:keepNext w:val="0"/>
                    <w:keepLines w:val="0"/>
                    <w:widowControl/>
                    <w:suppressLineNumbers w:val="0"/>
                    <w:jc w:val="center"/>
                    <w:textAlignment w:val="top"/>
                    <w:outlineLvl w:val="9"/>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HJ 680-2013微波消解/原子荧光法</w:t>
                  </w:r>
                </w:p>
              </w:tc>
              <w:tc>
                <w:tcPr>
                  <w:tcW w:w="1485" w:type="pct"/>
                  <w:shd w:val="clear" w:color="auto" w:fill="auto"/>
                  <w:vAlign w:val="center"/>
                </w:tcPr>
                <w:p w14:paraId="55439DA7">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原子荧光光度计2025E</w:t>
                  </w:r>
                </w:p>
                <w:p w14:paraId="659ED225">
                  <w:pPr>
                    <w:keepNext w:val="0"/>
                    <w:keepLines w:val="0"/>
                    <w:widowControl/>
                    <w:suppressLineNumbers w:val="0"/>
                    <w:jc w:val="center"/>
                    <w:textAlignment w:val="top"/>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YQ01-007</w:t>
                  </w:r>
                </w:p>
              </w:tc>
              <w:tc>
                <w:tcPr>
                  <w:tcW w:w="734" w:type="pct"/>
                  <w:shd w:val="clear" w:color="auto" w:fill="FFFFFF"/>
                  <w:vAlign w:val="center"/>
                </w:tcPr>
                <w:p w14:paraId="0D14F265">
                  <w:pPr>
                    <w:snapToGrid w:val="0"/>
                    <w:jc w:val="center"/>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bidi="ar"/>
                    </w:rPr>
                    <w:t>0.002mg/kg</w:t>
                  </w:r>
                </w:p>
              </w:tc>
            </w:tr>
            <w:tr w14:paraId="66D0D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5E091BB2">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312CCBC1">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四氯化碳</w:t>
                  </w:r>
                </w:p>
              </w:tc>
              <w:tc>
                <w:tcPr>
                  <w:tcW w:w="1191" w:type="pct"/>
                  <w:vMerge w:val="restart"/>
                  <w:shd w:val="clear" w:color="auto" w:fill="auto"/>
                  <w:vAlign w:val="center"/>
                </w:tcPr>
                <w:p w14:paraId="5AD9C80F">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HJ 605-2011吹扫捕集/气相色谱-质谱法</w:t>
                  </w:r>
                </w:p>
              </w:tc>
              <w:tc>
                <w:tcPr>
                  <w:tcW w:w="1485" w:type="pct"/>
                  <w:vMerge w:val="restart"/>
                  <w:vAlign w:val="center"/>
                </w:tcPr>
                <w:p w14:paraId="4B4465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气相色谱-质谱联用仪</w:t>
                  </w:r>
                </w:p>
                <w:p w14:paraId="0289CF9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GCMS-QP2010SE</w:t>
                  </w:r>
                </w:p>
                <w:p w14:paraId="19862DDF">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YQ01-009</w:t>
                  </w:r>
                </w:p>
              </w:tc>
              <w:tc>
                <w:tcPr>
                  <w:tcW w:w="734" w:type="pct"/>
                  <w:shd w:val="clear" w:color="auto" w:fill="auto"/>
                  <w:vAlign w:val="center"/>
                </w:tcPr>
                <w:p w14:paraId="0F16E91E">
                  <w:pPr>
                    <w:keepNext w:val="0"/>
                    <w:keepLines w:val="0"/>
                    <w:widowControl/>
                    <w:suppressLineNumbers w:val="0"/>
                    <w:jc w:val="center"/>
                    <w:textAlignment w:val="center"/>
                    <w:outlineLvl w:val="9"/>
                    <w:rPr>
                      <w:rFonts w:hint="eastAsia"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1.3μg</w:t>
                  </w:r>
                  <w:r>
                    <w:rPr>
                      <w:rFonts w:hint="default" w:ascii="Times New Roman" w:hAnsi="Times New Roman" w:cs="Times New Roman"/>
                      <w:color w:val="auto"/>
                      <w:sz w:val="21"/>
                      <w:szCs w:val="21"/>
                      <w:highlight w:val="none"/>
                      <w:lang w:val="en-US" w:eastAsia="zh-CN" w:bidi="ar"/>
                    </w:rPr>
                    <w:t>/kg</w:t>
                  </w:r>
                </w:p>
              </w:tc>
            </w:tr>
            <w:tr w14:paraId="0ADB4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29" w:type="pct"/>
                  <w:vMerge w:val="continue"/>
                  <w:vAlign w:val="center"/>
                </w:tcPr>
                <w:p w14:paraId="16343052">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6F7A0756">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氯仿</w:t>
                  </w:r>
                </w:p>
              </w:tc>
              <w:tc>
                <w:tcPr>
                  <w:tcW w:w="1191" w:type="pct"/>
                  <w:vMerge w:val="continue"/>
                  <w:shd w:val="clear" w:color="auto" w:fill="auto"/>
                  <w:vAlign w:val="center"/>
                </w:tcPr>
                <w:p w14:paraId="2BFC7643">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08D65629">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6567D210">
                  <w:pPr>
                    <w:keepNext w:val="0"/>
                    <w:keepLines w:val="0"/>
                    <w:widowControl/>
                    <w:suppressLineNumbers w:val="0"/>
                    <w:jc w:val="center"/>
                    <w:textAlignment w:val="center"/>
                    <w:outlineLvl w:val="9"/>
                    <w:rPr>
                      <w:rFonts w:hint="eastAsia"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1.1μg</w:t>
                  </w:r>
                  <w:r>
                    <w:rPr>
                      <w:rFonts w:hint="default" w:ascii="Times New Roman" w:hAnsi="Times New Roman" w:cs="Times New Roman"/>
                      <w:color w:val="auto"/>
                      <w:sz w:val="21"/>
                      <w:szCs w:val="21"/>
                      <w:highlight w:val="none"/>
                      <w:lang w:val="en-US" w:eastAsia="zh-CN" w:bidi="ar"/>
                    </w:rPr>
                    <w:t>/kg</w:t>
                  </w:r>
                </w:p>
              </w:tc>
            </w:tr>
            <w:tr w14:paraId="4EE20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29" w:type="pct"/>
                  <w:vMerge w:val="continue"/>
                  <w:vAlign w:val="center"/>
                </w:tcPr>
                <w:p w14:paraId="00D02959">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0B4BB933">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氯甲烷</w:t>
                  </w:r>
                </w:p>
              </w:tc>
              <w:tc>
                <w:tcPr>
                  <w:tcW w:w="1191" w:type="pct"/>
                  <w:vMerge w:val="continue"/>
                  <w:shd w:val="clear" w:color="auto" w:fill="auto"/>
                  <w:vAlign w:val="center"/>
                </w:tcPr>
                <w:p w14:paraId="3E7520DC">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60468705">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5B133371">
                  <w:pPr>
                    <w:keepNext w:val="0"/>
                    <w:keepLines w:val="0"/>
                    <w:widowControl/>
                    <w:suppressLineNumbers w:val="0"/>
                    <w:jc w:val="center"/>
                    <w:textAlignment w:val="center"/>
                    <w:outlineLvl w:val="9"/>
                    <w:rPr>
                      <w:rFonts w:hint="eastAsia"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1.0μg</w:t>
                  </w:r>
                  <w:r>
                    <w:rPr>
                      <w:rFonts w:hint="default" w:ascii="Times New Roman" w:hAnsi="Times New Roman" w:cs="Times New Roman"/>
                      <w:color w:val="auto"/>
                      <w:sz w:val="21"/>
                      <w:szCs w:val="21"/>
                      <w:highlight w:val="none"/>
                      <w:lang w:val="en-US" w:eastAsia="zh-CN" w:bidi="ar"/>
                    </w:rPr>
                    <w:t>/kg</w:t>
                  </w:r>
                </w:p>
              </w:tc>
            </w:tr>
            <w:tr w14:paraId="44644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71023B99">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6427A02A">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1,1-二氯乙烷</w:t>
                  </w:r>
                </w:p>
              </w:tc>
              <w:tc>
                <w:tcPr>
                  <w:tcW w:w="1191" w:type="pct"/>
                  <w:vMerge w:val="continue"/>
                  <w:shd w:val="clear" w:color="auto" w:fill="auto"/>
                  <w:vAlign w:val="center"/>
                </w:tcPr>
                <w:p w14:paraId="5B64812B">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p>
              </w:tc>
              <w:tc>
                <w:tcPr>
                  <w:tcW w:w="1485" w:type="pct"/>
                  <w:vMerge w:val="continue"/>
                  <w:vAlign w:val="center"/>
                </w:tcPr>
                <w:p w14:paraId="50BE1A9B">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6FA3BBEF">
                  <w:pPr>
                    <w:keepNext w:val="0"/>
                    <w:keepLines w:val="0"/>
                    <w:widowControl/>
                    <w:suppressLineNumbers w:val="0"/>
                    <w:jc w:val="center"/>
                    <w:textAlignment w:val="center"/>
                    <w:outlineLvl w:val="9"/>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2F033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691C4F78">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65ACE443">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1,2-二氯乙烷</w:t>
                  </w:r>
                </w:p>
              </w:tc>
              <w:tc>
                <w:tcPr>
                  <w:tcW w:w="1191" w:type="pct"/>
                  <w:vMerge w:val="continue"/>
                  <w:shd w:val="clear" w:color="auto" w:fill="auto"/>
                  <w:vAlign w:val="center"/>
                </w:tcPr>
                <w:p w14:paraId="442C8092">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p>
              </w:tc>
              <w:tc>
                <w:tcPr>
                  <w:tcW w:w="1485" w:type="pct"/>
                  <w:vMerge w:val="continue"/>
                  <w:vAlign w:val="center"/>
                </w:tcPr>
                <w:p w14:paraId="7716BCBB">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20A033D2">
                  <w:pPr>
                    <w:keepNext w:val="0"/>
                    <w:keepLines w:val="0"/>
                    <w:widowControl/>
                    <w:suppressLineNumbers w:val="0"/>
                    <w:jc w:val="center"/>
                    <w:textAlignment w:val="center"/>
                    <w:outlineLvl w:val="9"/>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1.3μg</w:t>
                  </w:r>
                  <w:r>
                    <w:rPr>
                      <w:rFonts w:hint="default" w:ascii="Times New Roman" w:hAnsi="Times New Roman" w:cs="Times New Roman"/>
                      <w:color w:val="auto"/>
                      <w:sz w:val="21"/>
                      <w:szCs w:val="21"/>
                      <w:highlight w:val="none"/>
                      <w:lang w:val="en-US" w:eastAsia="zh-CN" w:bidi="ar"/>
                    </w:rPr>
                    <w:t>/kg</w:t>
                  </w:r>
                </w:p>
              </w:tc>
            </w:tr>
            <w:tr w14:paraId="2FCAE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65AB9298">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3465B1C3">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1,1-二氯乙烯</w:t>
                  </w:r>
                </w:p>
              </w:tc>
              <w:tc>
                <w:tcPr>
                  <w:tcW w:w="1191" w:type="pct"/>
                  <w:vMerge w:val="continue"/>
                  <w:shd w:val="clear" w:color="auto" w:fill="auto"/>
                  <w:vAlign w:val="center"/>
                </w:tcPr>
                <w:p w14:paraId="516F6017">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p>
              </w:tc>
              <w:tc>
                <w:tcPr>
                  <w:tcW w:w="1485" w:type="pct"/>
                  <w:vMerge w:val="continue"/>
                  <w:vAlign w:val="center"/>
                </w:tcPr>
                <w:p w14:paraId="2B5B223F">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11F99201">
                  <w:pPr>
                    <w:keepNext w:val="0"/>
                    <w:keepLines w:val="0"/>
                    <w:widowControl/>
                    <w:suppressLineNumbers w:val="0"/>
                    <w:jc w:val="center"/>
                    <w:textAlignment w:val="center"/>
                    <w:outlineLvl w:val="9"/>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1.0μg</w:t>
                  </w:r>
                  <w:r>
                    <w:rPr>
                      <w:rFonts w:hint="default" w:ascii="Times New Roman" w:hAnsi="Times New Roman" w:cs="Times New Roman"/>
                      <w:color w:val="auto"/>
                      <w:sz w:val="21"/>
                      <w:szCs w:val="21"/>
                      <w:highlight w:val="none"/>
                      <w:lang w:val="en-US" w:eastAsia="zh-CN" w:bidi="ar"/>
                    </w:rPr>
                    <w:t>/kg</w:t>
                  </w:r>
                </w:p>
              </w:tc>
            </w:tr>
            <w:tr w14:paraId="12818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4905222D">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50F674EB">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顺-1,2-二氯乙烯</w:t>
                  </w:r>
                </w:p>
              </w:tc>
              <w:tc>
                <w:tcPr>
                  <w:tcW w:w="1191" w:type="pct"/>
                  <w:vMerge w:val="continue"/>
                  <w:shd w:val="clear" w:color="auto" w:fill="auto"/>
                  <w:vAlign w:val="center"/>
                </w:tcPr>
                <w:p w14:paraId="583BDF5A">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p>
              </w:tc>
              <w:tc>
                <w:tcPr>
                  <w:tcW w:w="1485" w:type="pct"/>
                  <w:vMerge w:val="continue"/>
                  <w:vAlign w:val="center"/>
                </w:tcPr>
                <w:p w14:paraId="6605264C">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2680AC40">
                  <w:pPr>
                    <w:keepNext w:val="0"/>
                    <w:keepLines w:val="0"/>
                    <w:widowControl/>
                    <w:suppressLineNumbers w:val="0"/>
                    <w:jc w:val="center"/>
                    <w:textAlignment w:val="center"/>
                    <w:outlineLvl w:val="9"/>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1.3μg</w:t>
                  </w:r>
                  <w:r>
                    <w:rPr>
                      <w:rFonts w:hint="default" w:ascii="Times New Roman" w:hAnsi="Times New Roman" w:cs="Times New Roman"/>
                      <w:color w:val="auto"/>
                      <w:sz w:val="21"/>
                      <w:szCs w:val="21"/>
                      <w:highlight w:val="none"/>
                      <w:lang w:val="en-US" w:eastAsia="zh-CN" w:bidi="ar"/>
                    </w:rPr>
                    <w:t>/kg</w:t>
                  </w:r>
                </w:p>
              </w:tc>
            </w:tr>
            <w:tr w14:paraId="07198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4703B178">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3879F5D1">
                  <w:pPr>
                    <w:widowControl/>
                    <w:jc w:val="center"/>
                    <w:textAlignment w:val="center"/>
                    <w:outlineLvl w:val="9"/>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反-1,2-二氯乙烯</w:t>
                  </w:r>
                </w:p>
              </w:tc>
              <w:tc>
                <w:tcPr>
                  <w:tcW w:w="1191" w:type="pct"/>
                  <w:vMerge w:val="continue"/>
                  <w:shd w:val="clear" w:color="auto" w:fill="auto"/>
                  <w:vAlign w:val="center"/>
                </w:tcPr>
                <w:p w14:paraId="7601262A">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p>
              </w:tc>
              <w:tc>
                <w:tcPr>
                  <w:tcW w:w="1485" w:type="pct"/>
                  <w:vMerge w:val="continue"/>
                  <w:vAlign w:val="center"/>
                </w:tcPr>
                <w:p w14:paraId="11362B14">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2CDDB16A">
                  <w:pPr>
                    <w:keepNext w:val="0"/>
                    <w:keepLines w:val="0"/>
                    <w:widowControl/>
                    <w:suppressLineNumbers w:val="0"/>
                    <w:jc w:val="center"/>
                    <w:textAlignment w:val="center"/>
                    <w:outlineLvl w:val="9"/>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w:t>
                  </w:r>
                  <w:r>
                    <w:rPr>
                      <w:rFonts w:hint="eastAsia" w:ascii="Times New Roman" w:hAnsi="Times New Roman" w:cs="Times New Roman"/>
                      <w:color w:val="auto"/>
                      <w:kern w:val="0"/>
                      <w:sz w:val="21"/>
                      <w:szCs w:val="21"/>
                      <w:highlight w:val="none"/>
                      <w:lang w:val="en-US" w:eastAsia="zh-CN"/>
                    </w:rPr>
                    <w:t>4</w:t>
                  </w:r>
                  <w:r>
                    <w:rPr>
                      <w:rFonts w:hint="default" w:ascii="Times New Roman" w:hAnsi="Times New Roman" w:cs="Times New Roman"/>
                      <w:color w:val="auto"/>
                      <w:kern w:val="0"/>
                      <w:sz w:val="21"/>
                      <w:szCs w:val="21"/>
                      <w:highlight w:val="none"/>
                      <w:lang w:val="en-US" w:eastAsia="zh-CN"/>
                    </w:rPr>
                    <w:t>μg</w:t>
                  </w:r>
                  <w:r>
                    <w:rPr>
                      <w:rFonts w:hint="default" w:ascii="Times New Roman" w:hAnsi="Times New Roman" w:cs="Times New Roman"/>
                      <w:color w:val="auto"/>
                      <w:sz w:val="21"/>
                      <w:szCs w:val="21"/>
                      <w:highlight w:val="none"/>
                      <w:lang w:val="en-US" w:eastAsia="zh-CN" w:bidi="ar"/>
                    </w:rPr>
                    <w:t>/kg</w:t>
                  </w:r>
                </w:p>
              </w:tc>
            </w:tr>
            <w:tr w14:paraId="3B1E3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29" w:type="pct"/>
                  <w:vMerge w:val="continue"/>
                  <w:vAlign w:val="center"/>
                </w:tcPr>
                <w:p w14:paraId="21DF50E4">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vAlign w:val="center"/>
                </w:tcPr>
                <w:p w14:paraId="5C5D0A74">
                  <w:pPr>
                    <w:widowControl/>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二氯甲烷</w:t>
                  </w:r>
                </w:p>
              </w:tc>
              <w:tc>
                <w:tcPr>
                  <w:tcW w:w="1191" w:type="pct"/>
                  <w:vMerge w:val="continue"/>
                  <w:shd w:val="clear" w:color="auto" w:fill="auto"/>
                  <w:vAlign w:val="center"/>
                </w:tcPr>
                <w:p w14:paraId="63ABD963">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p>
              </w:tc>
              <w:tc>
                <w:tcPr>
                  <w:tcW w:w="1485" w:type="pct"/>
                  <w:vMerge w:val="continue"/>
                  <w:vAlign w:val="center"/>
                </w:tcPr>
                <w:p w14:paraId="3875C7EC">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6B7B2031">
                  <w:pPr>
                    <w:keepNext w:val="0"/>
                    <w:keepLines w:val="0"/>
                    <w:widowControl/>
                    <w:suppressLineNumbers w:val="0"/>
                    <w:jc w:val="center"/>
                    <w:textAlignment w:val="center"/>
                    <w:outlineLvl w:val="9"/>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1.5μg</w:t>
                  </w:r>
                  <w:r>
                    <w:rPr>
                      <w:rFonts w:hint="default" w:ascii="Times New Roman" w:hAnsi="Times New Roman" w:cs="Times New Roman"/>
                      <w:color w:val="auto"/>
                      <w:sz w:val="21"/>
                      <w:szCs w:val="21"/>
                      <w:highlight w:val="none"/>
                      <w:lang w:val="en-US" w:eastAsia="zh-CN" w:bidi="ar"/>
                    </w:rPr>
                    <w:t>/kg</w:t>
                  </w:r>
                </w:p>
              </w:tc>
            </w:tr>
            <w:tr w14:paraId="6148A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261FF3C4">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48540A1C">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1,2-二氯丙烷</w:t>
                  </w:r>
                </w:p>
              </w:tc>
              <w:tc>
                <w:tcPr>
                  <w:tcW w:w="1191" w:type="pct"/>
                  <w:vMerge w:val="continue"/>
                  <w:shd w:val="clear" w:color="auto" w:fill="auto"/>
                  <w:vAlign w:val="center"/>
                </w:tcPr>
                <w:p w14:paraId="2D859A11">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4201BB1E">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20BEAFC1">
                  <w:pPr>
                    <w:keepNext w:val="0"/>
                    <w:keepLines w:val="0"/>
                    <w:widowControl/>
                    <w:suppressLineNumbers w:val="0"/>
                    <w:jc w:val="center"/>
                    <w:textAlignment w:val="center"/>
                    <w:outlineLvl w:val="9"/>
                    <w:rPr>
                      <w:rFonts w:hint="eastAsia"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1.1μg</w:t>
                  </w:r>
                  <w:r>
                    <w:rPr>
                      <w:rFonts w:hint="default" w:ascii="Times New Roman" w:hAnsi="Times New Roman" w:cs="Times New Roman"/>
                      <w:color w:val="auto"/>
                      <w:sz w:val="21"/>
                      <w:szCs w:val="21"/>
                      <w:highlight w:val="none"/>
                      <w:lang w:val="en-US" w:eastAsia="zh-CN" w:bidi="ar"/>
                    </w:rPr>
                    <w:t>/kg</w:t>
                  </w:r>
                </w:p>
              </w:tc>
            </w:tr>
            <w:tr w14:paraId="40202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18CA61E6">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08F57206">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1,1,1,2-四氯乙烷</w:t>
                  </w:r>
                </w:p>
              </w:tc>
              <w:tc>
                <w:tcPr>
                  <w:tcW w:w="1191" w:type="pct"/>
                  <w:vMerge w:val="continue"/>
                  <w:shd w:val="clear" w:color="auto" w:fill="auto"/>
                  <w:vAlign w:val="center"/>
                </w:tcPr>
                <w:p w14:paraId="63AA22D0">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1A9DF070">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262C29C4">
                  <w:pPr>
                    <w:keepNext w:val="0"/>
                    <w:keepLines w:val="0"/>
                    <w:widowControl/>
                    <w:suppressLineNumbers w:val="0"/>
                    <w:jc w:val="center"/>
                    <w:textAlignment w:val="center"/>
                    <w:outlineLvl w:val="9"/>
                    <w:rPr>
                      <w:rFonts w:hint="eastAsia"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61F25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29" w:type="pct"/>
                  <w:vMerge w:val="continue"/>
                  <w:vAlign w:val="center"/>
                </w:tcPr>
                <w:p w14:paraId="5EAD00C4">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7B688130">
                  <w:pPr>
                    <w:widowControl/>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1,1,2,2-四氯乙烷</w:t>
                  </w:r>
                </w:p>
              </w:tc>
              <w:tc>
                <w:tcPr>
                  <w:tcW w:w="1191" w:type="pct"/>
                  <w:vMerge w:val="continue"/>
                  <w:shd w:val="clear" w:color="auto" w:fill="auto"/>
                  <w:vAlign w:val="center"/>
                </w:tcPr>
                <w:p w14:paraId="2F96FCCF">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5D343C71">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70C54E73">
                  <w:pPr>
                    <w:keepNext w:val="0"/>
                    <w:keepLines w:val="0"/>
                    <w:widowControl/>
                    <w:suppressLineNumbers w:val="0"/>
                    <w:jc w:val="center"/>
                    <w:textAlignment w:val="center"/>
                    <w:outlineLvl w:val="9"/>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2A07F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629" w:type="pct"/>
                  <w:vMerge w:val="continue"/>
                  <w:vAlign w:val="center"/>
                </w:tcPr>
                <w:p w14:paraId="43D572B0">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28E7C89D">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四氯乙烯</w:t>
                  </w:r>
                </w:p>
              </w:tc>
              <w:tc>
                <w:tcPr>
                  <w:tcW w:w="1191" w:type="pct"/>
                  <w:vMerge w:val="continue"/>
                  <w:shd w:val="clear" w:color="auto" w:fill="auto"/>
                  <w:vAlign w:val="center"/>
                </w:tcPr>
                <w:p w14:paraId="20F46D3B">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2FC285D9">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53276D47">
                  <w:pPr>
                    <w:spacing w:line="360" w:lineRule="auto"/>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1.4μg</w:t>
                  </w:r>
                  <w:r>
                    <w:rPr>
                      <w:rFonts w:hint="default" w:ascii="Times New Roman" w:hAnsi="Times New Roman" w:cs="Times New Roman"/>
                      <w:color w:val="auto"/>
                      <w:sz w:val="21"/>
                      <w:szCs w:val="21"/>
                      <w:highlight w:val="none"/>
                      <w:lang w:val="en-US" w:eastAsia="zh-CN" w:bidi="ar"/>
                    </w:rPr>
                    <w:t>/kg</w:t>
                  </w:r>
                </w:p>
              </w:tc>
            </w:tr>
            <w:tr w14:paraId="6A95B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629" w:type="pct"/>
                  <w:vMerge w:val="continue"/>
                  <w:vAlign w:val="center"/>
                </w:tcPr>
                <w:p w14:paraId="12B648FE">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45944CD6">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1,1,1-三氯乙烷</w:t>
                  </w:r>
                </w:p>
              </w:tc>
              <w:tc>
                <w:tcPr>
                  <w:tcW w:w="1191" w:type="pct"/>
                  <w:vMerge w:val="continue"/>
                  <w:shd w:val="clear" w:color="auto" w:fill="auto"/>
                  <w:vAlign w:val="center"/>
                </w:tcPr>
                <w:p w14:paraId="234F4527">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47C343AF">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31F0B457">
                  <w:pPr>
                    <w:spacing w:line="360" w:lineRule="auto"/>
                    <w:jc w:val="center"/>
                    <w:outlineLvl w:val="9"/>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1.3μg</w:t>
                  </w:r>
                  <w:r>
                    <w:rPr>
                      <w:rFonts w:hint="default" w:ascii="Times New Roman" w:hAnsi="Times New Roman" w:cs="Times New Roman"/>
                      <w:color w:val="auto"/>
                      <w:sz w:val="21"/>
                      <w:szCs w:val="21"/>
                      <w:highlight w:val="none"/>
                      <w:lang w:val="en-US" w:eastAsia="zh-CN" w:bidi="ar"/>
                    </w:rPr>
                    <w:t>/kg</w:t>
                  </w:r>
                </w:p>
              </w:tc>
            </w:tr>
            <w:tr w14:paraId="566BB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29" w:type="pct"/>
                  <w:vMerge w:val="continue"/>
                  <w:vAlign w:val="center"/>
                </w:tcPr>
                <w:p w14:paraId="5BF1096E">
                  <w:pPr>
                    <w:spacing w:line="360" w:lineRule="auto"/>
                    <w:jc w:val="center"/>
                    <w:outlineLvl w:val="9"/>
                    <w:rPr>
                      <w:rFonts w:hint="default"/>
                      <w:color w:val="auto"/>
                      <w:highlight w:val="none"/>
                    </w:rPr>
                  </w:pPr>
                </w:p>
              </w:tc>
              <w:tc>
                <w:tcPr>
                  <w:tcW w:w="959" w:type="pct"/>
                  <w:shd w:val="clear" w:color="auto" w:fill="auto"/>
                  <w:vAlign w:val="center"/>
                </w:tcPr>
                <w:p w14:paraId="77984A3E">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1,1,2-三氯乙烷</w:t>
                  </w:r>
                </w:p>
              </w:tc>
              <w:tc>
                <w:tcPr>
                  <w:tcW w:w="1191" w:type="pct"/>
                  <w:vMerge w:val="continue"/>
                  <w:vAlign w:val="center"/>
                </w:tcPr>
                <w:p w14:paraId="30AB0DA7">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2CDA7911">
                  <w:pPr>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1EC8B2E4">
                  <w:pPr>
                    <w:spacing w:line="360" w:lineRule="auto"/>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6FCC9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29" w:type="pct"/>
                  <w:vMerge w:val="continue"/>
                  <w:vAlign w:val="center"/>
                </w:tcPr>
                <w:p w14:paraId="7FA7226A">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3C44A3B3">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三氯乙烯</w:t>
                  </w:r>
                </w:p>
              </w:tc>
              <w:tc>
                <w:tcPr>
                  <w:tcW w:w="1191" w:type="pct"/>
                  <w:vMerge w:val="continue"/>
                  <w:vAlign w:val="center"/>
                </w:tcPr>
                <w:p w14:paraId="5E983B0B">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1485" w:type="pct"/>
                  <w:vMerge w:val="continue"/>
                  <w:vAlign w:val="center"/>
                </w:tcPr>
                <w:p w14:paraId="3AEC41BF">
                  <w:pPr>
                    <w:spacing w:line="360" w:lineRule="auto"/>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1116A434">
                  <w:pPr>
                    <w:spacing w:line="360" w:lineRule="auto"/>
                    <w:jc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42162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0042A7FB">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325CD786">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1,2,3-三氯丙烷</w:t>
                  </w:r>
                </w:p>
              </w:tc>
              <w:tc>
                <w:tcPr>
                  <w:tcW w:w="1191" w:type="pct"/>
                  <w:vMerge w:val="continue"/>
                  <w:vAlign w:val="center"/>
                </w:tcPr>
                <w:p w14:paraId="04630DE1">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1485" w:type="pct"/>
                  <w:vMerge w:val="continue"/>
                  <w:vAlign w:val="center"/>
                </w:tcPr>
                <w:p w14:paraId="203619E7">
                  <w:pPr>
                    <w:spacing w:line="360" w:lineRule="auto"/>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07F10DDA">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65FDD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0DDDD967">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001E91CE">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氯乙烯</w:t>
                  </w:r>
                </w:p>
              </w:tc>
              <w:tc>
                <w:tcPr>
                  <w:tcW w:w="1191" w:type="pct"/>
                  <w:vMerge w:val="continue"/>
                  <w:vAlign w:val="center"/>
                </w:tcPr>
                <w:p w14:paraId="25847105">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1485" w:type="pct"/>
                  <w:vMerge w:val="continue"/>
                  <w:vAlign w:val="center"/>
                </w:tcPr>
                <w:p w14:paraId="0710BE93">
                  <w:pPr>
                    <w:spacing w:line="360" w:lineRule="auto"/>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04D1A046">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1.0μg</w:t>
                  </w:r>
                  <w:r>
                    <w:rPr>
                      <w:rFonts w:hint="default" w:ascii="Times New Roman" w:hAnsi="Times New Roman" w:cs="Times New Roman"/>
                      <w:color w:val="auto"/>
                      <w:sz w:val="21"/>
                      <w:szCs w:val="21"/>
                      <w:highlight w:val="none"/>
                      <w:lang w:val="en-US" w:eastAsia="zh-CN" w:bidi="ar"/>
                    </w:rPr>
                    <w:t>/kg</w:t>
                  </w:r>
                </w:p>
              </w:tc>
            </w:tr>
            <w:tr w14:paraId="59C6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629" w:type="pct"/>
                  <w:vMerge w:val="continue"/>
                  <w:vAlign w:val="center"/>
                </w:tcPr>
                <w:p w14:paraId="4D1A225D">
                  <w:pPr>
                    <w:spacing w:line="360" w:lineRule="auto"/>
                    <w:jc w:val="center"/>
                    <w:outlineLvl w:val="9"/>
                    <w:rPr>
                      <w:rFonts w:hint="default"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287A4D49">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w:t>
                  </w:r>
                </w:p>
              </w:tc>
              <w:tc>
                <w:tcPr>
                  <w:tcW w:w="1191" w:type="pct"/>
                  <w:vMerge w:val="continue"/>
                  <w:shd w:val="clear" w:color="auto" w:fill="auto"/>
                  <w:vAlign w:val="center"/>
                </w:tcPr>
                <w:p w14:paraId="29DDE3A3">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1EABE3B1">
                  <w:pPr>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675F67F8">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1.9μg</w:t>
                  </w:r>
                  <w:r>
                    <w:rPr>
                      <w:rFonts w:hint="default" w:ascii="Times New Roman" w:hAnsi="Times New Roman" w:cs="Times New Roman"/>
                      <w:color w:val="auto"/>
                      <w:sz w:val="21"/>
                      <w:szCs w:val="21"/>
                      <w:highlight w:val="none"/>
                      <w:lang w:val="en-US" w:eastAsia="zh-CN" w:bidi="ar"/>
                    </w:rPr>
                    <w:t>/kg</w:t>
                  </w:r>
                </w:p>
              </w:tc>
            </w:tr>
            <w:tr w14:paraId="4DE1B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29" w:type="pct"/>
                  <w:vMerge w:val="continue"/>
                  <w:vAlign w:val="center"/>
                </w:tcPr>
                <w:p w14:paraId="1AB83369">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2907CEA0">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氯苯</w:t>
                  </w:r>
                </w:p>
              </w:tc>
              <w:tc>
                <w:tcPr>
                  <w:tcW w:w="1191" w:type="pct"/>
                  <w:vMerge w:val="continue"/>
                  <w:shd w:val="clear" w:color="auto" w:fill="auto"/>
                  <w:vAlign w:val="center"/>
                </w:tcPr>
                <w:p w14:paraId="39C5D439">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4F63B1AC">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2D334859">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1A11A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1417A4A5">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37EE99DD">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1,2-二氯苯</w:t>
                  </w:r>
                </w:p>
              </w:tc>
              <w:tc>
                <w:tcPr>
                  <w:tcW w:w="1191" w:type="pct"/>
                  <w:vMerge w:val="continue"/>
                  <w:shd w:val="clear" w:color="auto" w:fill="auto"/>
                  <w:vAlign w:val="center"/>
                </w:tcPr>
                <w:p w14:paraId="458B0564">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0293B8FF">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7CA5D21D">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1.5μg</w:t>
                  </w:r>
                  <w:r>
                    <w:rPr>
                      <w:rFonts w:hint="default" w:ascii="Times New Roman" w:hAnsi="Times New Roman" w:cs="Times New Roman"/>
                      <w:color w:val="auto"/>
                      <w:sz w:val="21"/>
                      <w:szCs w:val="21"/>
                      <w:highlight w:val="none"/>
                      <w:lang w:val="en-US" w:eastAsia="zh-CN" w:bidi="ar"/>
                    </w:rPr>
                    <w:t>/kg</w:t>
                  </w:r>
                </w:p>
              </w:tc>
            </w:tr>
            <w:tr w14:paraId="59C72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68377CBC">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1464BC8D">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1,4-二氯苯</w:t>
                  </w:r>
                </w:p>
              </w:tc>
              <w:tc>
                <w:tcPr>
                  <w:tcW w:w="1191" w:type="pct"/>
                  <w:vMerge w:val="continue"/>
                  <w:shd w:val="clear" w:color="auto" w:fill="auto"/>
                  <w:vAlign w:val="center"/>
                </w:tcPr>
                <w:p w14:paraId="504DB1A3">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4B25515E">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633D1E4F">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1.5μg</w:t>
                  </w:r>
                  <w:r>
                    <w:rPr>
                      <w:rFonts w:hint="default" w:ascii="Times New Roman" w:hAnsi="Times New Roman" w:cs="Times New Roman"/>
                      <w:color w:val="auto"/>
                      <w:sz w:val="21"/>
                      <w:szCs w:val="21"/>
                      <w:highlight w:val="none"/>
                      <w:lang w:val="en-US" w:eastAsia="zh-CN" w:bidi="ar"/>
                    </w:rPr>
                    <w:t>/kg</w:t>
                  </w:r>
                </w:p>
              </w:tc>
            </w:tr>
            <w:tr w14:paraId="454C7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29" w:type="pct"/>
                  <w:vMerge w:val="continue"/>
                  <w:vAlign w:val="center"/>
                </w:tcPr>
                <w:p w14:paraId="16529B07">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69D135C3">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乙苯</w:t>
                  </w:r>
                </w:p>
              </w:tc>
              <w:tc>
                <w:tcPr>
                  <w:tcW w:w="1191" w:type="pct"/>
                  <w:vMerge w:val="continue"/>
                  <w:shd w:val="clear" w:color="auto" w:fill="auto"/>
                  <w:vAlign w:val="center"/>
                </w:tcPr>
                <w:p w14:paraId="640B4D63">
                  <w:pPr>
                    <w:bidi w:val="0"/>
                    <w:jc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6D699491">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375F197F">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0ADBA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6E454808">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60F244B0">
                  <w:pPr>
                    <w:widowControl/>
                    <w:jc w:val="center"/>
                    <w:textAlignment w:val="center"/>
                    <w:outlineLvl w:val="9"/>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1191" w:type="pct"/>
                  <w:vMerge w:val="continue"/>
                  <w:shd w:val="clear" w:color="auto" w:fill="auto"/>
                  <w:vAlign w:val="center"/>
                </w:tcPr>
                <w:p w14:paraId="1BDB992A">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7A7BE3FF">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14A46E95">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1.1μg</w:t>
                  </w:r>
                  <w:r>
                    <w:rPr>
                      <w:rFonts w:hint="default" w:ascii="Times New Roman" w:hAnsi="Times New Roman" w:cs="Times New Roman"/>
                      <w:color w:val="auto"/>
                      <w:sz w:val="21"/>
                      <w:szCs w:val="21"/>
                      <w:highlight w:val="none"/>
                      <w:lang w:val="en-US" w:eastAsia="zh-CN" w:bidi="ar"/>
                    </w:rPr>
                    <w:t>/kg</w:t>
                  </w:r>
                </w:p>
              </w:tc>
            </w:tr>
            <w:tr w14:paraId="3BAEA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05477016">
                  <w:pPr>
                    <w:spacing w:line="360" w:lineRule="auto"/>
                    <w:jc w:val="center"/>
                    <w:outlineLvl w:val="9"/>
                    <w:rPr>
                      <w:rFonts w:hint="eastAsia"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7B5F439D">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甲苯</w:t>
                  </w:r>
                </w:p>
              </w:tc>
              <w:tc>
                <w:tcPr>
                  <w:tcW w:w="1191" w:type="pct"/>
                  <w:vMerge w:val="continue"/>
                  <w:shd w:val="clear" w:color="auto" w:fill="auto"/>
                  <w:vAlign w:val="center"/>
                </w:tcPr>
                <w:p w14:paraId="7340C388">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33302060">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05E2DE67">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1.3μg</w:t>
                  </w:r>
                  <w:r>
                    <w:rPr>
                      <w:rFonts w:hint="default" w:ascii="Times New Roman" w:hAnsi="Times New Roman" w:cs="Times New Roman"/>
                      <w:color w:val="auto"/>
                      <w:sz w:val="21"/>
                      <w:szCs w:val="21"/>
                      <w:highlight w:val="none"/>
                      <w:lang w:val="en-US" w:eastAsia="zh-CN" w:bidi="ar"/>
                    </w:rPr>
                    <w:t>/kg</w:t>
                  </w:r>
                </w:p>
              </w:tc>
            </w:tr>
            <w:tr w14:paraId="6B0C1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5E3E70D1">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5E9FF780">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间-二甲苯+对-二甲苯</w:t>
                  </w:r>
                </w:p>
              </w:tc>
              <w:tc>
                <w:tcPr>
                  <w:tcW w:w="1191" w:type="pct"/>
                  <w:vMerge w:val="continue"/>
                  <w:shd w:val="clear" w:color="auto" w:fill="auto"/>
                  <w:vAlign w:val="center"/>
                </w:tcPr>
                <w:p w14:paraId="2F8BCAB1">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7C08047D">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6A4140D3">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323DD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0E386D79">
                  <w:pPr>
                    <w:pStyle w:val="31"/>
                    <w:outlineLvl w:val="9"/>
                    <w:rPr>
                      <w:rFonts w:hint="default"/>
                      <w:color w:val="auto"/>
                      <w:highlight w:val="none"/>
                    </w:rPr>
                  </w:pPr>
                </w:p>
              </w:tc>
              <w:tc>
                <w:tcPr>
                  <w:tcW w:w="959" w:type="pct"/>
                  <w:shd w:val="clear" w:color="auto" w:fill="auto"/>
                  <w:vAlign w:val="center"/>
                </w:tcPr>
                <w:p w14:paraId="4E668E6B">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邻-二甲苯</w:t>
                  </w:r>
                </w:p>
              </w:tc>
              <w:tc>
                <w:tcPr>
                  <w:tcW w:w="1191" w:type="pct"/>
                  <w:vMerge w:val="continue"/>
                  <w:shd w:val="clear" w:color="auto" w:fill="auto"/>
                  <w:vAlign w:val="center"/>
                </w:tcPr>
                <w:p w14:paraId="450179F4">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588A2FA5">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3C3A932C">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1.2μg</w:t>
                  </w:r>
                  <w:r>
                    <w:rPr>
                      <w:rFonts w:hint="default" w:ascii="Times New Roman" w:hAnsi="Times New Roman" w:cs="Times New Roman"/>
                      <w:color w:val="auto"/>
                      <w:sz w:val="21"/>
                      <w:szCs w:val="21"/>
                      <w:highlight w:val="none"/>
                      <w:lang w:val="en-US" w:eastAsia="zh-CN" w:bidi="ar"/>
                    </w:rPr>
                    <w:t>/kg</w:t>
                  </w:r>
                </w:p>
              </w:tc>
            </w:tr>
            <w:tr w14:paraId="21951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1E48F4AB">
                  <w:pPr>
                    <w:pStyle w:val="31"/>
                    <w:outlineLvl w:val="9"/>
                    <w:rPr>
                      <w:rFonts w:hint="default"/>
                      <w:color w:val="auto"/>
                      <w:highlight w:val="none"/>
                    </w:rPr>
                  </w:pPr>
                </w:p>
              </w:tc>
              <w:tc>
                <w:tcPr>
                  <w:tcW w:w="959" w:type="pct"/>
                  <w:shd w:val="clear" w:color="auto" w:fill="auto"/>
                  <w:vAlign w:val="center"/>
                </w:tcPr>
                <w:p w14:paraId="35C03DCF">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硝基苯</w:t>
                  </w:r>
                </w:p>
              </w:tc>
              <w:tc>
                <w:tcPr>
                  <w:tcW w:w="1191" w:type="pct"/>
                  <w:vMerge w:val="restart"/>
                  <w:shd w:val="clear" w:color="auto" w:fill="FFFFFF"/>
                  <w:vAlign w:val="center"/>
                </w:tcPr>
                <w:p w14:paraId="3F86DE5F">
                  <w:pPr>
                    <w:keepNext w:val="0"/>
                    <w:keepLines w:val="0"/>
                    <w:widowControl/>
                    <w:suppressLineNumbers w:val="0"/>
                    <w:jc w:val="center"/>
                    <w:textAlignment w:val="top"/>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HJ 834-2017气相色谱-质谱法</w:t>
                  </w:r>
                </w:p>
              </w:tc>
              <w:tc>
                <w:tcPr>
                  <w:tcW w:w="1485" w:type="pct"/>
                  <w:vMerge w:val="restart"/>
                  <w:vAlign w:val="center"/>
                </w:tcPr>
                <w:p w14:paraId="319A60FE">
                  <w:pPr>
                    <w:keepNext w:val="0"/>
                    <w:keepLines w:val="0"/>
                    <w:widowControl/>
                    <w:suppressLineNumbers w:val="0"/>
                    <w:jc w:val="center"/>
                    <w:textAlignment w:val="top"/>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气相色谱-质谱联用仪</w:t>
                  </w:r>
                </w:p>
                <w:p w14:paraId="083875B9">
                  <w:pPr>
                    <w:keepNext w:val="0"/>
                    <w:keepLines w:val="0"/>
                    <w:widowControl/>
                    <w:suppressLineNumbers w:val="0"/>
                    <w:jc w:val="center"/>
                    <w:textAlignment w:val="top"/>
                    <w:outlineLvl w:val="9"/>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GCMS-QP2010SE</w:t>
                  </w:r>
                </w:p>
                <w:p w14:paraId="01456088">
                  <w:pPr>
                    <w:bidi w:val="0"/>
                    <w:jc w:val="center"/>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rPr>
                    <w:t>YQ01-</w:t>
                  </w:r>
                  <w:r>
                    <w:rPr>
                      <w:rFonts w:hint="default" w:ascii="Times New Roman" w:hAnsi="Times New Roman" w:cs="Times New Roman"/>
                      <w:color w:val="auto"/>
                      <w:sz w:val="21"/>
                      <w:szCs w:val="21"/>
                      <w:highlight w:val="none"/>
                      <w:lang w:val="en-US" w:eastAsia="zh-CN"/>
                    </w:rPr>
                    <w:t>010</w:t>
                  </w:r>
                </w:p>
              </w:tc>
              <w:tc>
                <w:tcPr>
                  <w:tcW w:w="734" w:type="pct"/>
                  <w:shd w:val="clear" w:color="auto" w:fill="auto"/>
                  <w:vAlign w:val="center"/>
                </w:tcPr>
                <w:p w14:paraId="1ED09A71">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0.09mg/kg</w:t>
                  </w:r>
                </w:p>
              </w:tc>
            </w:tr>
            <w:tr w14:paraId="5974A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34D7C1D4">
                  <w:pPr>
                    <w:pStyle w:val="31"/>
                    <w:outlineLvl w:val="9"/>
                    <w:rPr>
                      <w:rFonts w:hint="default"/>
                      <w:color w:val="auto"/>
                      <w:highlight w:val="none"/>
                    </w:rPr>
                  </w:pPr>
                </w:p>
              </w:tc>
              <w:tc>
                <w:tcPr>
                  <w:tcW w:w="959" w:type="pct"/>
                  <w:shd w:val="clear" w:color="auto" w:fill="auto"/>
                  <w:vAlign w:val="center"/>
                </w:tcPr>
                <w:p w14:paraId="4BC95840">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苯胺</w:t>
                  </w:r>
                </w:p>
              </w:tc>
              <w:tc>
                <w:tcPr>
                  <w:tcW w:w="1191" w:type="pct"/>
                  <w:vMerge w:val="continue"/>
                  <w:shd w:val="clear" w:color="auto" w:fill="auto"/>
                  <w:vAlign w:val="center"/>
                </w:tcPr>
                <w:p w14:paraId="3FE6E77C">
                  <w:pPr>
                    <w:widowControl/>
                    <w:jc w:val="center"/>
                    <w:textAlignment w:val="center"/>
                    <w:outlineLvl w:val="9"/>
                    <w:rPr>
                      <w:rFonts w:hint="default" w:ascii="Times New Roman" w:hAnsi="Times New Roman" w:eastAsiaTheme="minorEastAsia" w:cstheme="minorBidi"/>
                      <w:color w:val="auto"/>
                      <w:kern w:val="0"/>
                      <w:sz w:val="21"/>
                      <w:szCs w:val="21"/>
                      <w:highlight w:val="none"/>
                      <w:lang w:val="en-US" w:eastAsia="zh-CN" w:bidi="ar-SA"/>
                    </w:rPr>
                  </w:pPr>
                </w:p>
              </w:tc>
              <w:tc>
                <w:tcPr>
                  <w:tcW w:w="1485" w:type="pct"/>
                  <w:vMerge w:val="continue"/>
                  <w:vAlign w:val="center"/>
                </w:tcPr>
                <w:p w14:paraId="3C66BD90">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7D12D938">
                  <w:pPr>
                    <w:widowControl/>
                    <w:adjustRightInd w:val="0"/>
                    <w:snapToGrid w:val="0"/>
                    <w:jc w:val="center"/>
                    <w:outlineLvl w:val="9"/>
                    <w:rPr>
                      <w:rFonts w:hint="default" w:ascii="Times New Roman" w:hAnsi="Times New Roman" w:eastAsiaTheme="minorEastAsia" w:cstheme="minorBidi"/>
                      <w:color w:val="auto"/>
                      <w:kern w:val="0"/>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eastAsia="zh-CN"/>
                    </w:rPr>
                    <w:t>0.09mg/kg</w:t>
                  </w:r>
                </w:p>
              </w:tc>
            </w:tr>
            <w:tr w14:paraId="58985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17E8B3DC">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5F3F03C4">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2-氯酚</w:t>
                  </w:r>
                </w:p>
              </w:tc>
              <w:tc>
                <w:tcPr>
                  <w:tcW w:w="1191" w:type="pct"/>
                  <w:vMerge w:val="continue"/>
                  <w:shd w:val="clear" w:color="auto" w:fill="auto"/>
                  <w:vAlign w:val="center"/>
                </w:tcPr>
                <w:p w14:paraId="6075DB77">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6DCDF9B3">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2BE1ED57">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0.1mg/kg</w:t>
                  </w:r>
                </w:p>
              </w:tc>
            </w:tr>
            <w:tr w14:paraId="32D26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1763F20E">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42788009">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苯并[a]蒽</w:t>
                  </w:r>
                </w:p>
              </w:tc>
              <w:tc>
                <w:tcPr>
                  <w:tcW w:w="1191" w:type="pct"/>
                  <w:vMerge w:val="continue"/>
                  <w:shd w:val="clear" w:color="auto" w:fill="auto"/>
                  <w:vAlign w:val="center"/>
                </w:tcPr>
                <w:p w14:paraId="3C21C7FF">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4D4981F1">
                  <w:pPr>
                    <w:adjustRightInd w:val="0"/>
                    <w:snapToGrid w:val="0"/>
                    <w:jc w:val="center"/>
                    <w:outlineLvl w:val="9"/>
                    <w:rPr>
                      <w:rFonts w:hint="default" w:ascii="Times New Roman" w:hAnsi="Times New Roman" w:eastAsia="宋体" w:cs="Times New Roman"/>
                      <w:color w:val="auto"/>
                      <w:kern w:val="0"/>
                      <w:sz w:val="21"/>
                      <w:szCs w:val="21"/>
                      <w:highlight w:val="none"/>
                      <w:lang w:val="en-US" w:eastAsia="zh-CN"/>
                    </w:rPr>
                  </w:pPr>
                </w:p>
              </w:tc>
              <w:tc>
                <w:tcPr>
                  <w:tcW w:w="734" w:type="pct"/>
                  <w:shd w:val="clear" w:color="auto" w:fill="auto"/>
                  <w:vAlign w:val="center"/>
                </w:tcPr>
                <w:p w14:paraId="2E68D9E3">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0.1mg/kg</w:t>
                  </w:r>
                </w:p>
              </w:tc>
            </w:tr>
            <w:tr w14:paraId="54EFC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3B67F83F">
                  <w:pPr>
                    <w:spacing w:line="360" w:lineRule="auto"/>
                    <w:jc w:val="center"/>
                    <w:outlineLvl w:val="9"/>
                    <w:rPr>
                      <w:rFonts w:hint="default"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34395F68">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苯并[a]芘</w:t>
                  </w:r>
                </w:p>
              </w:tc>
              <w:tc>
                <w:tcPr>
                  <w:tcW w:w="1191" w:type="pct"/>
                  <w:vMerge w:val="continue"/>
                  <w:shd w:val="clear" w:color="auto" w:fill="auto"/>
                  <w:vAlign w:val="center"/>
                </w:tcPr>
                <w:p w14:paraId="6B82ECF1">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05E1AE18">
                  <w:pPr>
                    <w:widowControl/>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11DCE923">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0.1mg/kg</w:t>
                  </w:r>
                </w:p>
              </w:tc>
            </w:tr>
            <w:tr w14:paraId="08B5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25C06F30">
                  <w:pPr>
                    <w:spacing w:line="360" w:lineRule="auto"/>
                    <w:jc w:val="center"/>
                    <w:outlineLvl w:val="9"/>
                    <w:rPr>
                      <w:rFonts w:hint="default" w:ascii="Times New Roman" w:hAnsi="Times New Roman" w:eastAsia="宋体" w:cs="Times New Roman"/>
                      <w:color w:val="auto"/>
                      <w:kern w:val="0"/>
                      <w:sz w:val="21"/>
                      <w:szCs w:val="21"/>
                      <w:highlight w:val="none"/>
                      <w:lang w:val="en-US" w:eastAsia="zh-CN"/>
                    </w:rPr>
                  </w:pPr>
                </w:p>
              </w:tc>
              <w:tc>
                <w:tcPr>
                  <w:tcW w:w="959" w:type="pct"/>
                  <w:shd w:val="clear" w:color="auto" w:fill="auto"/>
                  <w:vAlign w:val="center"/>
                </w:tcPr>
                <w:p w14:paraId="1A9BA21E">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苯并[b]荧蒽</w:t>
                  </w:r>
                </w:p>
              </w:tc>
              <w:tc>
                <w:tcPr>
                  <w:tcW w:w="1191" w:type="pct"/>
                  <w:vMerge w:val="continue"/>
                  <w:shd w:val="clear" w:color="auto" w:fill="auto"/>
                  <w:vAlign w:val="center"/>
                </w:tcPr>
                <w:p w14:paraId="6B961FD7">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50254545">
                  <w:pPr>
                    <w:widowControl/>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1155E830">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0.2mg/kg</w:t>
                  </w:r>
                </w:p>
              </w:tc>
            </w:tr>
            <w:tr w14:paraId="386D3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770E7B22">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3C79FAE6">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苯并[k]荧蒽</w:t>
                  </w:r>
                </w:p>
              </w:tc>
              <w:tc>
                <w:tcPr>
                  <w:tcW w:w="1191" w:type="pct"/>
                  <w:vMerge w:val="continue"/>
                  <w:shd w:val="clear" w:color="auto" w:fill="auto"/>
                  <w:vAlign w:val="center"/>
                </w:tcPr>
                <w:p w14:paraId="0354DC0C">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376B3229">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4875FEC4">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0.1mg/kg</w:t>
                  </w:r>
                </w:p>
              </w:tc>
            </w:tr>
            <w:tr w14:paraId="3D099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29" w:type="pct"/>
                  <w:vMerge w:val="continue"/>
                  <w:vAlign w:val="center"/>
                </w:tcPr>
                <w:p w14:paraId="2AEA6542">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3FAFD10E">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䓛</w:t>
                  </w:r>
                </w:p>
              </w:tc>
              <w:tc>
                <w:tcPr>
                  <w:tcW w:w="1191" w:type="pct"/>
                  <w:vMerge w:val="continue"/>
                  <w:shd w:val="clear" w:color="auto" w:fill="auto"/>
                  <w:vAlign w:val="center"/>
                </w:tcPr>
                <w:p w14:paraId="2A1D63B6">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7E2F7946">
                  <w:pPr>
                    <w:adjustRightInd w:val="0"/>
                    <w:snapToGrid w:val="0"/>
                    <w:jc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0FD8DEDC">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0.1mg/kg</w:t>
                  </w:r>
                </w:p>
              </w:tc>
            </w:tr>
            <w:tr w14:paraId="41BE7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5EBE65A0">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336F75EC">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二苯并[a,h]蒽</w:t>
                  </w:r>
                </w:p>
              </w:tc>
              <w:tc>
                <w:tcPr>
                  <w:tcW w:w="1191" w:type="pct"/>
                  <w:vMerge w:val="continue"/>
                  <w:shd w:val="clear" w:color="auto" w:fill="auto"/>
                  <w:vAlign w:val="center"/>
                </w:tcPr>
                <w:p w14:paraId="46A1EC03">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7FDE3E78">
                  <w:pPr>
                    <w:widowControl/>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780165E0">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0.1mg/kg</w:t>
                  </w:r>
                </w:p>
              </w:tc>
            </w:tr>
            <w:tr w14:paraId="24C46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29" w:type="pct"/>
                  <w:vMerge w:val="continue"/>
                  <w:vAlign w:val="center"/>
                </w:tcPr>
                <w:p w14:paraId="266C98AB">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06A8B139">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茚并[1,2,3-cd]芘</w:t>
                  </w:r>
                </w:p>
              </w:tc>
              <w:tc>
                <w:tcPr>
                  <w:tcW w:w="1191" w:type="pct"/>
                  <w:vMerge w:val="continue"/>
                  <w:shd w:val="clear" w:color="auto" w:fill="auto"/>
                  <w:vAlign w:val="center"/>
                </w:tcPr>
                <w:p w14:paraId="7F2897D1">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012B0A21">
                  <w:pPr>
                    <w:widowControl/>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42E4FD0C">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0.1mg/kg</w:t>
                  </w:r>
                </w:p>
              </w:tc>
            </w:tr>
            <w:tr w14:paraId="311AD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29" w:type="pct"/>
                  <w:vMerge w:val="continue"/>
                  <w:vAlign w:val="center"/>
                </w:tcPr>
                <w:p w14:paraId="4D1A9248">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auto"/>
                  <w:vAlign w:val="center"/>
                </w:tcPr>
                <w:p w14:paraId="0F16DAA5">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萘</w:t>
                  </w:r>
                </w:p>
              </w:tc>
              <w:tc>
                <w:tcPr>
                  <w:tcW w:w="1191" w:type="pct"/>
                  <w:vMerge w:val="continue"/>
                  <w:shd w:val="clear" w:color="auto" w:fill="auto"/>
                  <w:vAlign w:val="center"/>
                </w:tcPr>
                <w:p w14:paraId="28AE56FB">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p>
              </w:tc>
              <w:tc>
                <w:tcPr>
                  <w:tcW w:w="1485" w:type="pct"/>
                  <w:vMerge w:val="continue"/>
                  <w:vAlign w:val="center"/>
                </w:tcPr>
                <w:p w14:paraId="7DE9457E">
                  <w:pPr>
                    <w:widowControl/>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734" w:type="pct"/>
                  <w:shd w:val="clear" w:color="auto" w:fill="auto"/>
                  <w:vAlign w:val="center"/>
                </w:tcPr>
                <w:p w14:paraId="77A9E733">
                  <w:pPr>
                    <w:bidi w:val="0"/>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0.09</w:t>
                  </w:r>
                  <w:r>
                    <w:rPr>
                      <w:rFonts w:hint="default" w:ascii="Times New Roman" w:hAnsi="Times New Roman" w:cs="Times New Roman"/>
                      <w:color w:val="auto"/>
                      <w:sz w:val="21"/>
                      <w:szCs w:val="21"/>
                      <w:highlight w:val="none"/>
                      <w:lang w:val="en-US" w:eastAsia="zh-CN"/>
                    </w:rPr>
                    <w:t>mg/kg</w:t>
                  </w:r>
                </w:p>
              </w:tc>
            </w:tr>
            <w:tr w14:paraId="0FFCC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629" w:type="pct"/>
                  <w:vMerge w:val="continue"/>
                  <w:vAlign w:val="center"/>
                </w:tcPr>
                <w:p w14:paraId="3496050E">
                  <w:pPr>
                    <w:spacing w:line="360" w:lineRule="auto"/>
                    <w:jc w:val="center"/>
                    <w:outlineLvl w:val="9"/>
                    <w:rPr>
                      <w:rFonts w:hint="default" w:ascii="Times New Roman" w:hAnsi="Times New Roman" w:eastAsia="宋体" w:cs="Times New Roman"/>
                      <w:color w:val="auto"/>
                      <w:kern w:val="0"/>
                      <w:sz w:val="21"/>
                      <w:szCs w:val="21"/>
                      <w:highlight w:val="none"/>
                    </w:rPr>
                  </w:pPr>
                </w:p>
              </w:tc>
              <w:tc>
                <w:tcPr>
                  <w:tcW w:w="959" w:type="pct"/>
                  <w:shd w:val="clear" w:color="auto" w:fill="FFFFFF"/>
                  <w:vAlign w:val="center"/>
                </w:tcPr>
                <w:p w14:paraId="4B2DDA6C">
                  <w:pPr>
                    <w:keepNext w:val="0"/>
                    <w:keepLines w:val="0"/>
                    <w:widowControl/>
                    <w:suppressLineNumbers w:val="0"/>
                    <w:jc w:val="center"/>
                    <w:textAlignment w:val="top"/>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石油烃（C</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10</w:t>
                  </w:r>
                  <w:r>
                    <w:rPr>
                      <w:rFonts w:hint="default" w:ascii="Times New Roman" w:hAnsi="Times New Roman" w:eastAsia="宋体" w:cs="Times New Roman"/>
                      <w:i w:val="0"/>
                      <w:iCs w:val="0"/>
                      <w:color w:val="auto"/>
                      <w:kern w:val="0"/>
                      <w:sz w:val="21"/>
                      <w:szCs w:val="21"/>
                      <w:highlight w:val="none"/>
                      <w:u w:val="none"/>
                      <w:lang w:val="en-US" w:eastAsia="zh-CN" w:bidi="ar"/>
                    </w:rPr>
                    <w:t>-C</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40</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191" w:type="pct"/>
                  <w:shd w:val="clear" w:color="auto" w:fill="FFFFFF"/>
                  <w:vAlign w:val="center"/>
                </w:tcPr>
                <w:p w14:paraId="22D7A65F">
                  <w:pPr>
                    <w:keepNext w:val="0"/>
                    <w:keepLines w:val="0"/>
                    <w:widowControl/>
                    <w:suppressLineNumbers w:val="0"/>
                    <w:jc w:val="center"/>
                    <w:textAlignment w:val="top"/>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HJ 1021-2019气相色谱法</w:t>
                  </w:r>
                </w:p>
              </w:tc>
              <w:tc>
                <w:tcPr>
                  <w:tcW w:w="1485" w:type="pct"/>
                  <w:shd w:val="clear" w:color="auto" w:fill="FFFFFF"/>
                  <w:vAlign w:val="center"/>
                </w:tcPr>
                <w:p w14:paraId="62CCDA4A">
                  <w:pPr>
                    <w:spacing w:line="320" w:lineRule="exact"/>
                    <w:jc w:val="center"/>
                    <w:outlineLvl w:val="9"/>
                    <w:rPr>
                      <w:rFonts w:hint="default" w:ascii="Times New Roman" w:hAnsi="Times New Roman" w:eastAsia="宋体" w:cs="Times New Roman"/>
                      <w:color w:val="auto"/>
                      <w:sz w:val="22"/>
                      <w:szCs w:val="22"/>
                      <w:highlight w:val="none"/>
                      <w:lang w:val="en-US" w:eastAsia="zh-CN"/>
                    </w:rPr>
                  </w:pPr>
                  <w:r>
                    <w:rPr>
                      <w:rFonts w:hint="default" w:ascii="Times New Roman" w:hAnsi="Times New Roman" w:eastAsia="宋体" w:cs="Times New Roman"/>
                      <w:color w:val="auto"/>
                      <w:sz w:val="22"/>
                      <w:szCs w:val="22"/>
                      <w:highlight w:val="none"/>
                      <w:lang w:val="en-US" w:eastAsia="zh-CN"/>
                    </w:rPr>
                    <w:t>气相色谱仪A60</w:t>
                  </w:r>
                </w:p>
                <w:p w14:paraId="65589ED6">
                  <w:pPr>
                    <w:keepNext w:val="0"/>
                    <w:keepLines w:val="0"/>
                    <w:widowControl/>
                    <w:suppressLineNumbers w:val="0"/>
                    <w:jc w:val="center"/>
                    <w:textAlignment w:val="top"/>
                    <w:outlineLvl w:val="9"/>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2"/>
                      <w:szCs w:val="22"/>
                      <w:highlight w:val="none"/>
                    </w:rPr>
                    <w:t>YQ01-</w:t>
                  </w:r>
                  <w:r>
                    <w:rPr>
                      <w:rFonts w:hint="default" w:ascii="Times New Roman" w:hAnsi="Times New Roman" w:cs="Times New Roman"/>
                      <w:color w:val="auto"/>
                      <w:sz w:val="22"/>
                      <w:szCs w:val="22"/>
                      <w:highlight w:val="none"/>
                      <w:lang w:val="en-US" w:eastAsia="zh-CN"/>
                    </w:rPr>
                    <w:t>001</w:t>
                  </w:r>
                </w:p>
              </w:tc>
              <w:tc>
                <w:tcPr>
                  <w:tcW w:w="734" w:type="pct"/>
                  <w:shd w:val="clear" w:color="auto" w:fill="FFFFFF"/>
                  <w:vAlign w:val="center"/>
                </w:tcPr>
                <w:p w14:paraId="4B5E806D">
                  <w:pPr>
                    <w:jc w:val="center"/>
                    <w:textAlignment w:val="bottom"/>
                    <w:outlineLvl w:val="9"/>
                    <w:rPr>
                      <w:rFonts w:hint="default" w:ascii="Times New Roman" w:hAnsi="Times New Roman" w:cs="Times New Roman" w:eastAsiaTheme="minorEastAsia"/>
                      <w:color w:val="auto"/>
                      <w:kern w:val="2"/>
                      <w:sz w:val="21"/>
                      <w:szCs w:val="21"/>
                      <w:highlight w:val="none"/>
                      <w:lang w:val="en-US" w:eastAsia="zh-CN" w:bidi="ar"/>
                    </w:rPr>
                  </w:pPr>
                  <w:r>
                    <w:rPr>
                      <w:rFonts w:hint="default" w:ascii="Times New Roman" w:hAnsi="Times New Roman" w:cs="Times New Roman"/>
                      <w:color w:val="auto"/>
                      <w:sz w:val="21"/>
                      <w:szCs w:val="21"/>
                      <w:highlight w:val="none"/>
                      <w:lang w:val="en-US" w:eastAsia="zh-CN" w:bidi="ar"/>
                    </w:rPr>
                    <w:t>6mg/kg</w:t>
                  </w:r>
                </w:p>
              </w:tc>
            </w:tr>
          </w:tbl>
          <w:p w14:paraId="0262E29B">
            <w:pPr>
              <w:jc w:val="center"/>
              <w:outlineLvl w:val="9"/>
              <w:rPr>
                <w:rFonts w:hint="default" w:ascii="Times New Roman" w:hAnsi="Times New Roman" w:cs="Times New Roman"/>
                <w:b/>
                <w:bCs/>
                <w:color w:val="auto"/>
                <w:szCs w:val="21"/>
              </w:rPr>
            </w:pPr>
          </w:p>
          <w:p w14:paraId="23B03B11">
            <w:pPr>
              <w:jc w:val="center"/>
              <w:outlineLvl w:val="9"/>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eastAsia" w:cs="Times New Roman"/>
                <w:b/>
                <w:bCs/>
                <w:color w:val="auto"/>
                <w:szCs w:val="21"/>
                <w:lang w:val="en-US" w:eastAsia="zh-CN"/>
              </w:rPr>
              <w:t>12</w:t>
            </w:r>
            <w:r>
              <w:rPr>
                <w:rFonts w:hint="default" w:ascii="Times New Roman" w:hAnsi="Times New Roman" w:cs="Times New Roman"/>
                <w:b/>
                <w:bCs/>
                <w:color w:val="auto"/>
                <w:szCs w:val="21"/>
              </w:rPr>
              <w:t xml:space="preserve">  土壤检测结果</w:t>
            </w:r>
          </w:p>
          <w:tbl>
            <w:tblPr>
              <w:tblStyle w:val="32"/>
              <w:tblW w:w="4998" w:type="pct"/>
              <w:tblInd w:w="-7"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346"/>
              <w:gridCol w:w="1969"/>
              <w:gridCol w:w="1509"/>
              <w:gridCol w:w="1261"/>
              <w:gridCol w:w="1264"/>
            </w:tblGrid>
            <w:tr w14:paraId="3D45CD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1405" w:type="pct"/>
                  <w:tcBorders>
                    <w:tl2br w:val="nil"/>
                    <w:tr2bl w:val="nil"/>
                  </w:tcBorders>
                  <w:vAlign w:val="center"/>
                </w:tcPr>
                <w:p w14:paraId="7697FA7F">
                  <w:pPr>
                    <w:adjustRightInd w:val="0"/>
                    <w:snapToGrid w:val="0"/>
                    <w:jc w:val="center"/>
                    <w:outlineLvl w:val="9"/>
                    <w:rPr>
                      <w:rFonts w:hint="default" w:ascii="Times New Roman" w:hAnsi="Times New Roman" w:cs="Times New Roman"/>
                      <w:b/>
                      <w:color w:val="auto"/>
                      <w:szCs w:val="21"/>
                    </w:rPr>
                  </w:pPr>
                  <w:r>
                    <w:rPr>
                      <w:rFonts w:hint="default" w:ascii="Times New Roman" w:hAnsi="Times New Roman" w:cs="Times New Roman"/>
                      <w:b/>
                      <w:color w:val="auto"/>
                      <w:szCs w:val="21"/>
                    </w:rPr>
                    <w:t>采样日期</w:t>
                  </w:r>
                </w:p>
              </w:tc>
              <w:tc>
                <w:tcPr>
                  <w:tcW w:w="1179" w:type="pct"/>
                  <w:tcBorders>
                    <w:tl2br w:val="nil"/>
                    <w:tr2bl w:val="nil"/>
                  </w:tcBorders>
                  <w:vAlign w:val="center"/>
                </w:tcPr>
                <w:p w14:paraId="40DEC0E6">
                  <w:pPr>
                    <w:adjustRightInd w:val="0"/>
                    <w:snapToGrid w:val="0"/>
                    <w:jc w:val="center"/>
                    <w:outlineLvl w:val="9"/>
                    <w:rPr>
                      <w:rFonts w:hint="default" w:ascii="Times New Roman" w:hAnsi="Times New Roman" w:eastAsia="宋体" w:cs="Times New Roman"/>
                      <w:b/>
                      <w:bCs/>
                      <w:color w:val="auto"/>
                      <w:szCs w:val="21"/>
                      <w:lang w:eastAsia="zh-CN"/>
                    </w:rPr>
                  </w:pPr>
                  <w:r>
                    <w:rPr>
                      <w:rFonts w:hint="eastAsia" w:ascii="Times New Roman" w:hAnsi="Times New Roman" w:eastAsia="宋体" w:cs="Times New Roman"/>
                      <w:b/>
                      <w:bCs/>
                      <w:color w:val="auto"/>
                      <w:szCs w:val="21"/>
                      <w:lang w:val="en-US" w:eastAsia="zh-CN"/>
                    </w:rPr>
                    <w:t>2025.09.17</w:t>
                  </w:r>
                </w:p>
              </w:tc>
              <w:tc>
                <w:tcPr>
                  <w:tcW w:w="904" w:type="pct"/>
                  <w:vMerge w:val="restart"/>
                  <w:tcBorders>
                    <w:tl2br w:val="nil"/>
                    <w:tr2bl w:val="nil"/>
                  </w:tcBorders>
                  <w:vAlign w:val="center"/>
                </w:tcPr>
                <w:p w14:paraId="6D280619">
                  <w:pPr>
                    <w:adjustRightInd w:val="0"/>
                    <w:snapToGrid w:val="0"/>
                    <w:jc w:val="center"/>
                    <w:outlineLvl w:val="9"/>
                    <w:rPr>
                      <w:rFonts w:hint="default" w:ascii="Times New Roman" w:hAnsi="Times New Roman" w:cs="Times New Roman"/>
                      <w:b/>
                      <w:color w:val="auto"/>
                      <w:szCs w:val="21"/>
                    </w:rPr>
                  </w:pPr>
                  <w:r>
                    <w:rPr>
                      <w:rFonts w:hint="default" w:ascii="Times New Roman" w:hAnsi="Times New Roman" w:cs="Times New Roman"/>
                      <w:b/>
                      <w:color w:val="auto"/>
                      <w:szCs w:val="21"/>
                    </w:rPr>
                    <w:t>单位</w:t>
                  </w:r>
                </w:p>
              </w:tc>
              <w:tc>
                <w:tcPr>
                  <w:tcW w:w="755" w:type="pct"/>
                  <w:vMerge w:val="restart"/>
                  <w:tcBorders>
                    <w:tl2br w:val="nil"/>
                    <w:tr2bl w:val="nil"/>
                  </w:tcBorders>
                  <w:vAlign w:val="center"/>
                </w:tcPr>
                <w:p w14:paraId="32292984">
                  <w:pPr>
                    <w:adjustRightInd w:val="0"/>
                    <w:snapToGrid w:val="0"/>
                    <w:jc w:val="center"/>
                    <w:outlineLvl w:val="9"/>
                    <w:rPr>
                      <w:rFonts w:hint="default" w:ascii="Times New Roman" w:hAnsi="Times New Roman" w:eastAsia="宋体" w:cs="Times New Roman"/>
                      <w:b/>
                      <w:color w:val="auto"/>
                      <w:szCs w:val="21"/>
                      <w:lang w:val="en-US" w:eastAsia="zh-CN"/>
                    </w:rPr>
                  </w:pPr>
                  <w:r>
                    <w:rPr>
                      <w:rFonts w:hint="default" w:ascii="Times New Roman" w:hAnsi="Times New Roman" w:cs="Times New Roman"/>
                      <w:b/>
                      <w:color w:val="auto"/>
                      <w:szCs w:val="21"/>
                    </w:rPr>
                    <w:t>标准</w:t>
                  </w:r>
                  <w:r>
                    <w:rPr>
                      <w:rFonts w:hint="default" w:ascii="Times New Roman" w:hAnsi="Times New Roman" w:cs="Times New Roman"/>
                      <w:b/>
                      <w:color w:val="auto"/>
                      <w:szCs w:val="21"/>
                      <w:lang w:val="en-US" w:eastAsia="zh-CN"/>
                    </w:rPr>
                    <w:t>值</w:t>
                  </w:r>
                </w:p>
              </w:tc>
              <w:tc>
                <w:tcPr>
                  <w:tcW w:w="755" w:type="pct"/>
                  <w:vMerge w:val="restart"/>
                  <w:tcBorders>
                    <w:tl2br w:val="nil"/>
                    <w:tr2bl w:val="nil"/>
                  </w:tcBorders>
                  <w:vAlign w:val="center"/>
                </w:tcPr>
                <w:p w14:paraId="0813D0DD">
                  <w:pPr>
                    <w:adjustRightInd w:val="0"/>
                    <w:snapToGrid w:val="0"/>
                    <w:jc w:val="center"/>
                    <w:outlineLvl w:val="9"/>
                    <w:rPr>
                      <w:rFonts w:hint="default" w:ascii="Times New Roman" w:hAnsi="Times New Roman" w:eastAsia="宋体" w:cs="Times New Roman"/>
                      <w:b/>
                      <w:color w:val="auto"/>
                      <w:szCs w:val="21"/>
                      <w:lang w:val="en-US" w:eastAsia="zh-CN"/>
                    </w:rPr>
                  </w:pPr>
                  <w:r>
                    <w:rPr>
                      <w:rFonts w:hint="default" w:ascii="Times New Roman" w:hAnsi="Times New Roman" w:cs="Times New Roman"/>
                      <w:b/>
                      <w:color w:val="auto"/>
                      <w:szCs w:val="21"/>
                      <w:lang w:val="en-US" w:eastAsia="zh-CN"/>
                    </w:rPr>
                    <w:t>达标情况</w:t>
                  </w:r>
                </w:p>
              </w:tc>
            </w:tr>
            <w:tr w14:paraId="2CCFDCD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405" w:type="pct"/>
                  <w:tcBorders>
                    <w:tl2br w:val="nil"/>
                    <w:tr2bl w:val="nil"/>
                  </w:tcBorders>
                  <w:vAlign w:val="center"/>
                </w:tcPr>
                <w:p w14:paraId="4EAB23DF">
                  <w:pPr>
                    <w:adjustRightInd w:val="0"/>
                    <w:snapToGrid w:val="0"/>
                    <w:jc w:val="center"/>
                    <w:outlineLvl w:val="9"/>
                    <w:rPr>
                      <w:rFonts w:hint="default" w:ascii="Times New Roman" w:hAnsi="Times New Roman" w:cs="Times New Roman"/>
                      <w:color w:val="auto"/>
                      <w:szCs w:val="21"/>
                    </w:rPr>
                  </w:pPr>
                  <w:r>
                    <w:rPr>
                      <w:rFonts w:hint="default" w:ascii="Times New Roman" w:hAnsi="Times New Roman" w:cs="Times New Roman"/>
                      <w:b/>
                      <w:bCs/>
                      <w:color w:val="auto"/>
                      <w:szCs w:val="21"/>
                    </w:rPr>
                    <w:t>采样点位</w:t>
                  </w:r>
                </w:p>
              </w:tc>
              <w:tc>
                <w:tcPr>
                  <w:tcW w:w="1179" w:type="pct"/>
                  <w:tcBorders>
                    <w:tl2br w:val="nil"/>
                    <w:tr2bl w:val="nil"/>
                  </w:tcBorders>
                  <w:vAlign w:val="center"/>
                </w:tcPr>
                <w:p w14:paraId="6384D09B">
                  <w:pPr>
                    <w:adjustRightInd w:val="0"/>
                    <w:snapToGrid w:val="0"/>
                    <w:jc w:val="center"/>
                    <w:outlineLvl w:val="9"/>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val="en-US" w:eastAsia="zh-CN"/>
                    </w:rPr>
                    <w:t>乳化震源药柱生产工房附近（T1）</w:t>
                  </w:r>
                </w:p>
              </w:tc>
              <w:tc>
                <w:tcPr>
                  <w:tcW w:w="904" w:type="pct"/>
                  <w:vMerge w:val="continue"/>
                  <w:tcBorders>
                    <w:tl2br w:val="nil"/>
                    <w:tr2bl w:val="nil"/>
                  </w:tcBorders>
                  <w:vAlign w:val="center"/>
                </w:tcPr>
                <w:p w14:paraId="126903EB">
                  <w:pPr>
                    <w:adjustRightInd w:val="0"/>
                    <w:snapToGrid w:val="0"/>
                    <w:jc w:val="center"/>
                    <w:outlineLvl w:val="9"/>
                    <w:rPr>
                      <w:rFonts w:hint="default" w:ascii="Times New Roman" w:hAnsi="Times New Roman" w:cs="Times New Roman"/>
                      <w:b/>
                      <w:color w:val="auto"/>
                      <w:szCs w:val="21"/>
                    </w:rPr>
                  </w:pPr>
                </w:p>
              </w:tc>
              <w:tc>
                <w:tcPr>
                  <w:tcW w:w="755" w:type="pct"/>
                  <w:vMerge w:val="continue"/>
                  <w:tcBorders>
                    <w:tl2br w:val="nil"/>
                    <w:tr2bl w:val="nil"/>
                  </w:tcBorders>
                  <w:vAlign w:val="center"/>
                </w:tcPr>
                <w:p w14:paraId="08E16F17">
                  <w:pPr>
                    <w:adjustRightInd w:val="0"/>
                    <w:snapToGrid w:val="0"/>
                    <w:jc w:val="center"/>
                    <w:outlineLvl w:val="9"/>
                    <w:rPr>
                      <w:rFonts w:hint="default" w:ascii="Times New Roman" w:hAnsi="Times New Roman" w:cs="Times New Roman"/>
                      <w:b/>
                      <w:color w:val="auto"/>
                      <w:szCs w:val="21"/>
                    </w:rPr>
                  </w:pPr>
                </w:p>
              </w:tc>
              <w:tc>
                <w:tcPr>
                  <w:tcW w:w="755" w:type="pct"/>
                  <w:vMerge w:val="continue"/>
                  <w:tcBorders>
                    <w:tl2br w:val="nil"/>
                    <w:tr2bl w:val="nil"/>
                  </w:tcBorders>
                  <w:vAlign w:val="center"/>
                </w:tcPr>
                <w:p w14:paraId="7EB8E56C">
                  <w:pPr>
                    <w:adjustRightInd w:val="0"/>
                    <w:snapToGrid w:val="0"/>
                    <w:jc w:val="center"/>
                    <w:outlineLvl w:val="9"/>
                    <w:rPr>
                      <w:rFonts w:hint="default" w:ascii="Times New Roman" w:hAnsi="Times New Roman" w:cs="Times New Roman"/>
                      <w:b/>
                      <w:color w:val="auto"/>
                      <w:szCs w:val="21"/>
                    </w:rPr>
                  </w:pPr>
                </w:p>
              </w:tc>
            </w:tr>
            <w:tr w14:paraId="3E4C862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E386899">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rPr>
                    <w:t>铜</w:t>
                  </w:r>
                </w:p>
              </w:tc>
              <w:tc>
                <w:tcPr>
                  <w:tcW w:w="1179" w:type="pct"/>
                  <w:tcBorders>
                    <w:tl2br w:val="nil"/>
                    <w:tr2bl w:val="nil"/>
                  </w:tcBorders>
                  <w:vAlign w:val="center"/>
                </w:tcPr>
                <w:p w14:paraId="2E29782E">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2"/>
                      <w:sz w:val="21"/>
                      <w:szCs w:val="21"/>
                      <w:lang w:val="en-US" w:eastAsia="zh-CN" w:bidi="ar-SA"/>
                    </w:rPr>
                    <w:t>46</w:t>
                  </w:r>
                </w:p>
              </w:tc>
              <w:tc>
                <w:tcPr>
                  <w:tcW w:w="904" w:type="pct"/>
                  <w:tcBorders>
                    <w:tl2br w:val="nil"/>
                    <w:tr2bl w:val="nil"/>
                  </w:tcBorders>
                  <w:vAlign w:val="center"/>
                </w:tcPr>
                <w:p w14:paraId="68820258">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55" w:type="pct"/>
                  <w:tcBorders>
                    <w:tl2br w:val="nil"/>
                    <w:tr2bl w:val="nil"/>
                  </w:tcBorders>
                  <w:vAlign w:val="center"/>
                </w:tcPr>
                <w:p w14:paraId="20B13188">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755" w:type="pct"/>
                  <w:tcBorders>
                    <w:tl2br w:val="nil"/>
                    <w:tr2bl w:val="nil"/>
                  </w:tcBorders>
                  <w:vAlign w:val="center"/>
                </w:tcPr>
                <w:p w14:paraId="7348B062">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769DAD8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6D31B6F7">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rPr>
                    <w:t>铅</w:t>
                  </w:r>
                </w:p>
              </w:tc>
              <w:tc>
                <w:tcPr>
                  <w:tcW w:w="1179" w:type="pct"/>
                  <w:tcBorders>
                    <w:tl2br w:val="nil"/>
                    <w:tr2bl w:val="nil"/>
                  </w:tcBorders>
                  <w:vAlign w:val="center"/>
                </w:tcPr>
                <w:p w14:paraId="2857DA22">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2"/>
                      <w:sz w:val="21"/>
                      <w:szCs w:val="21"/>
                      <w:lang w:val="en-US" w:eastAsia="zh-CN" w:bidi="ar-SA"/>
                    </w:rPr>
                    <w:t>41</w:t>
                  </w:r>
                </w:p>
              </w:tc>
              <w:tc>
                <w:tcPr>
                  <w:tcW w:w="904" w:type="pct"/>
                  <w:tcBorders>
                    <w:tl2br w:val="nil"/>
                    <w:tr2bl w:val="nil"/>
                  </w:tcBorders>
                  <w:vAlign w:val="center"/>
                </w:tcPr>
                <w:p w14:paraId="737C3141">
                  <w:pPr>
                    <w:jc w:val="center"/>
                    <w:outlineLvl w:val="9"/>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55" w:type="pct"/>
                  <w:tcBorders>
                    <w:tl2br w:val="nil"/>
                    <w:tr2bl w:val="nil"/>
                  </w:tcBorders>
                  <w:vAlign w:val="center"/>
                </w:tcPr>
                <w:p w14:paraId="22EB93E6">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38</w:t>
                  </w:r>
                </w:p>
              </w:tc>
              <w:tc>
                <w:tcPr>
                  <w:tcW w:w="755" w:type="pct"/>
                  <w:tcBorders>
                    <w:tl2br w:val="nil"/>
                    <w:tr2bl w:val="nil"/>
                  </w:tcBorders>
                  <w:vAlign w:val="center"/>
                </w:tcPr>
                <w:p w14:paraId="5C4BD80F">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2E49DD2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4279DE52">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rPr>
                    <w:t>镉</w:t>
                  </w:r>
                </w:p>
              </w:tc>
              <w:tc>
                <w:tcPr>
                  <w:tcW w:w="1179" w:type="pct"/>
                  <w:tcBorders>
                    <w:tl2br w:val="nil"/>
                    <w:tr2bl w:val="nil"/>
                  </w:tcBorders>
                  <w:vAlign w:val="center"/>
                </w:tcPr>
                <w:p w14:paraId="6BD949AD">
                  <w:pPr>
                    <w:autoSpaceDE w:val="0"/>
                    <w:autoSpaceDN w:val="0"/>
                    <w:adjustRightInd w:val="0"/>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2"/>
                      <w:sz w:val="21"/>
                      <w:szCs w:val="21"/>
                      <w:lang w:val="en-US" w:eastAsia="zh-CN" w:bidi="ar-SA"/>
                    </w:rPr>
                    <w:t>0.29</w:t>
                  </w:r>
                </w:p>
              </w:tc>
              <w:tc>
                <w:tcPr>
                  <w:tcW w:w="904" w:type="pct"/>
                  <w:tcBorders>
                    <w:tl2br w:val="nil"/>
                    <w:tr2bl w:val="nil"/>
                  </w:tcBorders>
                  <w:vAlign w:val="center"/>
                </w:tcPr>
                <w:p w14:paraId="2AED8F5F">
                  <w:pPr>
                    <w:jc w:val="center"/>
                    <w:outlineLvl w:val="9"/>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55" w:type="pct"/>
                  <w:tcBorders>
                    <w:tl2br w:val="nil"/>
                    <w:tr2bl w:val="nil"/>
                  </w:tcBorders>
                  <w:vAlign w:val="center"/>
                </w:tcPr>
                <w:p w14:paraId="7A84D7EB">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65</w:t>
                  </w:r>
                </w:p>
              </w:tc>
              <w:tc>
                <w:tcPr>
                  <w:tcW w:w="755" w:type="pct"/>
                  <w:tcBorders>
                    <w:tl2br w:val="nil"/>
                    <w:tr2bl w:val="nil"/>
                  </w:tcBorders>
                  <w:vAlign w:val="center"/>
                </w:tcPr>
                <w:p w14:paraId="4F16B731">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5B45E94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30F7A73">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rPr>
                    <w:t>汞</w:t>
                  </w:r>
                </w:p>
              </w:tc>
              <w:tc>
                <w:tcPr>
                  <w:tcW w:w="1179" w:type="pct"/>
                  <w:tcBorders>
                    <w:tl2br w:val="nil"/>
                    <w:tr2bl w:val="nil"/>
                  </w:tcBorders>
                  <w:vAlign w:val="center"/>
                </w:tcPr>
                <w:p w14:paraId="2146CB30">
                  <w:pPr>
                    <w:autoSpaceDE w:val="0"/>
                    <w:autoSpaceDN w:val="0"/>
                    <w:adjustRightInd w:val="0"/>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2"/>
                      <w:sz w:val="21"/>
                      <w:szCs w:val="21"/>
                      <w:lang w:val="en-US" w:eastAsia="zh-CN" w:bidi="ar-SA"/>
                    </w:rPr>
                    <w:t>0.102</w:t>
                  </w:r>
                </w:p>
              </w:tc>
              <w:tc>
                <w:tcPr>
                  <w:tcW w:w="904" w:type="pct"/>
                  <w:tcBorders>
                    <w:tl2br w:val="nil"/>
                    <w:tr2bl w:val="nil"/>
                  </w:tcBorders>
                  <w:vAlign w:val="center"/>
                </w:tcPr>
                <w:p w14:paraId="0986DA49">
                  <w:pPr>
                    <w:jc w:val="center"/>
                    <w:outlineLvl w:val="9"/>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55" w:type="pct"/>
                  <w:tcBorders>
                    <w:tl2br w:val="nil"/>
                    <w:tr2bl w:val="nil"/>
                  </w:tcBorders>
                  <w:vAlign w:val="center"/>
                </w:tcPr>
                <w:p w14:paraId="5E9831CD">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5.7</w:t>
                  </w:r>
                </w:p>
              </w:tc>
              <w:tc>
                <w:tcPr>
                  <w:tcW w:w="755" w:type="pct"/>
                  <w:tcBorders>
                    <w:tl2br w:val="nil"/>
                    <w:tr2bl w:val="nil"/>
                  </w:tcBorders>
                  <w:vAlign w:val="center"/>
                </w:tcPr>
                <w:p w14:paraId="708E85EA">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0FAD713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33642842">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rPr>
                    <w:t>砷</w:t>
                  </w:r>
                </w:p>
              </w:tc>
              <w:tc>
                <w:tcPr>
                  <w:tcW w:w="1179" w:type="pct"/>
                  <w:tcBorders>
                    <w:tl2br w:val="nil"/>
                    <w:tr2bl w:val="nil"/>
                  </w:tcBorders>
                  <w:vAlign w:val="center"/>
                </w:tcPr>
                <w:p w14:paraId="0C816530">
                  <w:pPr>
                    <w:autoSpaceDE w:val="0"/>
                    <w:autoSpaceDN w:val="0"/>
                    <w:adjustRightInd w:val="0"/>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2"/>
                      <w:sz w:val="21"/>
                      <w:szCs w:val="21"/>
                      <w:lang w:val="en-US" w:eastAsia="zh-CN" w:bidi="ar-SA"/>
                    </w:rPr>
                    <w:t>8.17</w:t>
                  </w:r>
                </w:p>
              </w:tc>
              <w:tc>
                <w:tcPr>
                  <w:tcW w:w="904" w:type="pct"/>
                  <w:tcBorders>
                    <w:tl2br w:val="nil"/>
                    <w:tr2bl w:val="nil"/>
                  </w:tcBorders>
                  <w:vAlign w:val="center"/>
                </w:tcPr>
                <w:p w14:paraId="7D618A0B">
                  <w:pPr>
                    <w:jc w:val="center"/>
                    <w:outlineLvl w:val="9"/>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55" w:type="pct"/>
                  <w:tcBorders>
                    <w:tl2br w:val="nil"/>
                    <w:tr2bl w:val="nil"/>
                  </w:tcBorders>
                  <w:vAlign w:val="center"/>
                </w:tcPr>
                <w:p w14:paraId="43046553">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18000</w:t>
                  </w:r>
                </w:p>
              </w:tc>
              <w:tc>
                <w:tcPr>
                  <w:tcW w:w="755" w:type="pct"/>
                  <w:tcBorders>
                    <w:tl2br w:val="nil"/>
                    <w:tr2bl w:val="nil"/>
                  </w:tcBorders>
                  <w:vAlign w:val="center"/>
                </w:tcPr>
                <w:p w14:paraId="168366D4">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29E07B2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1ABCCE95">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highlight w:val="none"/>
                    </w:rPr>
                    <w:t>六价铬</w:t>
                  </w:r>
                </w:p>
              </w:tc>
              <w:tc>
                <w:tcPr>
                  <w:tcW w:w="1179" w:type="pct"/>
                  <w:tcBorders>
                    <w:tl2br w:val="nil"/>
                    <w:tr2bl w:val="nil"/>
                  </w:tcBorders>
                  <w:vAlign w:val="center"/>
                </w:tcPr>
                <w:p w14:paraId="142351A0">
                  <w:pPr>
                    <w:autoSpaceDE w:val="0"/>
                    <w:autoSpaceDN w:val="0"/>
                    <w:adjustRightInd w:val="0"/>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vertAlign w:val="baseline"/>
                      <w:lang w:val="en-US" w:eastAsia="zh-CN"/>
                    </w:rPr>
                    <w:t>ND</w:t>
                  </w:r>
                </w:p>
              </w:tc>
              <w:tc>
                <w:tcPr>
                  <w:tcW w:w="904" w:type="pct"/>
                  <w:tcBorders>
                    <w:tl2br w:val="nil"/>
                    <w:tr2bl w:val="nil"/>
                  </w:tcBorders>
                  <w:vAlign w:val="center"/>
                </w:tcPr>
                <w:p w14:paraId="0807057A">
                  <w:pPr>
                    <w:jc w:val="center"/>
                    <w:outlineLvl w:val="9"/>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55" w:type="pct"/>
                  <w:tcBorders>
                    <w:tl2br w:val="nil"/>
                    <w:tr2bl w:val="nil"/>
                  </w:tcBorders>
                  <w:vAlign w:val="center"/>
                </w:tcPr>
                <w:p w14:paraId="6BAD417F">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800</w:t>
                  </w:r>
                </w:p>
              </w:tc>
              <w:tc>
                <w:tcPr>
                  <w:tcW w:w="755" w:type="pct"/>
                  <w:tcBorders>
                    <w:tl2br w:val="nil"/>
                    <w:tr2bl w:val="nil"/>
                  </w:tcBorders>
                  <w:vAlign w:val="center"/>
                </w:tcPr>
                <w:p w14:paraId="3B6FA669">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50CBEE9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EEBDD3C">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highlight w:val="none"/>
                    </w:rPr>
                    <w:t>镍</w:t>
                  </w:r>
                </w:p>
              </w:tc>
              <w:tc>
                <w:tcPr>
                  <w:tcW w:w="1179" w:type="pct"/>
                  <w:tcBorders>
                    <w:tl2br w:val="nil"/>
                    <w:tr2bl w:val="nil"/>
                  </w:tcBorders>
                  <w:vAlign w:val="center"/>
                </w:tcPr>
                <w:p w14:paraId="5D4E940D">
                  <w:pPr>
                    <w:autoSpaceDE w:val="0"/>
                    <w:autoSpaceDN w:val="0"/>
                    <w:adjustRightInd w:val="0"/>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2"/>
                      <w:sz w:val="21"/>
                      <w:szCs w:val="21"/>
                      <w:lang w:val="en-US" w:eastAsia="zh-CN" w:bidi="ar-SA"/>
                    </w:rPr>
                    <w:t>38</w:t>
                  </w:r>
                </w:p>
              </w:tc>
              <w:tc>
                <w:tcPr>
                  <w:tcW w:w="904" w:type="pct"/>
                  <w:tcBorders>
                    <w:tl2br w:val="nil"/>
                    <w:tr2bl w:val="nil"/>
                  </w:tcBorders>
                  <w:vAlign w:val="center"/>
                </w:tcPr>
                <w:p w14:paraId="4C863458">
                  <w:pPr>
                    <w:jc w:val="center"/>
                    <w:outlineLvl w:val="9"/>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55" w:type="pct"/>
                  <w:tcBorders>
                    <w:tl2br w:val="nil"/>
                    <w:tr2bl w:val="nil"/>
                  </w:tcBorders>
                  <w:vAlign w:val="center"/>
                </w:tcPr>
                <w:p w14:paraId="2F619E00">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900</w:t>
                  </w:r>
                </w:p>
              </w:tc>
              <w:tc>
                <w:tcPr>
                  <w:tcW w:w="755" w:type="pct"/>
                  <w:tcBorders>
                    <w:tl2br w:val="nil"/>
                    <w:tr2bl w:val="nil"/>
                  </w:tcBorders>
                  <w:vAlign w:val="center"/>
                </w:tcPr>
                <w:p w14:paraId="1AF9AE23">
                  <w:pPr>
                    <w:snapToGrid w:val="0"/>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47CCD09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33774A85">
                  <w:pPr>
                    <w:widowControl/>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rPr>
                    <w:t>四氯化碳</w:t>
                  </w:r>
                </w:p>
              </w:tc>
              <w:tc>
                <w:tcPr>
                  <w:tcW w:w="1179" w:type="pct"/>
                  <w:tcBorders>
                    <w:tl2br w:val="nil"/>
                    <w:tr2bl w:val="nil"/>
                  </w:tcBorders>
                  <w:shd w:val="clear" w:color="auto" w:fill="auto"/>
                  <w:vAlign w:val="center"/>
                </w:tcPr>
                <w:p w14:paraId="3D14883D">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7F9905C7">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0AD8FDD6">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2800</w:t>
                  </w:r>
                </w:p>
              </w:tc>
              <w:tc>
                <w:tcPr>
                  <w:tcW w:w="755" w:type="pct"/>
                  <w:tcBorders>
                    <w:tl2br w:val="nil"/>
                    <w:tr2bl w:val="nil"/>
                  </w:tcBorders>
                  <w:vAlign w:val="center"/>
                </w:tcPr>
                <w:p w14:paraId="33AAE617">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7D41008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1D9A54D">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氯仿</w:t>
                  </w:r>
                </w:p>
              </w:tc>
              <w:tc>
                <w:tcPr>
                  <w:tcW w:w="1179" w:type="pct"/>
                  <w:tcBorders>
                    <w:tl2br w:val="nil"/>
                    <w:tr2bl w:val="nil"/>
                  </w:tcBorders>
                  <w:shd w:val="clear" w:color="auto" w:fill="auto"/>
                  <w:vAlign w:val="center"/>
                </w:tcPr>
                <w:p w14:paraId="79D59F49">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0582499C">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4D382BA0">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900</w:t>
                  </w:r>
                </w:p>
              </w:tc>
              <w:tc>
                <w:tcPr>
                  <w:tcW w:w="755" w:type="pct"/>
                  <w:tcBorders>
                    <w:tl2br w:val="nil"/>
                    <w:tr2bl w:val="nil"/>
                  </w:tcBorders>
                  <w:vAlign w:val="center"/>
                </w:tcPr>
                <w:p w14:paraId="6B2BC705">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00218D6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D2CEEAC">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氯甲烷</w:t>
                  </w:r>
                </w:p>
              </w:tc>
              <w:tc>
                <w:tcPr>
                  <w:tcW w:w="1179" w:type="pct"/>
                  <w:tcBorders>
                    <w:tl2br w:val="nil"/>
                    <w:tr2bl w:val="nil"/>
                  </w:tcBorders>
                  <w:shd w:val="clear" w:color="auto" w:fill="auto"/>
                  <w:vAlign w:val="center"/>
                </w:tcPr>
                <w:p w14:paraId="79A20607">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4827B17F">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6AE3D170">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37000</w:t>
                  </w:r>
                </w:p>
              </w:tc>
              <w:tc>
                <w:tcPr>
                  <w:tcW w:w="755" w:type="pct"/>
                  <w:tcBorders>
                    <w:tl2br w:val="nil"/>
                    <w:tr2bl w:val="nil"/>
                  </w:tcBorders>
                  <w:vAlign w:val="center"/>
                </w:tcPr>
                <w:p w14:paraId="1A457DBA">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3259FD8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4CD1ABF8">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1,1-二氯乙烷</w:t>
                  </w:r>
                </w:p>
              </w:tc>
              <w:tc>
                <w:tcPr>
                  <w:tcW w:w="1179" w:type="pct"/>
                  <w:tcBorders>
                    <w:tl2br w:val="nil"/>
                    <w:tr2bl w:val="nil"/>
                  </w:tcBorders>
                  <w:shd w:val="clear" w:color="auto" w:fill="auto"/>
                  <w:vAlign w:val="center"/>
                </w:tcPr>
                <w:p w14:paraId="393BA7C4">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2E65BC94">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39DD0DD9">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9000</w:t>
                  </w:r>
                </w:p>
              </w:tc>
              <w:tc>
                <w:tcPr>
                  <w:tcW w:w="755" w:type="pct"/>
                  <w:tcBorders>
                    <w:tl2br w:val="nil"/>
                    <w:tr2bl w:val="nil"/>
                  </w:tcBorders>
                  <w:vAlign w:val="center"/>
                </w:tcPr>
                <w:p w14:paraId="083CAEB7">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790A829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4B16DE41">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1,2-二氯乙烷</w:t>
                  </w:r>
                </w:p>
              </w:tc>
              <w:tc>
                <w:tcPr>
                  <w:tcW w:w="1179" w:type="pct"/>
                  <w:tcBorders>
                    <w:tl2br w:val="nil"/>
                    <w:tr2bl w:val="nil"/>
                  </w:tcBorders>
                  <w:shd w:val="clear" w:color="auto" w:fill="auto"/>
                  <w:vAlign w:val="center"/>
                </w:tcPr>
                <w:p w14:paraId="62EE26C0">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47D7CC2D">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5D66B2F9">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5000</w:t>
                  </w:r>
                </w:p>
              </w:tc>
              <w:tc>
                <w:tcPr>
                  <w:tcW w:w="755" w:type="pct"/>
                  <w:tcBorders>
                    <w:tl2br w:val="nil"/>
                    <w:tr2bl w:val="nil"/>
                  </w:tcBorders>
                  <w:vAlign w:val="center"/>
                </w:tcPr>
                <w:p w14:paraId="095AE1E5">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1509610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718E99B">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1,1-二氯乙烯</w:t>
                  </w:r>
                </w:p>
              </w:tc>
              <w:tc>
                <w:tcPr>
                  <w:tcW w:w="1179" w:type="pct"/>
                  <w:tcBorders>
                    <w:tl2br w:val="nil"/>
                    <w:tr2bl w:val="nil"/>
                  </w:tcBorders>
                  <w:shd w:val="clear" w:color="auto" w:fill="auto"/>
                  <w:vAlign w:val="center"/>
                </w:tcPr>
                <w:p w14:paraId="5A3386BC">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03A3BE34">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3068C9AF">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66000</w:t>
                  </w:r>
                </w:p>
              </w:tc>
              <w:tc>
                <w:tcPr>
                  <w:tcW w:w="755" w:type="pct"/>
                  <w:tcBorders>
                    <w:tl2br w:val="nil"/>
                    <w:tr2bl w:val="nil"/>
                  </w:tcBorders>
                  <w:vAlign w:val="center"/>
                </w:tcPr>
                <w:p w14:paraId="58257377">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448B1A9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6C7537A5">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顺-1,2-二氯乙烯</w:t>
                  </w:r>
                </w:p>
              </w:tc>
              <w:tc>
                <w:tcPr>
                  <w:tcW w:w="1179" w:type="pct"/>
                  <w:tcBorders>
                    <w:tl2br w:val="nil"/>
                    <w:tr2bl w:val="nil"/>
                  </w:tcBorders>
                  <w:shd w:val="clear" w:color="auto" w:fill="auto"/>
                  <w:vAlign w:val="center"/>
                </w:tcPr>
                <w:p w14:paraId="543B8A77">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04520C5A">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216CE308">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596000</w:t>
                  </w:r>
                </w:p>
              </w:tc>
              <w:tc>
                <w:tcPr>
                  <w:tcW w:w="755" w:type="pct"/>
                  <w:tcBorders>
                    <w:tl2br w:val="nil"/>
                    <w:tr2bl w:val="nil"/>
                  </w:tcBorders>
                  <w:vAlign w:val="center"/>
                </w:tcPr>
                <w:p w14:paraId="4B88243E">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1B70E94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698FE7C4">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反-1,2-二氯乙烯</w:t>
                  </w:r>
                </w:p>
              </w:tc>
              <w:tc>
                <w:tcPr>
                  <w:tcW w:w="1179" w:type="pct"/>
                  <w:tcBorders>
                    <w:tl2br w:val="nil"/>
                    <w:tr2bl w:val="nil"/>
                  </w:tcBorders>
                  <w:shd w:val="clear" w:color="auto" w:fill="auto"/>
                  <w:vAlign w:val="center"/>
                </w:tcPr>
                <w:p w14:paraId="6AAC7642">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45EDFAC2">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00F3F3D6">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54000</w:t>
                  </w:r>
                </w:p>
              </w:tc>
              <w:tc>
                <w:tcPr>
                  <w:tcW w:w="755" w:type="pct"/>
                  <w:tcBorders>
                    <w:tl2br w:val="nil"/>
                    <w:tr2bl w:val="nil"/>
                  </w:tcBorders>
                  <w:vAlign w:val="center"/>
                </w:tcPr>
                <w:p w14:paraId="7CB6F2BB">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4BFFAE6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2FDD54A7">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二氯甲烷</w:t>
                  </w:r>
                </w:p>
              </w:tc>
              <w:tc>
                <w:tcPr>
                  <w:tcW w:w="1179" w:type="pct"/>
                  <w:tcBorders>
                    <w:tl2br w:val="nil"/>
                    <w:tr2bl w:val="nil"/>
                  </w:tcBorders>
                  <w:shd w:val="clear" w:color="auto" w:fill="auto"/>
                  <w:vAlign w:val="center"/>
                </w:tcPr>
                <w:p w14:paraId="5379CEB3">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458B360B">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5A38F37E">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616000</w:t>
                  </w:r>
                </w:p>
              </w:tc>
              <w:tc>
                <w:tcPr>
                  <w:tcW w:w="755" w:type="pct"/>
                  <w:tcBorders>
                    <w:tl2br w:val="nil"/>
                    <w:tr2bl w:val="nil"/>
                  </w:tcBorders>
                  <w:vAlign w:val="center"/>
                </w:tcPr>
                <w:p w14:paraId="2F2EA60A">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0A2AF44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55BF5250">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1,2-二氯丙烷</w:t>
                  </w:r>
                </w:p>
              </w:tc>
              <w:tc>
                <w:tcPr>
                  <w:tcW w:w="1179" w:type="pct"/>
                  <w:tcBorders>
                    <w:tl2br w:val="nil"/>
                    <w:tr2bl w:val="nil"/>
                  </w:tcBorders>
                  <w:shd w:val="clear" w:color="auto" w:fill="auto"/>
                  <w:vAlign w:val="center"/>
                </w:tcPr>
                <w:p w14:paraId="79BF7A35">
                  <w:pPr>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2B8F4EEE">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3B5E828E">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5000</w:t>
                  </w:r>
                </w:p>
              </w:tc>
              <w:tc>
                <w:tcPr>
                  <w:tcW w:w="755" w:type="pct"/>
                  <w:tcBorders>
                    <w:tl2br w:val="nil"/>
                    <w:tr2bl w:val="nil"/>
                  </w:tcBorders>
                  <w:vAlign w:val="center"/>
                </w:tcPr>
                <w:p w14:paraId="263B5C57">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33C3F25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18DD2E80">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1,1,1,2-四氯乙烷</w:t>
                  </w:r>
                </w:p>
              </w:tc>
              <w:tc>
                <w:tcPr>
                  <w:tcW w:w="1179" w:type="pct"/>
                  <w:tcBorders>
                    <w:tl2br w:val="nil"/>
                    <w:tr2bl w:val="nil"/>
                  </w:tcBorders>
                  <w:shd w:val="clear" w:color="auto" w:fill="auto"/>
                  <w:vAlign w:val="center"/>
                </w:tcPr>
                <w:p w14:paraId="5DF09F73">
                  <w:pPr>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33C0CBC5">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53DBB047">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10000</w:t>
                  </w:r>
                </w:p>
              </w:tc>
              <w:tc>
                <w:tcPr>
                  <w:tcW w:w="755" w:type="pct"/>
                  <w:tcBorders>
                    <w:tl2br w:val="nil"/>
                    <w:tr2bl w:val="nil"/>
                  </w:tcBorders>
                  <w:vAlign w:val="center"/>
                </w:tcPr>
                <w:p w14:paraId="35613276">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28890EA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2FE10EA">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1,1,2,2-四氯乙烷</w:t>
                  </w:r>
                </w:p>
              </w:tc>
              <w:tc>
                <w:tcPr>
                  <w:tcW w:w="1179" w:type="pct"/>
                  <w:tcBorders>
                    <w:tl2br w:val="nil"/>
                    <w:tr2bl w:val="nil"/>
                  </w:tcBorders>
                  <w:shd w:val="clear" w:color="auto" w:fill="auto"/>
                  <w:vAlign w:val="center"/>
                </w:tcPr>
                <w:p w14:paraId="74D3E552">
                  <w:pPr>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6802BFF6">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34D5C14C">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6800</w:t>
                  </w:r>
                </w:p>
              </w:tc>
              <w:tc>
                <w:tcPr>
                  <w:tcW w:w="755" w:type="pct"/>
                  <w:tcBorders>
                    <w:tl2br w:val="nil"/>
                    <w:tr2bl w:val="nil"/>
                  </w:tcBorders>
                  <w:vAlign w:val="center"/>
                </w:tcPr>
                <w:p w14:paraId="05843541">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326A78D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1A686C58">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四氯乙烯</w:t>
                  </w:r>
                </w:p>
              </w:tc>
              <w:tc>
                <w:tcPr>
                  <w:tcW w:w="1179" w:type="pct"/>
                  <w:tcBorders>
                    <w:tl2br w:val="nil"/>
                    <w:tr2bl w:val="nil"/>
                  </w:tcBorders>
                  <w:shd w:val="clear" w:color="auto" w:fill="auto"/>
                  <w:vAlign w:val="center"/>
                </w:tcPr>
                <w:p w14:paraId="3E14B9A6">
                  <w:pPr>
                    <w:jc w:val="center"/>
                    <w:outlineLvl w:val="9"/>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1D54768A">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691594EC">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53000</w:t>
                  </w:r>
                </w:p>
              </w:tc>
              <w:tc>
                <w:tcPr>
                  <w:tcW w:w="755" w:type="pct"/>
                  <w:tcBorders>
                    <w:tl2br w:val="nil"/>
                    <w:tr2bl w:val="nil"/>
                  </w:tcBorders>
                  <w:vAlign w:val="center"/>
                </w:tcPr>
                <w:p w14:paraId="751705AC">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3DFB695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678DDF32">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1,1,1-三氯乙烷</w:t>
                  </w:r>
                </w:p>
              </w:tc>
              <w:tc>
                <w:tcPr>
                  <w:tcW w:w="1179" w:type="pct"/>
                  <w:tcBorders>
                    <w:tl2br w:val="nil"/>
                    <w:tr2bl w:val="nil"/>
                  </w:tcBorders>
                  <w:vAlign w:val="center"/>
                </w:tcPr>
                <w:p w14:paraId="04E4FA5A">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13A80082">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4924E446">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840000</w:t>
                  </w:r>
                </w:p>
              </w:tc>
              <w:tc>
                <w:tcPr>
                  <w:tcW w:w="755" w:type="pct"/>
                  <w:tcBorders>
                    <w:tl2br w:val="nil"/>
                    <w:tr2bl w:val="nil"/>
                  </w:tcBorders>
                  <w:vAlign w:val="center"/>
                </w:tcPr>
                <w:p w14:paraId="666CBDCA">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1B0050C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6204F7C1">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1,1,2-三氯乙烷</w:t>
                  </w:r>
                </w:p>
              </w:tc>
              <w:tc>
                <w:tcPr>
                  <w:tcW w:w="1179" w:type="pct"/>
                  <w:tcBorders>
                    <w:tl2br w:val="nil"/>
                    <w:tr2bl w:val="nil"/>
                  </w:tcBorders>
                  <w:vAlign w:val="center"/>
                </w:tcPr>
                <w:p w14:paraId="2634CAC2">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5D05FA79">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064FF168">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2800</w:t>
                  </w:r>
                </w:p>
              </w:tc>
              <w:tc>
                <w:tcPr>
                  <w:tcW w:w="755" w:type="pct"/>
                  <w:tcBorders>
                    <w:tl2br w:val="nil"/>
                    <w:tr2bl w:val="nil"/>
                  </w:tcBorders>
                  <w:vAlign w:val="center"/>
                </w:tcPr>
                <w:p w14:paraId="798795D4">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424C34D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37E9E7E">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三氯乙烯</w:t>
                  </w:r>
                </w:p>
              </w:tc>
              <w:tc>
                <w:tcPr>
                  <w:tcW w:w="1179" w:type="pct"/>
                  <w:tcBorders>
                    <w:tl2br w:val="nil"/>
                    <w:tr2bl w:val="nil"/>
                  </w:tcBorders>
                  <w:vAlign w:val="center"/>
                </w:tcPr>
                <w:p w14:paraId="0A52B4B1">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52549F5D">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0F1565CA">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2800</w:t>
                  </w:r>
                </w:p>
              </w:tc>
              <w:tc>
                <w:tcPr>
                  <w:tcW w:w="755" w:type="pct"/>
                  <w:tcBorders>
                    <w:tl2br w:val="nil"/>
                    <w:tr2bl w:val="nil"/>
                  </w:tcBorders>
                  <w:vAlign w:val="center"/>
                </w:tcPr>
                <w:p w14:paraId="6E227FAE">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5959222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8B6356E">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1,2,3-三氯丙烷</w:t>
                  </w:r>
                </w:p>
              </w:tc>
              <w:tc>
                <w:tcPr>
                  <w:tcW w:w="1179" w:type="pct"/>
                  <w:tcBorders>
                    <w:tl2br w:val="nil"/>
                    <w:tr2bl w:val="nil"/>
                  </w:tcBorders>
                  <w:vAlign w:val="center"/>
                </w:tcPr>
                <w:p w14:paraId="59645F65">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16783DAF">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72AB2B9E">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500</w:t>
                  </w:r>
                </w:p>
              </w:tc>
              <w:tc>
                <w:tcPr>
                  <w:tcW w:w="755" w:type="pct"/>
                  <w:tcBorders>
                    <w:tl2br w:val="nil"/>
                    <w:tr2bl w:val="nil"/>
                  </w:tcBorders>
                  <w:vAlign w:val="center"/>
                </w:tcPr>
                <w:p w14:paraId="28E0AB7E">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65D0830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1074AA0">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氯乙烯</w:t>
                  </w:r>
                </w:p>
              </w:tc>
              <w:tc>
                <w:tcPr>
                  <w:tcW w:w="1179" w:type="pct"/>
                  <w:tcBorders>
                    <w:tl2br w:val="nil"/>
                    <w:tr2bl w:val="nil"/>
                  </w:tcBorders>
                  <w:vAlign w:val="center"/>
                </w:tcPr>
                <w:p w14:paraId="04D2A7BB">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61040727">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10F909E6">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430</w:t>
                  </w:r>
                </w:p>
              </w:tc>
              <w:tc>
                <w:tcPr>
                  <w:tcW w:w="755" w:type="pct"/>
                  <w:tcBorders>
                    <w:tl2br w:val="nil"/>
                    <w:tr2bl w:val="nil"/>
                  </w:tcBorders>
                  <w:vAlign w:val="center"/>
                </w:tcPr>
                <w:p w14:paraId="7ABA51BB">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4B4F00E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1B9038D5">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苯</w:t>
                  </w:r>
                </w:p>
              </w:tc>
              <w:tc>
                <w:tcPr>
                  <w:tcW w:w="1179" w:type="pct"/>
                  <w:tcBorders>
                    <w:tl2br w:val="nil"/>
                    <w:tr2bl w:val="nil"/>
                  </w:tcBorders>
                  <w:vAlign w:val="center"/>
                </w:tcPr>
                <w:p w14:paraId="302E5CBC">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0046E218">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16DCC014">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4000</w:t>
                  </w:r>
                </w:p>
              </w:tc>
              <w:tc>
                <w:tcPr>
                  <w:tcW w:w="755" w:type="pct"/>
                  <w:tcBorders>
                    <w:tl2br w:val="nil"/>
                    <w:tr2bl w:val="nil"/>
                  </w:tcBorders>
                  <w:vAlign w:val="center"/>
                </w:tcPr>
                <w:p w14:paraId="4F8A9A63">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6AA0ED1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632FF4D2">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氯苯</w:t>
                  </w:r>
                </w:p>
              </w:tc>
              <w:tc>
                <w:tcPr>
                  <w:tcW w:w="1179" w:type="pct"/>
                  <w:tcBorders>
                    <w:tl2br w:val="nil"/>
                    <w:tr2bl w:val="nil"/>
                  </w:tcBorders>
                  <w:vAlign w:val="center"/>
                </w:tcPr>
                <w:p w14:paraId="21543E3E">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32CBE96E">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3AC48D87">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270000</w:t>
                  </w:r>
                </w:p>
              </w:tc>
              <w:tc>
                <w:tcPr>
                  <w:tcW w:w="755" w:type="pct"/>
                  <w:tcBorders>
                    <w:tl2br w:val="nil"/>
                    <w:tr2bl w:val="nil"/>
                  </w:tcBorders>
                  <w:vAlign w:val="center"/>
                </w:tcPr>
                <w:p w14:paraId="754F8170">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2188D73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965EF72">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1,2-二氯苯</w:t>
                  </w:r>
                </w:p>
              </w:tc>
              <w:tc>
                <w:tcPr>
                  <w:tcW w:w="1179" w:type="pct"/>
                  <w:tcBorders>
                    <w:tl2br w:val="nil"/>
                    <w:tr2bl w:val="nil"/>
                  </w:tcBorders>
                  <w:vAlign w:val="center"/>
                </w:tcPr>
                <w:p w14:paraId="1D19B81D">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2BE22BA9">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08F7F21A">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560000</w:t>
                  </w:r>
                </w:p>
              </w:tc>
              <w:tc>
                <w:tcPr>
                  <w:tcW w:w="755" w:type="pct"/>
                  <w:tcBorders>
                    <w:tl2br w:val="nil"/>
                    <w:tr2bl w:val="nil"/>
                  </w:tcBorders>
                  <w:vAlign w:val="center"/>
                </w:tcPr>
                <w:p w14:paraId="3BE47A28">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3E99C84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52CAAE43">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1,4-二氯苯</w:t>
                  </w:r>
                </w:p>
              </w:tc>
              <w:tc>
                <w:tcPr>
                  <w:tcW w:w="1179" w:type="pct"/>
                  <w:tcBorders>
                    <w:tl2br w:val="nil"/>
                    <w:tr2bl w:val="nil"/>
                  </w:tcBorders>
                  <w:vAlign w:val="center"/>
                </w:tcPr>
                <w:p w14:paraId="040B4E39">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6252FCEB">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6DE302BC">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20000</w:t>
                  </w:r>
                </w:p>
              </w:tc>
              <w:tc>
                <w:tcPr>
                  <w:tcW w:w="755" w:type="pct"/>
                  <w:tcBorders>
                    <w:tl2br w:val="nil"/>
                    <w:tr2bl w:val="nil"/>
                  </w:tcBorders>
                  <w:vAlign w:val="center"/>
                </w:tcPr>
                <w:p w14:paraId="465F285B">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2BDBEAD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37CB15B">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乙苯</w:t>
                  </w:r>
                </w:p>
              </w:tc>
              <w:tc>
                <w:tcPr>
                  <w:tcW w:w="1179" w:type="pct"/>
                  <w:tcBorders>
                    <w:tl2br w:val="nil"/>
                    <w:tr2bl w:val="nil"/>
                  </w:tcBorders>
                  <w:vAlign w:val="center"/>
                </w:tcPr>
                <w:p w14:paraId="02B14201">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3B578FCD">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0B8EBA3E">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28000</w:t>
                  </w:r>
                </w:p>
              </w:tc>
              <w:tc>
                <w:tcPr>
                  <w:tcW w:w="755" w:type="pct"/>
                  <w:tcBorders>
                    <w:tl2br w:val="nil"/>
                    <w:tr2bl w:val="nil"/>
                  </w:tcBorders>
                  <w:vAlign w:val="center"/>
                </w:tcPr>
                <w:p w14:paraId="1007B0DF">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2DEBC45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32713CC">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苯乙烯</w:t>
                  </w:r>
                </w:p>
              </w:tc>
              <w:tc>
                <w:tcPr>
                  <w:tcW w:w="1179" w:type="pct"/>
                  <w:tcBorders>
                    <w:tl2br w:val="nil"/>
                    <w:tr2bl w:val="nil"/>
                  </w:tcBorders>
                  <w:vAlign w:val="center"/>
                </w:tcPr>
                <w:p w14:paraId="02719909">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34B23313">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6E33B705">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1290000</w:t>
                  </w:r>
                </w:p>
              </w:tc>
              <w:tc>
                <w:tcPr>
                  <w:tcW w:w="755" w:type="pct"/>
                  <w:tcBorders>
                    <w:tl2br w:val="nil"/>
                    <w:tr2bl w:val="nil"/>
                  </w:tcBorders>
                  <w:vAlign w:val="center"/>
                </w:tcPr>
                <w:p w14:paraId="11336366">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69F4106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8021027">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甲苯</w:t>
                  </w:r>
                </w:p>
              </w:tc>
              <w:tc>
                <w:tcPr>
                  <w:tcW w:w="1179" w:type="pct"/>
                  <w:tcBorders>
                    <w:tl2br w:val="nil"/>
                    <w:tr2bl w:val="nil"/>
                  </w:tcBorders>
                  <w:vAlign w:val="center"/>
                </w:tcPr>
                <w:p w14:paraId="396F45E2">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6C6B33E9">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38A16869">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1200000</w:t>
                  </w:r>
                </w:p>
              </w:tc>
              <w:tc>
                <w:tcPr>
                  <w:tcW w:w="755" w:type="pct"/>
                  <w:tcBorders>
                    <w:tl2br w:val="nil"/>
                    <w:tr2bl w:val="nil"/>
                  </w:tcBorders>
                  <w:vAlign w:val="center"/>
                </w:tcPr>
                <w:p w14:paraId="7CD6DC16">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5C2AED8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1A12ABA3">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对二甲苯</w:t>
                  </w:r>
                </w:p>
              </w:tc>
              <w:tc>
                <w:tcPr>
                  <w:tcW w:w="1179" w:type="pct"/>
                  <w:tcBorders>
                    <w:tl2br w:val="nil"/>
                    <w:tr2bl w:val="nil"/>
                  </w:tcBorders>
                  <w:vAlign w:val="center"/>
                </w:tcPr>
                <w:p w14:paraId="1D3098ED">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7F090BCD">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795D23D4">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570000</w:t>
                  </w:r>
                </w:p>
              </w:tc>
              <w:tc>
                <w:tcPr>
                  <w:tcW w:w="755" w:type="pct"/>
                  <w:tcBorders>
                    <w:tl2br w:val="nil"/>
                    <w:tr2bl w:val="nil"/>
                  </w:tcBorders>
                  <w:vAlign w:val="center"/>
                </w:tcPr>
                <w:p w14:paraId="38F73AD4">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6B01DF1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290445BC">
                  <w:pPr>
                    <w:widowControl/>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邻二甲苯</w:t>
                  </w:r>
                </w:p>
              </w:tc>
              <w:tc>
                <w:tcPr>
                  <w:tcW w:w="1179" w:type="pct"/>
                  <w:tcBorders>
                    <w:tl2br w:val="nil"/>
                    <w:tr2bl w:val="nil"/>
                  </w:tcBorders>
                  <w:vAlign w:val="center"/>
                </w:tcPr>
                <w:p w14:paraId="23FC0B69">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20E35B5A">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μg/kg</w:t>
                  </w:r>
                </w:p>
              </w:tc>
              <w:tc>
                <w:tcPr>
                  <w:tcW w:w="755" w:type="pct"/>
                  <w:tcBorders>
                    <w:tl2br w:val="nil"/>
                    <w:tr2bl w:val="nil"/>
                  </w:tcBorders>
                  <w:vAlign w:val="center"/>
                </w:tcPr>
                <w:p w14:paraId="03830F61">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640000</w:t>
                  </w:r>
                </w:p>
              </w:tc>
              <w:tc>
                <w:tcPr>
                  <w:tcW w:w="755" w:type="pct"/>
                  <w:tcBorders>
                    <w:tl2br w:val="nil"/>
                    <w:tr2bl w:val="nil"/>
                  </w:tcBorders>
                  <w:vAlign w:val="center"/>
                </w:tcPr>
                <w:p w14:paraId="3A1ED6FC">
                  <w:pPr>
                    <w:snapToGrid w:val="0"/>
                    <w:jc w:val="center"/>
                    <w:outlineLvl w:val="9"/>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达标</w:t>
                  </w:r>
                </w:p>
              </w:tc>
            </w:tr>
            <w:tr w14:paraId="4CA7A1E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300504F2">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苯胺</w:t>
                  </w:r>
                </w:p>
              </w:tc>
              <w:tc>
                <w:tcPr>
                  <w:tcW w:w="1179" w:type="pct"/>
                  <w:tcBorders>
                    <w:tl2br w:val="nil"/>
                    <w:tr2bl w:val="nil"/>
                  </w:tcBorders>
                  <w:vAlign w:val="center"/>
                </w:tcPr>
                <w:p w14:paraId="253245D7">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4A695239">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0D700423">
                  <w:pPr>
                    <w:snapToGrid w:val="0"/>
                    <w:jc w:val="center"/>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76</w:t>
                  </w:r>
                </w:p>
              </w:tc>
              <w:tc>
                <w:tcPr>
                  <w:tcW w:w="755" w:type="pct"/>
                  <w:tcBorders>
                    <w:tl2br w:val="nil"/>
                    <w:tr2bl w:val="nil"/>
                  </w:tcBorders>
                  <w:vAlign w:val="center"/>
                </w:tcPr>
                <w:p w14:paraId="79B07CF8">
                  <w:pPr>
                    <w:snapToGrid w:val="0"/>
                    <w:jc w:val="center"/>
                    <w:outlineLvl w:val="9"/>
                    <w:rPr>
                      <w:rFonts w:hint="default" w:ascii="Times New Roman" w:hAnsi="Times New Roman" w:eastAsia="宋体" w:cs="Times New Roman"/>
                      <w:color w:val="auto"/>
                      <w:szCs w:val="21"/>
                    </w:rPr>
                  </w:pPr>
                  <w:r>
                    <w:rPr>
                      <w:rFonts w:hint="default" w:ascii="Times New Roman" w:hAnsi="Times New Roman" w:cs="Times New Roman"/>
                      <w:color w:val="auto"/>
                      <w:szCs w:val="21"/>
                      <w:lang w:val="en-US" w:eastAsia="zh-CN"/>
                    </w:rPr>
                    <w:t>达标</w:t>
                  </w:r>
                </w:p>
              </w:tc>
            </w:tr>
            <w:tr w14:paraId="7C3CC50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3E989618">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硝基苯</w:t>
                  </w:r>
                </w:p>
              </w:tc>
              <w:tc>
                <w:tcPr>
                  <w:tcW w:w="1179" w:type="pct"/>
                  <w:tcBorders>
                    <w:tl2br w:val="nil"/>
                    <w:tr2bl w:val="nil"/>
                  </w:tcBorders>
                  <w:vAlign w:val="center"/>
                </w:tcPr>
                <w:p w14:paraId="048C5083">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0513A0B3">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4154DDAB">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260</w:t>
                  </w:r>
                </w:p>
              </w:tc>
              <w:tc>
                <w:tcPr>
                  <w:tcW w:w="755" w:type="pct"/>
                  <w:tcBorders>
                    <w:tl2br w:val="nil"/>
                    <w:tr2bl w:val="nil"/>
                  </w:tcBorders>
                  <w:vAlign w:val="center"/>
                </w:tcPr>
                <w:p w14:paraId="131C8620">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2E3BE7E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74D44687">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2-氯酚</w:t>
                  </w:r>
                </w:p>
              </w:tc>
              <w:tc>
                <w:tcPr>
                  <w:tcW w:w="1179" w:type="pct"/>
                  <w:tcBorders>
                    <w:tl2br w:val="nil"/>
                    <w:tr2bl w:val="nil"/>
                  </w:tcBorders>
                  <w:vAlign w:val="center"/>
                </w:tcPr>
                <w:p w14:paraId="7808DB5C">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3C46E841">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2B571385">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2256</w:t>
                  </w:r>
                </w:p>
              </w:tc>
              <w:tc>
                <w:tcPr>
                  <w:tcW w:w="755" w:type="pct"/>
                  <w:tcBorders>
                    <w:tl2br w:val="nil"/>
                    <w:tr2bl w:val="nil"/>
                  </w:tcBorders>
                  <w:vAlign w:val="center"/>
                </w:tcPr>
                <w:p w14:paraId="72E8CA18">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49AB9A8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DBA8906">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苯并（a）蒽</w:t>
                  </w:r>
                </w:p>
              </w:tc>
              <w:tc>
                <w:tcPr>
                  <w:tcW w:w="1179" w:type="pct"/>
                  <w:tcBorders>
                    <w:tl2br w:val="nil"/>
                    <w:tr2bl w:val="nil"/>
                  </w:tcBorders>
                  <w:vAlign w:val="center"/>
                </w:tcPr>
                <w:p w14:paraId="604D15D9">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22B84AA3">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18FA5AC1">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755" w:type="pct"/>
                  <w:tcBorders>
                    <w:tl2br w:val="nil"/>
                    <w:tr2bl w:val="nil"/>
                  </w:tcBorders>
                  <w:vAlign w:val="center"/>
                </w:tcPr>
                <w:p w14:paraId="4569C9A4">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6B0781F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4C0D2CE9">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苯并（a）芘</w:t>
                  </w:r>
                </w:p>
              </w:tc>
              <w:tc>
                <w:tcPr>
                  <w:tcW w:w="1179" w:type="pct"/>
                  <w:tcBorders>
                    <w:tl2br w:val="nil"/>
                    <w:tr2bl w:val="nil"/>
                  </w:tcBorders>
                  <w:vAlign w:val="center"/>
                </w:tcPr>
                <w:p w14:paraId="5B0F34E1">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54DD7B30">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1208D7A5">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755" w:type="pct"/>
                  <w:tcBorders>
                    <w:tl2br w:val="nil"/>
                    <w:tr2bl w:val="nil"/>
                  </w:tcBorders>
                  <w:vAlign w:val="center"/>
                </w:tcPr>
                <w:p w14:paraId="1CCCFAE1">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668EE38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15E5DF85">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苯并（b）荧蒽</w:t>
                  </w:r>
                </w:p>
              </w:tc>
              <w:tc>
                <w:tcPr>
                  <w:tcW w:w="1179" w:type="pct"/>
                  <w:tcBorders>
                    <w:tl2br w:val="nil"/>
                    <w:tr2bl w:val="nil"/>
                  </w:tcBorders>
                  <w:vAlign w:val="center"/>
                </w:tcPr>
                <w:p w14:paraId="230A93D1">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05D4408A">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2E86E80E">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755" w:type="pct"/>
                  <w:tcBorders>
                    <w:tl2br w:val="nil"/>
                    <w:tr2bl w:val="nil"/>
                  </w:tcBorders>
                  <w:vAlign w:val="center"/>
                </w:tcPr>
                <w:p w14:paraId="065EE60F">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5399899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6F743A1A">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苯并（k）荧蒽</w:t>
                  </w:r>
                </w:p>
              </w:tc>
              <w:tc>
                <w:tcPr>
                  <w:tcW w:w="1179" w:type="pct"/>
                  <w:tcBorders>
                    <w:tl2br w:val="nil"/>
                    <w:tr2bl w:val="nil"/>
                  </w:tcBorders>
                  <w:vAlign w:val="center"/>
                </w:tcPr>
                <w:p w14:paraId="365DF28D">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31D7CCC4">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1D6968F7">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151</w:t>
                  </w:r>
                </w:p>
              </w:tc>
              <w:tc>
                <w:tcPr>
                  <w:tcW w:w="755" w:type="pct"/>
                  <w:tcBorders>
                    <w:tl2br w:val="nil"/>
                    <w:tr2bl w:val="nil"/>
                  </w:tcBorders>
                  <w:vAlign w:val="center"/>
                </w:tcPr>
                <w:p w14:paraId="3BA96AA1">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20079D3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09F86CB1">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䓛</w:t>
                  </w:r>
                </w:p>
              </w:tc>
              <w:tc>
                <w:tcPr>
                  <w:tcW w:w="1179" w:type="pct"/>
                  <w:tcBorders>
                    <w:tl2br w:val="nil"/>
                    <w:tr2bl w:val="nil"/>
                  </w:tcBorders>
                  <w:vAlign w:val="center"/>
                </w:tcPr>
                <w:p w14:paraId="49203F27">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3C3291FD">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4DB84E12">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1293</w:t>
                  </w:r>
                </w:p>
              </w:tc>
              <w:tc>
                <w:tcPr>
                  <w:tcW w:w="755" w:type="pct"/>
                  <w:tcBorders>
                    <w:tl2br w:val="nil"/>
                    <w:tr2bl w:val="nil"/>
                  </w:tcBorders>
                  <w:vAlign w:val="center"/>
                </w:tcPr>
                <w:p w14:paraId="545EBCE6">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756FE77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5774D9D4">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二苯并</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a,h</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蒽</w:t>
                  </w:r>
                </w:p>
              </w:tc>
              <w:tc>
                <w:tcPr>
                  <w:tcW w:w="1179" w:type="pct"/>
                  <w:tcBorders>
                    <w:tl2br w:val="nil"/>
                    <w:tr2bl w:val="nil"/>
                  </w:tcBorders>
                  <w:vAlign w:val="center"/>
                </w:tcPr>
                <w:p w14:paraId="4329E9E7">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281133C8">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3C61AF17">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755" w:type="pct"/>
                  <w:tcBorders>
                    <w:tl2br w:val="nil"/>
                    <w:tr2bl w:val="nil"/>
                  </w:tcBorders>
                  <w:vAlign w:val="center"/>
                </w:tcPr>
                <w:p w14:paraId="553D71AA">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258D104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1FA33D07">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茚并（1,2,3-cd）芘</w:t>
                  </w:r>
                </w:p>
              </w:tc>
              <w:tc>
                <w:tcPr>
                  <w:tcW w:w="1179" w:type="pct"/>
                  <w:tcBorders>
                    <w:tl2br w:val="nil"/>
                    <w:tr2bl w:val="nil"/>
                  </w:tcBorders>
                  <w:vAlign w:val="center"/>
                </w:tcPr>
                <w:p w14:paraId="0A812B4C">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739560F8">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4FF851E2">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15</w:t>
                  </w:r>
                </w:p>
              </w:tc>
              <w:tc>
                <w:tcPr>
                  <w:tcW w:w="755" w:type="pct"/>
                  <w:tcBorders>
                    <w:tl2br w:val="nil"/>
                    <w:tr2bl w:val="nil"/>
                  </w:tcBorders>
                  <w:vAlign w:val="center"/>
                </w:tcPr>
                <w:p w14:paraId="09C2801A">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39B0695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34F87AFA">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萘</w:t>
                  </w:r>
                </w:p>
              </w:tc>
              <w:tc>
                <w:tcPr>
                  <w:tcW w:w="1179" w:type="pct"/>
                  <w:tcBorders>
                    <w:tl2br w:val="nil"/>
                    <w:tr2bl w:val="nil"/>
                  </w:tcBorders>
                  <w:vAlign w:val="center"/>
                </w:tcPr>
                <w:p w14:paraId="281192FE">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lang w:val="en-US" w:eastAsia="zh-CN"/>
                    </w:rPr>
                    <w:t>ND</w:t>
                  </w:r>
                </w:p>
              </w:tc>
              <w:tc>
                <w:tcPr>
                  <w:tcW w:w="904" w:type="pct"/>
                  <w:tcBorders>
                    <w:tl2br w:val="nil"/>
                    <w:tr2bl w:val="nil"/>
                  </w:tcBorders>
                  <w:vAlign w:val="center"/>
                </w:tcPr>
                <w:p w14:paraId="0BD5EF08">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5DACA50A">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70</w:t>
                  </w:r>
                </w:p>
              </w:tc>
              <w:tc>
                <w:tcPr>
                  <w:tcW w:w="755" w:type="pct"/>
                  <w:tcBorders>
                    <w:tl2br w:val="nil"/>
                    <w:tr2bl w:val="nil"/>
                  </w:tcBorders>
                  <w:vAlign w:val="center"/>
                </w:tcPr>
                <w:p w14:paraId="39BA3723">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767AE83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05" w:type="pct"/>
                  <w:tcBorders>
                    <w:tl2br w:val="nil"/>
                    <w:tr2bl w:val="nil"/>
                  </w:tcBorders>
                  <w:vAlign w:val="center"/>
                </w:tcPr>
                <w:p w14:paraId="5B82558B">
                  <w:pPr>
                    <w:widowControl/>
                    <w:spacing w:line="240" w:lineRule="auto"/>
                    <w:jc w:val="center"/>
                    <w:textAlignment w:val="center"/>
                    <w:outlineLvl w:val="9"/>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Cs/>
                      <w:color w:val="auto"/>
                      <w:szCs w:val="21"/>
                      <w:lang w:val="en-US" w:eastAsia="zh-CN"/>
                    </w:rPr>
                    <w:t>石油烃（C</w:t>
                  </w:r>
                  <w:r>
                    <w:rPr>
                      <w:rFonts w:hint="default" w:ascii="Times New Roman" w:hAnsi="Times New Roman" w:cs="Times New Roman"/>
                      <w:bCs/>
                      <w:color w:val="auto"/>
                      <w:szCs w:val="21"/>
                      <w:vertAlign w:val="subscript"/>
                      <w:lang w:val="en-US" w:eastAsia="zh-CN"/>
                    </w:rPr>
                    <w:t>10</w:t>
                  </w:r>
                  <w:r>
                    <w:rPr>
                      <w:rFonts w:hint="default" w:ascii="Times New Roman" w:hAnsi="Times New Roman" w:cs="Times New Roman"/>
                      <w:bCs/>
                      <w:color w:val="auto"/>
                      <w:szCs w:val="21"/>
                      <w:lang w:val="en-US" w:eastAsia="zh-CN"/>
                    </w:rPr>
                    <w:t>-C</w:t>
                  </w:r>
                  <w:r>
                    <w:rPr>
                      <w:rFonts w:hint="default" w:ascii="Times New Roman" w:hAnsi="Times New Roman" w:cs="Times New Roman"/>
                      <w:bCs/>
                      <w:color w:val="auto"/>
                      <w:szCs w:val="21"/>
                      <w:vertAlign w:val="subscript"/>
                      <w:lang w:val="en-US" w:eastAsia="zh-CN"/>
                    </w:rPr>
                    <w:t>40</w:t>
                  </w:r>
                  <w:r>
                    <w:rPr>
                      <w:rFonts w:hint="default" w:ascii="Times New Roman" w:hAnsi="Times New Roman" w:cs="Times New Roman"/>
                      <w:bCs/>
                      <w:color w:val="auto"/>
                      <w:szCs w:val="21"/>
                      <w:lang w:val="en-US" w:eastAsia="zh-CN"/>
                    </w:rPr>
                    <w:t>）</w:t>
                  </w:r>
                </w:p>
              </w:tc>
              <w:tc>
                <w:tcPr>
                  <w:tcW w:w="1179" w:type="pct"/>
                  <w:tcBorders>
                    <w:tl2br w:val="nil"/>
                    <w:tr2bl w:val="nil"/>
                  </w:tcBorders>
                  <w:vAlign w:val="center"/>
                </w:tcPr>
                <w:p w14:paraId="73CC97B5">
                  <w:pPr>
                    <w:jc w:val="center"/>
                    <w:outlineLvl w:val="9"/>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sz w:val="21"/>
                      <w:szCs w:val="21"/>
                      <w:highlight w:val="none"/>
                      <w:vertAlign w:val="baseline"/>
                      <w:lang w:val="en-US" w:eastAsia="zh-CN"/>
                    </w:rPr>
                    <w:t>25</w:t>
                  </w:r>
                </w:p>
              </w:tc>
              <w:tc>
                <w:tcPr>
                  <w:tcW w:w="904" w:type="pct"/>
                  <w:tcBorders>
                    <w:tl2br w:val="nil"/>
                    <w:tr2bl w:val="nil"/>
                  </w:tcBorders>
                  <w:vAlign w:val="center"/>
                </w:tcPr>
                <w:p w14:paraId="763A9F37">
                  <w:pPr>
                    <w:jc w:val="center"/>
                    <w:outlineLvl w:val="9"/>
                    <w:rPr>
                      <w:rFonts w:hint="default" w:ascii="Times New Roman" w:hAnsi="Times New Roman" w:eastAsia="宋体" w:cs="Times New Roman"/>
                      <w:snapToGrid w:val="0"/>
                      <w:color w:val="auto"/>
                      <w:kern w:val="44"/>
                      <w:sz w:val="21"/>
                      <w:szCs w:val="21"/>
                      <w:lang w:val="en-US" w:eastAsia="zh-CN" w:bidi="ar-SA"/>
                    </w:rPr>
                  </w:pPr>
                  <w:r>
                    <w:rPr>
                      <w:rFonts w:hint="default" w:ascii="Times New Roman" w:hAnsi="Times New Roman" w:cs="Times New Roman"/>
                      <w:color w:val="auto"/>
                      <w:szCs w:val="21"/>
                    </w:rPr>
                    <w:t>mg/kg</w:t>
                  </w:r>
                </w:p>
              </w:tc>
              <w:tc>
                <w:tcPr>
                  <w:tcW w:w="755" w:type="pct"/>
                  <w:tcBorders>
                    <w:tl2br w:val="nil"/>
                    <w:tr2bl w:val="nil"/>
                  </w:tcBorders>
                  <w:vAlign w:val="center"/>
                </w:tcPr>
                <w:p w14:paraId="46015084">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rPr>
                    <w:t>4500</w:t>
                  </w:r>
                </w:p>
              </w:tc>
              <w:tc>
                <w:tcPr>
                  <w:tcW w:w="755" w:type="pct"/>
                  <w:tcBorders>
                    <w:tl2br w:val="nil"/>
                    <w:tr2bl w:val="nil"/>
                  </w:tcBorders>
                  <w:vAlign w:val="center"/>
                </w:tcPr>
                <w:p w14:paraId="40C75FCC">
                  <w:pPr>
                    <w:jc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达标</w:t>
                  </w:r>
                </w:p>
              </w:tc>
            </w:tr>
            <w:tr w14:paraId="05A518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000" w:type="pct"/>
                  <w:gridSpan w:val="5"/>
                  <w:tcBorders>
                    <w:tl2br w:val="nil"/>
                    <w:tr2bl w:val="nil"/>
                  </w:tcBorders>
                  <w:vAlign w:val="center"/>
                </w:tcPr>
                <w:p w14:paraId="4B7F847B">
                  <w:pPr>
                    <w:jc w:val="both"/>
                    <w:outlineLvl w:val="9"/>
                    <w:rPr>
                      <w:rFonts w:hint="default" w:ascii="Times New Roman" w:hAnsi="Times New Roman" w:cs="Times New Roman"/>
                      <w:color w:val="auto"/>
                      <w:szCs w:val="21"/>
                      <w:lang w:val="en-US" w:eastAsia="zh-CN"/>
                    </w:rPr>
                  </w:pPr>
                  <w:r>
                    <w:rPr>
                      <w:rFonts w:hint="eastAsia" w:ascii="Times New Roman" w:hAnsi="Times New Roman" w:cs="Times New Roman"/>
                      <w:color w:val="auto"/>
                      <w:sz w:val="21"/>
                      <w:szCs w:val="21"/>
                      <w:highlight w:val="none"/>
                      <w:lang w:val="en-US" w:eastAsia="zh-CN"/>
                    </w:rPr>
                    <w:t>备注：ND表示未检出。</w:t>
                  </w:r>
                </w:p>
              </w:tc>
            </w:tr>
          </w:tbl>
          <w:p w14:paraId="6FB45365">
            <w:pPr>
              <w:spacing w:line="360" w:lineRule="auto"/>
              <w:ind w:firstLine="480" w:firstLineChars="200"/>
              <w:outlineLvl w:val="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由上表可知，</w:t>
            </w:r>
            <w:r>
              <w:rPr>
                <w:rFonts w:hint="eastAsia" w:ascii="宋体" w:hAnsi="宋体" w:eastAsia="宋体" w:cs="宋体"/>
                <w:color w:val="auto"/>
                <w:kern w:val="0"/>
                <w:sz w:val="24"/>
                <w:szCs w:val="24"/>
                <w:highlight w:val="none"/>
                <w:lang w:val="en-US" w:eastAsia="zh-CN" w:bidi="ar"/>
              </w:rPr>
              <w:t>乳化炸药震源药柱生产工房附近</w:t>
            </w:r>
            <w:r>
              <w:rPr>
                <w:rFonts w:hint="default" w:ascii="Times New Roman" w:hAnsi="Times New Roman" w:eastAsia="宋体" w:cs="Times New Roman"/>
                <w:color w:val="auto"/>
                <w:sz w:val="24"/>
                <w:szCs w:val="24"/>
              </w:rPr>
              <w:t>土壤环境各项指标均符合《土壤环境质量 建设用地土壤风险管控标准（试行）》（GB36600-2018）第二类用地筛选值标准要求，区域土壤环境现状良好。</w:t>
            </w:r>
          </w:p>
          <w:p w14:paraId="1640CAC6">
            <w:pPr>
              <w:widowControl/>
              <w:adjustRightInd w:val="0"/>
              <w:snapToGrid w:val="0"/>
              <w:spacing w:line="360" w:lineRule="auto"/>
              <w:ind w:firstLine="482" w:firstLineChars="200"/>
              <w:jc w:val="left"/>
              <w:outlineLvl w:val="9"/>
              <w:rPr>
                <w:color w:val="auto"/>
                <w:sz w:val="24"/>
              </w:rPr>
            </w:pPr>
            <w:r>
              <w:rPr>
                <w:rFonts w:hint="eastAsia"/>
                <w:b/>
                <w:color w:val="auto"/>
                <w:kern w:val="0"/>
                <w:sz w:val="24"/>
                <w:lang w:val="en-US" w:eastAsia="zh-CN" w:bidi="ar"/>
              </w:rPr>
              <w:t>7</w:t>
            </w:r>
            <w:r>
              <w:rPr>
                <w:rFonts w:hint="eastAsia"/>
                <w:b/>
                <w:color w:val="auto"/>
                <w:kern w:val="0"/>
                <w:sz w:val="24"/>
                <w:lang w:bidi="ar"/>
              </w:rPr>
              <w:t>、</w:t>
            </w:r>
            <w:r>
              <w:rPr>
                <w:b/>
                <w:color w:val="auto"/>
                <w:kern w:val="0"/>
                <w:sz w:val="24"/>
                <w:lang w:bidi="ar"/>
              </w:rPr>
              <w:t>电磁辐射</w:t>
            </w:r>
          </w:p>
          <w:p w14:paraId="5C95DD78">
            <w:pPr>
              <w:adjustRightInd w:val="0"/>
              <w:snapToGrid w:val="0"/>
              <w:spacing w:line="360" w:lineRule="auto"/>
              <w:ind w:firstLine="480" w:firstLineChars="200"/>
              <w:outlineLvl w:val="9"/>
              <w:rPr>
                <w:color w:val="auto"/>
                <w:kern w:val="0"/>
                <w:sz w:val="24"/>
                <w:lang w:bidi="ar"/>
              </w:rPr>
            </w:pPr>
            <w:r>
              <w:rPr>
                <w:color w:val="auto"/>
                <w:kern w:val="0"/>
                <w:sz w:val="24"/>
                <w:lang w:bidi="ar"/>
              </w:rPr>
              <w:t>本项目不属于新建或改建、扩建广播电台、差转台、电视塔台、卫星地球上行站、雷达等电磁辐射类项目，无需对电磁辐射现状开展监测与评价。</w:t>
            </w:r>
          </w:p>
          <w:p w14:paraId="1628DF31">
            <w:pPr>
              <w:adjustRightInd w:val="0"/>
              <w:snapToGrid w:val="0"/>
              <w:spacing w:line="360" w:lineRule="auto"/>
              <w:ind w:firstLine="480" w:firstLineChars="200"/>
              <w:outlineLvl w:val="9"/>
              <w:rPr>
                <w:color w:val="auto"/>
                <w:kern w:val="0"/>
                <w:sz w:val="24"/>
                <w:lang w:bidi="ar"/>
              </w:rPr>
            </w:pPr>
          </w:p>
          <w:p w14:paraId="744B9CD1">
            <w:pPr>
              <w:adjustRightInd w:val="0"/>
              <w:snapToGrid w:val="0"/>
              <w:spacing w:line="360" w:lineRule="auto"/>
              <w:ind w:firstLine="480" w:firstLineChars="200"/>
              <w:outlineLvl w:val="9"/>
              <w:rPr>
                <w:color w:val="auto"/>
                <w:kern w:val="0"/>
                <w:sz w:val="24"/>
                <w:lang w:bidi="ar"/>
              </w:rPr>
            </w:pPr>
          </w:p>
          <w:p w14:paraId="49FB8AC9">
            <w:pPr>
              <w:pStyle w:val="41"/>
              <w:ind w:left="0" w:leftChars="0" w:firstLine="0" w:firstLineChars="0"/>
              <w:outlineLvl w:val="9"/>
              <w:rPr>
                <w:rFonts w:hint="eastAsia"/>
                <w:color w:val="auto"/>
              </w:rPr>
            </w:pPr>
          </w:p>
        </w:tc>
      </w:tr>
      <w:tr w14:paraId="6FFEB6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3" w:hRule="atLeast"/>
          <w:jc w:val="center"/>
        </w:trPr>
        <w:tc>
          <w:tcPr>
            <w:tcW w:w="476" w:type="dxa"/>
            <w:vAlign w:val="center"/>
          </w:tcPr>
          <w:p w14:paraId="04E4F444">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环境</w:t>
            </w:r>
          </w:p>
          <w:p w14:paraId="30AD34EB">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保护</w:t>
            </w:r>
          </w:p>
          <w:p w14:paraId="0CA75EA2">
            <w:pPr>
              <w:adjustRightInd w:val="0"/>
              <w:snapToGrid w:val="0"/>
              <w:jc w:val="center"/>
              <w:outlineLvl w:val="9"/>
              <w:rPr>
                <w:rFonts w:hint="eastAsia" w:ascii="宋体" w:hAnsi="宋体" w:cs="宋体"/>
                <w:color w:val="auto"/>
                <w:kern w:val="0"/>
                <w:szCs w:val="21"/>
              </w:rPr>
            </w:pPr>
            <w:r>
              <w:rPr>
                <w:rFonts w:hint="eastAsia" w:ascii="宋体" w:hAnsi="宋体" w:cs="宋体"/>
                <w:color w:val="auto"/>
                <w:kern w:val="0"/>
                <w:sz w:val="24"/>
              </w:rPr>
              <w:t>目标</w:t>
            </w:r>
          </w:p>
        </w:tc>
        <w:tc>
          <w:tcPr>
            <w:tcW w:w="8583" w:type="dxa"/>
            <w:vAlign w:val="center"/>
          </w:tcPr>
          <w:p w14:paraId="02641D64">
            <w:pPr>
              <w:adjustRightInd w:val="0"/>
              <w:snapToGrid w:val="0"/>
              <w:spacing w:line="360" w:lineRule="auto"/>
              <w:ind w:firstLine="482" w:firstLineChars="200"/>
              <w:outlineLvl w:val="9"/>
              <w:rPr>
                <w:b/>
                <w:bCs/>
                <w:color w:val="auto"/>
                <w:sz w:val="24"/>
              </w:rPr>
            </w:pPr>
            <w:r>
              <w:rPr>
                <w:b/>
                <w:bCs/>
                <w:color w:val="auto"/>
                <w:sz w:val="24"/>
              </w:rPr>
              <w:t>1</w:t>
            </w:r>
            <w:r>
              <w:rPr>
                <w:rFonts w:hint="eastAsia"/>
                <w:b/>
                <w:bCs/>
                <w:color w:val="auto"/>
                <w:sz w:val="24"/>
              </w:rPr>
              <w:t>、</w:t>
            </w:r>
            <w:r>
              <w:rPr>
                <w:b/>
                <w:bCs/>
                <w:color w:val="auto"/>
                <w:sz w:val="24"/>
              </w:rPr>
              <w:t>大气环境</w:t>
            </w:r>
          </w:p>
          <w:p w14:paraId="3181A7E3">
            <w:pPr>
              <w:adjustRightInd w:val="0"/>
              <w:snapToGrid w:val="0"/>
              <w:spacing w:line="360" w:lineRule="auto"/>
              <w:ind w:firstLine="480" w:firstLineChars="200"/>
              <w:outlineLvl w:val="9"/>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rPr>
              <w:t>根据现场踏勘和卫星图定位结果可知，</w:t>
            </w:r>
            <w:r>
              <w:rPr>
                <w:rFonts w:hint="default" w:ascii="Times New Roman" w:hAnsi="Times New Roman" w:cs="Times New Roman"/>
                <w:color w:val="auto"/>
                <w:kern w:val="0"/>
                <w:sz w:val="24"/>
                <w:szCs w:val="24"/>
                <w:highlight w:val="none"/>
              </w:rPr>
              <w:t>本</w:t>
            </w:r>
            <w:r>
              <w:rPr>
                <w:rFonts w:hint="default" w:ascii="Times New Roman" w:hAnsi="Times New Roman" w:cs="Times New Roman"/>
                <w:color w:val="auto"/>
                <w:sz w:val="24"/>
                <w:szCs w:val="24"/>
                <w:highlight w:val="none"/>
              </w:rPr>
              <w:t>项目周边500m范围内大气环境保护目标为</w:t>
            </w:r>
            <w:r>
              <w:rPr>
                <w:rFonts w:hint="default" w:ascii="Times New Roman" w:hAnsi="Times New Roman" w:cs="Times New Roman"/>
                <w:snapToGrid/>
                <w:color w:val="auto"/>
                <w:kern w:val="2"/>
                <w:sz w:val="24"/>
                <w:szCs w:val="24"/>
                <w:highlight w:val="none"/>
                <w:lang w:val="en-US" w:eastAsia="zh-CN"/>
              </w:rPr>
              <w:t>朝阳古生物化石群自然保护区、辽宁朝阳鸟化石国家地质公园</w:t>
            </w:r>
            <w:r>
              <w:rPr>
                <w:rFonts w:hint="default" w:ascii="Times New Roman" w:hAnsi="Times New Roman" w:cs="Times New Roman"/>
                <w:color w:val="auto"/>
                <w:sz w:val="24"/>
                <w:szCs w:val="24"/>
              </w:rPr>
              <w:t>。</w:t>
            </w:r>
          </w:p>
          <w:p w14:paraId="65C85164">
            <w:pPr>
              <w:adjustRightInd w:val="0"/>
              <w:snapToGrid w:val="0"/>
              <w:spacing w:line="360" w:lineRule="auto"/>
              <w:ind w:firstLine="480" w:firstLineChars="200"/>
              <w:outlineLvl w:val="9"/>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朝阳市古生物化石群市级自然保护区于2002年7月经市政府批准成立，</w:t>
            </w:r>
            <w:r>
              <w:rPr>
                <w:rFonts w:hint="eastAsia" w:cs="Times New Roman"/>
                <w:color w:val="auto"/>
                <w:sz w:val="24"/>
                <w:szCs w:val="24"/>
                <w:highlight w:val="none"/>
                <w:lang w:val="en-US" w:eastAsia="zh-CN"/>
              </w:rPr>
              <w:t>保护朝阳市古生物化石资源，</w:t>
            </w:r>
            <w:r>
              <w:rPr>
                <w:rFonts w:hint="default" w:ascii="Times New Roman" w:hAnsi="Times New Roman" w:cs="Times New Roman"/>
                <w:color w:val="auto"/>
                <w:sz w:val="24"/>
                <w:szCs w:val="24"/>
                <w:highlight w:val="none"/>
              </w:rPr>
              <w:t>总面积为89038.04公顷，其中核心区面积7219.80公顷，缓冲区面积30438.73公顷，实验区面积51379.51公顷。保护区分布在朝阳市的龙城区、朝阳县、建平县、喀喇沁左翼蒙古族自治县、北票市和凌源市6个辖区内。</w:t>
            </w:r>
            <w:r>
              <w:rPr>
                <w:rFonts w:hint="eastAsia" w:ascii="Times New Roman" w:hAnsi="Times New Roman" w:cs="Times New Roman"/>
                <w:color w:val="auto"/>
                <w:sz w:val="24"/>
                <w:szCs w:val="24"/>
                <w:highlight w:val="none"/>
                <w:lang w:val="en-US" w:eastAsia="zh-CN"/>
              </w:rPr>
              <w:t>核心区</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禁止任何单位和个人进入</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缓冲区</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只准进入从事科学研究观测活动</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实</w:t>
            </w:r>
            <w:r>
              <w:rPr>
                <w:rFonts w:hint="default" w:ascii="Times New Roman" w:hAnsi="Times New Roman" w:cs="Times New Roman"/>
                <w:color w:val="auto"/>
                <w:sz w:val="24"/>
                <w:szCs w:val="24"/>
                <w:highlight w:val="none"/>
              </w:rPr>
              <w:t>验区：可以进入从事科学试验、教学实习、参观考察、旅游以及驯化、繁殖珍稀、濒危野生动植物等活动。在自然保护区的实验区内，不得建设污染环境、破坏资源或者景观的生产设施；建设其他项目，其污染物排放不得超过国家和地方规定的污染物排放标准。</w:t>
            </w:r>
          </w:p>
          <w:p w14:paraId="2AC05473">
            <w:pPr>
              <w:adjustRightInd w:val="0"/>
              <w:snapToGrid w:val="0"/>
              <w:spacing w:line="360" w:lineRule="auto"/>
              <w:ind w:firstLine="480" w:firstLineChars="200"/>
              <w:outlineLvl w:val="9"/>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辽宁</w:t>
            </w:r>
            <w:r>
              <w:rPr>
                <w:rFonts w:hint="default" w:ascii="Times New Roman" w:hAnsi="Times New Roman" w:cs="Times New Roman"/>
                <w:color w:val="auto"/>
                <w:sz w:val="24"/>
                <w:szCs w:val="24"/>
                <w:highlight w:val="none"/>
              </w:rPr>
              <w:t>朝阳鸟化石国家地质公园位于辽宁西部的朝阳市</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公园主要地质遗迹面积为207平方公里，由北票四合屯化石园区、凤凰山地质地貌园区、凌源大王杖子古生物化石园区、上河首古生物园区以及槐树洞景区等组成</w:t>
            </w:r>
            <w:r>
              <w:rPr>
                <w:rFonts w:hint="eastAsia" w:ascii="Times New Roman" w:hAnsi="Times New Roman" w:cs="Times New Roman"/>
                <w:color w:val="auto"/>
                <w:sz w:val="24"/>
                <w:szCs w:val="24"/>
                <w:highlight w:val="none"/>
                <w:lang w:eastAsia="zh-CN"/>
              </w:rPr>
              <w:t>。</w:t>
            </w:r>
            <w:r>
              <w:rPr>
                <w:rFonts w:ascii="Arial" w:hAnsi="Arial" w:eastAsia="宋体" w:cs="Arial"/>
                <w:i w:val="0"/>
                <w:iCs w:val="0"/>
                <w:caps w:val="0"/>
                <w:color w:val="auto"/>
                <w:spacing w:val="0"/>
                <w:sz w:val="24"/>
                <w:szCs w:val="24"/>
                <w:shd w:val="clear" w:fill="FFFFFF"/>
              </w:rPr>
              <w:t>主要为古生物化石、含化石地层、地质构造，尤以中生代古生物化石丰富、多样，在国际上具有独特性、完整性、稀有性，是世界级的古生物化石宝库</w:t>
            </w:r>
            <w:r>
              <w:rPr>
                <w:rFonts w:hint="eastAsia" w:ascii="Arial" w:hAnsi="Arial" w:eastAsia="宋体" w:cs="Arial"/>
                <w:i w:val="0"/>
                <w:iCs w:val="0"/>
                <w:caps w:val="0"/>
                <w:color w:val="auto"/>
                <w:spacing w:val="0"/>
                <w:sz w:val="24"/>
                <w:szCs w:val="24"/>
                <w:shd w:val="clear" w:fill="FFFFFF"/>
                <w:lang w:eastAsia="zh-CN"/>
              </w:rPr>
              <w:t>。</w:t>
            </w:r>
          </w:p>
          <w:p w14:paraId="461F88A6">
            <w:pPr>
              <w:adjustRightInd w:val="0"/>
              <w:snapToGrid w:val="0"/>
              <w:spacing w:line="360" w:lineRule="auto"/>
              <w:ind w:firstLine="482" w:firstLineChars="200"/>
              <w:outlineLvl w:val="9"/>
              <w:rPr>
                <w:b/>
                <w:bCs/>
                <w:color w:val="auto"/>
                <w:sz w:val="24"/>
              </w:rPr>
            </w:pPr>
            <w:r>
              <w:rPr>
                <w:b/>
                <w:bCs/>
                <w:color w:val="auto"/>
                <w:sz w:val="24"/>
              </w:rPr>
              <w:t>2</w:t>
            </w:r>
            <w:r>
              <w:rPr>
                <w:rFonts w:hint="eastAsia"/>
                <w:b/>
                <w:bCs/>
                <w:color w:val="auto"/>
                <w:sz w:val="24"/>
              </w:rPr>
              <w:t>、</w:t>
            </w:r>
            <w:r>
              <w:rPr>
                <w:b/>
                <w:bCs/>
                <w:color w:val="auto"/>
                <w:sz w:val="24"/>
              </w:rPr>
              <w:t>声环境</w:t>
            </w:r>
          </w:p>
          <w:p w14:paraId="13882D0C">
            <w:pPr>
              <w:adjustRightInd w:val="0"/>
              <w:snapToGrid w:val="0"/>
              <w:spacing w:line="360" w:lineRule="auto"/>
              <w:ind w:firstLine="480" w:firstLineChars="200"/>
              <w:outlineLvl w:val="9"/>
              <w:rPr>
                <w:color w:val="auto"/>
                <w:kern w:val="0"/>
                <w:sz w:val="24"/>
                <w:highlight w:val="none"/>
              </w:rPr>
            </w:pPr>
            <w:r>
              <w:rPr>
                <w:color w:val="auto"/>
                <w:kern w:val="0"/>
                <w:sz w:val="24"/>
              </w:rPr>
              <w:t>根据现场踏勘和卫星图定位结果可知，</w:t>
            </w:r>
            <w:r>
              <w:rPr>
                <w:color w:val="auto"/>
                <w:kern w:val="0"/>
                <w:sz w:val="24"/>
                <w:highlight w:val="none"/>
              </w:rPr>
              <w:t>本项目厂界外50米范围内</w:t>
            </w:r>
            <w:r>
              <w:rPr>
                <w:rFonts w:hint="eastAsia"/>
                <w:color w:val="auto"/>
                <w:kern w:val="0"/>
                <w:sz w:val="24"/>
                <w:highlight w:val="none"/>
                <w:lang w:val="en-US" w:eastAsia="zh-CN"/>
              </w:rPr>
              <w:t>无</w:t>
            </w:r>
            <w:r>
              <w:rPr>
                <w:color w:val="auto"/>
                <w:kern w:val="0"/>
                <w:sz w:val="24"/>
                <w:highlight w:val="none"/>
              </w:rPr>
              <w:t>声环境保护目标。</w:t>
            </w:r>
          </w:p>
          <w:p w14:paraId="66BF0263">
            <w:pPr>
              <w:adjustRightInd w:val="0"/>
              <w:snapToGrid w:val="0"/>
              <w:spacing w:line="360" w:lineRule="auto"/>
              <w:ind w:firstLine="482" w:firstLineChars="200"/>
              <w:outlineLvl w:val="9"/>
              <w:rPr>
                <w:b/>
                <w:bCs/>
                <w:color w:val="auto"/>
                <w:sz w:val="24"/>
              </w:rPr>
            </w:pPr>
            <w:r>
              <w:rPr>
                <w:b/>
                <w:bCs/>
                <w:color w:val="auto"/>
                <w:sz w:val="24"/>
              </w:rPr>
              <w:t>3</w:t>
            </w:r>
            <w:r>
              <w:rPr>
                <w:rFonts w:hint="eastAsia"/>
                <w:b/>
                <w:bCs/>
                <w:color w:val="auto"/>
                <w:sz w:val="24"/>
              </w:rPr>
              <w:t>、</w:t>
            </w:r>
            <w:r>
              <w:rPr>
                <w:b/>
                <w:bCs/>
                <w:color w:val="auto"/>
                <w:sz w:val="24"/>
              </w:rPr>
              <w:t>地下水环境</w:t>
            </w:r>
          </w:p>
          <w:p w14:paraId="6DB301CE">
            <w:pPr>
              <w:adjustRightInd w:val="0"/>
              <w:snapToGrid w:val="0"/>
              <w:spacing w:line="360" w:lineRule="auto"/>
              <w:ind w:firstLine="480" w:firstLineChars="200"/>
              <w:outlineLvl w:val="9"/>
              <w:rPr>
                <w:color w:val="auto"/>
                <w:sz w:val="24"/>
              </w:rPr>
            </w:pPr>
            <w:r>
              <w:rPr>
                <w:rFonts w:hint="eastAsia"/>
                <w:color w:val="auto"/>
                <w:sz w:val="24"/>
              </w:rPr>
              <w:t>根据现场踏勘和卫星图定位结果可知，本项目厂界外500米范围内无地下水集中式饮用水水源和热水、矿泉水、温泉等特殊地下水资源。</w:t>
            </w:r>
          </w:p>
          <w:p w14:paraId="4CA2BBC1">
            <w:pPr>
              <w:adjustRightInd w:val="0"/>
              <w:snapToGrid w:val="0"/>
              <w:spacing w:line="360" w:lineRule="auto"/>
              <w:ind w:firstLine="482" w:firstLineChars="200"/>
              <w:outlineLvl w:val="9"/>
              <w:rPr>
                <w:b/>
                <w:bCs/>
                <w:color w:val="auto"/>
                <w:sz w:val="24"/>
              </w:rPr>
            </w:pPr>
            <w:r>
              <w:rPr>
                <w:b/>
                <w:bCs/>
                <w:color w:val="auto"/>
                <w:sz w:val="24"/>
              </w:rPr>
              <w:t>4</w:t>
            </w:r>
            <w:r>
              <w:rPr>
                <w:rFonts w:hint="eastAsia"/>
                <w:b/>
                <w:bCs/>
                <w:color w:val="auto"/>
                <w:sz w:val="24"/>
              </w:rPr>
              <w:t>、</w:t>
            </w:r>
            <w:r>
              <w:rPr>
                <w:b/>
                <w:bCs/>
                <w:color w:val="auto"/>
                <w:sz w:val="24"/>
              </w:rPr>
              <w:t>生态环境</w:t>
            </w:r>
          </w:p>
          <w:p w14:paraId="1FE8B6FB">
            <w:pPr>
              <w:adjustRightInd w:val="0"/>
              <w:snapToGrid w:val="0"/>
              <w:spacing w:line="360" w:lineRule="auto"/>
              <w:ind w:firstLine="480" w:firstLineChars="200"/>
              <w:outlineLvl w:val="9"/>
              <w:rPr>
                <w:color w:val="auto"/>
                <w:kern w:val="0"/>
                <w:sz w:val="24"/>
                <w:lang w:bidi="ar"/>
              </w:rPr>
            </w:pPr>
            <w:r>
              <w:rPr>
                <w:color w:val="auto"/>
                <w:kern w:val="0"/>
                <w:sz w:val="24"/>
                <w:lang w:bidi="ar"/>
              </w:rPr>
              <w:t>本项目为污染影响类项目，</w:t>
            </w:r>
            <w:r>
              <w:rPr>
                <w:rFonts w:hint="eastAsia" w:ascii="Times New Roman" w:hAnsi="Times New Roman" w:eastAsia="宋体" w:cs="Times New Roman"/>
                <w:color w:val="auto"/>
                <w:kern w:val="0"/>
                <w:sz w:val="24"/>
                <w:lang w:val="en-US" w:eastAsia="zh-CN" w:bidi="ar"/>
              </w:rPr>
              <w:t>新增用地性质属于工业用地，</w:t>
            </w:r>
            <w:r>
              <w:rPr>
                <w:color w:val="auto"/>
                <w:kern w:val="0"/>
                <w:sz w:val="24"/>
                <w:highlight w:val="none"/>
                <w:lang w:bidi="ar"/>
              </w:rPr>
              <w:t>未占用自然保护区、风景名胜区、饮用水水源保护区、基本农田、生态保护红线区、林草地等特殊及重要生态环境敏感区，占地范围内无生态环境保护目标。</w:t>
            </w:r>
          </w:p>
          <w:p w14:paraId="3A70F438">
            <w:pPr>
              <w:pStyle w:val="8"/>
              <w:outlineLvl w:val="9"/>
              <w:rPr>
                <w:b/>
                <w:bCs/>
                <w:color w:val="auto"/>
              </w:rPr>
            </w:pPr>
            <w:r>
              <w:rPr>
                <w:b/>
                <w:bCs/>
                <w:color w:val="auto"/>
              </w:rPr>
              <w:t>表3-</w:t>
            </w:r>
            <w:r>
              <w:rPr>
                <w:rFonts w:hint="eastAsia"/>
                <w:b/>
                <w:bCs/>
                <w:color w:val="auto"/>
                <w:lang w:val="en-US" w:eastAsia="zh-CN"/>
              </w:rPr>
              <w:t>13</w:t>
            </w:r>
            <w:r>
              <w:rPr>
                <w:b/>
                <w:bCs/>
                <w:color w:val="auto"/>
              </w:rPr>
              <w:t xml:space="preserve">  环境保护目标一览表</w:t>
            </w:r>
          </w:p>
          <w:tbl>
            <w:tblPr>
              <w:tblStyle w:val="3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55"/>
              <w:gridCol w:w="809"/>
              <w:gridCol w:w="1107"/>
              <w:gridCol w:w="1115"/>
              <w:gridCol w:w="918"/>
              <w:gridCol w:w="2207"/>
              <w:gridCol w:w="836"/>
              <w:gridCol w:w="807"/>
            </w:tblGrid>
            <w:tr w14:paraId="54CCE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2" w:hRule="atLeast"/>
                <w:jc w:val="center"/>
              </w:trPr>
              <w:tc>
                <w:tcPr>
                  <w:tcW w:w="332" w:type="pct"/>
                  <w:vMerge w:val="restart"/>
                  <w:tcBorders>
                    <w:tl2br w:val="nil"/>
                    <w:tr2bl w:val="nil"/>
                  </w:tcBorders>
                  <w:vAlign w:val="center"/>
                </w:tcPr>
                <w:p w14:paraId="0BAFBA32">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环境要素</w:t>
                  </w:r>
                </w:p>
              </w:tc>
              <w:tc>
                <w:tcPr>
                  <w:tcW w:w="484" w:type="pct"/>
                  <w:vMerge w:val="restart"/>
                  <w:tcBorders>
                    <w:tl2br w:val="nil"/>
                    <w:tr2bl w:val="nil"/>
                  </w:tcBorders>
                  <w:vAlign w:val="center"/>
                </w:tcPr>
                <w:p w14:paraId="12C06311">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保护</w:t>
                  </w:r>
                </w:p>
                <w:p w14:paraId="5F0BC7B1">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目标名称</w:t>
                  </w:r>
                </w:p>
              </w:tc>
              <w:tc>
                <w:tcPr>
                  <w:tcW w:w="1329" w:type="pct"/>
                  <w:gridSpan w:val="2"/>
                  <w:tcBorders>
                    <w:tl2br w:val="nil"/>
                    <w:tr2bl w:val="nil"/>
                  </w:tcBorders>
                  <w:vAlign w:val="center"/>
                </w:tcPr>
                <w:p w14:paraId="3F58B4AA">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坐标/m</w:t>
                  </w:r>
                </w:p>
              </w:tc>
              <w:tc>
                <w:tcPr>
                  <w:tcW w:w="549" w:type="pct"/>
                  <w:vMerge w:val="restart"/>
                  <w:tcBorders>
                    <w:tl2br w:val="nil"/>
                    <w:tr2bl w:val="nil"/>
                  </w:tcBorders>
                  <w:vAlign w:val="center"/>
                </w:tcPr>
                <w:p w14:paraId="18E9D18D">
                  <w:pPr>
                    <w:pStyle w:val="100"/>
                    <w:keepNext w:val="0"/>
                    <w:keepLines w:val="0"/>
                    <w:pageBreakBefore w:val="0"/>
                    <w:kinsoku/>
                    <w:wordWrap/>
                    <w:overflowPunct/>
                    <w:topLinePunct w:val="0"/>
                    <w:autoSpaceDE/>
                    <w:autoSpaceDN/>
                    <w:bidi w:val="0"/>
                    <w:adjustRightInd/>
                    <w:spacing w:before="0" w:after="0"/>
                    <w:ind w:right="0"/>
                    <w:textAlignment w:val="auto"/>
                    <w:outlineLvl w:val="9"/>
                    <w:rPr>
                      <w:color w:val="auto"/>
                      <w:szCs w:val="21"/>
                    </w:rPr>
                  </w:pPr>
                  <w:r>
                    <w:rPr>
                      <w:color w:val="auto"/>
                      <w:szCs w:val="21"/>
                      <w:lang w:val="en-US"/>
                    </w:rPr>
                    <w:t>保护对象</w:t>
                  </w:r>
                </w:p>
              </w:tc>
              <w:tc>
                <w:tcPr>
                  <w:tcW w:w="1320" w:type="pct"/>
                  <w:vMerge w:val="restart"/>
                  <w:tcBorders>
                    <w:tl2br w:val="nil"/>
                    <w:tr2bl w:val="nil"/>
                  </w:tcBorders>
                  <w:vAlign w:val="center"/>
                </w:tcPr>
                <w:p w14:paraId="0D9F5808">
                  <w:pPr>
                    <w:pStyle w:val="100"/>
                    <w:keepNext w:val="0"/>
                    <w:keepLines w:val="0"/>
                    <w:pageBreakBefore w:val="0"/>
                    <w:widowControl w:val="0"/>
                    <w:shd w:val="clear" w:color="auto" w:fill="auto"/>
                    <w:kinsoku/>
                    <w:wordWrap/>
                    <w:overflowPunct/>
                    <w:topLinePunct w:val="0"/>
                    <w:autoSpaceDE/>
                    <w:autoSpaceDN/>
                    <w:bidi w:val="0"/>
                    <w:adjustRightInd/>
                    <w:snapToGrid/>
                    <w:spacing w:before="0" w:after="0" w:line="300" w:lineRule="exact"/>
                    <w:ind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保护内容</w:t>
                  </w:r>
                </w:p>
                <w:p w14:paraId="12ACD368">
                  <w:pPr>
                    <w:pStyle w:val="100"/>
                    <w:keepNext w:val="0"/>
                    <w:keepLines w:val="0"/>
                    <w:pageBreakBefore w:val="0"/>
                    <w:kinsoku/>
                    <w:wordWrap/>
                    <w:overflowPunct/>
                    <w:topLinePunct w:val="0"/>
                    <w:autoSpaceDE/>
                    <w:autoSpaceDN/>
                    <w:bidi w:val="0"/>
                    <w:adjustRightInd/>
                    <w:spacing w:before="0" w:after="0"/>
                    <w:ind w:right="0"/>
                    <w:textAlignment w:val="auto"/>
                    <w:outlineLvl w:val="9"/>
                    <w:rPr>
                      <w:color w:val="auto"/>
                      <w:szCs w:val="21"/>
                      <w:lang w:val="en-US"/>
                    </w:rPr>
                  </w:pPr>
                </w:p>
              </w:tc>
              <w:tc>
                <w:tcPr>
                  <w:tcW w:w="500" w:type="pct"/>
                  <w:vMerge w:val="restart"/>
                  <w:tcBorders>
                    <w:tl2br w:val="nil"/>
                    <w:tr2bl w:val="nil"/>
                  </w:tcBorders>
                  <w:vAlign w:val="center"/>
                </w:tcPr>
                <w:p w14:paraId="2DABDDDB">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相对厂址方位</w:t>
                  </w:r>
                </w:p>
              </w:tc>
              <w:tc>
                <w:tcPr>
                  <w:tcW w:w="483" w:type="pct"/>
                  <w:vMerge w:val="restart"/>
                  <w:tcBorders>
                    <w:tl2br w:val="nil"/>
                    <w:tr2bl w:val="nil"/>
                  </w:tcBorders>
                  <w:vAlign w:val="center"/>
                </w:tcPr>
                <w:p w14:paraId="0D5A9D50">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kern w:val="0"/>
                      <w:szCs w:val="21"/>
                    </w:rPr>
                    <w:t>与本项目</w:t>
                  </w:r>
                  <w:r>
                    <w:rPr>
                      <w:rFonts w:hint="eastAsia"/>
                      <w:color w:val="auto"/>
                      <w:kern w:val="0"/>
                      <w:szCs w:val="21"/>
                    </w:rPr>
                    <w:t>厂界</w:t>
                  </w:r>
                  <w:r>
                    <w:rPr>
                      <w:color w:val="auto"/>
                      <w:kern w:val="0"/>
                      <w:szCs w:val="21"/>
                    </w:rPr>
                    <w:t>最近距离（m）</w:t>
                  </w:r>
                </w:p>
              </w:tc>
            </w:tr>
            <w:tr w14:paraId="09CEA1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2" w:hRule="atLeast"/>
                <w:jc w:val="center"/>
              </w:trPr>
              <w:tc>
                <w:tcPr>
                  <w:tcW w:w="332" w:type="pct"/>
                  <w:vMerge w:val="continue"/>
                  <w:tcBorders>
                    <w:tl2br w:val="nil"/>
                    <w:tr2bl w:val="nil"/>
                  </w:tcBorders>
                  <w:vAlign w:val="center"/>
                </w:tcPr>
                <w:p w14:paraId="0ABE8C14">
                  <w:pPr>
                    <w:keepNext w:val="0"/>
                    <w:keepLines w:val="0"/>
                    <w:pageBreakBefore w:val="0"/>
                    <w:kinsoku/>
                    <w:wordWrap/>
                    <w:overflowPunct/>
                    <w:topLinePunct w:val="0"/>
                    <w:autoSpaceDE/>
                    <w:autoSpaceDN/>
                    <w:bidi w:val="0"/>
                    <w:adjustRightInd/>
                    <w:ind w:right="0"/>
                    <w:jc w:val="center"/>
                    <w:textAlignment w:val="auto"/>
                    <w:outlineLvl w:val="9"/>
                    <w:rPr>
                      <w:color w:val="auto"/>
                    </w:rPr>
                  </w:pPr>
                </w:p>
              </w:tc>
              <w:tc>
                <w:tcPr>
                  <w:tcW w:w="484" w:type="pct"/>
                  <w:vMerge w:val="continue"/>
                  <w:tcBorders>
                    <w:tl2br w:val="nil"/>
                    <w:tr2bl w:val="nil"/>
                  </w:tcBorders>
                  <w:vAlign w:val="center"/>
                </w:tcPr>
                <w:p w14:paraId="2AAC309D">
                  <w:pPr>
                    <w:keepNext w:val="0"/>
                    <w:keepLines w:val="0"/>
                    <w:pageBreakBefore w:val="0"/>
                    <w:kinsoku/>
                    <w:wordWrap/>
                    <w:overflowPunct/>
                    <w:topLinePunct w:val="0"/>
                    <w:autoSpaceDE/>
                    <w:autoSpaceDN/>
                    <w:bidi w:val="0"/>
                    <w:adjustRightInd/>
                    <w:ind w:right="0"/>
                    <w:jc w:val="center"/>
                    <w:textAlignment w:val="auto"/>
                    <w:outlineLvl w:val="9"/>
                    <w:rPr>
                      <w:color w:val="auto"/>
                    </w:rPr>
                  </w:pPr>
                </w:p>
              </w:tc>
              <w:tc>
                <w:tcPr>
                  <w:tcW w:w="662" w:type="pct"/>
                  <w:tcBorders>
                    <w:tl2br w:val="nil"/>
                    <w:tr2bl w:val="nil"/>
                  </w:tcBorders>
                  <w:vAlign w:val="center"/>
                </w:tcPr>
                <w:p w14:paraId="540B049F">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X</w:t>
                  </w:r>
                </w:p>
              </w:tc>
              <w:tc>
                <w:tcPr>
                  <w:tcW w:w="667" w:type="pct"/>
                  <w:tcBorders>
                    <w:tl2br w:val="nil"/>
                    <w:tr2bl w:val="nil"/>
                  </w:tcBorders>
                  <w:vAlign w:val="center"/>
                </w:tcPr>
                <w:p w14:paraId="657AFAD2">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Y</w:t>
                  </w:r>
                </w:p>
              </w:tc>
              <w:tc>
                <w:tcPr>
                  <w:tcW w:w="549" w:type="pct"/>
                  <w:vMerge w:val="continue"/>
                  <w:tcBorders>
                    <w:tl2br w:val="nil"/>
                    <w:tr2bl w:val="nil"/>
                  </w:tcBorders>
                  <w:vAlign w:val="center"/>
                </w:tcPr>
                <w:p w14:paraId="1D7C64E1">
                  <w:pPr>
                    <w:pStyle w:val="100"/>
                    <w:keepNext w:val="0"/>
                    <w:keepLines w:val="0"/>
                    <w:pageBreakBefore w:val="0"/>
                    <w:kinsoku/>
                    <w:wordWrap/>
                    <w:overflowPunct/>
                    <w:topLinePunct w:val="0"/>
                    <w:autoSpaceDE/>
                    <w:autoSpaceDN/>
                    <w:bidi w:val="0"/>
                    <w:adjustRightInd/>
                    <w:spacing w:before="0" w:after="0"/>
                    <w:ind w:right="0"/>
                    <w:textAlignment w:val="auto"/>
                    <w:outlineLvl w:val="9"/>
                    <w:rPr>
                      <w:color w:val="auto"/>
                      <w:szCs w:val="21"/>
                    </w:rPr>
                  </w:pPr>
                </w:p>
              </w:tc>
              <w:tc>
                <w:tcPr>
                  <w:tcW w:w="1320" w:type="pct"/>
                  <w:vMerge w:val="continue"/>
                  <w:tcBorders>
                    <w:tl2br w:val="nil"/>
                    <w:tr2bl w:val="nil"/>
                  </w:tcBorders>
                  <w:vAlign w:val="center"/>
                </w:tcPr>
                <w:p w14:paraId="616D64DC">
                  <w:pPr>
                    <w:pStyle w:val="100"/>
                    <w:keepNext w:val="0"/>
                    <w:keepLines w:val="0"/>
                    <w:pageBreakBefore w:val="0"/>
                    <w:kinsoku/>
                    <w:wordWrap/>
                    <w:overflowPunct/>
                    <w:topLinePunct w:val="0"/>
                    <w:autoSpaceDE/>
                    <w:autoSpaceDN/>
                    <w:bidi w:val="0"/>
                    <w:adjustRightInd/>
                    <w:spacing w:before="0" w:after="0"/>
                    <w:ind w:right="0"/>
                    <w:textAlignment w:val="auto"/>
                    <w:outlineLvl w:val="9"/>
                    <w:rPr>
                      <w:color w:val="auto"/>
                      <w:szCs w:val="21"/>
                    </w:rPr>
                  </w:pPr>
                </w:p>
              </w:tc>
              <w:tc>
                <w:tcPr>
                  <w:tcW w:w="500" w:type="pct"/>
                  <w:vMerge w:val="continue"/>
                  <w:tcBorders>
                    <w:tl2br w:val="nil"/>
                    <w:tr2bl w:val="nil"/>
                  </w:tcBorders>
                  <w:vAlign w:val="center"/>
                </w:tcPr>
                <w:p w14:paraId="02F247D0">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p>
              </w:tc>
              <w:tc>
                <w:tcPr>
                  <w:tcW w:w="483" w:type="pct"/>
                  <w:vMerge w:val="continue"/>
                  <w:tcBorders>
                    <w:tl2br w:val="nil"/>
                    <w:tr2bl w:val="nil"/>
                  </w:tcBorders>
                  <w:vAlign w:val="center"/>
                </w:tcPr>
                <w:p w14:paraId="32983CB8">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p>
              </w:tc>
            </w:tr>
            <w:tr w14:paraId="1B0E31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2" w:type="pct"/>
                  <w:vMerge w:val="restart"/>
                  <w:tcBorders>
                    <w:tl2br w:val="nil"/>
                    <w:tr2bl w:val="nil"/>
                  </w:tcBorders>
                  <w:vAlign w:val="center"/>
                </w:tcPr>
                <w:p w14:paraId="52F53013">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color w:val="auto"/>
                      <w:szCs w:val="21"/>
                    </w:rPr>
                    <w:t>大气环境</w:t>
                  </w:r>
                </w:p>
              </w:tc>
              <w:tc>
                <w:tcPr>
                  <w:tcW w:w="484" w:type="pct"/>
                  <w:tcBorders>
                    <w:tl2br w:val="nil"/>
                    <w:tr2bl w:val="nil"/>
                  </w:tcBorders>
                  <w:vAlign w:val="center"/>
                </w:tcPr>
                <w:p w14:paraId="57D75CAB">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r>
                    <w:rPr>
                      <w:rFonts w:hint="eastAsia" w:ascii="Times New Roman" w:hAnsi="Times New Roman" w:cs="Times New Roman"/>
                      <w:snapToGrid/>
                      <w:color w:val="auto"/>
                      <w:kern w:val="2"/>
                      <w:sz w:val="21"/>
                      <w:szCs w:val="21"/>
                      <w:highlight w:val="none"/>
                      <w:lang w:val="en-US" w:eastAsia="zh-CN"/>
                    </w:rPr>
                    <w:t>朝阳古生物化石群自然保护区</w:t>
                  </w:r>
                </w:p>
              </w:tc>
              <w:tc>
                <w:tcPr>
                  <w:tcW w:w="662" w:type="pct"/>
                  <w:tcBorders>
                    <w:tl2br w:val="nil"/>
                    <w:tr2bl w:val="nil"/>
                  </w:tcBorders>
                  <w:vAlign w:val="center"/>
                </w:tcPr>
                <w:p w14:paraId="2A45C78E">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outlineLvl w:val="9"/>
                    <w:rPr>
                      <w:color w:val="auto"/>
                      <w:szCs w:val="21"/>
                      <w:lang w:val="en-US"/>
                    </w:rPr>
                  </w:pPr>
                  <w:r>
                    <w:rPr>
                      <w:rFonts w:hint="eastAsia" w:ascii="Times New Roman" w:hAnsi="Times New Roman" w:cs="Times New Roman"/>
                      <w:color w:val="auto"/>
                      <w:sz w:val="21"/>
                      <w:szCs w:val="21"/>
                    </w:rPr>
                    <w:t>728043</w:t>
                  </w:r>
                </w:p>
              </w:tc>
              <w:tc>
                <w:tcPr>
                  <w:tcW w:w="667" w:type="pct"/>
                  <w:tcBorders>
                    <w:tl2br w:val="nil"/>
                    <w:tr2bl w:val="nil"/>
                  </w:tcBorders>
                  <w:vAlign w:val="center"/>
                </w:tcPr>
                <w:p w14:paraId="53E6B8BA">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outlineLvl w:val="9"/>
                    <w:rPr>
                      <w:color w:val="auto"/>
                      <w:szCs w:val="21"/>
                      <w:lang w:val="en-US"/>
                    </w:rPr>
                  </w:pPr>
                  <w:r>
                    <w:rPr>
                      <w:rFonts w:hint="eastAsia" w:ascii="Times New Roman" w:hAnsi="Times New Roman" w:cs="Times New Roman"/>
                      <w:color w:val="auto"/>
                      <w:sz w:val="21"/>
                      <w:szCs w:val="21"/>
                    </w:rPr>
                    <w:t>4558779</w:t>
                  </w:r>
                </w:p>
              </w:tc>
              <w:tc>
                <w:tcPr>
                  <w:tcW w:w="549" w:type="pct"/>
                  <w:vMerge w:val="restart"/>
                  <w:tcBorders>
                    <w:tl2br w:val="nil"/>
                    <w:tr2bl w:val="nil"/>
                  </w:tcBorders>
                  <w:vAlign w:val="center"/>
                </w:tcPr>
                <w:p w14:paraId="47FEB4B6">
                  <w:pPr>
                    <w:pStyle w:val="100"/>
                    <w:keepNext w:val="0"/>
                    <w:keepLines w:val="0"/>
                    <w:pageBreakBefore w:val="0"/>
                    <w:kinsoku/>
                    <w:wordWrap/>
                    <w:overflowPunct/>
                    <w:topLinePunct w:val="0"/>
                    <w:autoSpaceDE/>
                    <w:autoSpaceDN/>
                    <w:bidi w:val="0"/>
                    <w:adjustRightInd/>
                    <w:spacing w:before="0" w:after="0"/>
                    <w:ind w:right="0"/>
                    <w:textAlignment w:val="auto"/>
                    <w:outlineLvl w:val="9"/>
                    <w:rPr>
                      <w:rFonts w:hint="default"/>
                      <w:color w:val="auto"/>
                      <w:szCs w:val="21"/>
                      <w:lang w:val="en-US"/>
                    </w:rPr>
                  </w:pPr>
                  <w:r>
                    <w:rPr>
                      <w:rFonts w:hint="eastAsia" w:ascii="Times New Roman" w:hAnsi="Times New Roman" w:eastAsia="宋体" w:cs="Times New Roman"/>
                      <w:color w:val="auto"/>
                      <w:kern w:val="2"/>
                      <w:sz w:val="21"/>
                      <w:szCs w:val="21"/>
                      <w:highlight w:val="none"/>
                      <w:lang w:val="en-US" w:eastAsia="zh-CN" w:bidi="ar-SA"/>
                    </w:rPr>
                    <w:t>一类功能区</w:t>
                  </w:r>
                </w:p>
              </w:tc>
              <w:tc>
                <w:tcPr>
                  <w:tcW w:w="1320" w:type="pct"/>
                  <w:vMerge w:val="restart"/>
                  <w:tcBorders>
                    <w:tl2br w:val="nil"/>
                    <w:tr2bl w:val="nil"/>
                  </w:tcBorders>
                  <w:vAlign w:val="center"/>
                </w:tcPr>
                <w:p w14:paraId="50E6AE16">
                  <w:pPr>
                    <w:pStyle w:val="100"/>
                    <w:keepNext w:val="0"/>
                    <w:keepLines w:val="0"/>
                    <w:pageBreakBefore w:val="0"/>
                    <w:kinsoku/>
                    <w:wordWrap/>
                    <w:overflowPunct/>
                    <w:topLinePunct w:val="0"/>
                    <w:autoSpaceDE/>
                    <w:autoSpaceDN/>
                    <w:bidi w:val="0"/>
                    <w:adjustRightInd/>
                    <w:spacing w:before="0" w:after="0"/>
                    <w:ind w:right="0"/>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《环境空气质量标准》（GB3095-20</w:t>
                  </w:r>
                  <w:r>
                    <w:rPr>
                      <w:rFonts w:hint="eastAsia" w:cs="Times New Roman"/>
                      <w:color w:val="auto"/>
                      <w:kern w:val="2"/>
                      <w:sz w:val="21"/>
                      <w:szCs w:val="21"/>
                      <w:highlight w:val="none"/>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过渡期一</w:t>
                  </w:r>
                  <w:r>
                    <w:rPr>
                      <w:rFonts w:hint="default" w:ascii="Times New Roman" w:hAnsi="Times New Roman" w:eastAsia="宋体" w:cs="Times New Roman"/>
                      <w:color w:val="auto"/>
                      <w:kern w:val="2"/>
                      <w:sz w:val="21"/>
                      <w:szCs w:val="21"/>
                      <w:highlight w:val="none"/>
                      <w:lang w:val="en-US" w:eastAsia="zh-CN" w:bidi="ar-SA"/>
                    </w:rPr>
                    <w:t>级标准</w:t>
                  </w:r>
                </w:p>
              </w:tc>
              <w:tc>
                <w:tcPr>
                  <w:tcW w:w="500" w:type="pct"/>
                  <w:tcBorders>
                    <w:tl2br w:val="nil"/>
                    <w:tr2bl w:val="nil"/>
                  </w:tcBorders>
                  <w:vAlign w:val="center"/>
                </w:tcPr>
                <w:p w14:paraId="42AC12D9">
                  <w:pPr>
                    <w:keepNext w:val="0"/>
                    <w:keepLines w:val="0"/>
                    <w:pageBreakBefore w:val="0"/>
                    <w:kinsoku/>
                    <w:wordWrap/>
                    <w:overflowPunct/>
                    <w:topLinePunct w:val="0"/>
                    <w:autoSpaceDE/>
                    <w:autoSpaceDN/>
                    <w:bidi w:val="0"/>
                    <w:adjustRightInd/>
                    <w:ind w:right="0"/>
                    <w:jc w:val="center"/>
                    <w:textAlignment w:val="auto"/>
                    <w:outlineLvl w:val="9"/>
                    <w:rPr>
                      <w:rFonts w:hint="eastAsia"/>
                      <w:color w:val="auto"/>
                      <w:szCs w:val="21"/>
                      <w:lang w:val="en-US" w:eastAsia="zh-CN"/>
                    </w:rPr>
                  </w:pPr>
                  <w:r>
                    <w:rPr>
                      <w:rFonts w:hint="eastAsia"/>
                      <w:color w:val="auto"/>
                      <w:szCs w:val="21"/>
                      <w:lang w:val="en-US" w:eastAsia="zh-CN"/>
                    </w:rPr>
                    <w:t>SE</w:t>
                  </w:r>
                </w:p>
              </w:tc>
              <w:tc>
                <w:tcPr>
                  <w:tcW w:w="483" w:type="pct"/>
                  <w:tcBorders>
                    <w:tl2br w:val="nil"/>
                    <w:tr2bl w:val="nil"/>
                  </w:tcBorders>
                  <w:vAlign w:val="center"/>
                </w:tcPr>
                <w:p w14:paraId="2C90DC2B">
                  <w:pPr>
                    <w:keepNext w:val="0"/>
                    <w:keepLines w:val="0"/>
                    <w:pageBreakBefore w:val="0"/>
                    <w:kinsoku/>
                    <w:wordWrap/>
                    <w:overflowPunct/>
                    <w:topLinePunct w:val="0"/>
                    <w:autoSpaceDE/>
                    <w:autoSpaceDN/>
                    <w:bidi w:val="0"/>
                    <w:adjustRightInd/>
                    <w:ind w:right="0"/>
                    <w:jc w:val="center"/>
                    <w:textAlignment w:val="auto"/>
                    <w:outlineLvl w:val="9"/>
                    <w:rPr>
                      <w:rFonts w:hint="eastAsia"/>
                      <w:color w:val="auto"/>
                      <w:szCs w:val="21"/>
                      <w:lang w:val="en-US" w:eastAsia="zh-CN"/>
                    </w:rPr>
                  </w:pPr>
                  <w:r>
                    <w:rPr>
                      <w:rFonts w:hint="eastAsia" w:ascii="Times New Roman" w:hAnsi="Times New Roman" w:cs="Times New Roman"/>
                      <w:snapToGrid/>
                      <w:color w:val="auto"/>
                      <w:kern w:val="2"/>
                      <w:sz w:val="21"/>
                      <w:szCs w:val="21"/>
                      <w:lang w:val="en-US" w:eastAsia="zh-CN"/>
                    </w:rPr>
                    <w:t>36</w:t>
                  </w:r>
                </w:p>
              </w:tc>
            </w:tr>
            <w:tr w14:paraId="504D16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32" w:type="pct"/>
                  <w:vMerge w:val="continue"/>
                  <w:tcBorders>
                    <w:tl2br w:val="nil"/>
                    <w:tr2bl w:val="nil"/>
                  </w:tcBorders>
                  <w:vAlign w:val="center"/>
                </w:tcPr>
                <w:p w14:paraId="02D6AC34">
                  <w:pPr>
                    <w:keepNext w:val="0"/>
                    <w:keepLines w:val="0"/>
                    <w:pageBreakBefore w:val="0"/>
                    <w:kinsoku/>
                    <w:wordWrap/>
                    <w:overflowPunct/>
                    <w:topLinePunct w:val="0"/>
                    <w:autoSpaceDE/>
                    <w:autoSpaceDN/>
                    <w:bidi w:val="0"/>
                    <w:adjustRightInd/>
                    <w:ind w:right="0"/>
                    <w:jc w:val="center"/>
                    <w:textAlignment w:val="auto"/>
                    <w:outlineLvl w:val="9"/>
                    <w:rPr>
                      <w:color w:val="auto"/>
                      <w:szCs w:val="21"/>
                    </w:rPr>
                  </w:pPr>
                </w:p>
              </w:tc>
              <w:tc>
                <w:tcPr>
                  <w:tcW w:w="484" w:type="pct"/>
                  <w:tcBorders>
                    <w:tl2br w:val="nil"/>
                    <w:tr2bl w:val="nil"/>
                  </w:tcBorders>
                  <w:vAlign w:val="center"/>
                </w:tcPr>
                <w:p w14:paraId="3A1DC229">
                  <w:pPr>
                    <w:keepNext w:val="0"/>
                    <w:keepLines w:val="0"/>
                    <w:pageBreakBefore w:val="0"/>
                    <w:kinsoku/>
                    <w:wordWrap/>
                    <w:overflowPunct/>
                    <w:topLinePunct w:val="0"/>
                    <w:autoSpaceDE/>
                    <w:autoSpaceDN/>
                    <w:bidi w:val="0"/>
                    <w:adjustRightInd/>
                    <w:ind w:right="0"/>
                    <w:jc w:val="center"/>
                    <w:textAlignment w:val="auto"/>
                    <w:outlineLvl w:val="9"/>
                    <w:rPr>
                      <w:color w:val="auto"/>
                    </w:rPr>
                  </w:pPr>
                  <w:r>
                    <w:rPr>
                      <w:rFonts w:hint="eastAsia" w:ascii="Times New Roman" w:hAnsi="Times New Roman" w:cs="Times New Roman"/>
                      <w:snapToGrid/>
                      <w:color w:val="auto"/>
                      <w:kern w:val="2"/>
                      <w:sz w:val="21"/>
                      <w:szCs w:val="21"/>
                      <w:highlight w:val="none"/>
                      <w:lang w:val="en-US" w:eastAsia="zh-CN"/>
                    </w:rPr>
                    <w:t>辽宁朝阳鸟化石国家地质公园</w:t>
                  </w:r>
                </w:p>
              </w:tc>
              <w:tc>
                <w:tcPr>
                  <w:tcW w:w="662" w:type="pct"/>
                  <w:tcBorders>
                    <w:tl2br w:val="nil"/>
                    <w:tr2bl w:val="nil"/>
                  </w:tcBorders>
                  <w:vAlign w:val="center"/>
                </w:tcPr>
                <w:p w14:paraId="1DD79D35">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outlineLvl w:val="9"/>
                    <w:rPr>
                      <w:color w:val="auto"/>
                      <w:szCs w:val="21"/>
                      <w:lang w:val="en-US"/>
                    </w:rPr>
                  </w:pPr>
                  <w:r>
                    <w:rPr>
                      <w:rFonts w:hint="eastAsia" w:ascii="Times New Roman" w:hAnsi="Times New Roman" w:cs="Times New Roman"/>
                      <w:color w:val="auto"/>
                      <w:sz w:val="21"/>
                      <w:szCs w:val="21"/>
                    </w:rPr>
                    <w:t>728043</w:t>
                  </w:r>
                </w:p>
              </w:tc>
              <w:tc>
                <w:tcPr>
                  <w:tcW w:w="667" w:type="pct"/>
                  <w:tcBorders>
                    <w:tl2br w:val="nil"/>
                    <w:tr2bl w:val="nil"/>
                  </w:tcBorders>
                  <w:vAlign w:val="center"/>
                </w:tcPr>
                <w:p w14:paraId="395B9B5A">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outlineLvl w:val="9"/>
                    <w:rPr>
                      <w:color w:val="auto"/>
                      <w:szCs w:val="21"/>
                      <w:lang w:val="en-US"/>
                    </w:rPr>
                  </w:pPr>
                  <w:r>
                    <w:rPr>
                      <w:rFonts w:hint="eastAsia" w:ascii="Times New Roman" w:hAnsi="Times New Roman" w:cs="Times New Roman"/>
                      <w:color w:val="auto"/>
                      <w:sz w:val="21"/>
                      <w:szCs w:val="21"/>
                    </w:rPr>
                    <w:t>45587</w:t>
                  </w:r>
                  <w:r>
                    <w:rPr>
                      <w:rFonts w:hint="eastAsia" w:ascii="Times New Roman" w:hAnsi="Times New Roman" w:cs="Times New Roman"/>
                      <w:color w:val="auto"/>
                      <w:sz w:val="21"/>
                      <w:szCs w:val="21"/>
                      <w:lang w:val="en-US" w:eastAsia="zh-CN"/>
                    </w:rPr>
                    <w:t>83</w:t>
                  </w:r>
                </w:p>
              </w:tc>
              <w:tc>
                <w:tcPr>
                  <w:tcW w:w="549" w:type="pct"/>
                  <w:vMerge w:val="continue"/>
                  <w:tcBorders>
                    <w:tl2br w:val="nil"/>
                    <w:tr2bl w:val="nil"/>
                  </w:tcBorders>
                  <w:vAlign w:val="center"/>
                </w:tcPr>
                <w:p w14:paraId="6C5D5CF2">
                  <w:pPr>
                    <w:pStyle w:val="100"/>
                    <w:keepNext w:val="0"/>
                    <w:keepLines w:val="0"/>
                    <w:pageBreakBefore w:val="0"/>
                    <w:kinsoku/>
                    <w:wordWrap/>
                    <w:overflowPunct/>
                    <w:topLinePunct w:val="0"/>
                    <w:autoSpaceDE/>
                    <w:autoSpaceDN/>
                    <w:bidi w:val="0"/>
                    <w:adjustRightInd/>
                    <w:spacing w:before="0" w:after="0"/>
                    <w:ind w:right="0"/>
                    <w:textAlignment w:val="auto"/>
                    <w:outlineLvl w:val="9"/>
                    <w:rPr>
                      <w:color w:val="auto"/>
                      <w:szCs w:val="21"/>
                      <w:lang w:val="en-US"/>
                    </w:rPr>
                  </w:pPr>
                </w:p>
              </w:tc>
              <w:tc>
                <w:tcPr>
                  <w:tcW w:w="1320" w:type="pct"/>
                  <w:vMerge w:val="continue"/>
                  <w:tcBorders>
                    <w:tl2br w:val="nil"/>
                    <w:tr2bl w:val="nil"/>
                  </w:tcBorders>
                  <w:vAlign w:val="center"/>
                </w:tcPr>
                <w:p w14:paraId="62FE31A6">
                  <w:pPr>
                    <w:pStyle w:val="100"/>
                    <w:keepNext w:val="0"/>
                    <w:keepLines w:val="0"/>
                    <w:pageBreakBefore w:val="0"/>
                    <w:kinsoku/>
                    <w:wordWrap/>
                    <w:overflowPunct/>
                    <w:topLinePunct w:val="0"/>
                    <w:autoSpaceDE/>
                    <w:autoSpaceDN/>
                    <w:bidi w:val="0"/>
                    <w:adjustRightInd/>
                    <w:spacing w:before="0" w:after="0"/>
                    <w:ind w:right="0"/>
                    <w:textAlignment w:val="auto"/>
                    <w:outlineLvl w:val="9"/>
                    <w:rPr>
                      <w:color w:val="auto"/>
                      <w:szCs w:val="21"/>
                      <w:lang w:val="en-US"/>
                    </w:rPr>
                  </w:pPr>
                </w:p>
              </w:tc>
              <w:tc>
                <w:tcPr>
                  <w:tcW w:w="500" w:type="pct"/>
                  <w:tcBorders>
                    <w:tl2br w:val="nil"/>
                    <w:tr2bl w:val="nil"/>
                  </w:tcBorders>
                  <w:vAlign w:val="center"/>
                </w:tcPr>
                <w:p w14:paraId="02DCB6DD">
                  <w:pPr>
                    <w:keepNext w:val="0"/>
                    <w:keepLines w:val="0"/>
                    <w:pageBreakBefore w:val="0"/>
                    <w:kinsoku/>
                    <w:wordWrap/>
                    <w:overflowPunct/>
                    <w:topLinePunct w:val="0"/>
                    <w:autoSpaceDE/>
                    <w:autoSpaceDN/>
                    <w:bidi w:val="0"/>
                    <w:adjustRightInd/>
                    <w:ind w:right="0"/>
                    <w:jc w:val="center"/>
                    <w:textAlignment w:val="auto"/>
                    <w:outlineLvl w:val="9"/>
                    <w:rPr>
                      <w:rFonts w:hint="eastAsia"/>
                      <w:color w:val="auto"/>
                      <w:szCs w:val="21"/>
                      <w:lang w:val="en-US" w:eastAsia="zh-CN"/>
                    </w:rPr>
                  </w:pPr>
                  <w:r>
                    <w:rPr>
                      <w:rFonts w:hint="eastAsia"/>
                      <w:color w:val="auto"/>
                      <w:szCs w:val="21"/>
                      <w:lang w:val="en-US" w:eastAsia="zh-CN"/>
                    </w:rPr>
                    <w:t>E</w:t>
                  </w:r>
                </w:p>
              </w:tc>
              <w:tc>
                <w:tcPr>
                  <w:tcW w:w="483" w:type="pct"/>
                  <w:tcBorders>
                    <w:tl2br w:val="nil"/>
                    <w:tr2bl w:val="nil"/>
                  </w:tcBorders>
                  <w:vAlign w:val="center"/>
                </w:tcPr>
                <w:p w14:paraId="79DF9A3F">
                  <w:pPr>
                    <w:keepNext w:val="0"/>
                    <w:keepLines w:val="0"/>
                    <w:pageBreakBefore w:val="0"/>
                    <w:kinsoku/>
                    <w:wordWrap/>
                    <w:overflowPunct/>
                    <w:topLinePunct w:val="0"/>
                    <w:autoSpaceDE/>
                    <w:autoSpaceDN/>
                    <w:bidi w:val="0"/>
                    <w:adjustRightInd/>
                    <w:ind w:right="0"/>
                    <w:jc w:val="center"/>
                    <w:textAlignment w:val="auto"/>
                    <w:outlineLvl w:val="9"/>
                    <w:rPr>
                      <w:rFonts w:hint="eastAsia"/>
                      <w:color w:val="auto"/>
                      <w:szCs w:val="21"/>
                      <w:lang w:val="en-US" w:eastAsia="zh-CN"/>
                    </w:rPr>
                  </w:pPr>
                  <w:r>
                    <w:rPr>
                      <w:rFonts w:hint="eastAsia" w:ascii="Times New Roman" w:hAnsi="Times New Roman" w:cs="Times New Roman"/>
                      <w:snapToGrid/>
                      <w:color w:val="auto"/>
                      <w:kern w:val="2"/>
                      <w:sz w:val="21"/>
                      <w:szCs w:val="21"/>
                      <w:lang w:val="en-US" w:eastAsia="zh-CN"/>
                    </w:rPr>
                    <w:t>170</w:t>
                  </w:r>
                </w:p>
              </w:tc>
            </w:tr>
          </w:tbl>
          <w:p w14:paraId="64E5F7C2">
            <w:pPr>
              <w:adjustRightInd w:val="0"/>
              <w:snapToGrid w:val="0"/>
              <w:spacing w:line="360" w:lineRule="auto"/>
              <w:ind w:firstLine="480" w:firstLineChars="200"/>
              <w:outlineLvl w:val="9"/>
              <w:rPr>
                <w:color w:val="auto"/>
                <w:kern w:val="0"/>
                <w:sz w:val="24"/>
                <w:lang w:bidi="ar"/>
              </w:rPr>
            </w:pPr>
          </w:p>
        </w:tc>
      </w:tr>
      <w:tr w14:paraId="495C7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1" w:hRule="atLeast"/>
          <w:jc w:val="center"/>
        </w:trPr>
        <w:tc>
          <w:tcPr>
            <w:tcW w:w="476" w:type="dxa"/>
            <w:tcMar>
              <w:left w:w="28" w:type="dxa"/>
              <w:right w:w="28" w:type="dxa"/>
            </w:tcMar>
            <w:vAlign w:val="center"/>
          </w:tcPr>
          <w:p w14:paraId="3C620524">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污染</w:t>
            </w:r>
          </w:p>
          <w:p w14:paraId="26E0051C">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物排</w:t>
            </w:r>
          </w:p>
          <w:p w14:paraId="5B29AFFA">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放控</w:t>
            </w:r>
          </w:p>
          <w:p w14:paraId="5E4BF11B">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制标</w:t>
            </w:r>
          </w:p>
          <w:p w14:paraId="1F2B4C8B">
            <w:pPr>
              <w:adjustRightInd w:val="0"/>
              <w:snapToGrid w:val="0"/>
              <w:jc w:val="center"/>
              <w:outlineLvl w:val="9"/>
              <w:rPr>
                <w:rFonts w:hint="eastAsia" w:ascii="宋体" w:hAnsi="宋体" w:cs="宋体"/>
                <w:color w:val="auto"/>
                <w:kern w:val="0"/>
                <w:szCs w:val="21"/>
              </w:rPr>
            </w:pPr>
            <w:r>
              <w:rPr>
                <w:rFonts w:hint="eastAsia" w:ascii="宋体" w:hAnsi="宋体" w:cs="宋体"/>
                <w:color w:val="auto"/>
                <w:kern w:val="0"/>
                <w:sz w:val="24"/>
              </w:rPr>
              <w:t>准</w:t>
            </w:r>
          </w:p>
        </w:tc>
        <w:tc>
          <w:tcPr>
            <w:tcW w:w="8583" w:type="dxa"/>
            <w:vAlign w:val="center"/>
          </w:tcPr>
          <w:p w14:paraId="296C527E">
            <w:pPr>
              <w:spacing w:line="360" w:lineRule="auto"/>
              <w:ind w:firstLine="482" w:firstLineChars="200"/>
              <w:outlineLvl w:val="9"/>
              <w:rPr>
                <w:b/>
                <w:color w:val="auto"/>
                <w:sz w:val="24"/>
              </w:rPr>
            </w:pPr>
            <w:r>
              <w:rPr>
                <w:rFonts w:hint="eastAsia"/>
                <w:b/>
                <w:color w:val="auto"/>
                <w:sz w:val="24"/>
              </w:rPr>
              <w:t>1、施工期污染物排放标准</w:t>
            </w:r>
          </w:p>
          <w:p w14:paraId="50AD1472">
            <w:pPr>
              <w:keepNext/>
              <w:keepLines/>
              <w:topLinePunct/>
              <w:spacing w:line="360" w:lineRule="auto"/>
              <w:ind w:firstLine="480" w:firstLineChars="200"/>
              <w:outlineLvl w:val="9"/>
              <w:rPr>
                <w:color w:val="auto"/>
                <w:sz w:val="24"/>
              </w:rPr>
            </w:pPr>
            <w:r>
              <w:rPr>
                <w:rFonts w:hint="eastAsia"/>
                <w:color w:val="auto"/>
                <w:sz w:val="24"/>
              </w:rPr>
              <w:t>（1）废气</w:t>
            </w:r>
          </w:p>
          <w:p w14:paraId="194C1CD0">
            <w:pPr>
              <w:spacing w:line="360" w:lineRule="auto"/>
              <w:ind w:firstLine="480" w:firstLineChars="200"/>
              <w:outlineLvl w:val="9"/>
              <w:rPr>
                <w:color w:val="auto"/>
                <w:sz w:val="24"/>
              </w:rPr>
            </w:pPr>
            <w:r>
              <w:rPr>
                <w:color w:val="auto"/>
                <w:sz w:val="24"/>
              </w:rPr>
              <w:t>施工期扬尘执行《施工及堆料场地扬尘排放标准》（DB</w:t>
            </w:r>
            <w:r>
              <w:rPr>
                <w:rFonts w:hint="eastAsia"/>
                <w:color w:val="auto"/>
                <w:sz w:val="24"/>
              </w:rPr>
              <w:t xml:space="preserve"> </w:t>
            </w:r>
            <w:r>
              <w:rPr>
                <w:color w:val="auto"/>
                <w:sz w:val="24"/>
              </w:rPr>
              <w:t>21/2642-2016）标准</w:t>
            </w:r>
            <w:r>
              <w:rPr>
                <w:rFonts w:hint="eastAsia"/>
                <w:color w:val="auto"/>
                <w:sz w:val="24"/>
              </w:rPr>
              <w:t>要求</w:t>
            </w:r>
            <w:r>
              <w:rPr>
                <w:color w:val="auto"/>
                <w:sz w:val="24"/>
              </w:rPr>
              <w:t>，</w:t>
            </w:r>
            <w:r>
              <w:rPr>
                <w:rFonts w:hint="eastAsia"/>
                <w:color w:val="auto"/>
                <w:sz w:val="24"/>
              </w:rPr>
              <w:t>具体</w:t>
            </w:r>
            <w:r>
              <w:rPr>
                <w:color w:val="auto"/>
                <w:sz w:val="24"/>
              </w:rPr>
              <w:t>见表3-</w:t>
            </w:r>
            <w:r>
              <w:rPr>
                <w:rFonts w:hint="eastAsia"/>
                <w:color w:val="auto"/>
                <w:sz w:val="24"/>
                <w:lang w:val="en-US" w:eastAsia="zh-CN"/>
              </w:rPr>
              <w:t>14</w:t>
            </w:r>
            <w:r>
              <w:rPr>
                <w:rFonts w:hint="eastAsia"/>
                <w:color w:val="auto"/>
                <w:sz w:val="24"/>
              </w:rPr>
              <w:t>。</w:t>
            </w:r>
          </w:p>
          <w:p w14:paraId="3F408E18">
            <w:pPr>
              <w:jc w:val="center"/>
              <w:outlineLvl w:val="9"/>
              <w:rPr>
                <w:b/>
                <w:color w:val="auto"/>
                <w:szCs w:val="21"/>
              </w:rPr>
            </w:pPr>
            <w:r>
              <w:rPr>
                <w:b/>
                <w:color w:val="auto"/>
                <w:szCs w:val="21"/>
              </w:rPr>
              <w:t>表3-</w:t>
            </w:r>
            <w:r>
              <w:rPr>
                <w:rFonts w:hint="eastAsia"/>
                <w:b/>
                <w:color w:val="auto"/>
                <w:szCs w:val="21"/>
                <w:lang w:val="en-US" w:eastAsia="zh-CN"/>
              </w:rPr>
              <w:t>14</w:t>
            </w:r>
            <w:r>
              <w:rPr>
                <w:b/>
                <w:color w:val="auto"/>
                <w:szCs w:val="21"/>
              </w:rPr>
              <w:t xml:space="preserve"> </w:t>
            </w:r>
            <w:r>
              <w:rPr>
                <w:rFonts w:hint="eastAsia"/>
                <w:b/>
                <w:color w:val="auto"/>
                <w:szCs w:val="21"/>
              </w:rPr>
              <w:t xml:space="preserve"> </w:t>
            </w:r>
            <w:r>
              <w:rPr>
                <w:b/>
                <w:color w:val="auto"/>
                <w:szCs w:val="21"/>
              </w:rPr>
              <w:t>扬尘排放标准一览表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1843"/>
              <w:gridCol w:w="4649"/>
            </w:tblGrid>
            <w:tr w14:paraId="45A70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843" w:type="dxa"/>
                  <w:vAlign w:val="bottom"/>
                </w:tcPr>
                <w:p w14:paraId="71C0612F">
                  <w:pPr>
                    <w:jc w:val="center"/>
                    <w:outlineLvl w:val="9"/>
                    <w:rPr>
                      <w:color w:val="auto"/>
                    </w:rPr>
                  </w:pPr>
                  <w:r>
                    <w:rPr>
                      <w:color w:val="auto"/>
                    </w:rPr>
                    <w:t>监测项目</w:t>
                  </w:r>
                </w:p>
              </w:tc>
              <w:tc>
                <w:tcPr>
                  <w:tcW w:w="1843" w:type="dxa"/>
                  <w:vAlign w:val="bottom"/>
                </w:tcPr>
                <w:p w14:paraId="60251904">
                  <w:pPr>
                    <w:jc w:val="center"/>
                    <w:outlineLvl w:val="9"/>
                    <w:rPr>
                      <w:color w:val="auto"/>
                    </w:rPr>
                  </w:pPr>
                  <w:r>
                    <w:rPr>
                      <w:color w:val="auto"/>
                    </w:rPr>
                    <w:t>区域</w:t>
                  </w:r>
                </w:p>
              </w:tc>
              <w:tc>
                <w:tcPr>
                  <w:tcW w:w="4649" w:type="dxa"/>
                  <w:vAlign w:val="bottom"/>
                </w:tcPr>
                <w:p w14:paraId="33236951">
                  <w:pPr>
                    <w:jc w:val="center"/>
                    <w:outlineLvl w:val="9"/>
                    <w:rPr>
                      <w:color w:val="auto"/>
                    </w:rPr>
                  </w:pPr>
                  <w:r>
                    <w:rPr>
                      <w:color w:val="auto"/>
                    </w:rPr>
                    <w:t>浓度限值（连续5</w:t>
                  </w:r>
                  <w:r>
                    <w:rPr>
                      <w:rFonts w:hint="eastAsia"/>
                      <w:color w:val="auto"/>
                    </w:rPr>
                    <w:t>min</w:t>
                  </w:r>
                  <w:r>
                    <w:rPr>
                      <w:color w:val="auto"/>
                    </w:rPr>
                    <w:t>平均浓度）</w:t>
                  </w:r>
                  <w:r>
                    <w:rPr>
                      <w:rFonts w:hint="eastAsia"/>
                      <w:color w:val="auto"/>
                      <w:lang w:eastAsia="zh-CN"/>
                    </w:rPr>
                    <w:t>（</w:t>
                  </w:r>
                  <w:r>
                    <w:rPr>
                      <w:color w:val="auto"/>
                    </w:rPr>
                    <w:t>mg/m</w:t>
                  </w:r>
                  <w:r>
                    <w:rPr>
                      <w:color w:val="auto"/>
                      <w:vertAlign w:val="superscript"/>
                    </w:rPr>
                    <w:t>3</w:t>
                  </w:r>
                  <w:r>
                    <w:rPr>
                      <w:rFonts w:hint="eastAsia"/>
                      <w:color w:val="auto"/>
                      <w:vertAlign w:val="superscript"/>
                      <w:lang w:eastAsia="zh-CN"/>
                    </w:rPr>
                    <w:t>）</w:t>
                  </w:r>
                </w:p>
              </w:tc>
            </w:tr>
            <w:tr w14:paraId="47042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43" w:type="dxa"/>
                  <w:vAlign w:val="center"/>
                </w:tcPr>
                <w:p w14:paraId="6AEC3D1D">
                  <w:pPr>
                    <w:jc w:val="center"/>
                    <w:outlineLvl w:val="9"/>
                    <w:rPr>
                      <w:color w:val="auto"/>
                    </w:rPr>
                  </w:pPr>
                  <w:r>
                    <w:rPr>
                      <w:color w:val="auto"/>
                    </w:rPr>
                    <w:t>颗粒物</w:t>
                  </w:r>
                  <w:r>
                    <w:rPr>
                      <w:rFonts w:hint="eastAsia"/>
                      <w:color w:val="auto"/>
                      <w:lang w:eastAsia="zh-CN"/>
                    </w:rPr>
                    <w:t>（</w:t>
                  </w:r>
                  <w:r>
                    <w:rPr>
                      <w:color w:val="auto"/>
                    </w:rPr>
                    <w:t>TSP</w:t>
                  </w:r>
                  <w:r>
                    <w:rPr>
                      <w:rFonts w:hint="eastAsia"/>
                      <w:color w:val="auto"/>
                      <w:lang w:eastAsia="zh-CN"/>
                    </w:rPr>
                    <w:t>）</w:t>
                  </w:r>
                </w:p>
              </w:tc>
              <w:tc>
                <w:tcPr>
                  <w:tcW w:w="1843" w:type="dxa"/>
                  <w:vAlign w:val="center"/>
                </w:tcPr>
                <w:p w14:paraId="1346D217">
                  <w:pPr>
                    <w:jc w:val="center"/>
                    <w:outlineLvl w:val="9"/>
                    <w:rPr>
                      <w:color w:val="auto"/>
                    </w:rPr>
                  </w:pPr>
                  <w:r>
                    <w:rPr>
                      <w:color w:val="auto"/>
                    </w:rPr>
                    <w:t>郊区</w:t>
                  </w:r>
                  <w:r>
                    <w:rPr>
                      <w:rFonts w:hint="eastAsia"/>
                      <w:color w:val="auto"/>
                    </w:rPr>
                    <w:t>及</w:t>
                  </w:r>
                  <w:r>
                    <w:rPr>
                      <w:color w:val="auto"/>
                    </w:rPr>
                    <w:t>农村地区</w:t>
                  </w:r>
                </w:p>
              </w:tc>
              <w:tc>
                <w:tcPr>
                  <w:tcW w:w="4649" w:type="dxa"/>
                  <w:vAlign w:val="center"/>
                </w:tcPr>
                <w:p w14:paraId="3BC6FAD3">
                  <w:pPr>
                    <w:jc w:val="center"/>
                    <w:outlineLvl w:val="9"/>
                    <w:rPr>
                      <w:color w:val="auto"/>
                    </w:rPr>
                  </w:pPr>
                  <w:r>
                    <w:rPr>
                      <w:color w:val="auto"/>
                    </w:rPr>
                    <w:t>1.0</w:t>
                  </w:r>
                </w:p>
              </w:tc>
            </w:tr>
          </w:tbl>
          <w:p w14:paraId="2DCBCDB9">
            <w:pPr>
              <w:keepNext w:val="0"/>
              <w:keepLines w:val="0"/>
              <w:widowControl/>
              <w:suppressLineNumbers w:val="0"/>
              <w:shd w:val="clear" w:color="auto" w:fill="auto"/>
              <w:spacing w:line="360" w:lineRule="auto"/>
              <w:ind w:firstLine="480" w:firstLineChars="200"/>
              <w:jc w:val="both"/>
              <w:outlineLvl w:val="9"/>
              <w:rPr>
                <w:rFonts w:hint="default" w:ascii="Times New Roman" w:hAnsi="Times New Roman"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（2）废水</w:t>
            </w:r>
          </w:p>
          <w:p w14:paraId="21F90288">
            <w:pPr>
              <w:spacing w:line="360" w:lineRule="auto"/>
              <w:ind w:firstLine="480" w:firstLineChars="200"/>
              <w:outlineLvl w:val="9"/>
              <w:rPr>
                <w:rFonts w:hint="eastAsia"/>
                <w:color w:val="auto"/>
                <w:sz w:val="24"/>
                <w:lang w:val="en-US" w:eastAsia="zh-CN"/>
              </w:rPr>
            </w:pPr>
            <w:r>
              <w:rPr>
                <w:rFonts w:hint="eastAsia"/>
                <w:color w:val="auto"/>
                <w:sz w:val="24"/>
                <w:lang w:val="en-US" w:eastAsia="zh-CN"/>
              </w:rPr>
              <w:t>本项目施工期主要产生施工废水和施工人员生活污水，施工废水经临时沉淀池处理后</w:t>
            </w:r>
            <w:r>
              <w:rPr>
                <w:color w:val="auto"/>
                <w:sz w:val="24"/>
              </w:rPr>
              <w:t>回用于施工场地洒水。</w:t>
            </w:r>
            <w:r>
              <w:rPr>
                <w:rFonts w:hint="eastAsia"/>
                <w:color w:val="auto"/>
                <w:sz w:val="24"/>
                <w:lang w:val="en-US" w:eastAsia="zh-CN"/>
              </w:rPr>
              <w:t>生活污水依托厂区内现有生活污水收集和处理设施，不外排。</w:t>
            </w:r>
          </w:p>
          <w:p w14:paraId="2EC9C618">
            <w:pPr>
              <w:keepNext/>
              <w:keepLines/>
              <w:topLinePunct/>
              <w:spacing w:line="360" w:lineRule="auto"/>
              <w:ind w:firstLine="480" w:firstLineChars="200"/>
              <w:outlineLvl w:val="9"/>
              <w:rPr>
                <w:color w:val="auto"/>
                <w:sz w:val="24"/>
              </w:rPr>
            </w:pPr>
            <w:r>
              <w:rPr>
                <w:rFonts w:hint="eastAsia"/>
                <w:color w:val="auto"/>
                <w:sz w:val="24"/>
              </w:rPr>
              <w:t>（</w:t>
            </w:r>
            <w:r>
              <w:rPr>
                <w:rFonts w:hint="eastAsia"/>
                <w:color w:val="auto"/>
                <w:sz w:val="24"/>
                <w:lang w:val="en-US" w:eastAsia="zh-CN"/>
              </w:rPr>
              <w:t>3</w:t>
            </w:r>
            <w:r>
              <w:rPr>
                <w:rFonts w:hint="eastAsia"/>
                <w:color w:val="auto"/>
                <w:sz w:val="24"/>
              </w:rPr>
              <w:t>）噪声</w:t>
            </w:r>
          </w:p>
          <w:p w14:paraId="551AA227">
            <w:pPr>
              <w:adjustRightInd w:val="0"/>
              <w:snapToGrid w:val="0"/>
              <w:spacing w:line="360" w:lineRule="auto"/>
              <w:ind w:firstLine="480" w:firstLineChars="200"/>
              <w:outlineLvl w:val="9"/>
              <w:rPr>
                <w:color w:val="auto"/>
                <w:sz w:val="24"/>
              </w:rPr>
            </w:pPr>
            <w:r>
              <w:rPr>
                <w:color w:val="auto"/>
                <w:sz w:val="24"/>
              </w:rPr>
              <w:t>施工期噪声执行</w:t>
            </w:r>
            <w:r>
              <w:rPr>
                <w:rFonts w:hint="eastAsia"/>
                <w:color w:val="auto"/>
                <w:sz w:val="24"/>
              </w:rPr>
              <w:t>《建筑施工噪声排放标准》（GB12523-2025）</w:t>
            </w:r>
            <w:r>
              <w:rPr>
                <w:color w:val="auto"/>
                <w:sz w:val="24"/>
              </w:rPr>
              <w:t>标准</w:t>
            </w:r>
            <w:r>
              <w:rPr>
                <w:rFonts w:hint="eastAsia"/>
                <w:color w:val="auto"/>
                <w:sz w:val="24"/>
              </w:rPr>
              <w:t>，具体见表3-</w:t>
            </w:r>
            <w:r>
              <w:rPr>
                <w:rFonts w:hint="eastAsia"/>
                <w:color w:val="auto"/>
                <w:sz w:val="24"/>
                <w:lang w:val="en-US" w:eastAsia="zh-CN"/>
              </w:rPr>
              <w:t>15</w:t>
            </w:r>
            <w:r>
              <w:rPr>
                <w:rFonts w:hint="eastAsia"/>
                <w:color w:val="auto"/>
                <w:sz w:val="24"/>
              </w:rPr>
              <w:t>。</w:t>
            </w:r>
          </w:p>
          <w:p w14:paraId="0CE6AAA9">
            <w:pPr>
              <w:jc w:val="right"/>
              <w:outlineLvl w:val="9"/>
              <w:rPr>
                <w:b/>
                <w:color w:val="auto"/>
                <w:szCs w:val="21"/>
              </w:rPr>
            </w:pPr>
            <w:r>
              <w:rPr>
                <w:rFonts w:hint="eastAsia"/>
                <w:b/>
                <w:color w:val="auto"/>
                <w:szCs w:val="21"/>
              </w:rPr>
              <w:t>表3-</w:t>
            </w:r>
            <w:r>
              <w:rPr>
                <w:rFonts w:hint="eastAsia"/>
                <w:b/>
                <w:color w:val="auto"/>
                <w:szCs w:val="21"/>
                <w:lang w:val="en-US" w:eastAsia="zh-CN"/>
              </w:rPr>
              <w:t>15</w:t>
            </w:r>
            <w:r>
              <w:rPr>
                <w:rFonts w:hint="eastAsia"/>
                <w:b/>
                <w:color w:val="auto"/>
                <w:szCs w:val="21"/>
              </w:rPr>
              <w:t xml:space="preserve">  建筑施工场界环境噪声排放标准         单位：dB(A)</w:t>
            </w:r>
          </w:p>
          <w:tbl>
            <w:tblPr>
              <w:tblStyle w:val="32"/>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81"/>
              <w:gridCol w:w="4184"/>
            </w:tblGrid>
            <w:tr w14:paraId="20D8C4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cantSplit/>
                <w:trHeight w:val="397" w:hRule="atLeast"/>
                <w:jc w:val="center"/>
              </w:trPr>
              <w:tc>
                <w:tcPr>
                  <w:tcW w:w="2499" w:type="pct"/>
                  <w:tcBorders>
                    <w:top w:val="single" w:color="auto" w:sz="4" w:space="0"/>
                    <w:left w:val="single" w:color="auto" w:sz="4" w:space="0"/>
                    <w:bottom w:val="single" w:color="auto" w:sz="4" w:space="0"/>
                    <w:right w:val="nil"/>
                  </w:tcBorders>
                  <w:vAlign w:val="center"/>
                </w:tcPr>
                <w:p w14:paraId="79795198">
                  <w:pPr>
                    <w:jc w:val="center"/>
                    <w:outlineLvl w:val="9"/>
                    <w:rPr>
                      <w:color w:val="auto"/>
                    </w:rPr>
                  </w:pPr>
                  <w:r>
                    <w:rPr>
                      <w:color w:val="auto"/>
                    </w:rPr>
                    <w:t>昼间</w:t>
                  </w:r>
                </w:p>
              </w:tc>
              <w:tc>
                <w:tcPr>
                  <w:tcW w:w="2500" w:type="pct"/>
                  <w:tcBorders>
                    <w:top w:val="single" w:color="auto" w:sz="4" w:space="0"/>
                    <w:left w:val="single" w:color="auto" w:sz="4" w:space="0"/>
                    <w:bottom w:val="single" w:color="auto" w:sz="4" w:space="0"/>
                    <w:right w:val="single" w:color="auto" w:sz="4" w:space="0"/>
                  </w:tcBorders>
                  <w:vAlign w:val="center"/>
                </w:tcPr>
                <w:p w14:paraId="3E28B719">
                  <w:pPr>
                    <w:jc w:val="center"/>
                    <w:outlineLvl w:val="9"/>
                    <w:rPr>
                      <w:color w:val="auto"/>
                    </w:rPr>
                  </w:pPr>
                  <w:r>
                    <w:rPr>
                      <w:color w:val="auto"/>
                    </w:rPr>
                    <w:t>夜间</w:t>
                  </w:r>
                </w:p>
              </w:tc>
            </w:tr>
            <w:tr w14:paraId="03556D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499" w:type="pct"/>
                  <w:tcBorders>
                    <w:top w:val="single" w:color="auto" w:sz="4" w:space="0"/>
                    <w:left w:val="single" w:color="auto" w:sz="4" w:space="0"/>
                    <w:bottom w:val="single" w:color="auto" w:sz="4" w:space="0"/>
                    <w:right w:val="nil"/>
                  </w:tcBorders>
                  <w:vAlign w:val="center"/>
                </w:tcPr>
                <w:p w14:paraId="0D65918A">
                  <w:pPr>
                    <w:jc w:val="center"/>
                    <w:outlineLvl w:val="9"/>
                    <w:rPr>
                      <w:color w:val="auto"/>
                    </w:rPr>
                  </w:pPr>
                  <w:r>
                    <w:rPr>
                      <w:rFonts w:hint="eastAsia"/>
                      <w:color w:val="auto"/>
                    </w:rPr>
                    <w:t>70</w:t>
                  </w:r>
                </w:p>
              </w:tc>
              <w:tc>
                <w:tcPr>
                  <w:tcW w:w="2500" w:type="pct"/>
                  <w:tcBorders>
                    <w:top w:val="single" w:color="auto" w:sz="4" w:space="0"/>
                    <w:left w:val="single" w:color="auto" w:sz="4" w:space="0"/>
                    <w:bottom w:val="single" w:color="auto" w:sz="4" w:space="0"/>
                    <w:right w:val="single" w:color="auto" w:sz="4" w:space="0"/>
                  </w:tcBorders>
                  <w:vAlign w:val="center"/>
                </w:tcPr>
                <w:p w14:paraId="0D055E89">
                  <w:pPr>
                    <w:jc w:val="center"/>
                    <w:outlineLvl w:val="9"/>
                    <w:rPr>
                      <w:color w:val="auto"/>
                    </w:rPr>
                  </w:pPr>
                  <w:r>
                    <w:rPr>
                      <w:rFonts w:hint="eastAsia"/>
                      <w:color w:val="auto"/>
                    </w:rPr>
                    <w:t>55</w:t>
                  </w:r>
                </w:p>
              </w:tc>
            </w:tr>
          </w:tbl>
          <w:p w14:paraId="65B6465F">
            <w:pPr>
              <w:adjustRightInd w:val="0"/>
              <w:snapToGrid w:val="0"/>
              <w:spacing w:line="360" w:lineRule="auto"/>
              <w:ind w:firstLine="480" w:firstLineChars="200"/>
              <w:outlineLvl w:val="9"/>
              <w:rPr>
                <w:b/>
                <w:color w:val="auto"/>
                <w:sz w:val="24"/>
              </w:rPr>
            </w:pPr>
            <w:r>
              <w:rPr>
                <w:rFonts w:hint="eastAsia"/>
                <w:color w:val="auto"/>
                <w:sz w:val="24"/>
              </w:rPr>
              <w:t>（</w:t>
            </w:r>
            <w:r>
              <w:rPr>
                <w:rFonts w:hint="eastAsia"/>
                <w:color w:val="auto"/>
                <w:sz w:val="24"/>
                <w:lang w:val="en-US" w:eastAsia="zh-CN"/>
              </w:rPr>
              <w:t>4</w:t>
            </w:r>
            <w:r>
              <w:rPr>
                <w:rFonts w:hint="eastAsia"/>
                <w:color w:val="auto"/>
                <w:sz w:val="24"/>
              </w:rPr>
              <w:t>）固体废物</w:t>
            </w:r>
          </w:p>
          <w:p w14:paraId="327AF4B6">
            <w:pPr>
              <w:adjustRightInd w:val="0"/>
              <w:snapToGrid w:val="0"/>
              <w:spacing w:line="360" w:lineRule="auto"/>
              <w:ind w:firstLine="480" w:firstLineChars="200"/>
              <w:outlineLvl w:val="9"/>
              <w:rPr>
                <w:color w:val="auto"/>
              </w:rPr>
            </w:pPr>
            <w:r>
              <w:rPr>
                <w:rFonts w:hint="eastAsia"/>
                <w:color w:val="auto"/>
                <w:sz w:val="24"/>
              </w:rPr>
              <w:t>施工期</w:t>
            </w:r>
            <w:r>
              <w:rPr>
                <w:color w:val="auto"/>
                <w:sz w:val="24"/>
              </w:rPr>
              <w:t>一般固体废物贮存、处置执行《一般工业固体废物贮存和填埋污染控制标准》（GB18599-2020）</w:t>
            </w:r>
            <w:r>
              <w:rPr>
                <w:rFonts w:hint="eastAsia"/>
                <w:bCs/>
                <w:color w:val="auto"/>
                <w:sz w:val="24"/>
              </w:rPr>
              <w:t>。</w:t>
            </w:r>
          </w:p>
          <w:p w14:paraId="1EA534CF">
            <w:pPr>
              <w:adjustRightInd w:val="0"/>
              <w:snapToGrid w:val="0"/>
              <w:spacing w:line="360" w:lineRule="auto"/>
              <w:ind w:firstLine="482" w:firstLineChars="200"/>
              <w:outlineLvl w:val="9"/>
              <w:rPr>
                <w:b/>
                <w:color w:val="auto"/>
                <w:sz w:val="24"/>
              </w:rPr>
            </w:pPr>
            <w:r>
              <w:rPr>
                <w:rFonts w:hint="eastAsia"/>
                <w:b/>
                <w:color w:val="auto"/>
                <w:sz w:val="24"/>
              </w:rPr>
              <w:t>2、运营期污染物</w:t>
            </w:r>
            <w:r>
              <w:rPr>
                <w:b/>
                <w:color w:val="auto"/>
                <w:sz w:val="24"/>
              </w:rPr>
              <w:t>排放标准</w:t>
            </w:r>
          </w:p>
          <w:p w14:paraId="0710F0D7">
            <w:pPr>
              <w:keepNext/>
              <w:keepLines/>
              <w:topLinePunct/>
              <w:adjustRightInd w:val="0"/>
              <w:snapToGrid w:val="0"/>
              <w:spacing w:line="360" w:lineRule="auto"/>
              <w:ind w:firstLine="480" w:firstLineChars="200"/>
              <w:outlineLvl w:val="9"/>
              <w:rPr>
                <w:rFonts w:hint="default" w:ascii="Times New Roman" w:hAnsi="Times New Roman" w:cs="Times New Roman"/>
                <w:color w:val="auto"/>
                <w:sz w:val="24"/>
              </w:rPr>
            </w:pPr>
            <w:r>
              <w:rPr>
                <w:rFonts w:hint="default" w:ascii="Times New Roman" w:hAnsi="Times New Roman" w:cs="Times New Roman"/>
                <w:color w:val="auto"/>
                <w:sz w:val="24"/>
              </w:rPr>
              <w:t>（1）废气排放标准</w:t>
            </w:r>
          </w:p>
          <w:p w14:paraId="71DB279C">
            <w:pPr>
              <w:adjustRightInd w:val="0"/>
              <w:snapToGrid w:val="0"/>
              <w:spacing w:line="360" w:lineRule="auto"/>
              <w:ind w:firstLine="480" w:firstLineChars="200"/>
              <w:outlineLvl w:val="9"/>
              <w:rPr>
                <w:rFonts w:hint="default"/>
                <w:color w:val="auto"/>
                <w:sz w:val="24"/>
                <w:lang w:val="en-US" w:eastAsia="zh-CN"/>
              </w:rPr>
            </w:pPr>
            <w:r>
              <w:rPr>
                <w:rFonts w:hint="eastAsia"/>
                <w:color w:val="auto"/>
                <w:sz w:val="24"/>
                <w:lang w:val="en-US" w:eastAsia="zh-CN"/>
              </w:rPr>
              <w:t>本项目运营期</w:t>
            </w:r>
            <w:r>
              <w:rPr>
                <w:rFonts w:hint="default"/>
                <w:color w:val="auto"/>
                <w:sz w:val="24"/>
                <w:lang w:val="en-US" w:eastAsia="zh-CN"/>
              </w:rPr>
              <w:t>厂界</w:t>
            </w:r>
            <w:r>
              <w:rPr>
                <w:rFonts w:hint="eastAsia"/>
                <w:color w:val="auto"/>
                <w:sz w:val="24"/>
                <w:lang w:val="en-US" w:eastAsia="zh-CN"/>
              </w:rPr>
              <w:t>颗粒物</w:t>
            </w:r>
            <w:r>
              <w:rPr>
                <w:rFonts w:hint="default"/>
                <w:color w:val="auto"/>
                <w:sz w:val="24"/>
                <w:lang w:val="en-US" w:eastAsia="zh-CN"/>
              </w:rPr>
              <w:t>排放执行《大气污染物综合排放标准》</w:t>
            </w:r>
            <w:r>
              <w:rPr>
                <w:rFonts w:hint="eastAsia"/>
                <w:color w:val="auto"/>
                <w:sz w:val="24"/>
                <w:lang w:val="en-US" w:eastAsia="zh-CN"/>
              </w:rPr>
              <w:t>（</w:t>
            </w:r>
            <w:r>
              <w:rPr>
                <w:rFonts w:hint="default"/>
                <w:color w:val="auto"/>
                <w:sz w:val="24"/>
                <w:lang w:val="en-US" w:eastAsia="zh-CN"/>
              </w:rPr>
              <w:t>GB16297- 1996</w:t>
            </w:r>
            <w:r>
              <w:rPr>
                <w:rFonts w:hint="eastAsia"/>
                <w:color w:val="auto"/>
                <w:sz w:val="24"/>
                <w:lang w:val="en-US" w:eastAsia="zh-CN"/>
              </w:rPr>
              <w:t>）</w:t>
            </w:r>
            <w:r>
              <w:rPr>
                <w:rFonts w:hint="default"/>
                <w:color w:val="auto"/>
                <w:sz w:val="24"/>
                <w:lang w:val="en-US" w:eastAsia="zh-CN"/>
              </w:rPr>
              <w:t>中表2</w:t>
            </w:r>
            <w:r>
              <w:rPr>
                <w:rFonts w:hint="eastAsia"/>
                <w:color w:val="auto"/>
                <w:sz w:val="24"/>
                <w:lang w:val="en-US" w:eastAsia="zh-CN"/>
              </w:rPr>
              <w:t>无组织</w:t>
            </w:r>
            <w:r>
              <w:rPr>
                <w:rFonts w:hint="default"/>
                <w:color w:val="auto"/>
                <w:sz w:val="24"/>
                <w:lang w:val="en-US" w:eastAsia="zh-CN"/>
              </w:rPr>
              <w:t>排放限值</w:t>
            </w:r>
            <w:r>
              <w:rPr>
                <w:rFonts w:hint="eastAsia"/>
                <w:color w:val="auto"/>
                <w:sz w:val="24"/>
                <w:lang w:val="en-US" w:eastAsia="zh-CN"/>
              </w:rPr>
              <w:t>；</w:t>
            </w:r>
            <w:r>
              <w:rPr>
                <w:rFonts w:hint="eastAsia"/>
                <w:color w:val="auto"/>
                <w:sz w:val="24"/>
                <w:szCs w:val="24"/>
                <w:lang w:val="en-US" w:eastAsia="zh-CN"/>
              </w:rPr>
              <w:t>喷码工序非甲烷总烃排放执行《印刷业挥发性有机物排放标准》</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DB21/ 3161</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2019</w:t>
            </w:r>
            <w:r>
              <w:rPr>
                <w:rFonts w:hint="eastAsia" w:ascii="Times New Roman" w:hAnsi="Times New Roman" w:eastAsia="宋体" w:cs="Times New Roman"/>
                <w:color w:val="auto"/>
                <w:kern w:val="0"/>
                <w:sz w:val="24"/>
                <w:szCs w:val="24"/>
                <w:highlight w:val="none"/>
                <w:lang w:val="en-US" w:eastAsia="zh-CN" w:bidi="ar-SA"/>
              </w:rPr>
              <w:t>）</w:t>
            </w:r>
            <w:r>
              <w:rPr>
                <w:rFonts w:hint="eastAsia"/>
                <w:color w:val="auto"/>
                <w:sz w:val="24"/>
                <w:lang w:val="en-US" w:eastAsia="zh-CN"/>
              </w:rPr>
              <w:t>中表2厂界无组织排放监控点挥发性有机物浓度限值，其他工序</w:t>
            </w:r>
            <w:r>
              <w:rPr>
                <w:rFonts w:hint="default"/>
                <w:color w:val="auto"/>
                <w:sz w:val="24"/>
                <w:lang w:val="en-US" w:eastAsia="zh-CN"/>
              </w:rPr>
              <w:t>非甲烷总烃排放执行</w:t>
            </w:r>
            <w:bookmarkStart w:id="76" w:name="OLE_LINK27"/>
            <w:r>
              <w:rPr>
                <w:rFonts w:hint="default"/>
                <w:color w:val="auto"/>
                <w:sz w:val="24"/>
                <w:lang w:val="en-US" w:eastAsia="zh-CN"/>
              </w:rPr>
              <w:t>《大气污染物综合排放标准》</w:t>
            </w:r>
            <w:r>
              <w:rPr>
                <w:rFonts w:hint="eastAsia"/>
                <w:color w:val="auto"/>
                <w:sz w:val="24"/>
                <w:lang w:val="en-US" w:eastAsia="zh-CN"/>
              </w:rPr>
              <w:t>（</w:t>
            </w:r>
            <w:r>
              <w:rPr>
                <w:rFonts w:hint="default"/>
                <w:color w:val="auto"/>
                <w:sz w:val="24"/>
                <w:lang w:val="en-US" w:eastAsia="zh-CN"/>
              </w:rPr>
              <w:t>GB16297- 1996</w:t>
            </w:r>
            <w:r>
              <w:rPr>
                <w:rFonts w:hint="eastAsia"/>
                <w:color w:val="auto"/>
                <w:sz w:val="24"/>
                <w:lang w:val="en-US" w:eastAsia="zh-CN"/>
              </w:rPr>
              <w:t>）</w:t>
            </w:r>
            <w:r>
              <w:rPr>
                <w:rFonts w:hint="default"/>
                <w:color w:val="auto"/>
                <w:sz w:val="24"/>
                <w:lang w:val="en-US" w:eastAsia="zh-CN"/>
              </w:rPr>
              <w:t>中表2</w:t>
            </w:r>
            <w:bookmarkEnd w:id="76"/>
            <w:r>
              <w:rPr>
                <w:rFonts w:hint="eastAsia"/>
                <w:color w:val="auto"/>
                <w:sz w:val="24"/>
                <w:lang w:val="en-US" w:eastAsia="zh-CN"/>
              </w:rPr>
              <w:t>无组织</w:t>
            </w:r>
            <w:r>
              <w:rPr>
                <w:rFonts w:hint="default"/>
                <w:color w:val="auto"/>
                <w:sz w:val="24"/>
                <w:lang w:val="en-US" w:eastAsia="zh-CN"/>
              </w:rPr>
              <w:t>排放限值</w:t>
            </w:r>
            <w:r>
              <w:rPr>
                <w:rFonts w:hint="eastAsia"/>
                <w:color w:val="auto"/>
                <w:sz w:val="24"/>
                <w:lang w:val="en-US" w:eastAsia="zh-CN"/>
              </w:rPr>
              <w:t>，二者取严；厂区内非甲烷总烃执行</w:t>
            </w:r>
            <w:bookmarkStart w:id="77" w:name="OLE_LINK28"/>
            <w:r>
              <w:rPr>
                <w:rFonts w:hint="eastAsia"/>
                <w:color w:val="auto"/>
                <w:sz w:val="24"/>
                <w:lang w:val="en-US" w:eastAsia="zh-CN"/>
              </w:rPr>
              <w:t>《挥发性有机物无组织排放控制标准》（GB37822-2019）附录A</w:t>
            </w:r>
            <w:bookmarkEnd w:id="77"/>
            <w:r>
              <w:rPr>
                <w:rFonts w:hint="eastAsia"/>
                <w:color w:val="auto"/>
                <w:sz w:val="24"/>
                <w:lang w:val="en-US" w:eastAsia="zh-CN"/>
              </w:rPr>
              <w:t>表A.1特别排放限值。</w:t>
            </w:r>
          </w:p>
          <w:p w14:paraId="2006DCF4">
            <w:pPr>
              <w:pStyle w:val="126"/>
              <w:shd w:val="clear" w:color="auto" w:fill="auto"/>
              <w:bidi w:val="0"/>
              <w:outlineLvl w:val="9"/>
              <w:rPr>
                <w:rFonts w:hint="default" w:ascii="Times New Roman" w:hAnsi="Times New Roman" w:cs="Times New Roman"/>
                <w:color w:val="auto"/>
                <w:sz w:val="21"/>
                <w:szCs w:val="21"/>
                <w:highlight w:val="none"/>
              </w:rPr>
            </w:pPr>
            <w:bookmarkStart w:id="78" w:name="OLE_LINK160"/>
            <w:r>
              <w:rPr>
                <w:rFonts w:hint="default" w:ascii="Times New Roman" w:hAnsi="Times New Roman" w:cs="Times New Roman"/>
                <w:color w:val="auto"/>
                <w:sz w:val="21"/>
                <w:szCs w:val="21"/>
                <w:highlight w:val="none"/>
              </w:rPr>
              <w:t>表</w:t>
            </w:r>
            <w:r>
              <w:rPr>
                <w:rFonts w:hint="eastAsia" w:cs="Times New Roman"/>
                <w:color w:val="auto"/>
                <w:sz w:val="21"/>
                <w:szCs w:val="21"/>
                <w:highlight w:val="none"/>
                <w:lang w:val="en-US" w:eastAsia="zh-CN"/>
              </w:rPr>
              <w:t>3-16</w:t>
            </w:r>
            <w:r>
              <w:rPr>
                <w:rFonts w:hint="default" w:ascii="Times New Roman" w:hAnsi="Times New Roman" w:cs="Times New Roman"/>
                <w:color w:val="auto"/>
                <w:sz w:val="21"/>
                <w:szCs w:val="21"/>
                <w:highlight w:val="none"/>
                <w:lang w:val="en-US" w:eastAsia="zh-CN"/>
              </w:rPr>
              <w:t xml:space="preserve">  </w:t>
            </w:r>
            <w:r>
              <w:rPr>
                <w:rFonts w:hint="eastAsia" w:ascii="Times New Roman" w:hAnsi="Times New Roman" w:cs="Times New Roman"/>
                <w:color w:val="auto"/>
                <w:sz w:val="21"/>
                <w:szCs w:val="21"/>
                <w:highlight w:val="none"/>
                <w:lang w:val="en-US" w:eastAsia="zh-CN"/>
              </w:rPr>
              <w:t>废气</w:t>
            </w:r>
            <w:r>
              <w:rPr>
                <w:rFonts w:hint="default" w:ascii="Times New Roman" w:hAnsi="Times New Roman" w:cs="Times New Roman"/>
                <w:color w:val="auto"/>
                <w:sz w:val="21"/>
                <w:szCs w:val="21"/>
                <w:highlight w:val="none"/>
              </w:rPr>
              <w:t>排放标准</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905"/>
              <w:gridCol w:w="1494"/>
              <w:gridCol w:w="1494"/>
              <w:gridCol w:w="3461"/>
            </w:tblGrid>
            <w:tr w14:paraId="626F5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140" w:type="pct"/>
                  <w:tcBorders>
                    <w:tl2br w:val="nil"/>
                    <w:tr2bl w:val="nil"/>
                  </w:tcBorders>
                  <w:noWrap w:val="0"/>
                  <w:vAlign w:val="center"/>
                </w:tcPr>
                <w:p w14:paraId="5508D7DA">
                  <w:pPr>
                    <w:pStyle w:val="100"/>
                    <w:shd w:val="clear" w:color="auto" w:fill="auto"/>
                    <w:bidi w:val="0"/>
                    <w:outlineLvl w:val="9"/>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项目</w:t>
                  </w:r>
                </w:p>
              </w:tc>
              <w:tc>
                <w:tcPr>
                  <w:tcW w:w="894" w:type="pct"/>
                  <w:tcBorders>
                    <w:tl2br w:val="nil"/>
                    <w:tr2bl w:val="nil"/>
                  </w:tcBorders>
                  <w:noWrap w:val="0"/>
                  <w:vAlign w:val="center"/>
                </w:tcPr>
                <w:p w14:paraId="44CF060E">
                  <w:pPr>
                    <w:pStyle w:val="100"/>
                    <w:shd w:val="clear" w:color="auto" w:fill="auto"/>
                    <w:bidi w:val="0"/>
                    <w:outlineLvl w:val="9"/>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标准限值</w:t>
                  </w:r>
                </w:p>
              </w:tc>
              <w:tc>
                <w:tcPr>
                  <w:tcW w:w="894" w:type="pct"/>
                  <w:tcBorders>
                    <w:tl2br w:val="nil"/>
                    <w:tr2bl w:val="nil"/>
                  </w:tcBorders>
                  <w:noWrap w:val="0"/>
                  <w:vAlign w:val="center"/>
                </w:tcPr>
                <w:p w14:paraId="092D08F9">
                  <w:pPr>
                    <w:pStyle w:val="100"/>
                    <w:shd w:val="clear" w:color="auto" w:fill="auto"/>
                    <w:bidi w:val="0"/>
                    <w:outlineLvl w:val="9"/>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监控位置</w:t>
                  </w:r>
                </w:p>
              </w:tc>
              <w:tc>
                <w:tcPr>
                  <w:tcW w:w="2071" w:type="pct"/>
                  <w:tcBorders>
                    <w:tl2br w:val="nil"/>
                    <w:tr2bl w:val="nil"/>
                  </w:tcBorders>
                  <w:noWrap w:val="0"/>
                  <w:vAlign w:val="center"/>
                </w:tcPr>
                <w:p w14:paraId="17FD2BBA">
                  <w:pPr>
                    <w:pStyle w:val="100"/>
                    <w:shd w:val="clear" w:color="auto" w:fill="auto"/>
                    <w:bidi w:val="0"/>
                    <w:outlineLvl w:val="9"/>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执行标准</w:t>
                  </w:r>
                </w:p>
              </w:tc>
            </w:tr>
            <w:tr w14:paraId="64E73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140" w:type="pct"/>
                  <w:vMerge w:val="restart"/>
                  <w:tcBorders>
                    <w:tl2br w:val="nil"/>
                    <w:tr2bl w:val="nil"/>
                  </w:tcBorders>
                  <w:noWrap w:val="0"/>
                  <w:vAlign w:val="center"/>
                </w:tcPr>
                <w:p w14:paraId="5F2F9ECC">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非甲烷总烃</w:t>
                  </w:r>
                </w:p>
              </w:tc>
              <w:tc>
                <w:tcPr>
                  <w:tcW w:w="894" w:type="pct"/>
                  <w:tcBorders>
                    <w:tl2br w:val="nil"/>
                    <w:tr2bl w:val="nil"/>
                  </w:tcBorders>
                  <w:noWrap w:val="0"/>
                  <w:vAlign w:val="center"/>
                </w:tcPr>
                <w:p w14:paraId="27763B33">
                  <w:pPr>
                    <w:pStyle w:val="100"/>
                    <w:shd w:val="clear" w:color="auto" w:fill="auto"/>
                    <w:bidi w:val="0"/>
                    <w:jc w:val="center"/>
                    <w:outlineLvl w:val="9"/>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2.0</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p>
              </w:tc>
              <w:tc>
                <w:tcPr>
                  <w:tcW w:w="894" w:type="pct"/>
                  <w:tcBorders>
                    <w:tl2br w:val="nil"/>
                    <w:tr2bl w:val="nil"/>
                  </w:tcBorders>
                  <w:noWrap w:val="0"/>
                  <w:vAlign w:val="center"/>
                </w:tcPr>
                <w:p w14:paraId="67D42B02">
                  <w:pPr>
                    <w:pStyle w:val="100"/>
                    <w:shd w:val="clear" w:color="auto" w:fill="auto"/>
                    <w:bidi w:val="0"/>
                    <w:jc w:val="center"/>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厂界</w:t>
                  </w:r>
                </w:p>
              </w:tc>
              <w:tc>
                <w:tcPr>
                  <w:tcW w:w="2071" w:type="pct"/>
                  <w:tcBorders>
                    <w:tl2br w:val="nil"/>
                    <w:tr2bl w:val="nil"/>
                  </w:tcBorders>
                  <w:noWrap w:val="0"/>
                  <w:vAlign w:val="center"/>
                </w:tcPr>
                <w:p w14:paraId="1D603A37">
                  <w:pPr>
                    <w:keepNext w:val="0"/>
                    <w:keepLines w:val="0"/>
                    <w:widowControl/>
                    <w:suppressLineNumbers w:val="0"/>
                    <w:jc w:val="center"/>
                    <w:rPr>
                      <w:rFonts w:hint="default" w:ascii="Times New Roman" w:hAnsi="Times New Roman" w:cs="Times New Roman"/>
                      <w:color w:val="auto"/>
                      <w:highlight w:val="none"/>
                      <w:lang w:val="en-US" w:eastAsia="zh-CN"/>
                    </w:rPr>
                  </w:pPr>
                  <w:r>
                    <w:rPr>
                      <w:rFonts w:hint="eastAsia" w:ascii="Times New Roman" w:hAnsi="Times New Roman" w:eastAsia="宋体" w:cs="Times New Roman"/>
                      <w:color w:val="auto"/>
                      <w:kern w:val="0"/>
                      <w:sz w:val="21"/>
                      <w:szCs w:val="20"/>
                      <w:highlight w:val="none"/>
                      <w:lang w:val="en-US" w:eastAsia="zh-CN" w:bidi="ar-SA"/>
                    </w:rPr>
                    <w:t>《印刷业挥发性有机物排放标准》（</w:t>
                  </w:r>
                  <w:r>
                    <w:rPr>
                      <w:rFonts w:hint="default" w:ascii="Times New Roman" w:hAnsi="Times New Roman" w:eastAsia="宋体" w:cs="Times New Roman"/>
                      <w:color w:val="auto"/>
                      <w:kern w:val="0"/>
                      <w:sz w:val="21"/>
                      <w:szCs w:val="20"/>
                      <w:highlight w:val="none"/>
                      <w:lang w:val="en-US" w:eastAsia="zh-CN" w:bidi="ar-SA"/>
                    </w:rPr>
                    <w:t>DB21/ 3161</w:t>
                  </w:r>
                  <w:r>
                    <w:rPr>
                      <w:rFonts w:hint="eastAsia" w:cs="Times New Roman"/>
                      <w:color w:val="auto"/>
                      <w:kern w:val="0"/>
                      <w:sz w:val="21"/>
                      <w:szCs w:val="20"/>
                      <w:highlight w:val="none"/>
                      <w:lang w:val="en-US" w:eastAsia="zh-CN" w:bidi="ar-SA"/>
                    </w:rPr>
                    <w:t>-</w:t>
                  </w:r>
                  <w:r>
                    <w:rPr>
                      <w:rFonts w:hint="default" w:ascii="Times New Roman" w:hAnsi="Times New Roman" w:eastAsia="宋体" w:cs="Times New Roman"/>
                      <w:color w:val="auto"/>
                      <w:kern w:val="0"/>
                      <w:sz w:val="21"/>
                      <w:szCs w:val="20"/>
                      <w:highlight w:val="none"/>
                      <w:lang w:val="en-US" w:eastAsia="zh-CN" w:bidi="ar-SA"/>
                    </w:rPr>
                    <w:t>2019</w:t>
                  </w:r>
                  <w:r>
                    <w:rPr>
                      <w:rFonts w:hint="eastAsia" w:ascii="Times New Roman" w:hAnsi="Times New Roman" w:eastAsia="宋体" w:cs="Times New Roman"/>
                      <w:color w:val="auto"/>
                      <w:kern w:val="0"/>
                      <w:sz w:val="21"/>
                      <w:szCs w:val="20"/>
                      <w:highlight w:val="none"/>
                      <w:lang w:val="en-US" w:eastAsia="zh-CN" w:bidi="ar-SA"/>
                    </w:rPr>
                    <w:t>）</w:t>
                  </w:r>
                  <w:r>
                    <w:rPr>
                      <w:rFonts w:hint="eastAsia" w:cs="Times New Roman"/>
                      <w:color w:val="auto"/>
                      <w:kern w:val="0"/>
                      <w:sz w:val="21"/>
                      <w:szCs w:val="20"/>
                      <w:highlight w:val="none"/>
                      <w:lang w:val="en-US" w:eastAsia="zh-CN" w:bidi="ar-SA"/>
                    </w:rPr>
                    <w:t>中表2</w:t>
                  </w:r>
                </w:p>
              </w:tc>
            </w:tr>
            <w:tr w14:paraId="5A8EF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140" w:type="pct"/>
                  <w:vMerge w:val="continue"/>
                  <w:tcBorders>
                    <w:tl2br w:val="nil"/>
                    <w:tr2bl w:val="nil"/>
                  </w:tcBorders>
                  <w:noWrap w:val="0"/>
                  <w:vAlign w:val="center"/>
                </w:tcPr>
                <w:p w14:paraId="5C08AB7B">
                  <w:pPr>
                    <w:pStyle w:val="100"/>
                    <w:shd w:val="clear" w:color="auto" w:fill="auto"/>
                    <w:bidi w:val="0"/>
                    <w:outlineLvl w:val="9"/>
                    <w:rPr>
                      <w:rFonts w:hint="default" w:ascii="Times New Roman" w:hAnsi="Times New Roman" w:cs="Times New Roman"/>
                      <w:color w:val="auto"/>
                      <w:highlight w:val="none"/>
                      <w:lang w:val="en-US" w:eastAsia="zh-CN"/>
                    </w:rPr>
                  </w:pPr>
                </w:p>
              </w:tc>
              <w:tc>
                <w:tcPr>
                  <w:tcW w:w="894" w:type="pct"/>
                  <w:tcBorders>
                    <w:tl2br w:val="nil"/>
                    <w:tr2bl w:val="nil"/>
                  </w:tcBorders>
                  <w:noWrap w:val="0"/>
                  <w:vAlign w:val="center"/>
                </w:tcPr>
                <w:p w14:paraId="73336FA8">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4.0</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p>
              </w:tc>
              <w:tc>
                <w:tcPr>
                  <w:tcW w:w="894" w:type="pct"/>
                  <w:vMerge w:val="restart"/>
                  <w:tcBorders>
                    <w:tl2br w:val="nil"/>
                    <w:tr2bl w:val="nil"/>
                  </w:tcBorders>
                  <w:noWrap w:val="0"/>
                  <w:vAlign w:val="center"/>
                </w:tcPr>
                <w:p w14:paraId="52DE1498">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厂界</w:t>
                  </w:r>
                </w:p>
              </w:tc>
              <w:tc>
                <w:tcPr>
                  <w:tcW w:w="2071" w:type="pct"/>
                  <w:vMerge w:val="restart"/>
                  <w:tcBorders>
                    <w:tl2br w:val="nil"/>
                    <w:tr2bl w:val="nil"/>
                  </w:tcBorders>
                  <w:noWrap w:val="0"/>
                  <w:vAlign w:val="center"/>
                </w:tcPr>
                <w:p w14:paraId="4FFD6C46">
                  <w:pPr>
                    <w:pStyle w:val="100"/>
                    <w:shd w:val="clear" w:color="auto" w:fill="auto"/>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《大气污染物综合排放标准》           (GB16297- 1996) 中表2</w:t>
                  </w:r>
                </w:p>
              </w:tc>
            </w:tr>
            <w:tr w14:paraId="3F13C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140" w:type="pct"/>
                  <w:tcBorders>
                    <w:tl2br w:val="nil"/>
                    <w:tr2bl w:val="nil"/>
                  </w:tcBorders>
                  <w:noWrap w:val="0"/>
                  <w:vAlign w:val="center"/>
                </w:tcPr>
                <w:p w14:paraId="4482E78B">
                  <w:pPr>
                    <w:pStyle w:val="100"/>
                    <w:shd w:val="clear" w:color="auto" w:fill="auto"/>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894" w:type="pct"/>
                  <w:tcBorders>
                    <w:tl2br w:val="nil"/>
                    <w:tr2bl w:val="nil"/>
                  </w:tcBorders>
                  <w:noWrap w:val="0"/>
                  <w:vAlign w:val="center"/>
                </w:tcPr>
                <w:p w14:paraId="3A1C461E">
                  <w:pPr>
                    <w:pStyle w:val="100"/>
                    <w:shd w:val="clear" w:color="auto" w:fill="auto"/>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1.0mg/m</w:t>
                  </w:r>
                  <w:r>
                    <w:rPr>
                      <w:rFonts w:hint="default" w:ascii="Times New Roman" w:hAnsi="Times New Roman" w:cs="Times New Roman"/>
                      <w:color w:val="auto"/>
                      <w:highlight w:val="none"/>
                      <w:vertAlign w:val="superscript"/>
                      <w:lang w:val="en-US" w:eastAsia="zh-CN"/>
                    </w:rPr>
                    <w:t>3</w:t>
                  </w:r>
                </w:p>
              </w:tc>
              <w:tc>
                <w:tcPr>
                  <w:tcW w:w="894" w:type="pct"/>
                  <w:vMerge w:val="continue"/>
                  <w:tcBorders>
                    <w:tl2br w:val="nil"/>
                    <w:tr2bl w:val="nil"/>
                  </w:tcBorders>
                  <w:noWrap w:val="0"/>
                  <w:vAlign w:val="center"/>
                </w:tcPr>
                <w:p w14:paraId="258D9529">
                  <w:pPr>
                    <w:pStyle w:val="100"/>
                    <w:shd w:val="clear" w:color="auto" w:fill="auto"/>
                    <w:bidi w:val="0"/>
                    <w:outlineLvl w:val="9"/>
                    <w:rPr>
                      <w:rFonts w:hint="default" w:ascii="Times New Roman" w:hAnsi="Times New Roman" w:cs="Times New Roman"/>
                      <w:color w:val="auto"/>
                      <w:highlight w:val="none"/>
                      <w:lang w:val="en-US" w:eastAsia="zh-CN"/>
                    </w:rPr>
                  </w:pPr>
                </w:p>
              </w:tc>
              <w:tc>
                <w:tcPr>
                  <w:tcW w:w="2071" w:type="pct"/>
                  <w:vMerge w:val="continue"/>
                  <w:tcBorders>
                    <w:tl2br w:val="nil"/>
                    <w:tr2bl w:val="nil"/>
                  </w:tcBorders>
                  <w:noWrap w:val="0"/>
                  <w:vAlign w:val="center"/>
                </w:tcPr>
                <w:p w14:paraId="13FCBF36">
                  <w:pPr>
                    <w:pStyle w:val="100"/>
                    <w:shd w:val="clear" w:color="auto" w:fill="auto"/>
                    <w:bidi w:val="0"/>
                    <w:outlineLvl w:val="9"/>
                    <w:rPr>
                      <w:rFonts w:hint="default" w:ascii="Times New Roman" w:hAnsi="Times New Roman" w:cs="Times New Roman"/>
                      <w:color w:val="auto"/>
                      <w:highlight w:val="none"/>
                      <w:lang w:val="en-US" w:eastAsia="zh-CN"/>
                    </w:rPr>
                  </w:pPr>
                </w:p>
              </w:tc>
            </w:tr>
            <w:tr w14:paraId="69FA6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140" w:type="pct"/>
                  <w:vMerge w:val="restart"/>
                  <w:tcBorders>
                    <w:tl2br w:val="nil"/>
                    <w:tr2bl w:val="nil"/>
                  </w:tcBorders>
                  <w:noWrap w:val="0"/>
                  <w:vAlign w:val="center"/>
                </w:tcPr>
                <w:p w14:paraId="3C84DCA1">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非甲烷总烃</w:t>
                  </w:r>
                </w:p>
              </w:tc>
              <w:tc>
                <w:tcPr>
                  <w:tcW w:w="894" w:type="pct"/>
                  <w:tcBorders>
                    <w:tl2br w:val="nil"/>
                    <w:tr2bl w:val="nil"/>
                  </w:tcBorders>
                  <w:noWrap w:val="0"/>
                  <w:vAlign w:val="center"/>
                </w:tcPr>
                <w:p w14:paraId="6C59A042">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p>
              </w:tc>
              <w:tc>
                <w:tcPr>
                  <w:tcW w:w="894" w:type="pct"/>
                  <w:tcBorders>
                    <w:tl2br w:val="nil"/>
                    <w:tr2bl w:val="nil"/>
                  </w:tcBorders>
                  <w:noWrap w:val="0"/>
                  <w:vAlign w:val="center"/>
                </w:tcPr>
                <w:p w14:paraId="34829492">
                  <w:pPr>
                    <w:pStyle w:val="100"/>
                    <w:shd w:val="clear" w:color="auto" w:fill="auto"/>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监控点处1 h平均浓度值</w:t>
                  </w:r>
                </w:p>
              </w:tc>
              <w:tc>
                <w:tcPr>
                  <w:tcW w:w="2071" w:type="pct"/>
                  <w:vMerge w:val="restart"/>
                  <w:tcBorders>
                    <w:tl2br w:val="nil"/>
                    <w:tr2bl w:val="nil"/>
                  </w:tcBorders>
                  <w:noWrap w:val="0"/>
                  <w:vAlign w:val="center"/>
                </w:tcPr>
                <w:p w14:paraId="75D6F679">
                  <w:pPr>
                    <w:pStyle w:val="100"/>
                    <w:shd w:val="clear" w:color="auto" w:fill="auto"/>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《挥发性有机物无组织排放控制标准》（GB37822-2019）附录A</w:t>
                  </w:r>
                </w:p>
              </w:tc>
            </w:tr>
            <w:tr w14:paraId="39914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140" w:type="pct"/>
                  <w:vMerge w:val="continue"/>
                  <w:tcBorders>
                    <w:tl2br w:val="nil"/>
                    <w:tr2bl w:val="nil"/>
                  </w:tcBorders>
                  <w:noWrap w:val="0"/>
                  <w:vAlign w:val="center"/>
                </w:tcPr>
                <w:p w14:paraId="247E28E5">
                  <w:pPr>
                    <w:pStyle w:val="100"/>
                    <w:shd w:val="clear" w:color="auto" w:fill="auto"/>
                    <w:bidi w:val="0"/>
                    <w:outlineLvl w:val="9"/>
                    <w:rPr>
                      <w:rFonts w:hint="default" w:ascii="Times New Roman" w:hAnsi="Times New Roman" w:cs="Times New Roman"/>
                      <w:color w:val="auto"/>
                      <w:highlight w:val="none"/>
                      <w:lang w:val="en-US" w:eastAsia="zh-CN"/>
                    </w:rPr>
                  </w:pPr>
                </w:p>
              </w:tc>
              <w:tc>
                <w:tcPr>
                  <w:tcW w:w="894" w:type="pct"/>
                  <w:tcBorders>
                    <w:tl2br w:val="nil"/>
                    <w:tr2bl w:val="nil"/>
                  </w:tcBorders>
                  <w:noWrap w:val="0"/>
                  <w:vAlign w:val="center"/>
                </w:tcPr>
                <w:p w14:paraId="7E4E29A6">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p>
              </w:tc>
              <w:tc>
                <w:tcPr>
                  <w:tcW w:w="894" w:type="pct"/>
                  <w:tcBorders>
                    <w:tl2br w:val="nil"/>
                    <w:tr2bl w:val="nil"/>
                  </w:tcBorders>
                  <w:noWrap w:val="0"/>
                  <w:vAlign w:val="center"/>
                </w:tcPr>
                <w:p w14:paraId="23D5195D">
                  <w:pPr>
                    <w:pStyle w:val="100"/>
                    <w:shd w:val="clear" w:color="auto" w:fill="auto"/>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监控点处任意一次浓度值</w:t>
                  </w:r>
                </w:p>
              </w:tc>
              <w:tc>
                <w:tcPr>
                  <w:tcW w:w="2071" w:type="pct"/>
                  <w:vMerge w:val="continue"/>
                  <w:tcBorders>
                    <w:tl2br w:val="nil"/>
                    <w:tr2bl w:val="nil"/>
                  </w:tcBorders>
                  <w:noWrap w:val="0"/>
                  <w:vAlign w:val="center"/>
                </w:tcPr>
                <w:p w14:paraId="6E0F1FDC">
                  <w:pPr>
                    <w:pStyle w:val="100"/>
                    <w:shd w:val="clear" w:color="auto" w:fill="auto"/>
                    <w:bidi w:val="0"/>
                    <w:outlineLvl w:val="9"/>
                    <w:rPr>
                      <w:rFonts w:hint="default" w:ascii="Times New Roman" w:hAnsi="Times New Roman" w:cs="Times New Roman"/>
                      <w:color w:val="auto"/>
                      <w:highlight w:val="none"/>
                      <w:lang w:val="en-US" w:eastAsia="zh-CN"/>
                    </w:rPr>
                  </w:pPr>
                </w:p>
              </w:tc>
            </w:tr>
            <w:bookmarkEnd w:id="78"/>
          </w:tbl>
          <w:p w14:paraId="74016C82">
            <w:pPr>
              <w:spacing w:line="360" w:lineRule="auto"/>
              <w:ind w:firstLine="480" w:firstLineChars="200"/>
              <w:outlineLvl w:val="9"/>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color w:val="auto"/>
                <w:sz w:val="24"/>
                <w:szCs w:val="24"/>
                <w:lang w:val="en-US" w:eastAsia="zh-CN"/>
              </w:rPr>
              <w:t>（2）废水排放标准</w:t>
            </w:r>
          </w:p>
          <w:p w14:paraId="132FEB67">
            <w:pPr>
              <w:spacing w:line="360" w:lineRule="auto"/>
              <w:ind w:firstLine="480" w:firstLineChars="200"/>
              <w:outlineLvl w:val="9"/>
              <w:rPr>
                <w:rFonts w:hint="default" w:ascii="Times New Roman" w:hAnsi="Times New Roman" w:cs="Times New Roman"/>
                <w:color w:val="auto"/>
                <w:sz w:val="24"/>
                <w:szCs w:val="24"/>
                <w:lang w:val="en-US" w:eastAsia="zh-CN"/>
              </w:rPr>
            </w:pPr>
            <w:bookmarkStart w:id="79" w:name="OLE_LINK32"/>
            <w:r>
              <w:rPr>
                <w:rFonts w:hint="eastAsia" w:ascii="Times New Roman" w:hAnsi="Times New Roman" w:cs="Times New Roman"/>
                <w:color w:val="auto"/>
                <w:sz w:val="24"/>
                <w:szCs w:val="24"/>
                <w:lang w:val="en-US" w:eastAsia="zh-CN"/>
              </w:rPr>
              <w:t>本项目营运期冷却水循环系统不排水；车间地面清洗废水和设备冲洗废水</w:t>
            </w:r>
            <w:r>
              <w:rPr>
                <w:rFonts w:hint="eastAsia" w:cs="Times New Roman"/>
                <w:color w:val="auto"/>
                <w:sz w:val="24"/>
                <w:szCs w:val="24"/>
                <w:lang w:val="en-US" w:eastAsia="zh-CN"/>
              </w:rPr>
              <w:t>经</w:t>
            </w:r>
            <w:r>
              <w:rPr>
                <w:rFonts w:hint="eastAsia" w:ascii="Times New Roman" w:hAnsi="Times New Roman" w:cs="Times New Roman"/>
                <w:color w:val="auto"/>
                <w:sz w:val="24"/>
                <w:szCs w:val="24"/>
                <w:lang w:val="en-US" w:eastAsia="zh-CN"/>
              </w:rPr>
              <w:t>隔油沉淀池预处理后依托辽宁红山化工有限责任公司（简称辽宁红山）一体化处理设</w:t>
            </w:r>
            <w:r>
              <w:rPr>
                <w:rFonts w:hint="default" w:ascii="Times New Roman" w:hAnsi="Times New Roman" w:cs="Times New Roman"/>
                <w:color w:val="auto"/>
                <w:sz w:val="24"/>
                <w:szCs w:val="24"/>
                <w:lang w:val="en-US" w:eastAsia="zh-CN"/>
              </w:rPr>
              <w:t>施处理后用于</w:t>
            </w:r>
            <w:r>
              <w:rPr>
                <w:rFonts w:hint="eastAsia" w:cs="Times New Roman"/>
                <w:color w:val="auto"/>
                <w:sz w:val="24"/>
                <w:szCs w:val="24"/>
                <w:lang w:val="en-US" w:eastAsia="zh-CN"/>
              </w:rPr>
              <w:t>厂区</w:t>
            </w:r>
            <w:r>
              <w:rPr>
                <w:rFonts w:hint="eastAsia" w:ascii="Times New Roman" w:hAnsi="Times New Roman" w:cs="Times New Roman"/>
                <w:color w:val="auto"/>
                <w:sz w:val="24"/>
                <w:szCs w:val="24"/>
                <w:lang w:val="en-US" w:eastAsia="zh-CN"/>
              </w:rPr>
              <w:t>道路洒扫</w:t>
            </w:r>
            <w:r>
              <w:rPr>
                <w:rFonts w:hint="default" w:ascii="Times New Roman" w:hAnsi="Times New Roman" w:cs="Times New Roman"/>
                <w:color w:val="auto"/>
                <w:sz w:val="24"/>
                <w:szCs w:val="24"/>
                <w:lang w:val="en-US" w:eastAsia="zh-CN"/>
              </w:rPr>
              <w:t>，不外排。</w:t>
            </w:r>
          </w:p>
          <w:p w14:paraId="270172AA">
            <w:pPr>
              <w:spacing w:line="360" w:lineRule="auto"/>
              <w:ind w:firstLine="480" w:firstLineChars="200"/>
              <w:outlineLvl w:val="9"/>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本项目厂区排口执行《污水综合排放标准》</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GB8978- 1996</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含修改单及《辽宁省污水综合排放标准》</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DB21/ 1627-2008）中排入污水处理厂最高允许排放浓度，综合利用</w:t>
            </w:r>
            <w:r>
              <w:rPr>
                <w:rFonts w:hint="default" w:ascii="Times New Roman" w:hAnsi="Times New Roman" w:cs="Times New Roman"/>
                <w:color w:val="auto"/>
                <w:sz w:val="24"/>
                <w:szCs w:val="24"/>
                <w:lang w:val="en-US" w:eastAsia="zh-CN"/>
              </w:rPr>
              <w:t>水执行《城市污水再生利用</w:t>
            </w:r>
            <w:r>
              <w:rPr>
                <w:rFonts w:hint="eastAsia"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城市杂用水水质》（GB</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T 18920-2020）</w:t>
            </w:r>
            <w:r>
              <w:rPr>
                <w:rFonts w:hint="eastAsia" w:ascii="Times New Roman" w:hAnsi="Times New Roman" w:cs="Times New Roman"/>
                <w:color w:val="auto"/>
                <w:sz w:val="24"/>
                <w:szCs w:val="24"/>
                <w:lang w:val="en-US" w:eastAsia="zh-CN"/>
              </w:rPr>
              <w:t>表1城市绿化</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道路洒扫标准限值。</w:t>
            </w:r>
          </w:p>
          <w:bookmarkEnd w:id="79"/>
          <w:p w14:paraId="609087DC">
            <w:pPr>
              <w:pStyle w:val="126"/>
              <w:shd w:val="clear" w:color="auto" w:fill="auto"/>
              <w:bidi w:val="0"/>
              <w:outlineLvl w:val="9"/>
              <w:rPr>
                <w:rFonts w:hint="eastAsia"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表</w:t>
            </w:r>
            <w:r>
              <w:rPr>
                <w:rFonts w:hint="eastAsia" w:cs="Times New Roman"/>
                <w:color w:val="auto"/>
                <w:sz w:val="21"/>
                <w:szCs w:val="21"/>
                <w:highlight w:val="none"/>
                <w:lang w:val="en-US" w:eastAsia="zh-CN"/>
              </w:rPr>
              <w:t>3-17</w:t>
            </w:r>
            <w:r>
              <w:rPr>
                <w:rFonts w:hint="default" w:ascii="Times New Roman" w:hAnsi="Times New Roman" w:cs="Times New Roman"/>
                <w:color w:val="auto"/>
                <w:sz w:val="21"/>
                <w:szCs w:val="21"/>
                <w:highlight w:val="none"/>
                <w:lang w:val="en-US" w:eastAsia="zh-CN"/>
              </w:rPr>
              <w:t xml:space="preserve">  </w:t>
            </w:r>
            <w:r>
              <w:rPr>
                <w:rFonts w:hint="eastAsia" w:ascii="Times New Roman" w:hAnsi="Times New Roman" w:cs="Times New Roman"/>
                <w:color w:val="auto"/>
                <w:sz w:val="21"/>
                <w:szCs w:val="21"/>
                <w:highlight w:val="none"/>
                <w:lang w:val="en-US" w:eastAsia="zh-CN"/>
              </w:rPr>
              <w:t>污水排放</w:t>
            </w:r>
            <w:r>
              <w:rPr>
                <w:rFonts w:hint="default" w:ascii="Times New Roman" w:hAnsi="Times New Roman" w:cs="Times New Roman"/>
                <w:color w:val="auto"/>
                <w:sz w:val="21"/>
                <w:szCs w:val="21"/>
                <w:highlight w:val="none"/>
              </w:rPr>
              <w:t>标准</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mg/L，pH无量纲</w:t>
            </w:r>
            <w:r>
              <w:rPr>
                <w:rFonts w:hint="eastAsia" w:ascii="Times New Roman" w:hAnsi="Times New Roman" w:cs="Times New Roman"/>
                <w:color w:val="auto"/>
                <w:sz w:val="21"/>
                <w:szCs w:val="21"/>
                <w:highlight w:val="none"/>
                <w:lang w:eastAsia="zh-CN"/>
              </w:rPr>
              <w:t>）</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765"/>
              <w:gridCol w:w="1648"/>
              <w:gridCol w:w="1646"/>
              <w:gridCol w:w="1646"/>
              <w:gridCol w:w="1647"/>
            </w:tblGrid>
            <w:tr w14:paraId="10C82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3CAF7DD4">
                  <w:pPr>
                    <w:pStyle w:val="100"/>
                    <w:shd w:val="clear" w:color="auto" w:fill="auto"/>
                    <w:bidi w:val="0"/>
                    <w:outlineLvl w:val="9"/>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项目</w:t>
                  </w:r>
                </w:p>
              </w:tc>
              <w:tc>
                <w:tcPr>
                  <w:tcW w:w="986" w:type="pct"/>
                  <w:tcBorders>
                    <w:tl2br w:val="nil"/>
                    <w:tr2bl w:val="nil"/>
                  </w:tcBorders>
                  <w:shd w:val="clear" w:color="auto" w:fill="auto"/>
                  <w:noWrap w:val="0"/>
                  <w:vAlign w:val="center"/>
                </w:tcPr>
                <w:p w14:paraId="1D7A701B">
                  <w:pPr>
                    <w:pStyle w:val="100"/>
                    <w:shd w:val="clear" w:color="auto" w:fill="auto"/>
                    <w:bidi w:val="0"/>
                    <w:ind w:firstLine="0" w:firstLineChars="0"/>
                    <w:outlineLvl w:val="9"/>
                    <w:rPr>
                      <w:rFonts w:hint="eastAsia" w:ascii="Times New Roman" w:hAnsi="Times New Roman" w:cs="Times New Roman" w:eastAsiaTheme="minorEastAsia"/>
                      <w:b/>
                      <w:bCs/>
                      <w:color w:val="auto"/>
                      <w:kern w:val="2"/>
                      <w:sz w:val="21"/>
                      <w:szCs w:val="18"/>
                      <w:highlight w:val="none"/>
                      <w:lang w:val="en-US" w:eastAsia="zh-CN" w:bidi="ar-SA"/>
                    </w:rPr>
                  </w:pPr>
                  <w:r>
                    <w:rPr>
                      <w:rFonts w:hint="eastAsia" w:ascii="Times New Roman" w:hAnsi="Times New Roman" w:cs="Times New Roman"/>
                      <w:b/>
                      <w:bCs/>
                      <w:color w:val="auto"/>
                      <w:highlight w:val="none"/>
                      <w:lang w:val="en-US" w:eastAsia="zh-CN"/>
                    </w:rPr>
                    <w:t>《辽宁省污水综合排放标准》</w:t>
                  </w:r>
                  <w:r>
                    <w:rPr>
                      <w:rFonts w:hint="eastAsia" w:cs="Times New Roman"/>
                      <w:b/>
                      <w:bCs/>
                      <w:color w:val="auto"/>
                      <w:highlight w:val="none"/>
                      <w:lang w:val="en-US" w:eastAsia="zh-CN"/>
                    </w:rPr>
                    <w:t>（</w:t>
                  </w:r>
                  <w:r>
                    <w:rPr>
                      <w:rFonts w:hint="eastAsia" w:ascii="Times New Roman" w:hAnsi="Times New Roman" w:cs="Times New Roman"/>
                      <w:b/>
                      <w:bCs/>
                      <w:color w:val="auto"/>
                      <w:highlight w:val="none"/>
                      <w:lang w:val="en-US" w:eastAsia="zh-CN"/>
                    </w:rPr>
                    <w:t>DB21/ 1627-2008）中排入污水处理厂最高允许排放浓度</w:t>
                  </w:r>
                </w:p>
              </w:tc>
              <w:tc>
                <w:tcPr>
                  <w:tcW w:w="985" w:type="pct"/>
                  <w:tcBorders>
                    <w:tl2br w:val="nil"/>
                    <w:tr2bl w:val="nil"/>
                  </w:tcBorders>
                  <w:shd w:val="clear" w:color="auto" w:fill="auto"/>
                  <w:noWrap w:val="0"/>
                  <w:vAlign w:val="center"/>
                </w:tcPr>
                <w:p w14:paraId="6C0D5236">
                  <w:pPr>
                    <w:pStyle w:val="100"/>
                    <w:shd w:val="clear" w:color="auto" w:fill="auto"/>
                    <w:bidi w:val="0"/>
                    <w:ind w:firstLine="0" w:firstLineChars="0"/>
                    <w:outlineLvl w:val="9"/>
                    <w:rPr>
                      <w:rFonts w:hint="eastAsia" w:ascii="Times New Roman" w:hAnsi="Times New Roman" w:cs="Times New Roman" w:eastAsiaTheme="minorEastAsia"/>
                      <w:b/>
                      <w:bCs/>
                      <w:color w:val="auto"/>
                      <w:kern w:val="2"/>
                      <w:sz w:val="21"/>
                      <w:szCs w:val="18"/>
                      <w:highlight w:val="none"/>
                      <w:lang w:val="en-US" w:eastAsia="zh-CN" w:bidi="ar-SA"/>
                    </w:rPr>
                  </w:pPr>
                  <w:r>
                    <w:rPr>
                      <w:rFonts w:hint="eastAsia" w:ascii="Times New Roman" w:hAnsi="Times New Roman" w:cs="Times New Roman"/>
                      <w:b/>
                      <w:bCs/>
                      <w:color w:val="auto"/>
                      <w:highlight w:val="none"/>
                      <w:lang w:val="en-US" w:eastAsia="zh-CN"/>
                    </w:rPr>
                    <w:t>《污水综合排放标准》</w:t>
                  </w:r>
                  <w:r>
                    <w:rPr>
                      <w:rFonts w:hint="eastAsia" w:cs="Times New Roman"/>
                      <w:b/>
                      <w:bCs/>
                      <w:color w:val="auto"/>
                      <w:highlight w:val="none"/>
                      <w:lang w:val="en-US" w:eastAsia="zh-CN"/>
                    </w:rPr>
                    <w:t>（</w:t>
                  </w:r>
                  <w:r>
                    <w:rPr>
                      <w:rFonts w:hint="eastAsia" w:ascii="Times New Roman" w:hAnsi="Times New Roman" w:cs="Times New Roman"/>
                      <w:b/>
                      <w:bCs/>
                      <w:color w:val="auto"/>
                      <w:highlight w:val="none"/>
                      <w:lang w:val="en-US" w:eastAsia="zh-CN"/>
                    </w:rPr>
                    <w:t>GB8978- 1996) 含修改单</w:t>
                  </w:r>
                </w:p>
              </w:tc>
              <w:tc>
                <w:tcPr>
                  <w:tcW w:w="985" w:type="pct"/>
                  <w:tcBorders>
                    <w:tl2br w:val="nil"/>
                    <w:tr2bl w:val="nil"/>
                  </w:tcBorders>
                  <w:shd w:val="clear" w:color="auto" w:fill="auto"/>
                  <w:noWrap w:val="0"/>
                  <w:vAlign w:val="center"/>
                </w:tcPr>
                <w:p w14:paraId="4FFDCB50">
                  <w:pPr>
                    <w:pStyle w:val="100"/>
                    <w:shd w:val="clear" w:color="auto" w:fill="auto"/>
                    <w:bidi w:val="0"/>
                    <w:outlineLvl w:val="9"/>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本项目厂区排口执行标准</w:t>
                  </w:r>
                </w:p>
              </w:tc>
              <w:tc>
                <w:tcPr>
                  <w:tcW w:w="985" w:type="pct"/>
                  <w:tcBorders>
                    <w:tl2br w:val="nil"/>
                    <w:tr2bl w:val="nil"/>
                  </w:tcBorders>
                  <w:shd w:val="clear" w:color="auto" w:fill="auto"/>
                  <w:noWrap w:val="0"/>
                  <w:vAlign w:val="center"/>
                </w:tcPr>
                <w:p w14:paraId="7553DB3D">
                  <w:pPr>
                    <w:pStyle w:val="100"/>
                    <w:keepNext w:val="0"/>
                    <w:keepLines w:val="0"/>
                    <w:pageBreakBefore w:val="0"/>
                    <w:widowControl/>
                    <w:shd w:val="clear" w:color="auto" w:fill="auto"/>
                    <w:kinsoku/>
                    <w:wordWrap/>
                    <w:overflowPunct/>
                    <w:topLinePunct w:val="0"/>
                    <w:autoSpaceDE/>
                    <w:autoSpaceDN/>
                    <w:bidi w:val="0"/>
                    <w:adjustRightInd/>
                    <w:snapToGrid w:val="0"/>
                    <w:spacing w:before="0" w:after="0"/>
                    <w:ind w:right="0" w:firstLine="0" w:firstLineChars="0"/>
                    <w:textAlignment w:val="auto"/>
                    <w:outlineLvl w:val="9"/>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《城市污水再生利用 城市杂用水水质》（GB/T 18920-2020）</w:t>
                  </w:r>
                </w:p>
                <w:p w14:paraId="29D6837D">
                  <w:pPr>
                    <w:pStyle w:val="100"/>
                    <w:keepNext w:val="0"/>
                    <w:keepLines w:val="0"/>
                    <w:pageBreakBefore w:val="0"/>
                    <w:widowControl/>
                    <w:shd w:val="clear" w:color="auto" w:fill="auto"/>
                    <w:kinsoku/>
                    <w:wordWrap/>
                    <w:overflowPunct/>
                    <w:topLinePunct w:val="0"/>
                    <w:autoSpaceDE/>
                    <w:autoSpaceDN/>
                    <w:bidi w:val="0"/>
                    <w:adjustRightInd/>
                    <w:snapToGrid w:val="0"/>
                    <w:spacing w:before="0" w:after="0"/>
                    <w:ind w:right="0" w:firstLine="0" w:firstLineChars="0"/>
                    <w:textAlignment w:val="auto"/>
                    <w:outlineLvl w:val="9"/>
                    <w:rPr>
                      <w:rFonts w:hint="default" w:ascii="Times New Roman" w:hAnsi="Times New Roman" w:cs="Times New Roman" w:eastAsiaTheme="minorEastAsia"/>
                      <w:b/>
                      <w:bCs/>
                      <w:color w:val="auto"/>
                      <w:kern w:val="2"/>
                      <w:sz w:val="21"/>
                      <w:szCs w:val="18"/>
                      <w:highlight w:val="none"/>
                      <w:lang w:val="en-US" w:eastAsia="zh-CN" w:bidi="ar-SA"/>
                    </w:rPr>
                  </w:pPr>
                  <w:r>
                    <w:rPr>
                      <w:rFonts w:hint="eastAsia" w:ascii="Times New Roman" w:hAnsi="Times New Roman" w:cs="Times New Roman"/>
                      <w:b/>
                      <w:bCs/>
                      <w:color w:val="auto"/>
                      <w:highlight w:val="none"/>
                      <w:lang w:val="en-US" w:eastAsia="zh-CN"/>
                    </w:rPr>
                    <w:t>城市绿化、道路洒扫标准</w:t>
                  </w:r>
                </w:p>
              </w:tc>
            </w:tr>
            <w:tr w14:paraId="56CBA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6A082724">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pH</w:t>
                  </w:r>
                </w:p>
              </w:tc>
              <w:tc>
                <w:tcPr>
                  <w:tcW w:w="986" w:type="pct"/>
                  <w:tcBorders>
                    <w:tl2br w:val="nil"/>
                    <w:tr2bl w:val="nil"/>
                  </w:tcBorders>
                  <w:shd w:val="clear" w:color="auto" w:fill="auto"/>
                  <w:noWrap w:val="0"/>
                  <w:vAlign w:val="center"/>
                </w:tcPr>
                <w:p w14:paraId="00340CBB">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7A70A921">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6-9</w:t>
                  </w:r>
                </w:p>
              </w:tc>
              <w:tc>
                <w:tcPr>
                  <w:tcW w:w="985" w:type="pct"/>
                  <w:tcBorders>
                    <w:tl2br w:val="nil"/>
                    <w:tr2bl w:val="nil"/>
                  </w:tcBorders>
                  <w:shd w:val="clear" w:color="auto" w:fill="auto"/>
                  <w:noWrap w:val="0"/>
                  <w:vAlign w:val="center"/>
                </w:tcPr>
                <w:p w14:paraId="7A4170FC">
                  <w:pPr>
                    <w:pStyle w:val="100"/>
                    <w:shd w:val="clear" w:color="auto" w:fill="auto"/>
                    <w:bidi w:val="0"/>
                    <w:outlineLvl w:val="9"/>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6-9</w:t>
                  </w:r>
                </w:p>
              </w:tc>
              <w:tc>
                <w:tcPr>
                  <w:tcW w:w="985" w:type="pct"/>
                  <w:tcBorders>
                    <w:tl2br w:val="nil"/>
                    <w:tr2bl w:val="nil"/>
                  </w:tcBorders>
                  <w:shd w:val="clear" w:color="auto" w:fill="auto"/>
                  <w:noWrap w:val="0"/>
                  <w:vAlign w:val="center"/>
                </w:tcPr>
                <w:p w14:paraId="1ADF0A30">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6~9</w:t>
                  </w:r>
                </w:p>
              </w:tc>
            </w:tr>
            <w:tr w14:paraId="7A3D1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2066C8E2">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COD</w:t>
                  </w:r>
                  <w:r>
                    <w:rPr>
                      <w:rFonts w:hint="eastAsia" w:ascii="Times New Roman" w:hAnsi="Times New Roman" w:cs="Times New Roman"/>
                      <w:color w:val="auto"/>
                      <w:highlight w:val="none"/>
                      <w:vertAlign w:val="subscript"/>
                      <w:lang w:val="en-US" w:eastAsia="zh-CN"/>
                    </w:rPr>
                    <w:t>Cr</w:t>
                  </w:r>
                </w:p>
              </w:tc>
              <w:tc>
                <w:tcPr>
                  <w:tcW w:w="986" w:type="pct"/>
                  <w:tcBorders>
                    <w:tl2br w:val="nil"/>
                    <w:tr2bl w:val="nil"/>
                  </w:tcBorders>
                  <w:shd w:val="clear" w:color="auto" w:fill="auto"/>
                  <w:noWrap w:val="0"/>
                  <w:vAlign w:val="center"/>
                </w:tcPr>
                <w:p w14:paraId="3DD2A644">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300</w:t>
                  </w:r>
                </w:p>
              </w:tc>
              <w:tc>
                <w:tcPr>
                  <w:tcW w:w="985" w:type="pct"/>
                  <w:tcBorders>
                    <w:tl2br w:val="nil"/>
                    <w:tr2bl w:val="nil"/>
                  </w:tcBorders>
                  <w:shd w:val="clear" w:color="auto" w:fill="auto"/>
                  <w:noWrap w:val="0"/>
                  <w:vAlign w:val="center"/>
                </w:tcPr>
                <w:p w14:paraId="627B3245">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13E07EEF">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300</w:t>
                  </w:r>
                </w:p>
              </w:tc>
              <w:tc>
                <w:tcPr>
                  <w:tcW w:w="985" w:type="pct"/>
                  <w:tcBorders>
                    <w:tl2br w:val="nil"/>
                    <w:tr2bl w:val="nil"/>
                  </w:tcBorders>
                  <w:shd w:val="clear" w:color="auto" w:fill="auto"/>
                  <w:noWrap w:val="0"/>
                  <w:vAlign w:val="center"/>
                </w:tcPr>
                <w:p w14:paraId="25577745">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r>
            <w:tr w14:paraId="7B1F9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1DF5E7B5">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BOD</w:t>
                  </w:r>
                  <w:r>
                    <w:rPr>
                      <w:rFonts w:hint="eastAsia" w:ascii="Times New Roman" w:hAnsi="Times New Roman" w:cs="Times New Roman"/>
                      <w:color w:val="auto"/>
                      <w:highlight w:val="none"/>
                      <w:vertAlign w:val="subscript"/>
                      <w:lang w:val="en-US" w:eastAsia="zh-CN"/>
                    </w:rPr>
                    <w:t>5</w:t>
                  </w:r>
                </w:p>
              </w:tc>
              <w:tc>
                <w:tcPr>
                  <w:tcW w:w="986" w:type="pct"/>
                  <w:tcBorders>
                    <w:tl2br w:val="nil"/>
                    <w:tr2bl w:val="nil"/>
                  </w:tcBorders>
                  <w:shd w:val="clear" w:color="auto" w:fill="auto"/>
                  <w:noWrap w:val="0"/>
                  <w:vAlign w:val="center"/>
                </w:tcPr>
                <w:p w14:paraId="331CE8C5">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10A931CA">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5059542C">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6D2756CC">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10</w:t>
                  </w:r>
                </w:p>
              </w:tc>
            </w:tr>
            <w:tr w14:paraId="23902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516FD774">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SS/浊度</w:t>
                  </w:r>
                </w:p>
              </w:tc>
              <w:tc>
                <w:tcPr>
                  <w:tcW w:w="986" w:type="pct"/>
                  <w:tcBorders>
                    <w:tl2br w:val="nil"/>
                    <w:tr2bl w:val="nil"/>
                  </w:tcBorders>
                  <w:shd w:val="clear" w:color="auto" w:fill="auto"/>
                  <w:noWrap w:val="0"/>
                  <w:vAlign w:val="center"/>
                </w:tcPr>
                <w:p w14:paraId="7F24D689">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300</w:t>
                  </w:r>
                </w:p>
              </w:tc>
              <w:tc>
                <w:tcPr>
                  <w:tcW w:w="985" w:type="pct"/>
                  <w:tcBorders>
                    <w:tl2br w:val="nil"/>
                    <w:tr2bl w:val="nil"/>
                  </w:tcBorders>
                  <w:shd w:val="clear" w:color="auto" w:fill="auto"/>
                  <w:noWrap w:val="0"/>
                  <w:vAlign w:val="center"/>
                </w:tcPr>
                <w:p w14:paraId="1C17D303">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2324D53B">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300</w:t>
                  </w:r>
                </w:p>
              </w:tc>
              <w:tc>
                <w:tcPr>
                  <w:tcW w:w="985" w:type="pct"/>
                  <w:tcBorders>
                    <w:tl2br w:val="nil"/>
                    <w:tr2bl w:val="nil"/>
                  </w:tcBorders>
                  <w:shd w:val="clear" w:color="auto" w:fill="auto"/>
                  <w:noWrap w:val="0"/>
                  <w:vAlign w:val="center"/>
                </w:tcPr>
                <w:p w14:paraId="503D4225">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10</w:t>
                  </w:r>
                </w:p>
              </w:tc>
            </w:tr>
            <w:tr w14:paraId="2CBCF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4FDDE237">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石油类</w:t>
                  </w:r>
                </w:p>
              </w:tc>
              <w:tc>
                <w:tcPr>
                  <w:tcW w:w="986" w:type="pct"/>
                  <w:tcBorders>
                    <w:tl2br w:val="nil"/>
                    <w:tr2bl w:val="nil"/>
                  </w:tcBorders>
                  <w:shd w:val="clear" w:color="auto" w:fill="auto"/>
                  <w:noWrap w:val="0"/>
                  <w:vAlign w:val="center"/>
                </w:tcPr>
                <w:p w14:paraId="0F5CEEB3">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20</w:t>
                  </w:r>
                </w:p>
              </w:tc>
              <w:tc>
                <w:tcPr>
                  <w:tcW w:w="985" w:type="pct"/>
                  <w:tcBorders>
                    <w:tl2br w:val="nil"/>
                    <w:tr2bl w:val="nil"/>
                  </w:tcBorders>
                  <w:shd w:val="clear" w:color="auto" w:fill="auto"/>
                  <w:noWrap w:val="0"/>
                  <w:vAlign w:val="center"/>
                </w:tcPr>
                <w:p w14:paraId="0FF0DDD2">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77BC3619">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20</w:t>
                  </w:r>
                </w:p>
              </w:tc>
              <w:tc>
                <w:tcPr>
                  <w:tcW w:w="985" w:type="pct"/>
                  <w:tcBorders>
                    <w:tl2br w:val="nil"/>
                    <w:tr2bl w:val="nil"/>
                  </w:tcBorders>
                  <w:shd w:val="clear" w:color="auto" w:fill="auto"/>
                  <w:noWrap w:val="0"/>
                  <w:vAlign w:val="center"/>
                </w:tcPr>
                <w:p w14:paraId="7C3D5DA7">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r>
            <w:tr w14:paraId="57A15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1A4291DA">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氨氮</w:t>
                  </w:r>
                </w:p>
              </w:tc>
              <w:tc>
                <w:tcPr>
                  <w:tcW w:w="986" w:type="pct"/>
                  <w:tcBorders>
                    <w:tl2br w:val="nil"/>
                    <w:tr2bl w:val="nil"/>
                  </w:tcBorders>
                  <w:shd w:val="clear" w:color="auto" w:fill="auto"/>
                  <w:noWrap w:val="0"/>
                  <w:vAlign w:val="center"/>
                </w:tcPr>
                <w:p w14:paraId="2F807EB3">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30</w:t>
                  </w:r>
                </w:p>
              </w:tc>
              <w:tc>
                <w:tcPr>
                  <w:tcW w:w="985" w:type="pct"/>
                  <w:tcBorders>
                    <w:tl2br w:val="nil"/>
                    <w:tr2bl w:val="nil"/>
                  </w:tcBorders>
                  <w:shd w:val="clear" w:color="auto" w:fill="auto"/>
                  <w:noWrap w:val="0"/>
                  <w:vAlign w:val="center"/>
                </w:tcPr>
                <w:p w14:paraId="7ECA8107">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14941602">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30</w:t>
                  </w:r>
                </w:p>
              </w:tc>
              <w:tc>
                <w:tcPr>
                  <w:tcW w:w="985" w:type="pct"/>
                  <w:tcBorders>
                    <w:tl2br w:val="nil"/>
                    <w:tr2bl w:val="nil"/>
                  </w:tcBorders>
                  <w:shd w:val="clear" w:color="auto" w:fill="auto"/>
                  <w:noWrap w:val="0"/>
                  <w:vAlign w:val="center"/>
                </w:tcPr>
                <w:p w14:paraId="1DDE76B4">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8</w:t>
                  </w:r>
                </w:p>
              </w:tc>
            </w:tr>
            <w:tr w14:paraId="16B52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1056" w:type="pct"/>
                  <w:tcBorders>
                    <w:tl2br w:val="nil"/>
                    <w:tr2bl w:val="nil"/>
                  </w:tcBorders>
                  <w:noWrap w:val="0"/>
                  <w:vAlign w:val="center"/>
                </w:tcPr>
                <w:p w14:paraId="0547D2B6">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总氯 </w:t>
                  </w:r>
                </w:p>
              </w:tc>
              <w:tc>
                <w:tcPr>
                  <w:tcW w:w="986" w:type="pct"/>
                  <w:tcBorders>
                    <w:tl2br w:val="nil"/>
                    <w:tr2bl w:val="nil"/>
                  </w:tcBorders>
                  <w:shd w:val="clear" w:color="auto" w:fill="auto"/>
                  <w:noWrap w:val="0"/>
                  <w:vAlign w:val="center"/>
                </w:tcPr>
                <w:p w14:paraId="146AEEF2">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08A59DD0">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32AAC5DE">
                  <w:pPr>
                    <w:pStyle w:val="100"/>
                    <w:shd w:val="clear" w:color="auto" w:fill="auto"/>
                    <w:bidi w:val="0"/>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985" w:type="pct"/>
                  <w:tcBorders>
                    <w:tl2br w:val="nil"/>
                    <w:tr2bl w:val="nil"/>
                  </w:tcBorders>
                  <w:shd w:val="clear" w:color="auto" w:fill="auto"/>
                  <w:noWrap w:val="0"/>
                  <w:vAlign w:val="center"/>
                </w:tcPr>
                <w:p w14:paraId="4AEABE93">
                  <w:pPr>
                    <w:pStyle w:val="100"/>
                    <w:shd w:val="clear" w:color="auto" w:fill="auto"/>
                    <w:bidi w:val="0"/>
                    <w:ind w:firstLine="0" w:firstLineChars="0"/>
                    <w:outlineLvl w:val="9"/>
                    <w:rPr>
                      <w:rFonts w:hint="eastAsia" w:ascii="Times New Roman" w:hAnsi="Times New Roman" w:cs="Times New Roman" w:eastAsiaTheme="minorEastAsia"/>
                      <w:color w:val="auto"/>
                      <w:kern w:val="2"/>
                      <w:sz w:val="21"/>
                      <w:szCs w:val="18"/>
                      <w:highlight w:val="none"/>
                      <w:lang w:val="en-US" w:eastAsia="zh-CN" w:bidi="ar-SA"/>
                    </w:rPr>
                  </w:pPr>
                  <w:r>
                    <w:rPr>
                      <w:rFonts w:hint="eastAsia" w:ascii="Times New Roman" w:hAnsi="Times New Roman" w:cs="Times New Roman"/>
                      <w:color w:val="auto"/>
                      <w:highlight w:val="none"/>
                      <w:lang w:val="en-US" w:eastAsia="zh-CN"/>
                    </w:rPr>
                    <w:t>2.5</w:t>
                  </w:r>
                </w:p>
              </w:tc>
            </w:tr>
          </w:tbl>
          <w:p w14:paraId="1854BB48">
            <w:pPr>
              <w:keepNext/>
              <w:keepLines/>
              <w:topLinePunct/>
              <w:adjustRightInd w:val="0"/>
              <w:snapToGrid w:val="0"/>
              <w:spacing w:line="360" w:lineRule="auto"/>
              <w:ind w:firstLine="480" w:firstLineChars="200"/>
              <w:outlineLvl w:val="9"/>
              <w:rPr>
                <w:color w:val="auto"/>
                <w:sz w:val="24"/>
                <w:u w:color="000000"/>
              </w:rPr>
            </w:pPr>
            <w:r>
              <w:rPr>
                <w:rFonts w:hint="eastAsia"/>
                <w:color w:val="auto"/>
                <w:sz w:val="24"/>
                <w:u w:color="000000"/>
              </w:rPr>
              <w:t>（</w:t>
            </w:r>
            <w:r>
              <w:rPr>
                <w:rFonts w:hint="eastAsia"/>
                <w:color w:val="auto"/>
                <w:sz w:val="24"/>
                <w:u w:color="000000"/>
                <w:lang w:val="en-US" w:eastAsia="zh-CN"/>
              </w:rPr>
              <w:t>3</w:t>
            </w:r>
            <w:r>
              <w:rPr>
                <w:rFonts w:hint="eastAsia"/>
                <w:color w:val="auto"/>
                <w:sz w:val="24"/>
                <w:u w:color="000000"/>
              </w:rPr>
              <w:t>）</w:t>
            </w:r>
            <w:r>
              <w:rPr>
                <w:color w:val="auto"/>
                <w:sz w:val="24"/>
                <w:u w:color="000000"/>
              </w:rPr>
              <w:t>噪声排放标准</w:t>
            </w:r>
          </w:p>
          <w:p w14:paraId="5A8DC20F">
            <w:pPr>
              <w:shd w:val="clear" w:color="auto" w:fill="auto"/>
              <w:bidi w:val="0"/>
              <w:spacing w:line="360" w:lineRule="auto"/>
              <w:ind w:firstLine="480" w:firstLineChars="200"/>
              <w:outlineLvl w:val="9"/>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
                <w:sz w:val="24"/>
                <w:szCs w:val="24"/>
                <w:lang w:val="en-US" w:eastAsia="zh-CN" w:bidi="ar-SA"/>
              </w:rPr>
              <w:t>本项目营运期厂界噪声执行《工业企业厂界环境噪声排放标准》（GB12348-2008）</w:t>
            </w:r>
            <w:r>
              <w:rPr>
                <w:rFonts w:hint="eastAsia" w:ascii="Times New Roman" w:hAnsi="Times New Roman" w:cs="Times New Roman"/>
                <w:color w:val="auto"/>
                <w:kern w:val="2"/>
                <w:sz w:val="24"/>
                <w:szCs w:val="24"/>
                <w:lang w:val="en-US" w:eastAsia="zh-CN" w:bidi="ar-SA"/>
              </w:rPr>
              <w:t>1</w:t>
            </w:r>
            <w:r>
              <w:rPr>
                <w:rFonts w:hint="default" w:ascii="Times New Roman" w:hAnsi="Times New Roman" w:cs="Times New Roman" w:eastAsiaTheme="minorEastAsia"/>
                <w:color w:val="auto"/>
                <w:kern w:val="2"/>
                <w:sz w:val="24"/>
                <w:szCs w:val="24"/>
                <w:lang w:val="en-US" w:eastAsia="zh-CN" w:bidi="ar-SA"/>
              </w:rPr>
              <w:t>类标准限值。具体标准限值见表</w:t>
            </w:r>
            <w:r>
              <w:rPr>
                <w:rFonts w:hint="eastAsia" w:cs="Times New Roman" w:eastAsiaTheme="minorEastAsia"/>
                <w:color w:val="auto"/>
                <w:kern w:val="2"/>
                <w:sz w:val="24"/>
                <w:szCs w:val="24"/>
                <w:lang w:val="en-US" w:eastAsia="zh-CN" w:bidi="ar-SA"/>
              </w:rPr>
              <w:t>3-18</w:t>
            </w:r>
            <w:r>
              <w:rPr>
                <w:rFonts w:hint="default" w:ascii="Times New Roman" w:hAnsi="Times New Roman" w:cs="Times New Roman" w:eastAsiaTheme="minorEastAsia"/>
                <w:color w:val="auto"/>
                <w:kern w:val="2"/>
                <w:sz w:val="24"/>
                <w:szCs w:val="24"/>
                <w:lang w:val="en-US" w:eastAsia="zh-CN" w:bidi="ar-SA"/>
              </w:rPr>
              <w:t>。</w:t>
            </w:r>
          </w:p>
          <w:p w14:paraId="3FE14E23">
            <w:pPr>
              <w:pStyle w:val="126"/>
              <w:shd w:val="clear" w:color="auto" w:fill="auto"/>
              <w:bidi w:val="0"/>
              <w:spacing w:line="360" w:lineRule="auto"/>
              <w:outlineLvl w:val="9"/>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表</w:t>
            </w:r>
            <w:r>
              <w:rPr>
                <w:rFonts w:hint="eastAsia" w:cs="Times New Roman" w:eastAsiaTheme="minorEastAsia"/>
                <w:color w:val="auto"/>
                <w:kern w:val="2"/>
                <w:sz w:val="21"/>
                <w:szCs w:val="21"/>
                <w:lang w:val="en-US" w:eastAsia="zh-CN" w:bidi="ar-SA"/>
              </w:rPr>
              <w:t>3-18</w:t>
            </w:r>
            <w:r>
              <w:rPr>
                <w:rFonts w:hint="default" w:ascii="Times New Roman" w:hAnsi="Times New Roman" w:cs="Times New Roman" w:eastAsiaTheme="minorEastAsia"/>
                <w:color w:val="auto"/>
                <w:kern w:val="2"/>
                <w:sz w:val="21"/>
                <w:szCs w:val="21"/>
                <w:lang w:val="en-US" w:eastAsia="zh-CN" w:bidi="ar-SA"/>
              </w:rPr>
              <w:t xml:space="preserve">  噪声排放标准限值</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3434"/>
              <w:gridCol w:w="1171"/>
              <w:gridCol w:w="1439"/>
              <w:gridCol w:w="1440"/>
            </w:tblGrid>
            <w:tr w14:paraId="6F15E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1514" w:type="dxa"/>
                  <w:vMerge w:val="restart"/>
                  <w:tcBorders>
                    <w:tl2br w:val="nil"/>
                    <w:tr2bl w:val="nil"/>
                  </w:tcBorders>
                  <w:noWrap w:val="0"/>
                  <w:vAlign w:val="center"/>
                </w:tcPr>
                <w:p w14:paraId="7A02CA7F">
                  <w:pPr>
                    <w:pStyle w:val="100"/>
                    <w:shd w:val="clear" w:color="auto" w:fill="auto"/>
                    <w:bidi w:val="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时段</w:t>
                  </w:r>
                </w:p>
              </w:tc>
              <w:tc>
                <w:tcPr>
                  <w:tcW w:w="4605" w:type="dxa"/>
                  <w:gridSpan w:val="2"/>
                  <w:tcBorders>
                    <w:tl2br w:val="nil"/>
                    <w:tr2bl w:val="nil"/>
                  </w:tcBorders>
                  <w:noWrap w:val="0"/>
                  <w:vAlign w:val="center"/>
                </w:tcPr>
                <w:p w14:paraId="1605BD4D">
                  <w:pPr>
                    <w:pStyle w:val="100"/>
                    <w:shd w:val="clear" w:color="auto" w:fill="auto"/>
                    <w:bidi w:val="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执行标准</w:t>
                  </w:r>
                </w:p>
              </w:tc>
              <w:tc>
                <w:tcPr>
                  <w:tcW w:w="2879" w:type="dxa"/>
                  <w:gridSpan w:val="2"/>
                  <w:tcBorders>
                    <w:tl2br w:val="nil"/>
                    <w:tr2bl w:val="nil"/>
                  </w:tcBorders>
                  <w:noWrap w:val="0"/>
                  <w:vAlign w:val="center"/>
                </w:tcPr>
                <w:p w14:paraId="422969BA">
                  <w:pPr>
                    <w:pStyle w:val="100"/>
                    <w:shd w:val="clear" w:color="auto" w:fill="auto"/>
                    <w:bidi w:val="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标准值/dB(A)</w:t>
                  </w:r>
                </w:p>
              </w:tc>
            </w:tr>
            <w:tr w14:paraId="02ED6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514" w:type="dxa"/>
                  <w:vMerge w:val="continue"/>
                  <w:tcBorders>
                    <w:tl2br w:val="nil"/>
                    <w:tr2bl w:val="nil"/>
                  </w:tcBorders>
                  <w:noWrap w:val="0"/>
                  <w:vAlign w:val="center"/>
                </w:tcPr>
                <w:p w14:paraId="67076BF8">
                  <w:pPr>
                    <w:pStyle w:val="100"/>
                    <w:shd w:val="clear" w:color="auto" w:fill="auto"/>
                    <w:bidi w:val="0"/>
                    <w:outlineLvl w:val="9"/>
                    <w:rPr>
                      <w:rFonts w:hint="default" w:ascii="Times New Roman" w:hAnsi="Times New Roman" w:eastAsia="宋体" w:cs="Times New Roman"/>
                      <w:b/>
                      <w:bCs/>
                      <w:color w:val="auto"/>
                      <w:highlight w:val="none"/>
                      <w:lang w:val="en-US" w:eastAsia="zh-CN"/>
                    </w:rPr>
                  </w:pPr>
                </w:p>
              </w:tc>
              <w:tc>
                <w:tcPr>
                  <w:tcW w:w="3434" w:type="dxa"/>
                  <w:tcBorders>
                    <w:tl2br w:val="nil"/>
                    <w:tr2bl w:val="nil"/>
                  </w:tcBorders>
                  <w:noWrap w:val="0"/>
                  <w:vAlign w:val="center"/>
                </w:tcPr>
                <w:p w14:paraId="38A9F65B">
                  <w:pPr>
                    <w:pStyle w:val="100"/>
                    <w:shd w:val="clear" w:color="auto" w:fill="auto"/>
                    <w:bidi w:val="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标准名称</w:t>
                  </w:r>
                </w:p>
              </w:tc>
              <w:tc>
                <w:tcPr>
                  <w:tcW w:w="1171" w:type="dxa"/>
                  <w:tcBorders>
                    <w:tl2br w:val="nil"/>
                    <w:tr2bl w:val="nil"/>
                  </w:tcBorders>
                  <w:noWrap w:val="0"/>
                  <w:vAlign w:val="center"/>
                </w:tcPr>
                <w:p w14:paraId="0972491E">
                  <w:pPr>
                    <w:pStyle w:val="100"/>
                    <w:shd w:val="clear" w:color="auto" w:fill="auto"/>
                    <w:bidi w:val="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类别</w:t>
                  </w:r>
                </w:p>
              </w:tc>
              <w:tc>
                <w:tcPr>
                  <w:tcW w:w="1439" w:type="dxa"/>
                  <w:tcBorders>
                    <w:tl2br w:val="nil"/>
                    <w:tr2bl w:val="nil"/>
                  </w:tcBorders>
                  <w:noWrap w:val="0"/>
                  <w:vAlign w:val="center"/>
                </w:tcPr>
                <w:p w14:paraId="4E40AA19">
                  <w:pPr>
                    <w:pStyle w:val="100"/>
                    <w:shd w:val="clear" w:color="auto" w:fill="auto"/>
                    <w:bidi w:val="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昼间</w:t>
                  </w:r>
                </w:p>
              </w:tc>
              <w:tc>
                <w:tcPr>
                  <w:tcW w:w="1440" w:type="dxa"/>
                  <w:tcBorders>
                    <w:tl2br w:val="nil"/>
                    <w:tr2bl w:val="nil"/>
                  </w:tcBorders>
                  <w:noWrap w:val="0"/>
                  <w:vAlign w:val="center"/>
                </w:tcPr>
                <w:p w14:paraId="722BD060">
                  <w:pPr>
                    <w:pStyle w:val="100"/>
                    <w:shd w:val="clear" w:color="auto" w:fill="auto"/>
                    <w:bidi w:val="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夜间</w:t>
                  </w:r>
                </w:p>
              </w:tc>
            </w:tr>
            <w:tr w14:paraId="0105E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1514" w:type="dxa"/>
                  <w:tcBorders>
                    <w:tl2br w:val="nil"/>
                    <w:tr2bl w:val="nil"/>
                  </w:tcBorders>
                  <w:noWrap w:val="0"/>
                  <w:vAlign w:val="center"/>
                </w:tcPr>
                <w:p w14:paraId="335842CA">
                  <w:pPr>
                    <w:pStyle w:val="100"/>
                    <w:shd w:val="clear" w:color="auto" w:fill="auto"/>
                    <w:bidi w:val="0"/>
                    <w:outlineLvl w:val="9"/>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运营期</w:t>
                  </w:r>
                </w:p>
              </w:tc>
              <w:tc>
                <w:tcPr>
                  <w:tcW w:w="3434" w:type="dxa"/>
                  <w:tcBorders>
                    <w:tl2br w:val="nil"/>
                    <w:tr2bl w:val="nil"/>
                  </w:tcBorders>
                  <w:noWrap w:val="0"/>
                  <w:vAlign w:val="center"/>
                </w:tcPr>
                <w:p w14:paraId="4CDCEDAB">
                  <w:pPr>
                    <w:pStyle w:val="100"/>
                    <w:shd w:val="clear" w:color="auto" w:fill="auto"/>
                    <w:bidi w:val="0"/>
                    <w:outlineLvl w:val="9"/>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《工业企业厂界环境噪声排放标准》</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GB12348-2008)</w:t>
                  </w:r>
                </w:p>
              </w:tc>
              <w:tc>
                <w:tcPr>
                  <w:tcW w:w="1171" w:type="dxa"/>
                  <w:tcBorders>
                    <w:tl2br w:val="nil"/>
                    <w:tr2bl w:val="nil"/>
                  </w:tcBorders>
                  <w:noWrap w:val="0"/>
                  <w:vAlign w:val="center"/>
                </w:tcPr>
                <w:p w14:paraId="4DC69D0F">
                  <w:pPr>
                    <w:pStyle w:val="100"/>
                    <w:shd w:val="clear" w:color="auto" w:fill="auto"/>
                    <w:bidi w:val="0"/>
                    <w:outlineLvl w:val="9"/>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1</w:t>
                  </w:r>
                  <w:r>
                    <w:rPr>
                      <w:rFonts w:hint="default" w:ascii="Times New Roman" w:hAnsi="Times New Roman" w:eastAsia="宋体" w:cs="Times New Roman"/>
                      <w:b w:val="0"/>
                      <w:bCs w:val="0"/>
                      <w:color w:val="auto"/>
                      <w:highlight w:val="none"/>
                      <w:lang w:val="en-US" w:eastAsia="zh-CN"/>
                    </w:rPr>
                    <w:t>类</w:t>
                  </w:r>
                </w:p>
              </w:tc>
              <w:tc>
                <w:tcPr>
                  <w:tcW w:w="1439" w:type="dxa"/>
                  <w:tcBorders>
                    <w:tl2br w:val="nil"/>
                    <w:tr2bl w:val="nil"/>
                  </w:tcBorders>
                  <w:noWrap w:val="0"/>
                  <w:vAlign w:val="center"/>
                </w:tcPr>
                <w:p w14:paraId="1855BE75">
                  <w:pPr>
                    <w:pStyle w:val="100"/>
                    <w:shd w:val="clear" w:color="auto" w:fill="auto"/>
                    <w:bidi w:val="0"/>
                    <w:outlineLvl w:val="9"/>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5</w:t>
                  </w:r>
                  <w:r>
                    <w:rPr>
                      <w:rFonts w:hint="default" w:ascii="Times New Roman" w:hAnsi="Times New Roman" w:eastAsia="宋体" w:cs="Times New Roman"/>
                      <w:b w:val="0"/>
                      <w:bCs w:val="0"/>
                      <w:color w:val="auto"/>
                      <w:highlight w:val="none"/>
                      <w:lang w:val="en-US" w:eastAsia="zh-CN"/>
                    </w:rPr>
                    <w:t>5</w:t>
                  </w:r>
                </w:p>
              </w:tc>
              <w:tc>
                <w:tcPr>
                  <w:tcW w:w="1440" w:type="dxa"/>
                  <w:tcBorders>
                    <w:tl2br w:val="nil"/>
                    <w:tr2bl w:val="nil"/>
                  </w:tcBorders>
                  <w:noWrap w:val="0"/>
                  <w:vAlign w:val="center"/>
                </w:tcPr>
                <w:p w14:paraId="6F1835D9">
                  <w:pPr>
                    <w:pStyle w:val="100"/>
                    <w:shd w:val="clear" w:color="auto" w:fill="auto"/>
                    <w:bidi w:val="0"/>
                    <w:outlineLvl w:val="9"/>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4</w:t>
                  </w:r>
                  <w:r>
                    <w:rPr>
                      <w:rFonts w:hint="default" w:ascii="Times New Roman" w:hAnsi="Times New Roman" w:eastAsia="宋体" w:cs="Times New Roman"/>
                      <w:b w:val="0"/>
                      <w:bCs w:val="0"/>
                      <w:color w:val="auto"/>
                      <w:highlight w:val="none"/>
                      <w:lang w:val="en-US" w:eastAsia="zh-CN"/>
                    </w:rPr>
                    <w:t>5</w:t>
                  </w:r>
                </w:p>
              </w:tc>
            </w:tr>
          </w:tbl>
          <w:p w14:paraId="5519F3C5">
            <w:pPr>
              <w:keepNext/>
              <w:keepLines/>
              <w:topLinePunct/>
              <w:adjustRightInd w:val="0"/>
              <w:snapToGrid w:val="0"/>
              <w:spacing w:line="360" w:lineRule="auto"/>
              <w:ind w:firstLine="480" w:firstLineChars="200"/>
              <w:outlineLvl w:val="9"/>
              <w:rPr>
                <w:color w:val="auto"/>
                <w:sz w:val="24"/>
              </w:rPr>
            </w:pPr>
            <w:r>
              <w:rPr>
                <w:rFonts w:hint="eastAsia"/>
                <w:color w:val="auto"/>
                <w:sz w:val="24"/>
              </w:rPr>
              <w:t>（</w:t>
            </w:r>
            <w:r>
              <w:rPr>
                <w:rFonts w:hint="eastAsia"/>
                <w:color w:val="auto"/>
                <w:sz w:val="24"/>
                <w:lang w:val="en-US" w:eastAsia="zh-CN"/>
              </w:rPr>
              <w:t>4</w:t>
            </w:r>
            <w:r>
              <w:rPr>
                <w:rFonts w:hint="eastAsia"/>
                <w:color w:val="auto"/>
                <w:sz w:val="24"/>
              </w:rPr>
              <w:t>）</w:t>
            </w:r>
            <w:r>
              <w:rPr>
                <w:color w:val="auto"/>
                <w:sz w:val="24"/>
              </w:rPr>
              <w:t>固体废物排放标准</w:t>
            </w:r>
          </w:p>
          <w:p w14:paraId="28A33B36">
            <w:pPr>
              <w:keepNext/>
              <w:keepLines/>
              <w:topLinePunct/>
              <w:adjustRightInd w:val="0"/>
              <w:snapToGrid w:val="0"/>
              <w:spacing w:line="360" w:lineRule="auto"/>
              <w:ind w:firstLine="480" w:firstLineChars="200"/>
              <w:outlineLvl w:val="9"/>
              <w:rPr>
                <w:bCs/>
                <w:color w:val="auto"/>
                <w:sz w:val="24"/>
              </w:rPr>
            </w:pPr>
            <w:r>
              <w:rPr>
                <w:color w:val="auto"/>
                <w:sz w:val="24"/>
              </w:rPr>
              <w:t>一般固体废物贮存、处置执行《一般工业固体废物贮存和填埋污染控制标准》（GB18599-2020）</w:t>
            </w:r>
            <w:r>
              <w:rPr>
                <w:rFonts w:hint="eastAsia"/>
                <w:color w:val="auto"/>
                <w:sz w:val="24"/>
              </w:rPr>
              <w:t>；</w:t>
            </w:r>
            <w:r>
              <w:rPr>
                <w:bCs/>
                <w:color w:val="auto"/>
                <w:sz w:val="24"/>
              </w:rPr>
              <w:t>危险废物执行《危险废物贮存污染控制标准》（GB18597-2023）相关要求</w:t>
            </w:r>
            <w:r>
              <w:rPr>
                <w:rFonts w:hint="eastAsia"/>
                <w:bCs/>
                <w:color w:val="auto"/>
                <w:sz w:val="24"/>
              </w:rPr>
              <w:t>。</w:t>
            </w:r>
          </w:p>
        </w:tc>
      </w:tr>
      <w:tr w14:paraId="63828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4" w:hRule="atLeast"/>
          <w:jc w:val="center"/>
        </w:trPr>
        <w:tc>
          <w:tcPr>
            <w:tcW w:w="476" w:type="dxa"/>
            <w:vAlign w:val="center"/>
          </w:tcPr>
          <w:p w14:paraId="10B4E0AF">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总量</w:t>
            </w:r>
          </w:p>
          <w:p w14:paraId="0C0ABA75">
            <w:pPr>
              <w:adjustRightInd w:val="0"/>
              <w:snapToGrid w:val="0"/>
              <w:jc w:val="center"/>
              <w:outlineLvl w:val="9"/>
              <w:rPr>
                <w:rFonts w:hint="eastAsia" w:ascii="宋体" w:hAnsi="宋体" w:cs="宋体"/>
                <w:color w:val="auto"/>
                <w:kern w:val="0"/>
                <w:sz w:val="24"/>
              </w:rPr>
            </w:pPr>
            <w:r>
              <w:rPr>
                <w:rFonts w:hint="eastAsia" w:ascii="宋体" w:hAnsi="宋体" w:cs="宋体"/>
                <w:color w:val="auto"/>
                <w:kern w:val="0"/>
                <w:sz w:val="24"/>
              </w:rPr>
              <w:t>控制</w:t>
            </w:r>
          </w:p>
          <w:p w14:paraId="501F669E">
            <w:pPr>
              <w:adjustRightInd w:val="0"/>
              <w:snapToGrid w:val="0"/>
              <w:jc w:val="center"/>
              <w:outlineLvl w:val="9"/>
              <w:rPr>
                <w:rFonts w:hint="eastAsia" w:ascii="宋体" w:hAnsi="宋体" w:cs="宋体"/>
                <w:color w:val="auto"/>
                <w:kern w:val="0"/>
                <w:szCs w:val="21"/>
              </w:rPr>
            </w:pPr>
            <w:r>
              <w:rPr>
                <w:rFonts w:hint="eastAsia" w:ascii="宋体" w:hAnsi="宋体" w:cs="宋体"/>
                <w:color w:val="auto"/>
                <w:kern w:val="0"/>
                <w:sz w:val="24"/>
              </w:rPr>
              <w:t>指标</w:t>
            </w:r>
          </w:p>
        </w:tc>
        <w:tc>
          <w:tcPr>
            <w:tcW w:w="8583" w:type="dxa"/>
            <w:vAlign w:val="center"/>
          </w:tcPr>
          <w:p w14:paraId="1ACCD12A">
            <w:pPr>
              <w:adjustRightInd w:val="0"/>
              <w:snapToGrid w:val="0"/>
              <w:spacing w:line="360" w:lineRule="auto"/>
              <w:ind w:firstLine="480" w:firstLineChars="200"/>
              <w:outlineLvl w:val="9"/>
              <w:rPr>
                <w:color w:val="auto"/>
                <w:sz w:val="24"/>
                <w:szCs w:val="24"/>
              </w:rPr>
            </w:pPr>
            <w:r>
              <w:rPr>
                <w:color w:val="auto"/>
                <w:sz w:val="24"/>
                <w:szCs w:val="24"/>
              </w:rPr>
              <w:t>根据《辽宁省生态环境厅关于进一步加强建设项目主要污染物排放总量指标审核和管理的通知》（辽环综函</w:t>
            </w:r>
            <w:r>
              <w:rPr>
                <w:rFonts w:hint="eastAsia"/>
                <w:color w:val="auto"/>
                <w:sz w:val="24"/>
                <w:szCs w:val="24"/>
                <w:lang w:eastAsia="zh-CN"/>
              </w:rPr>
              <w:t>〔2020〕380号</w:t>
            </w:r>
            <w:r>
              <w:rPr>
                <w:color w:val="auto"/>
                <w:sz w:val="24"/>
                <w:szCs w:val="24"/>
              </w:rPr>
              <w:t>）</w:t>
            </w:r>
            <w:r>
              <w:rPr>
                <w:rFonts w:hint="eastAsia"/>
                <w:color w:val="auto"/>
                <w:sz w:val="24"/>
                <w:szCs w:val="24"/>
              </w:rPr>
              <w:t>及《“十五五”污染减排工作方案编制技术指南》</w:t>
            </w:r>
            <w:r>
              <w:rPr>
                <w:color w:val="auto"/>
                <w:sz w:val="24"/>
                <w:szCs w:val="24"/>
              </w:rPr>
              <w:t>，总量控制因子为VOCs、NOx、COD</w:t>
            </w:r>
            <w:r>
              <w:rPr>
                <w:color w:val="auto"/>
                <w:sz w:val="24"/>
                <w:szCs w:val="24"/>
                <w:vertAlign w:val="subscript"/>
              </w:rPr>
              <w:t>Cr</w:t>
            </w:r>
            <w:r>
              <w:rPr>
                <w:color w:val="auto"/>
                <w:sz w:val="24"/>
                <w:szCs w:val="24"/>
              </w:rPr>
              <w:t>、</w:t>
            </w:r>
            <w:r>
              <w:rPr>
                <w:rFonts w:hint="eastAsia"/>
                <w:color w:val="auto"/>
                <w:sz w:val="24"/>
                <w:szCs w:val="24"/>
                <w:lang w:val="en-US" w:eastAsia="zh-CN"/>
              </w:rPr>
              <w:t>总磷</w:t>
            </w:r>
            <w:r>
              <w:rPr>
                <w:color w:val="auto"/>
                <w:sz w:val="24"/>
                <w:szCs w:val="24"/>
              </w:rPr>
              <w:t>。</w:t>
            </w:r>
            <w:r>
              <w:rPr>
                <w:rFonts w:hint="eastAsia"/>
                <w:color w:val="auto"/>
                <w:sz w:val="24"/>
                <w:szCs w:val="24"/>
                <w:highlight w:val="none"/>
              </w:rPr>
              <w:t>本项目</w:t>
            </w:r>
            <w:r>
              <w:rPr>
                <w:rFonts w:hint="eastAsia"/>
                <w:color w:val="auto"/>
                <w:sz w:val="24"/>
                <w:szCs w:val="24"/>
                <w:highlight w:val="none"/>
                <w:lang w:val="en-US" w:eastAsia="zh-CN"/>
              </w:rPr>
              <w:t>不新增生活污水，生产废水</w:t>
            </w:r>
            <w:r>
              <w:rPr>
                <w:rFonts w:hint="eastAsia" w:ascii="Times New Roman" w:hAnsi="Times New Roman" w:eastAsia="宋体" w:cs="Times New Roman"/>
                <w:color w:val="auto"/>
                <w:sz w:val="24"/>
                <w:szCs w:val="24"/>
                <w:highlight w:val="none"/>
                <w:lang w:val="en-US" w:eastAsia="zh-CN"/>
              </w:rPr>
              <w:t>排入辽宁红山一体化污水处理站处理后，</w:t>
            </w:r>
            <w:r>
              <w:rPr>
                <w:rFonts w:hint="default" w:ascii="Times New Roman" w:hAnsi="Times New Roman" w:eastAsia="宋体" w:cs="Times New Roman"/>
                <w:color w:val="auto"/>
                <w:sz w:val="24"/>
                <w:szCs w:val="24"/>
                <w:highlight w:val="none"/>
                <w:lang w:val="en-US" w:eastAsia="zh-CN"/>
              </w:rPr>
              <w:t>用于</w:t>
            </w:r>
            <w:r>
              <w:rPr>
                <w:rFonts w:hint="eastAsia" w:ascii="Times New Roman" w:hAnsi="Times New Roman" w:eastAsia="宋体" w:cs="Times New Roman"/>
                <w:color w:val="auto"/>
                <w:sz w:val="24"/>
                <w:szCs w:val="24"/>
                <w:highlight w:val="none"/>
                <w:lang w:val="en-US" w:eastAsia="zh-CN"/>
              </w:rPr>
              <w:t>道路洒扫，不</w:t>
            </w:r>
            <w:r>
              <w:rPr>
                <w:rFonts w:hint="eastAsia" w:ascii="Times New Roman" w:hAnsi="Times New Roman" w:eastAsia="宋体" w:cs="Times New Roman"/>
                <w:color w:val="auto"/>
                <w:sz w:val="24"/>
                <w:szCs w:val="24"/>
                <w:lang w:val="en-US" w:eastAsia="zh-CN"/>
              </w:rPr>
              <w:t>外排</w:t>
            </w:r>
            <w:r>
              <w:rPr>
                <w:rFonts w:hint="default" w:ascii="Times New Roman" w:hAnsi="Times New Roman" w:eastAsia="宋体" w:cs="Times New Roman"/>
                <w:color w:val="auto"/>
                <w:sz w:val="24"/>
                <w:szCs w:val="24"/>
                <w:lang w:val="en-US" w:eastAsia="zh-CN"/>
              </w:rPr>
              <w:t>。</w:t>
            </w:r>
            <w:r>
              <w:rPr>
                <w:color w:val="auto"/>
                <w:sz w:val="24"/>
                <w:szCs w:val="24"/>
              </w:rPr>
              <w:t>综合考虑本项目的工艺和排污特点，结合所在区域环境质量现状以及当地环境管理部门的要求，确定本项目实施后污染物总量控制因子为：VOC</w:t>
            </w:r>
            <w:r>
              <w:rPr>
                <w:color w:val="auto"/>
                <w:sz w:val="24"/>
                <w:szCs w:val="24"/>
                <w:vertAlign w:val="subscript"/>
              </w:rPr>
              <w:t>S</w:t>
            </w:r>
            <w:r>
              <w:rPr>
                <w:color w:val="auto"/>
                <w:sz w:val="24"/>
                <w:szCs w:val="24"/>
              </w:rPr>
              <w:t>。</w:t>
            </w:r>
          </w:p>
          <w:p w14:paraId="4B6CB002">
            <w:pPr>
              <w:keepNext/>
              <w:keepLines/>
              <w:topLinePunct/>
              <w:adjustRightInd w:val="0"/>
              <w:snapToGrid w:val="0"/>
              <w:spacing w:line="360" w:lineRule="auto"/>
              <w:ind w:firstLine="480" w:firstLineChars="200"/>
              <w:outlineLvl w:val="9"/>
              <w:rPr>
                <w:color w:val="auto"/>
                <w:sz w:val="24"/>
                <w:szCs w:val="24"/>
              </w:rPr>
            </w:pPr>
            <w:r>
              <w:rPr>
                <w:rFonts w:hint="eastAsia" w:ascii="Times New Roman" w:hAnsi="Times New Roman" w:cs="Times New Roman"/>
                <w:b w:val="0"/>
                <w:bCs w:val="0"/>
                <w:color w:val="auto"/>
                <w:sz w:val="24"/>
                <w:szCs w:val="24"/>
                <w:lang w:val="en-US" w:eastAsia="zh-CN"/>
              </w:rPr>
              <w:t>本次环评新申请VOC</w:t>
            </w:r>
            <w:r>
              <w:rPr>
                <w:rFonts w:hint="eastAsia" w:ascii="Times New Roman" w:hAnsi="Times New Roman" w:cs="Times New Roman"/>
                <w:b w:val="0"/>
                <w:bCs w:val="0"/>
                <w:color w:val="auto"/>
                <w:sz w:val="24"/>
                <w:szCs w:val="24"/>
                <w:vertAlign w:val="subscript"/>
                <w:lang w:val="en-US" w:eastAsia="zh-CN"/>
              </w:rPr>
              <w:t>S</w:t>
            </w:r>
            <w:r>
              <w:rPr>
                <w:rFonts w:hint="eastAsia" w:ascii="Times New Roman" w:hAnsi="Times New Roman" w:cs="Times New Roman"/>
                <w:b w:val="0"/>
                <w:bCs w:val="0"/>
                <w:color w:val="auto"/>
                <w:sz w:val="24"/>
                <w:szCs w:val="24"/>
                <w:lang w:val="en-US" w:eastAsia="zh-CN"/>
              </w:rPr>
              <w:t>总量控制指</w:t>
            </w:r>
            <w:r>
              <w:rPr>
                <w:rFonts w:hint="eastAsia"/>
                <w:color w:val="auto"/>
                <w:sz w:val="24"/>
                <w:szCs w:val="24"/>
                <w:lang w:val="en-US" w:eastAsia="zh-CN"/>
              </w:rPr>
              <w:t>标</w:t>
            </w:r>
            <w:r>
              <w:rPr>
                <w:rFonts w:hint="eastAsia" w:ascii="宋体" w:hAnsi="宋体" w:cs="宋体"/>
                <w:color w:val="auto"/>
                <w:sz w:val="24"/>
                <w:szCs w:val="24"/>
                <w:lang w:val="en-US" w:eastAsia="zh-CN"/>
              </w:rPr>
              <w:t>0.0528</w:t>
            </w:r>
            <w:r>
              <w:rPr>
                <w:rFonts w:hint="eastAsia"/>
                <w:color w:val="auto"/>
                <w:sz w:val="24"/>
                <w:szCs w:val="24"/>
                <w:lang w:val="en-US" w:eastAsia="zh-CN"/>
              </w:rPr>
              <w:t>t/a</w:t>
            </w:r>
            <w:r>
              <w:rPr>
                <w:rFonts w:hint="eastAsia" w:ascii="Times New Roman" w:hAnsi="Times New Roman" w:eastAsia="宋体" w:cs="Times New Roman"/>
                <w:b w:val="0"/>
                <w:bCs w:val="0"/>
                <w:color w:val="auto"/>
                <w:sz w:val="24"/>
                <w:szCs w:val="24"/>
                <w:lang w:val="en-US" w:eastAsia="zh-CN"/>
              </w:rPr>
              <w:t>，</w:t>
            </w:r>
            <w:r>
              <w:rPr>
                <w:rFonts w:hint="eastAsia" w:ascii="Times New Roman" w:hAnsi="Times New Roman" w:cs="Times New Roman"/>
                <w:b w:val="0"/>
                <w:bCs w:val="0"/>
                <w:color w:val="auto"/>
                <w:sz w:val="24"/>
                <w:szCs w:val="24"/>
                <w:lang w:val="en-US" w:eastAsia="zh-CN"/>
              </w:rPr>
              <w:t>应按管理部门要求进行总量控制指标确认。</w:t>
            </w:r>
          </w:p>
          <w:p w14:paraId="1998CCA1">
            <w:pPr>
              <w:keepNext/>
              <w:keepLines/>
              <w:topLinePunct/>
              <w:adjustRightInd w:val="0"/>
              <w:snapToGrid w:val="0"/>
              <w:spacing w:line="360" w:lineRule="auto"/>
              <w:ind w:firstLine="480" w:firstLineChars="200"/>
              <w:outlineLvl w:val="9"/>
              <w:rPr>
                <w:color w:val="auto"/>
                <w:sz w:val="24"/>
              </w:rPr>
            </w:pPr>
          </w:p>
          <w:p w14:paraId="4FAB5AC2">
            <w:pPr>
              <w:keepNext/>
              <w:keepLines/>
              <w:topLinePunct/>
              <w:adjustRightInd w:val="0"/>
              <w:snapToGrid w:val="0"/>
              <w:spacing w:line="360" w:lineRule="auto"/>
              <w:ind w:firstLine="480" w:firstLineChars="200"/>
              <w:outlineLvl w:val="9"/>
              <w:rPr>
                <w:color w:val="auto"/>
                <w:sz w:val="24"/>
              </w:rPr>
            </w:pPr>
          </w:p>
          <w:p w14:paraId="72A0943B">
            <w:pPr>
              <w:keepNext/>
              <w:keepLines/>
              <w:topLinePunct/>
              <w:adjustRightInd w:val="0"/>
              <w:snapToGrid w:val="0"/>
              <w:spacing w:line="360" w:lineRule="auto"/>
              <w:ind w:firstLine="480" w:firstLineChars="200"/>
              <w:outlineLvl w:val="9"/>
              <w:rPr>
                <w:color w:val="auto"/>
                <w:sz w:val="24"/>
              </w:rPr>
            </w:pPr>
          </w:p>
          <w:p w14:paraId="69AC3C53">
            <w:pPr>
              <w:keepNext/>
              <w:keepLines/>
              <w:topLinePunct/>
              <w:adjustRightInd w:val="0"/>
              <w:snapToGrid w:val="0"/>
              <w:spacing w:line="360" w:lineRule="auto"/>
              <w:ind w:firstLine="480" w:firstLineChars="200"/>
              <w:outlineLvl w:val="9"/>
              <w:rPr>
                <w:color w:val="auto"/>
                <w:sz w:val="24"/>
              </w:rPr>
            </w:pPr>
          </w:p>
          <w:p w14:paraId="2C2DD7FB">
            <w:pPr>
              <w:keepNext/>
              <w:keepLines/>
              <w:topLinePunct/>
              <w:adjustRightInd w:val="0"/>
              <w:snapToGrid w:val="0"/>
              <w:spacing w:line="360" w:lineRule="auto"/>
              <w:ind w:firstLine="480" w:firstLineChars="200"/>
              <w:outlineLvl w:val="9"/>
              <w:rPr>
                <w:color w:val="auto"/>
                <w:sz w:val="24"/>
              </w:rPr>
            </w:pPr>
          </w:p>
          <w:p w14:paraId="069C0037">
            <w:pPr>
              <w:keepNext/>
              <w:keepLines/>
              <w:topLinePunct/>
              <w:adjustRightInd w:val="0"/>
              <w:snapToGrid w:val="0"/>
              <w:spacing w:line="360" w:lineRule="auto"/>
              <w:ind w:firstLine="480" w:firstLineChars="200"/>
              <w:outlineLvl w:val="9"/>
              <w:rPr>
                <w:color w:val="auto"/>
                <w:sz w:val="24"/>
              </w:rPr>
            </w:pPr>
          </w:p>
          <w:p w14:paraId="23B7B1ED">
            <w:pPr>
              <w:keepNext/>
              <w:keepLines/>
              <w:topLinePunct/>
              <w:adjustRightInd w:val="0"/>
              <w:snapToGrid w:val="0"/>
              <w:spacing w:line="360" w:lineRule="auto"/>
              <w:ind w:firstLine="480" w:firstLineChars="200"/>
              <w:outlineLvl w:val="9"/>
              <w:rPr>
                <w:color w:val="auto"/>
                <w:sz w:val="24"/>
              </w:rPr>
            </w:pPr>
          </w:p>
          <w:p w14:paraId="643D3E94">
            <w:pPr>
              <w:pStyle w:val="112"/>
              <w:suppressAutoHyphens/>
              <w:spacing w:line="372" w:lineRule="auto"/>
              <w:ind w:firstLine="480"/>
              <w:outlineLvl w:val="9"/>
              <w:rPr>
                <w:color w:val="auto"/>
              </w:rPr>
            </w:pPr>
          </w:p>
          <w:p w14:paraId="17A8D3EA">
            <w:pPr>
              <w:pStyle w:val="112"/>
              <w:suppressAutoHyphens/>
              <w:spacing w:line="372" w:lineRule="auto"/>
              <w:ind w:firstLine="480"/>
              <w:outlineLvl w:val="9"/>
              <w:rPr>
                <w:color w:val="auto"/>
              </w:rPr>
            </w:pPr>
          </w:p>
          <w:p w14:paraId="0A1FC714">
            <w:pPr>
              <w:pStyle w:val="112"/>
              <w:suppressAutoHyphens/>
              <w:spacing w:line="372" w:lineRule="auto"/>
              <w:ind w:firstLine="480"/>
              <w:outlineLvl w:val="9"/>
              <w:rPr>
                <w:color w:val="auto"/>
              </w:rPr>
            </w:pPr>
          </w:p>
          <w:p w14:paraId="3040292F">
            <w:pPr>
              <w:pStyle w:val="112"/>
              <w:suppressAutoHyphens/>
              <w:spacing w:line="372" w:lineRule="auto"/>
              <w:ind w:firstLine="480"/>
              <w:outlineLvl w:val="9"/>
              <w:rPr>
                <w:color w:val="auto"/>
              </w:rPr>
            </w:pPr>
          </w:p>
          <w:p w14:paraId="3325AC81">
            <w:pPr>
              <w:pStyle w:val="112"/>
              <w:suppressAutoHyphens/>
              <w:spacing w:line="372" w:lineRule="auto"/>
              <w:ind w:firstLine="480"/>
              <w:outlineLvl w:val="9"/>
              <w:rPr>
                <w:color w:val="auto"/>
              </w:rPr>
            </w:pPr>
          </w:p>
          <w:p w14:paraId="17823BBD">
            <w:pPr>
              <w:pStyle w:val="112"/>
              <w:suppressAutoHyphens/>
              <w:spacing w:line="372" w:lineRule="auto"/>
              <w:ind w:firstLine="480"/>
              <w:outlineLvl w:val="9"/>
              <w:rPr>
                <w:color w:val="auto"/>
              </w:rPr>
            </w:pPr>
          </w:p>
          <w:p w14:paraId="73797771">
            <w:pPr>
              <w:pStyle w:val="112"/>
              <w:suppressAutoHyphens/>
              <w:spacing w:line="372" w:lineRule="auto"/>
              <w:ind w:firstLine="480"/>
              <w:outlineLvl w:val="9"/>
              <w:rPr>
                <w:color w:val="auto"/>
              </w:rPr>
            </w:pPr>
          </w:p>
          <w:p w14:paraId="79EBEA3C">
            <w:pPr>
              <w:pStyle w:val="112"/>
              <w:suppressAutoHyphens/>
              <w:spacing w:line="372" w:lineRule="auto"/>
              <w:ind w:firstLine="480"/>
              <w:outlineLvl w:val="9"/>
              <w:rPr>
                <w:color w:val="auto"/>
              </w:rPr>
            </w:pPr>
          </w:p>
          <w:p w14:paraId="65BE664A">
            <w:pPr>
              <w:pStyle w:val="112"/>
              <w:suppressAutoHyphens/>
              <w:spacing w:line="372" w:lineRule="auto"/>
              <w:ind w:firstLine="480"/>
              <w:outlineLvl w:val="9"/>
              <w:rPr>
                <w:color w:val="auto"/>
              </w:rPr>
            </w:pPr>
          </w:p>
          <w:p w14:paraId="322AC90F">
            <w:pPr>
              <w:outlineLvl w:val="9"/>
              <w:rPr>
                <w:color w:val="auto"/>
              </w:rPr>
            </w:pPr>
          </w:p>
        </w:tc>
      </w:tr>
    </w:tbl>
    <w:p w14:paraId="545553AC">
      <w:pPr>
        <w:outlineLvl w:val="9"/>
        <w:rPr>
          <w:rFonts w:hint="eastAsia"/>
          <w:color w:val="auto"/>
        </w:rPr>
      </w:pPr>
      <w:bookmarkStart w:id="80" w:name="_Hlk54167917"/>
      <w:r>
        <w:rPr>
          <w:rFonts w:hint="eastAsia"/>
          <w:color w:val="auto"/>
        </w:rPr>
        <w:br w:type="page"/>
      </w:r>
    </w:p>
    <w:p w14:paraId="5F7B0F80">
      <w:pPr>
        <w:pStyle w:val="2"/>
        <w:rPr>
          <w:color w:val="auto"/>
        </w:rPr>
      </w:pPr>
      <w:bookmarkStart w:id="81" w:name="_Toc29802"/>
      <w:bookmarkStart w:id="82" w:name="_Toc22929"/>
      <w:bookmarkStart w:id="83" w:name="_Toc6984"/>
      <w:r>
        <w:rPr>
          <w:rFonts w:hint="eastAsia"/>
          <w:color w:val="auto"/>
        </w:rPr>
        <w:t>四、主要环境影响和保护措施</w:t>
      </w:r>
      <w:bookmarkEnd w:id="81"/>
      <w:bookmarkEnd w:id="82"/>
      <w:bookmarkEnd w:id="83"/>
    </w:p>
    <w:tbl>
      <w:tblPr>
        <w:tblStyle w:val="32"/>
        <w:tblW w:w="93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8"/>
        <w:gridCol w:w="8481"/>
      </w:tblGrid>
      <w:tr w14:paraId="5B2B38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4" w:hRule="atLeast"/>
          <w:jc w:val="center"/>
        </w:trPr>
        <w:tc>
          <w:tcPr>
            <w:tcW w:w="858" w:type="dxa"/>
            <w:tcBorders>
              <w:bottom w:val="single" w:color="000000" w:sz="4" w:space="0"/>
            </w:tcBorders>
            <w:tcMar>
              <w:left w:w="28" w:type="dxa"/>
              <w:right w:w="28" w:type="dxa"/>
            </w:tcMar>
            <w:vAlign w:val="center"/>
          </w:tcPr>
          <w:p w14:paraId="70BDBEBE">
            <w:pPr>
              <w:pStyle w:val="29"/>
              <w:adjustRightInd w:val="0"/>
              <w:snapToGrid w:val="0"/>
              <w:spacing w:before="0" w:beforeAutospacing="0" w:after="0" w:afterAutospacing="0"/>
              <w:rPr>
                <w:color w:val="auto"/>
                <w:kern w:val="2"/>
                <w:sz w:val="24"/>
                <w:szCs w:val="24"/>
              </w:rPr>
            </w:pPr>
            <w:r>
              <w:rPr>
                <w:color w:val="auto"/>
                <w:kern w:val="2"/>
                <w:sz w:val="24"/>
                <w:szCs w:val="24"/>
              </w:rPr>
              <w:t>施工期环境保护措施</w:t>
            </w:r>
          </w:p>
        </w:tc>
        <w:tc>
          <w:tcPr>
            <w:tcW w:w="8481" w:type="dxa"/>
            <w:tcBorders>
              <w:bottom w:val="single" w:color="000000" w:sz="4" w:space="0"/>
            </w:tcBorders>
            <w:vAlign w:val="center"/>
          </w:tcPr>
          <w:p w14:paraId="377A687C">
            <w:pPr>
              <w:pStyle w:val="112"/>
              <w:ind w:firstLine="482"/>
              <w:rPr>
                <w:b/>
                <w:bCs/>
                <w:color w:val="auto"/>
                <w:szCs w:val="24"/>
              </w:rPr>
            </w:pPr>
            <w:bookmarkStart w:id="84" w:name="_Toc22615"/>
            <w:bookmarkStart w:id="85" w:name="_Toc28864"/>
            <w:bookmarkStart w:id="86" w:name="_Toc11883"/>
            <w:bookmarkStart w:id="87" w:name="_Toc23183"/>
            <w:bookmarkStart w:id="88" w:name="_Toc9851"/>
            <w:bookmarkStart w:id="89" w:name="_Toc20599"/>
            <w:bookmarkStart w:id="90" w:name="_Toc5745"/>
            <w:bookmarkStart w:id="91" w:name="_Toc19615"/>
            <w:bookmarkStart w:id="92" w:name="_Toc29379"/>
            <w:bookmarkStart w:id="93" w:name="_Toc27668"/>
            <w:bookmarkStart w:id="94" w:name="_Toc2556"/>
            <w:r>
              <w:rPr>
                <w:b/>
                <w:bCs/>
                <w:color w:val="auto"/>
                <w:szCs w:val="24"/>
              </w:rPr>
              <w:t>1、施工</w:t>
            </w:r>
            <w:r>
              <w:rPr>
                <w:rFonts w:hint="eastAsia"/>
                <w:b/>
                <w:bCs/>
                <w:color w:val="auto"/>
                <w:szCs w:val="24"/>
                <w:lang w:val="en-US" w:eastAsia="zh-CN"/>
              </w:rPr>
              <w:t>期废气</w:t>
            </w:r>
            <w:r>
              <w:rPr>
                <w:b/>
                <w:bCs/>
                <w:color w:val="auto"/>
                <w:szCs w:val="24"/>
              </w:rPr>
              <w:t>防治措施</w:t>
            </w:r>
            <w:bookmarkEnd w:id="84"/>
            <w:bookmarkEnd w:id="85"/>
            <w:bookmarkEnd w:id="86"/>
            <w:bookmarkEnd w:id="87"/>
            <w:bookmarkEnd w:id="88"/>
            <w:bookmarkEnd w:id="89"/>
            <w:bookmarkEnd w:id="90"/>
            <w:bookmarkEnd w:id="91"/>
            <w:bookmarkEnd w:id="92"/>
            <w:bookmarkEnd w:id="93"/>
            <w:bookmarkEnd w:id="94"/>
          </w:p>
          <w:p w14:paraId="436BD228">
            <w:pPr>
              <w:spacing w:line="360" w:lineRule="auto"/>
              <w:ind w:firstLine="480" w:firstLineChars="200"/>
              <w:rPr>
                <w:rFonts w:hint="default" w:ascii="Times New Roman" w:hAnsi="Times New Roman" w:eastAsia="宋体" w:cs="Times New Roman"/>
                <w:color w:val="auto"/>
                <w:sz w:val="24"/>
                <w:highlight w:val="none"/>
                <w:lang w:val="en-US" w:eastAsia="zh-CN"/>
              </w:rPr>
            </w:pPr>
            <w:bookmarkStart w:id="95" w:name="_Toc12684"/>
            <w:bookmarkStart w:id="96" w:name="_Toc22477"/>
            <w:bookmarkStart w:id="97" w:name="_Toc19609"/>
            <w:bookmarkStart w:id="98" w:name="_Toc29540"/>
            <w:bookmarkStart w:id="99" w:name="_Toc16713"/>
            <w:bookmarkStart w:id="100" w:name="_Toc21668"/>
            <w:bookmarkStart w:id="101" w:name="_Toc18970"/>
            <w:bookmarkStart w:id="102" w:name="_Toc30660"/>
            <w:bookmarkStart w:id="103" w:name="_Toc13183"/>
            <w:bookmarkStart w:id="104" w:name="_Toc2533"/>
            <w:bookmarkStart w:id="105" w:name="_Toc26771"/>
            <w:r>
              <w:rPr>
                <w:rFonts w:hint="eastAsia"/>
                <w:color w:val="auto"/>
                <w:sz w:val="24"/>
              </w:rPr>
              <w:t>施工废气主要来自</w:t>
            </w:r>
            <w:r>
              <w:rPr>
                <w:color w:val="auto"/>
                <w:sz w:val="24"/>
              </w:rPr>
              <w:t>施工过程中产生的施工扬尘、施工机械废气</w:t>
            </w:r>
            <w:r>
              <w:rPr>
                <w:rFonts w:hint="eastAsia"/>
                <w:color w:val="auto"/>
                <w:sz w:val="24"/>
              </w:rPr>
              <w:t>等。</w:t>
            </w:r>
            <w:r>
              <w:rPr>
                <w:color w:val="auto"/>
                <w:sz w:val="24"/>
              </w:rPr>
              <w:t>合理安排施工现场和施工时间，加强施工管理</w:t>
            </w:r>
            <w:r>
              <w:rPr>
                <w:rFonts w:hint="eastAsia"/>
                <w:color w:val="auto"/>
                <w:sz w:val="24"/>
              </w:rPr>
              <w:t>。</w:t>
            </w:r>
            <w:r>
              <w:rPr>
                <w:color w:val="auto"/>
                <w:sz w:val="24"/>
              </w:rPr>
              <w:t>施工时适当进行洒水</w:t>
            </w:r>
            <w:r>
              <w:rPr>
                <w:rFonts w:hint="eastAsia"/>
                <w:color w:val="auto"/>
                <w:sz w:val="24"/>
                <w:lang w:val="en-US" w:eastAsia="zh-CN"/>
              </w:rPr>
              <w:t>降尘</w:t>
            </w:r>
            <w:r>
              <w:rPr>
                <w:color w:val="auto"/>
                <w:sz w:val="24"/>
              </w:rPr>
              <w:t>，</w:t>
            </w:r>
            <w:r>
              <w:rPr>
                <w:rFonts w:hint="eastAsia" w:ascii="Times New Roman" w:hAnsi="Times New Roman" w:eastAsia="宋体" w:cs="Times New Roman"/>
                <w:color w:val="auto"/>
                <w:sz w:val="24"/>
                <w:lang w:val="en-US" w:eastAsia="zh-CN"/>
              </w:rPr>
              <w:t>堆放场地可加设围栏及苫布，</w:t>
            </w:r>
            <w:r>
              <w:rPr>
                <w:color w:val="auto"/>
                <w:sz w:val="24"/>
              </w:rPr>
              <w:t>从而减轻</w:t>
            </w:r>
            <w:r>
              <w:rPr>
                <w:rFonts w:hint="eastAsia"/>
                <w:color w:val="auto"/>
                <w:sz w:val="24"/>
              </w:rPr>
              <w:t>施工</w:t>
            </w:r>
            <w:r>
              <w:rPr>
                <w:color w:val="auto"/>
                <w:sz w:val="24"/>
              </w:rPr>
              <w:t>时段对周围环境</w:t>
            </w:r>
            <w:r>
              <w:rPr>
                <w:rFonts w:hint="eastAsia"/>
                <w:color w:val="auto"/>
                <w:sz w:val="24"/>
                <w:lang w:val="en-US" w:eastAsia="zh-CN"/>
              </w:rPr>
              <w:t>的影响</w:t>
            </w:r>
            <w:r>
              <w:rPr>
                <w:rFonts w:hint="eastAsia"/>
                <w:color w:val="auto"/>
                <w:sz w:val="24"/>
                <w:lang w:eastAsia="zh-CN"/>
              </w:rPr>
              <w:t>。</w:t>
            </w:r>
            <w:r>
              <w:rPr>
                <w:rFonts w:hint="eastAsia"/>
                <w:color w:val="auto"/>
                <w:sz w:val="24"/>
                <w:highlight w:val="none"/>
                <w:lang w:val="en-US" w:eastAsia="zh-CN"/>
              </w:rPr>
              <w:t>本项目施工场地位于西侧新增占地内，距离</w:t>
            </w:r>
            <w:r>
              <w:rPr>
                <w:rFonts w:hint="default" w:ascii="Times New Roman" w:hAnsi="Times New Roman" w:eastAsia="宋体" w:cs="Times New Roman"/>
                <w:color w:val="auto"/>
                <w:sz w:val="24"/>
                <w:highlight w:val="none"/>
                <w:lang w:val="en-US" w:eastAsia="zh-CN"/>
              </w:rPr>
              <w:t>朝阳古生物化石群自然保护区</w:t>
            </w:r>
            <w:r>
              <w:rPr>
                <w:rFonts w:hint="eastAsia" w:ascii="Times New Roman" w:hAnsi="Times New Roman" w:eastAsia="宋体" w:cs="Times New Roman"/>
                <w:color w:val="auto"/>
                <w:sz w:val="24"/>
                <w:highlight w:val="none"/>
                <w:lang w:val="en-US" w:eastAsia="zh-CN"/>
              </w:rPr>
              <w:t>约380m，且</w:t>
            </w:r>
            <w:r>
              <w:rPr>
                <w:rFonts w:hint="default" w:ascii="Times New Roman" w:hAnsi="Times New Roman" w:eastAsia="宋体" w:cs="Times New Roman"/>
                <w:color w:val="auto"/>
                <w:sz w:val="24"/>
                <w:highlight w:val="none"/>
                <w:lang w:val="en-US" w:eastAsia="zh-CN"/>
              </w:rPr>
              <w:t>朝阳古生物化石群自然保护区</w:t>
            </w:r>
            <w:r>
              <w:rPr>
                <w:rFonts w:hint="eastAsia" w:ascii="Times New Roman" w:hAnsi="Times New Roman" w:eastAsia="宋体" w:cs="Times New Roman"/>
                <w:color w:val="auto"/>
                <w:sz w:val="24"/>
                <w:highlight w:val="none"/>
                <w:lang w:val="en-US" w:eastAsia="zh-CN"/>
              </w:rPr>
              <w:t>位于厂区主导风向上风向，故施工期对</w:t>
            </w:r>
            <w:r>
              <w:rPr>
                <w:rFonts w:hint="default" w:ascii="Times New Roman" w:hAnsi="Times New Roman" w:eastAsia="宋体" w:cs="Times New Roman"/>
                <w:color w:val="auto"/>
                <w:sz w:val="24"/>
                <w:highlight w:val="none"/>
                <w:lang w:val="en-US" w:eastAsia="zh-CN"/>
              </w:rPr>
              <w:t>朝阳古生物化石群自然保护区</w:t>
            </w:r>
            <w:r>
              <w:rPr>
                <w:rFonts w:hint="eastAsia" w:ascii="Times New Roman" w:hAnsi="Times New Roman" w:eastAsia="宋体" w:cs="Times New Roman"/>
                <w:color w:val="auto"/>
                <w:sz w:val="24"/>
                <w:highlight w:val="none"/>
                <w:lang w:val="en-US" w:eastAsia="zh-CN"/>
              </w:rPr>
              <w:t>影响较小；施工场地距离</w:t>
            </w:r>
            <w:r>
              <w:rPr>
                <w:rFonts w:hint="default" w:ascii="Times New Roman" w:hAnsi="Times New Roman" w:eastAsia="宋体" w:cs="Times New Roman"/>
                <w:color w:val="auto"/>
                <w:sz w:val="24"/>
                <w:highlight w:val="none"/>
                <w:lang w:val="en-US" w:eastAsia="zh-CN"/>
              </w:rPr>
              <w:t>辽宁朝阳鸟化石国家地质公园</w:t>
            </w:r>
            <w:r>
              <w:rPr>
                <w:rFonts w:hint="eastAsia" w:ascii="Times New Roman" w:hAnsi="Times New Roman" w:eastAsia="宋体" w:cs="Times New Roman"/>
                <w:color w:val="auto"/>
                <w:sz w:val="24"/>
                <w:highlight w:val="none"/>
                <w:lang w:val="en-US" w:eastAsia="zh-CN"/>
              </w:rPr>
              <w:t>较远，且中间有山体阻隔，故施工期对</w:t>
            </w:r>
            <w:r>
              <w:rPr>
                <w:rFonts w:hint="default" w:ascii="Times New Roman" w:hAnsi="Times New Roman" w:eastAsia="宋体" w:cs="Times New Roman"/>
                <w:color w:val="auto"/>
                <w:sz w:val="24"/>
                <w:highlight w:val="none"/>
                <w:lang w:val="en-US" w:eastAsia="zh-CN"/>
              </w:rPr>
              <w:t>辽宁朝阳鸟化石国家地质公园</w:t>
            </w:r>
            <w:r>
              <w:rPr>
                <w:rFonts w:hint="eastAsia" w:ascii="Times New Roman" w:hAnsi="Times New Roman" w:eastAsia="宋体" w:cs="Times New Roman"/>
                <w:color w:val="auto"/>
                <w:sz w:val="24"/>
                <w:highlight w:val="none"/>
                <w:lang w:val="en-US" w:eastAsia="zh-CN"/>
              </w:rPr>
              <w:t>影响较小。</w:t>
            </w:r>
          </w:p>
          <w:bookmarkEnd w:id="95"/>
          <w:bookmarkEnd w:id="96"/>
          <w:bookmarkEnd w:id="97"/>
          <w:bookmarkEnd w:id="98"/>
          <w:bookmarkEnd w:id="99"/>
          <w:bookmarkEnd w:id="100"/>
          <w:bookmarkEnd w:id="101"/>
          <w:bookmarkEnd w:id="102"/>
          <w:bookmarkEnd w:id="103"/>
          <w:bookmarkEnd w:id="104"/>
          <w:bookmarkEnd w:id="105"/>
          <w:p w14:paraId="7B943515">
            <w:pPr>
              <w:pStyle w:val="112"/>
              <w:ind w:firstLine="480"/>
              <w:rPr>
                <w:color w:val="auto"/>
                <w:szCs w:val="24"/>
              </w:rPr>
            </w:pPr>
            <w:bookmarkStart w:id="106" w:name="_Toc14720"/>
            <w:bookmarkStart w:id="107" w:name="_Toc7527"/>
            <w:bookmarkStart w:id="108" w:name="_Toc7344"/>
            <w:bookmarkStart w:id="109" w:name="_Toc32267"/>
            <w:bookmarkStart w:id="110" w:name="_Toc1451"/>
            <w:bookmarkStart w:id="111" w:name="_Toc16662"/>
            <w:bookmarkStart w:id="112" w:name="_Toc839"/>
            <w:bookmarkStart w:id="113" w:name="_Toc9228"/>
            <w:bookmarkStart w:id="114" w:name="_Toc24773"/>
            <w:bookmarkStart w:id="115" w:name="_Toc1562"/>
            <w:bookmarkStart w:id="116" w:name="_Toc22653"/>
            <w:r>
              <w:rPr>
                <w:rFonts w:hint="eastAsia"/>
                <w:color w:val="auto"/>
                <w:szCs w:val="24"/>
              </w:rPr>
              <w:t>采取以上措施后，</w:t>
            </w:r>
            <w:r>
              <w:rPr>
                <w:color w:val="auto"/>
              </w:rPr>
              <w:t>施工期扬尘</w:t>
            </w:r>
            <w:r>
              <w:rPr>
                <w:rFonts w:hint="eastAsia"/>
                <w:color w:val="auto"/>
                <w:szCs w:val="24"/>
              </w:rPr>
              <w:t>排放可满足</w:t>
            </w:r>
            <w:r>
              <w:rPr>
                <w:color w:val="auto"/>
              </w:rPr>
              <w:t>《施工及堆料场地扬尘排放标准》（DB</w:t>
            </w:r>
            <w:r>
              <w:rPr>
                <w:rFonts w:hint="eastAsia"/>
                <w:color w:val="auto"/>
              </w:rPr>
              <w:t xml:space="preserve"> </w:t>
            </w:r>
            <w:r>
              <w:rPr>
                <w:color w:val="auto"/>
              </w:rPr>
              <w:t>21/2642-2016）标准</w:t>
            </w:r>
            <w:r>
              <w:rPr>
                <w:rFonts w:hint="eastAsia"/>
                <w:color w:val="auto"/>
              </w:rPr>
              <w:t>要求</w:t>
            </w:r>
            <w:r>
              <w:rPr>
                <w:rFonts w:hint="eastAsia"/>
                <w:color w:val="auto"/>
                <w:szCs w:val="24"/>
              </w:rPr>
              <w:t>。因此，项目施工期大气污染防治措施可行。</w:t>
            </w:r>
          </w:p>
          <w:p w14:paraId="052085CB">
            <w:pPr>
              <w:pStyle w:val="112"/>
              <w:ind w:firstLine="482"/>
              <w:rPr>
                <w:b/>
                <w:bCs/>
                <w:color w:val="auto"/>
                <w:szCs w:val="24"/>
              </w:rPr>
            </w:pPr>
            <w:r>
              <w:rPr>
                <w:b/>
                <w:bCs/>
                <w:color w:val="auto"/>
                <w:szCs w:val="24"/>
              </w:rPr>
              <w:t>2、施工期废水防治措施</w:t>
            </w:r>
            <w:bookmarkEnd w:id="106"/>
            <w:bookmarkEnd w:id="107"/>
            <w:bookmarkEnd w:id="108"/>
            <w:bookmarkEnd w:id="109"/>
            <w:bookmarkEnd w:id="110"/>
            <w:bookmarkEnd w:id="111"/>
            <w:bookmarkEnd w:id="112"/>
            <w:bookmarkEnd w:id="113"/>
            <w:bookmarkEnd w:id="114"/>
            <w:bookmarkEnd w:id="115"/>
            <w:bookmarkEnd w:id="116"/>
          </w:p>
          <w:p w14:paraId="59B1BE18">
            <w:pPr>
              <w:pStyle w:val="112"/>
              <w:ind w:firstLine="480"/>
              <w:rPr>
                <w:rFonts w:hint="eastAsia"/>
                <w:color w:val="auto"/>
                <w:szCs w:val="24"/>
              </w:rPr>
            </w:pPr>
            <w:bookmarkStart w:id="117" w:name="_Toc3255"/>
            <w:bookmarkStart w:id="118" w:name="_Toc16477"/>
            <w:bookmarkStart w:id="119" w:name="_Toc32370"/>
            <w:bookmarkStart w:id="120" w:name="_Toc6278"/>
            <w:bookmarkStart w:id="121" w:name="_Toc9697"/>
            <w:bookmarkStart w:id="122" w:name="_Toc22190"/>
            <w:bookmarkStart w:id="123" w:name="_Toc8343"/>
            <w:bookmarkStart w:id="124" w:name="_Toc8103"/>
            <w:bookmarkStart w:id="125" w:name="_Toc10031"/>
            <w:bookmarkStart w:id="126" w:name="_Toc3711"/>
            <w:bookmarkStart w:id="127" w:name="_Toc6849"/>
            <w:r>
              <w:rPr>
                <w:rFonts w:hint="eastAsia"/>
                <w:color w:val="auto"/>
                <w:szCs w:val="24"/>
              </w:rPr>
              <w:t>本项目在施工场地设置沉淀池收集处理施工废水，经处理后的施工废水回用于施工场地洒水。本项目施工作业废水不直接向地表水环境排放，对项目所在地的水环境影响较小。施工人员生活污水</w:t>
            </w:r>
            <w:r>
              <w:rPr>
                <w:rFonts w:hint="eastAsia"/>
                <w:color w:val="auto"/>
                <w:szCs w:val="24"/>
                <w:lang w:val="en-US" w:eastAsia="zh-CN"/>
              </w:rPr>
              <w:t>依托厂区内现有生活污水收集和处理设施</w:t>
            </w:r>
            <w:r>
              <w:rPr>
                <w:rFonts w:hint="eastAsia"/>
                <w:color w:val="auto"/>
                <w:szCs w:val="24"/>
              </w:rPr>
              <w:t>，</w:t>
            </w:r>
            <w:r>
              <w:rPr>
                <w:rFonts w:hint="eastAsia"/>
                <w:color w:val="auto"/>
                <w:szCs w:val="24"/>
                <w:lang w:val="en-US" w:eastAsia="zh-CN"/>
              </w:rPr>
              <w:t>不外排。</w:t>
            </w:r>
          </w:p>
          <w:bookmarkEnd w:id="117"/>
          <w:bookmarkEnd w:id="118"/>
          <w:bookmarkEnd w:id="119"/>
          <w:bookmarkEnd w:id="120"/>
          <w:bookmarkEnd w:id="121"/>
          <w:bookmarkEnd w:id="122"/>
          <w:bookmarkEnd w:id="123"/>
          <w:bookmarkEnd w:id="124"/>
          <w:bookmarkEnd w:id="125"/>
          <w:bookmarkEnd w:id="126"/>
          <w:bookmarkEnd w:id="127"/>
          <w:p w14:paraId="7DCB32BE">
            <w:pPr>
              <w:pStyle w:val="112"/>
              <w:ind w:firstLine="482"/>
              <w:rPr>
                <w:b/>
                <w:bCs/>
                <w:color w:val="auto"/>
                <w:szCs w:val="24"/>
              </w:rPr>
            </w:pPr>
            <w:bookmarkStart w:id="128" w:name="_Toc31590"/>
            <w:bookmarkStart w:id="129" w:name="_Toc32685"/>
            <w:bookmarkStart w:id="130" w:name="_Toc25530"/>
            <w:bookmarkStart w:id="131" w:name="_Toc18454"/>
            <w:bookmarkStart w:id="132" w:name="_Toc3647"/>
            <w:bookmarkStart w:id="133" w:name="_Toc638"/>
            <w:bookmarkStart w:id="134" w:name="_Toc31404"/>
            <w:bookmarkStart w:id="135" w:name="_Toc24394"/>
            <w:bookmarkStart w:id="136" w:name="_Toc23569"/>
            <w:bookmarkStart w:id="137" w:name="_Toc28750"/>
            <w:bookmarkStart w:id="138" w:name="_Toc1169"/>
            <w:r>
              <w:rPr>
                <w:b/>
                <w:bCs/>
                <w:color w:val="auto"/>
                <w:szCs w:val="24"/>
              </w:rPr>
              <w:t>3、施工期噪声防治措施</w:t>
            </w:r>
            <w:bookmarkEnd w:id="128"/>
            <w:bookmarkEnd w:id="129"/>
            <w:bookmarkEnd w:id="130"/>
            <w:bookmarkEnd w:id="131"/>
            <w:bookmarkEnd w:id="132"/>
            <w:bookmarkEnd w:id="133"/>
            <w:bookmarkEnd w:id="134"/>
            <w:bookmarkEnd w:id="135"/>
            <w:bookmarkEnd w:id="136"/>
            <w:bookmarkEnd w:id="137"/>
            <w:bookmarkEnd w:id="138"/>
          </w:p>
          <w:p w14:paraId="2D36CDB3">
            <w:pPr>
              <w:pStyle w:val="112"/>
              <w:ind w:firstLine="480"/>
              <w:rPr>
                <w:color w:val="auto"/>
                <w:szCs w:val="24"/>
              </w:rPr>
            </w:pPr>
            <w:bookmarkStart w:id="139" w:name="_Toc13932"/>
            <w:bookmarkStart w:id="140" w:name="_Toc4388"/>
            <w:bookmarkStart w:id="141" w:name="_Toc31437"/>
            <w:bookmarkStart w:id="142" w:name="_Toc181"/>
            <w:bookmarkStart w:id="143" w:name="_Toc1303"/>
            <w:bookmarkStart w:id="144" w:name="_Toc17308"/>
            <w:bookmarkStart w:id="145" w:name="_Toc32158"/>
            <w:bookmarkStart w:id="146" w:name="_Toc23898"/>
            <w:bookmarkStart w:id="147" w:name="_Toc20986"/>
            <w:bookmarkStart w:id="148" w:name="_Toc12313"/>
            <w:bookmarkStart w:id="149" w:name="_Toc19564"/>
            <w:r>
              <w:rPr>
                <w:color w:val="auto"/>
                <w:szCs w:val="24"/>
              </w:rPr>
              <w:t>①合理安排施工时间。安排施工计划</w:t>
            </w:r>
            <w:r>
              <w:rPr>
                <w:rFonts w:hint="eastAsia"/>
                <w:color w:val="auto"/>
                <w:szCs w:val="24"/>
                <w:lang w:val="en-US" w:eastAsia="zh-CN"/>
              </w:rPr>
              <w:t>时</w:t>
            </w:r>
            <w:r>
              <w:rPr>
                <w:color w:val="auto"/>
                <w:szCs w:val="24"/>
              </w:rPr>
              <w:t>，应尽可能避免大量的高噪声设备同时施工，避开周围环境对噪声的敏感时间，减少夜间施工量。尽量加快施工进度，缩短整个工期。</w:t>
            </w:r>
            <w:bookmarkEnd w:id="139"/>
            <w:bookmarkEnd w:id="140"/>
            <w:bookmarkEnd w:id="141"/>
            <w:bookmarkEnd w:id="142"/>
            <w:bookmarkEnd w:id="143"/>
            <w:bookmarkEnd w:id="144"/>
            <w:bookmarkEnd w:id="145"/>
            <w:bookmarkEnd w:id="146"/>
            <w:bookmarkEnd w:id="147"/>
            <w:bookmarkEnd w:id="148"/>
            <w:bookmarkEnd w:id="149"/>
          </w:p>
          <w:p w14:paraId="5C1DFDAD">
            <w:pPr>
              <w:pStyle w:val="112"/>
              <w:ind w:firstLine="480"/>
              <w:rPr>
                <w:color w:val="auto"/>
                <w:szCs w:val="24"/>
              </w:rPr>
            </w:pPr>
            <w:bookmarkStart w:id="150" w:name="_Toc24717"/>
            <w:bookmarkStart w:id="151" w:name="_Toc7293"/>
            <w:bookmarkStart w:id="152" w:name="_Toc15972"/>
            <w:bookmarkStart w:id="153" w:name="_Toc8001"/>
            <w:bookmarkStart w:id="154" w:name="_Toc20485"/>
            <w:bookmarkStart w:id="155" w:name="_Toc24393"/>
            <w:bookmarkStart w:id="156" w:name="_Toc23408"/>
            <w:bookmarkStart w:id="157" w:name="_Toc18117"/>
            <w:bookmarkStart w:id="158" w:name="_Toc5291"/>
            <w:bookmarkStart w:id="159" w:name="_Toc22616"/>
            <w:bookmarkStart w:id="160" w:name="_Toc22116"/>
            <w:r>
              <w:rPr>
                <w:color w:val="auto"/>
                <w:szCs w:val="24"/>
              </w:rPr>
              <w:t>②降低设备声级。尽量选用低噪声施工机械；对动力机械设备进行定期的维护、养护，维修不良的设备；运输车辆进入现场应减速，并减少鸣笛。</w:t>
            </w:r>
            <w:bookmarkEnd w:id="150"/>
            <w:bookmarkEnd w:id="151"/>
            <w:bookmarkEnd w:id="152"/>
            <w:bookmarkEnd w:id="153"/>
            <w:bookmarkEnd w:id="154"/>
            <w:bookmarkEnd w:id="155"/>
            <w:bookmarkEnd w:id="156"/>
            <w:bookmarkEnd w:id="157"/>
            <w:bookmarkEnd w:id="158"/>
            <w:bookmarkEnd w:id="159"/>
            <w:bookmarkEnd w:id="160"/>
          </w:p>
          <w:p w14:paraId="5E7A1850">
            <w:pPr>
              <w:pStyle w:val="112"/>
              <w:ind w:firstLine="480"/>
              <w:rPr>
                <w:color w:val="auto"/>
                <w:szCs w:val="24"/>
              </w:rPr>
            </w:pPr>
            <w:bookmarkStart w:id="161" w:name="_Toc7498"/>
            <w:bookmarkStart w:id="162" w:name="_Toc16463"/>
            <w:bookmarkStart w:id="163" w:name="_Toc15645"/>
            <w:bookmarkStart w:id="164" w:name="_Toc31489"/>
            <w:bookmarkStart w:id="165" w:name="_Toc23436"/>
            <w:bookmarkStart w:id="166" w:name="_Toc32282"/>
            <w:bookmarkStart w:id="167" w:name="_Toc13903"/>
            <w:bookmarkStart w:id="168" w:name="_Toc7948"/>
            <w:bookmarkStart w:id="169" w:name="_Toc32466"/>
            <w:bookmarkStart w:id="170" w:name="_Toc29562"/>
            <w:bookmarkStart w:id="171" w:name="_Toc16521"/>
            <w:r>
              <w:rPr>
                <w:color w:val="auto"/>
                <w:szCs w:val="24"/>
              </w:rPr>
              <w:t>③合理布局、加强管理。在施工过程中应把高噪声工作安排在项目中央，并尽量远离周围敏感目标，要加强一线操作人员的环境意识，对一些零星的手工作业，如拆装模板、装卸建材，尽可能做到轻拿轻放，并辅以一定的减缓措施。</w:t>
            </w:r>
            <w:bookmarkEnd w:id="161"/>
            <w:bookmarkEnd w:id="162"/>
            <w:bookmarkEnd w:id="163"/>
            <w:bookmarkEnd w:id="164"/>
            <w:bookmarkEnd w:id="165"/>
            <w:bookmarkEnd w:id="166"/>
            <w:bookmarkEnd w:id="167"/>
            <w:bookmarkEnd w:id="168"/>
            <w:bookmarkEnd w:id="169"/>
            <w:bookmarkEnd w:id="170"/>
            <w:bookmarkEnd w:id="171"/>
          </w:p>
          <w:p w14:paraId="0025BED1">
            <w:pPr>
              <w:pStyle w:val="112"/>
              <w:ind w:firstLine="480"/>
              <w:rPr>
                <w:color w:val="auto"/>
                <w:szCs w:val="24"/>
              </w:rPr>
            </w:pPr>
            <w:bookmarkStart w:id="172" w:name="_Toc22862"/>
            <w:bookmarkStart w:id="173" w:name="_Toc32102"/>
            <w:bookmarkStart w:id="174" w:name="_Toc4553"/>
            <w:bookmarkStart w:id="175" w:name="_Toc8421"/>
            <w:bookmarkStart w:id="176" w:name="_Toc28947"/>
            <w:bookmarkStart w:id="177" w:name="_Toc13021"/>
            <w:bookmarkStart w:id="178" w:name="_Toc2130"/>
            <w:bookmarkStart w:id="179" w:name="_Toc17670"/>
            <w:bookmarkStart w:id="180" w:name="_Toc24106"/>
            <w:bookmarkStart w:id="181" w:name="_Toc26595"/>
            <w:bookmarkStart w:id="182" w:name="_Toc20018"/>
            <w:r>
              <w:rPr>
                <w:color w:val="auto"/>
                <w:szCs w:val="24"/>
              </w:rPr>
              <w:t>④主要建筑物施工场地周围建设</w:t>
            </w:r>
            <w:r>
              <w:rPr>
                <w:rFonts w:hint="eastAsia"/>
                <w:color w:val="auto"/>
                <w:szCs w:val="24"/>
                <w:lang w:eastAsia="zh-CN"/>
              </w:rPr>
              <w:t>围挡</w:t>
            </w:r>
            <w:r>
              <w:rPr>
                <w:color w:val="auto"/>
                <w:szCs w:val="24"/>
              </w:rPr>
              <w:t>，设置单独出入口；选用低噪声施工设备；对产生高噪声的设备建议在其外加盖简易棚。</w:t>
            </w:r>
            <w:bookmarkEnd w:id="172"/>
            <w:bookmarkEnd w:id="173"/>
            <w:bookmarkEnd w:id="174"/>
            <w:bookmarkEnd w:id="175"/>
            <w:bookmarkEnd w:id="176"/>
            <w:bookmarkEnd w:id="177"/>
            <w:bookmarkEnd w:id="178"/>
            <w:bookmarkEnd w:id="179"/>
            <w:bookmarkEnd w:id="180"/>
            <w:bookmarkEnd w:id="181"/>
            <w:bookmarkEnd w:id="182"/>
          </w:p>
          <w:p w14:paraId="2DCED321">
            <w:pPr>
              <w:pStyle w:val="112"/>
              <w:ind w:firstLine="480"/>
              <w:rPr>
                <w:color w:val="auto"/>
                <w:szCs w:val="24"/>
              </w:rPr>
            </w:pPr>
            <w:r>
              <w:rPr>
                <w:color w:val="auto"/>
                <w:szCs w:val="24"/>
              </w:rPr>
              <w:t>采取以上措施后</w:t>
            </w:r>
            <w:r>
              <w:rPr>
                <w:rFonts w:hint="eastAsia"/>
                <w:color w:val="auto"/>
                <w:szCs w:val="24"/>
              </w:rPr>
              <w:t>，</w:t>
            </w:r>
            <w:r>
              <w:rPr>
                <w:color w:val="auto"/>
                <w:szCs w:val="24"/>
              </w:rPr>
              <w:t>施工期噪声可达到《建筑施工场界噪声排放标准》</w:t>
            </w:r>
            <w:r>
              <w:rPr>
                <w:rFonts w:hint="eastAsia"/>
                <w:color w:val="auto"/>
                <w:szCs w:val="24"/>
                <w:lang w:eastAsia="zh-CN"/>
              </w:rPr>
              <w:t>（</w:t>
            </w:r>
            <w:r>
              <w:rPr>
                <w:color w:val="auto"/>
                <w:szCs w:val="24"/>
              </w:rPr>
              <w:t>GB12523-20</w:t>
            </w:r>
            <w:r>
              <w:rPr>
                <w:rFonts w:hint="eastAsia"/>
                <w:color w:val="auto"/>
                <w:szCs w:val="24"/>
                <w:lang w:val="en-US" w:eastAsia="zh-CN"/>
              </w:rPr>
              <w:t>25</w:t>
            </w:r>
            <w:r>
              <w:rPr>
                <w:rFonts w:hint="eastAsia"/>
                <w:color w:val="auto"/>
                <w:szCs w:val="24"/>
                <w:lang w:eastAsia="zh-CN"/>
              </w:rPr>
              <w:t>）</w:t>
            </w:r>
            <w:r>
              <w:rPr>
                <w:color w:val="auto"/>
                <w:szCs w:val="24"/>
              </w:rPr>
              <w:t>标准要求，对周围</w:t>
            </w:r>
            <w:r>
              <w:rPr>
                <w:rFonts w:hint="eastAsia"/>
                <w:color w:val="auto"/>
                <w:szCs w:val="24"/>
              </w:rPr>
              <w:t>环境</w:t>
            </w:r>
            <w:r>
              <w:rPr>
                <w:color w:val="auto"/>
                <w:szCs w:val="24"/>
              </w:rPr>
              <w:t>影响较小。噪声治理措施合理可行。</w:t>
            </w:r>
          </w:p>
          <w:p w14:paraId="0851C819">
            <w:pPr>
              <w:pStyle w:val="112"/>
              <w:ind w:firstLine="482"/>
              <w:rPr>
                <w:b/>
                <w:bCs/>
                <w:color w:val="auto"/>
                <w:szCs w:val="24"/>
              </w:rPr>
            </w:pPr>
            <w:bookmarkStart w:id="183" w:name="_Toc4039"/>
            <w:bookmarkStart w:id="184" w:name="_Toc21078"/>
            <w:bookmarkStart w:id="185" w:name="_Toc10566"/>
            <w:bookmarkStart w:id="186" w:name="_Toc9568"/>
            <w:bookmarkStart w:id="187" w:name="_Toc17530"/>
            <w:bookmarkStart w:id="188" w:name="_Toc7401"/>
            <w:bookmarkStart w:id="189" w:name="_Toc7228"/>
            <w:bookmarkStart w:id="190" w:name="_Toc24464"/>
            <w:bookmarkStart w:id="191" w:name="_Toc21532"/>
            <w:bookmarkStart w:id="192" w:name="_Toc31771"/>
            <w:bookmarkStart w:id="193" w:name="_Toc8221"/>
            <w:r>
              <w:rPr>
                <w:b/>
                <w:bCs/>
                <w:color w:val="auto"/>
                <w:szCs w:val="24"/>
              </w:rPr>
              <w:t>4、施工期固体废物防治措施</w:t>
            </w:r>
            <w:bookmarkEnd w:id="183"/>
            <w:bookmarkEnd w:id="184"/>
            <w:bookmarkEnd w:id="185"/>
            <w:bookmarkEnd w:id="186"/>
            <w:bookmarkEnd w:id="187"/>
            <w:bookmarkEnd w:id="188"/>
            <w:bookmarkEnd w:id="189"/>
            <w:bookmarkEnd w:id="190"/>
            <w:bookmarkEnd w:id="191"/>
            <w:bookmarkEnd w:id="192"/>
            <w:bookmarkEnd w:id="193"/>
          </w:p>
          <w:p w14:paraId="1C5A275E">
            <w:pPr>
              <w:spacing w:line="360" w:lineRule="auto"/>
              <w:ind w:firstLine="480" w:firstLineChars="200"/>
              <w:rPr>
                <w:rFonts w:hint="eastAsia"/>
                <w:color w:val="auto"/>
                <w:sz w:val="24"/>
              </w:rPr>
            </w:pPr>
            <w:bookmarkStart w:id="194" w:name="_Toc15996"/>
            <w:bookmarkStart w:id="195" w:name="_Toc31153"/>
            <w:bookmarkStart w:id="196" w:name="_Toc954"/>
            <w:bookmarkStart w:id="197" w:name="_Toc28813"/>
            <w:bookmarkStart w:id="198" w:name="_Toc12180"/>
            <w:bookmarkStart w:id="199" w:name="_Toc31827"/>
            <w:bookmarkStart w:id="200" w:name="_Toc4238"/>
            <w:bookmarkStart w:id="201" w:name="_Toc31614"/>
            <w:bookmarkStart w:id="202" w:name="_Toc32469"/>
            <w:bookmarkStart w:id="203" w:name="_Toc6554"/>
            <w:bookmarkStart w:id="204" w:name="_Toc2514"/>
            <w:r>
              <w:rPr>
                <w:color w:val="auto"/>
                <w:sz w:val="24"/>
              </w:rPr>
              <w:t>施工期产生的固体废物主要来自建筑垃圾以及施工人员产生的生活垃圾。对建筑垃圾首先考虑分类收集，运送至指定地点填埋处理；生活垃圾应封闭暂存，集中收集后定期交由环卫部门清运处理。外排建筑垃圾和生活垃圾送至要求的排放场。因此该项目施工期固体废物对周围环境影响较小。</w:t>
            </w:r>
            <w:r>
              <w:rPr>
                <w:rFonts w:hint="eastAsia"/>
                <w:color w:val="auto"/>
                <w:sz w:val="24"/>
              </w:rPr>
              <w:t>项目施工期固废防治措施可行。</w:t>
            </w:r>
          </w:p>
          <w:bookmarkEnd w:id="194"/>
          <w:bookmarkEnd w:id="195"/>
          <w:bookmarkEnd w:id="196"/>
          <w:bookmarkEnd w:id="197"/>
          <w:bookmarkEnd w:id="198"/>
          <w:bookmarkEnd w:id="199"/>
          <w:bookmarkEnd w:id="200"/>
          <w:bookmarkEnd w:id="201"/>
          <w:bookmarkEnd w:id="202"/>
          <w:bookmarkEnd w:id="203"/>
          <w:bookmarkEnd w:id="204"/>
          <w:p w14:paraId="07A3B8D0">
            <w:pPr>
              <w:widowControl/>
              <w:spacing w:line="360" w:lineRule="auto"/>
              <w:ind w:firstLine="480" w:firstLineChars="200"/>
              <w:jc w:val="left"/>
              <w:rPr>
                <w:color w:val="auto"/>
                <w:sz w:val="24"/>
              </w:rPr>
            </w:pPr>
            <w:r>
              <w:rPr>
                <w:color w:val="auto"/>
                <w:sz w:val="24"/>
              </w:rPr>
              <w:t>综上所述，施工期对环境的影响是局部的、暂时的、可恢复性的，是随着施工期的结束而消除的环境影响。一般在可接受的影响范围内。可通过加强管理，文明施工，并在工程结束时采取一些恢复措施，以降低对周围环境的影响程度，故该项目施工期对周围环境影响较小</w:t>
            </w:r>
            <w:r>
              <w:rPr>
                <w:rFonts w:hint="eastAsia"/>
                <w:color w:val="auto"/>
                <w:sz w:val="24"/>
              </w:rPr>
              <w:t>。</w:t>
            </w:r>
          </w:p>
          <w:p w14:paraId="59B9903B">
            <w:pPr>
              <w:widowControl/>
              <w:spacing w:line="360" w:lineRule="auto"/>
              <w:ind w:firstLine="480" w:firstLineChars="200"/>
              <w:jc w:val="left"/>
              <w:rPr>
                <w:color w:val="auto"/>
                <w:sz w:val="24"/>
              </w:rPr>
            </w:pPr>
          </w:p>
          <w:p w14:paraId="52C42E45">
            <w:pPr>
              <w:widowControl/>
              <w:spacing w:line="360" w:lineRule="auto"/>
              <w:ind w:firstLine="480" w:firstLineChars="200"/>
              <w:jc w:val="left"/>
              <w:rPr>
                <w:color w:val="auto"/>
                <w:sz w:val="24"/>
              </w:rPr>
            </w:pPr>
          </w:p>
          <w:p w14:paraId="20B8DDB6">
            <w:pPr>
              <w:widowControl/>
              <w:spacing w:line="360" w:lineRule="auto"/>
              <w:ind w:firstLine="480" w:firstLineChars="200"/>
              <w:jc w:val="left"/>
              <w:rPr>
                <w:color w:val="auto"/>
                <w:sz w:val="24"/>
              </w:rPr>
            </w:pPr>
          </w:p>
          <w:p w14:paraId="5ACA44C3">
            <w:pPr>
              <w:widowControl/>
              <w:spacing w:line="360" w:lineRule="auto"/>
              <w:ind w:firstLine="480" w:firstLineChars="200"/>
              <w:jc w:val="left"/>
              <w:rPr>
                <w:color w:val="auto"/>
                <w:sz w:val="24"/>
              </w:rPr>
            </w:pPr>
          </w:p>
          <w:p w14:paraId="1AC82F15">
            <w:pPr>
              <w:widowControl/>
              <w:spacing w:line="360" w:lineRule="auto"/>
              <w:ind w:firstLine="480" w:firstLineChars="200"/>
              <w:jc w:val="left"/>
              <w:rPr>
                <w:color w:val="auto"/>
                <w:sz w:val="24"/>
              </w:rPr>
            </w:pPr>
          </w:p>
          <w:p w14:paraId="55134B65">
            <w:pPr>
              <w:widowControl/>
              <w:spacing w:line="360" w:lineRule="auto"/>
              <w:ind w:firstLine="480" w:firstLineChars="200"/>
              <w:jc w:val="left"/>
              <w:rPr>
                <w:color w:val="auto"/>
                <w:sz w:val="24"/>
              </w:rPr>
            </w:pPr>
          </w:p>
          <w:p w14:paraId="266CB115">
            <w:pPr>
              <w:widowControl/>
              <w:spacing w:line="360" w:lineRule="auto"/>
              <w:ind w:firstLine="480" w:firstLineChars="200"/>
              <w:jc w:val="left"/>
              <w:rPr>
                <w:color w:val="auto"/>
                <w:sz w:val="24"/>
              </w:rPr>
            </w:pPr>
          </w:p>
          <w:p w14:paraId="765722B8">
            <w:pPr>
              <w:widowControl/>
              <w:spacing w:line="360" w:lineRule="auto"/>
              <w:ind w:firstLine="480" w:firstLineChars="200"/>
              <w:jc w:val="left"/>
              <w:rPr>
                <w:color w:val="auto"/>
                <w:sz w:val="24"/>
              </w:rPr>
            </w:pPr>
          </w:p>
          <w:p w14:paraId="50F7923E">
            <w:pPr>
              <w:widowControl/>
              <w:spacing w:line="360" w:lineRule="auto"/>
              <w:ind w:firstLine="480" w:firstLineChars="200"/>
              <w:jc w:val="left"/>
              <w:rPr>
                <w:color w:val="auto"/>
                <w:sz w:val="24"/>
              </w:rPr>
            </w:pPr>
          </w:p>
          <w:p w14:paraId="1FC688DB">
            <w:pPr>
              <w:widowControl/>
              <w:spacing w:line="360" w:lineRule="auto"/>
              <w:ind w:firstLine="480" w:firstLineChars="200"/>
              <w:jc w:val="left"/>
              <w:rPr>
                <w:color w:val="auto"/>
                <w:sz w:val="24"/>
              </w:rPr>
            </w:pPr>
          </w:p>
          <w:p w14:paraId="063DE3B9">
            <w:pPr>
              <w:widowControl/>
              <w:spacing w:line="360" w:lineRule="auto"/>
              <w:ind w:firstLine="480" w:firstLineChars="200"/>
              <w:jc w:val="left"/>
              <w:rPr>
                <w:color w:val="auto"/>
                <w:sz w:val="24"/>
              </w:rPr>
            </w:pPr>
          </w:p>
          <w:p w14:paraId="36A69485">
            <w:pPr>
              <w:widowControl/>
              <w:spacing w:line="480" w:lineRule="exact"/>
              <w:ind w:firstLine="480" w:firstLineChars="200"/>
              <w:jc w:val="left"/>
              <w:rPr>
                <w:color w:val="auto"/>
                <w:sz w:val="24"/>
              </w:rPr>
            </w:pPr>
          </w:p>
          <w:p w14:paraId="2CF08125">
            <w:pPr>
              <w:widowControl/>
              <w:spacing w:line="480" w:lineRule="exact"/>
              <w:ind w:firstLine="480" w:firstLineChars="200"/>
              <w:jc w:val="left"/>
              <w:rPr>
                <w:color w:val="auto"/>
                <w:sz w:val="24"/>
              </w:rPr>
            </w:pPr>
          </w:p>
          <w:p w14:paraId="5D639957">
            <w:pPr>
              <w:widowControl/>
              <w:spacing w:line="480" w:lineRule="exact"/>
              <w:ind w:firstLine="480" w:firstLineChars="200"/>
              <w:jc w:val="left"/>
              <w:rPr>
                <w:color w:val="auto"/>
                <w:sz w:val="24"/>
              </w:rPr>
            </w:pPr>
          </w:p>
          <w:p w14:paraId="7B95259A">
            <w:pPr>
              <w:widowControl/>
              <w:spacing w:line="480" w:lineRule="exact"/>
              <w:jc w:val="left"/>
              <w:rPr>
                <w:color w:val="auto"/>
                <w:sz w:val="24"/>
              </w:rPr>
            </w:pPr>
          </w:p>
        </w:tc>
      </w:tr>
    </w:tbl>
    <w:p w14:paraId="1DB9D15D">
      <w:pPr>
        <w:rPr>
          <w:color w:val="auto"/>
        </w:rPr>
        <w:sectPr>
          <w:headerReference r:id="rId6" w:type="default"/>
          <w:footerReference r:id="rId7" w:type="default"/>
          <w:pgSz w:w="11905" w:h="16838"/>
          <w:pgMar w:top="1701" w:right="1531" w:bottom="2126" w:left="1531" w:header="851" w:footer="850" w:gutter="0"/>
          <w:pgBorders>
            <w:top w:val="none" w:sz="0" w:space="0"/>
            <w:left w:val="none" w:sz="0" w:space="0"/>
            <w:bottom w:val="none" w:sz="0" w:space="0"/>
            <w:right w:val="none" w:sz="0" w:space="0"/>
          </w:pgBorders>
          <w:pgNumType w:fmt="decimal"/>
          <w:cols w:space="720" w:num="1"/>
          <w:docGrid w:linePitch="312" w:charSpace="0"/>
        </w:sectPr>
      </w:pPr>
    </w:p>
    <w:tbl>
      <w:tblPr>
        <w:tblStyle w:val="32"/>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11937"/>
      </w:tblGrid>
      <w:tr w14:paraId="5C6D31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03" w:hRule="atLeast"/>
          <w:jc w:val="center"/>
        </w:trPr>
        <w:tc>
          <w:tcPr>
            <w:tcW w:w="459" w:type="pct"/>
            <w:tcBorders>
              <w:top w:val="single" w:color="000000" w:sz="4" w:space="0"/>
              <w:bottom w:val="single" w:color="000000" w:sz="4" w:space="0"/>
            </w:tcBorders>
            <w:tcMar>
              <w:left w:w="28" w:type="dxa"/>
              <w:right w:w="28" w:type="dxa"/>
            </w:tcMar>
            <w:vAlign w:val="center"/>
          </w:tcPr>
          <w:p w14:paraId="16D12F0C">
            <w:pPr>
              <w:adjustRightInd w:val="0"/>
              <w:snapToGrid w:val="0"/>
              <w:jc w:val="center"/>
              <w:outlineLvl w:val="9"/>
              <w:rPr>
                <w:bCs/>
                <w:color w:val="auto"/>
                <w:sz w:val="24"/>
              </w:rPr>
            </w:pPr>
            <w:r>
              <w:rPr>
                <w:bCs/>
                <w:color w:val="auto"/>
                <w:sz w:val="24"/>
              </w:rPr>
              <w:t>运营</w:t>
            </w:r>
          </w:p>
          <w:p w14:paraId="146CF32F">
            <w:pPr>
              <w:adjustRightInd w:val="0"/>
              <w:snapToGrid w:val="0"/>
              <w:jc w:val="center"/>
              <w:outlineLvl w:val="9"/>
              <w:rPr>
                <w:bCs/>
                <w:color w:val="auto"/>
                <w:sz w:val="24"/>
              </w:rPr>
            </w:pPr>
            <w:r>
              <w:rPr>
                <w:bCs/>
                <w:color w:val="auto"/>
                <w:sz w:val="24"/>
              </w:rPr>
              <w:t>期环</w:t>
            </w:r>
          </w:p>
          <w:p w14:paraId="1FB925F4">
            <w:pPr>
              <w:adjustRightInd w:val="0"/>
              <w:snapToGrid w:val="0"/>
              <w:jc w:val="center"/>
              <w:outlineLvl w:val="9"/>
              <w:rPr>
                <w:bCs/>
                <w:color w:val="auto"/>
                <w:sz w:val="24"/>
              </w:rPr>
            </w:pPr>
            <w:r>
              <w:rPr>
                <w:bCs/>
                <w:color w:val="auto"/>
                <w:sz w:val="24"/>
              </w:rPr>
              <w:t>境影</w:t>
            </w:r>
          </w:p>
          <w:p w14:paraId="0C240B2C">
            <w:pPr>
              <w:adjustRightInd w:val="0"/>
              <w:snapToGrid w:val="0"/>
              <w:jc w:val="center"/>
              <w:outlineLvl w:val="9"/>
              <w:rPr>
                <w:bCs/>
                <w:color w:val="auto"/>
                <w:sz w:val="24"/>
              </w:rPr>
            </w:pPr>
            <w:r>
              <w:rPr>
                <w:bCs/>
                <w:color w:val="auto"/>
                <w:sz w:val="24"/>
              </w:rPr>
              <w:t>响和</w:t>
            </w:r>
          </w:p>
          <w:p w14:paraId="35A69975">
            <w:pPr>
              <w:adjustRightInd w:val="0"/>
              <w:snapToGrid w:val="0"/>
              <w:jc w:val="center"/>
              <w:outlineLvl w:val="9"/>
              <w:rPr>
                <w:bCs/>
                <w:color w:val="auto"/>
                <w:sz w:val="24"/>
              </w:rPr>
            </w:pPr>
            <w:r>
              <w:rPr>
                <w:bCs/>
                <w:color w:val="auto"/>
                <w:sz w:val="24"/>
              </w:rPr>
              <w:t>保护</w:t>
            </w:r>
          </w:p>
          <w:p w14:paraId="4A5695B1">
            <w:pPr>
              <w:adjustRightInd w:val="0"/>
              <w:snapToGrid w:val="0"/>
              <w:jc w:val="center"/>
              <w:outlineLvl w:val="9"/>
              <w:rPr>
                <w:bCs/>
                <w:color w:val="auto"/>
                <w:sz w:val="24"/>
              </w:rPr>
            </w:pPr>
            <w:r>
              <w:rPr>
                <w:bCs/>
                <w:color w:val="auto"/>
                <w:sz w:val="24"/>
              </w:rPr>
              <w:t>措施</w:t>
            </w:r>
          </w:p>
        </w:tc>
        <w:tc>
          <w:tcPr>
            <w:tcW w:w="4540" w:type="pct"/>
            <w:tcBorders>
              <w:top w:val="single" w:color="000000" w:sz="4" w:space="0"/>
              <w:bottom w:val="single" w:color="000000" w:sz="4" w:space="0"/>
            </w:tcBorders>
            <w:vAlign w:val="center"/>
          </w:tcPr>
          <w:p w14:paraId="1CF7318B">
            <w:pPr>
              <w:pStyle w:val="31"/>
              <w:spacing w:after="0" w:line="360" w:lineRule="auto"/>
              <w:ind w:left="0" w:leftChars="0" w:firstLine="0"/>
              <w:outlineLvl w:val="9"/>
              <w:rPr>
                <w:b/>
                <w:bCs/>
                <w:color w:val="auto"/>
                <w:sz w:val="24"/>
                <w:szCs w:val="24"/>
                <w:highlight w:val="none"/>
              </w:rPr>
            </w:pPr>
            <w:r>
              <w:rPr>
                <w:rFonts w:hint="eastAsia"/>
                <w:b/>
                <w:bCs/>
                <w:color w:val="auto"/>
                <w:sz w:val="24"/>
                <w:szCs w:val="24"/>
                <w:highlight w:val="none"/>
              </w:rPr>
              <w:t>一、</w:t>
            </w:r>
            <w:r>
              <w:rPr>
                <w:b/>
                <w:bCs/>
                <w:color w:val="auto"/>
                <w:sz w:val="24"/>
                <w:szCs w:val="24"/>
                <w:highlight w:val="none"/>
              </w:rPr>
              <w:t>废气</w:t>
            </w:r>
          </w:p>
          <w:p w14:paraId="5A7352BF">
            <w:pPr>
              <w:pStyle w:val="56"/>
              <w:spacing w:line="360" w:lineRule="auto"/>
              <w:ind w:firstLine="482" w:firstLineChars="200"/>
              <w:outlineLvl w:val="9"/>
              <w:rPr>
                <w:rFonts w:hint="default" w:ascii="Times New Roman" w:hAnsi="Times New Roman"/>
                <w:b/>
                <w:color w:val="auto"/>
                <w:szCs w:val="22"/>
                <w:highlight w:val="none"/>
              </w:rPr>
            </w:pPr>
            <w:r>
              <w:rPr>
                <w:rFonts w:hint="default" w:ascii="Times New Roman" w:hAnsi="Times New Roman"/>
                <w:b/>
                <w:color w:val="auto"/>
                <w:szCs w:val="22"/>
                <w:highlight w:val="none"/>
              </w:rPr>
              <w:t>1</w:t>
            </w:r>
            <w:r>
              <w:rPr>
                <w:rFonts w:ascii="Times New Roman" w:hAnsi="Times New Roman"/>
                <w:b/>
                <w:color w:val="auto"/>
                <w:szCs w:val="22"/>
                <w:highlight w:val="none"/>
              </w:rPr>
              <w:t>、</w:t>
            </w:r>
            <w:r>
              <w:rPr>
                <w:rFonts w:hint="default" w:ascii="Times New Roman" w:hAnsi="Times New Roman"/>
                <w:b/>
                <w:color w:val="auto"/>
                <w:szCs w:val="22"/>
                <w:highlight w:val="none"/>
              </w:rPr>
              <w:t>废气污染源强核算</w:t>
            </w:r>
          </w:p>
          <w:p w14:paraId="55E64B77">
            <w:pPr>
              <w:spacing w:line="360" w:lineRule="auto"/>
              <w:ind w:firstLine="480" w:firstLineChars="200"/>
              <w:outlineLvl w:val="9"/>
              <w:rPr>
                <w:rFonts w:hint="default"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本项目废气主要为</w:t>
            </w:r>
            <w:bookmarkStart w:id="205" w:name="OLE_LINK67"/>
            <w:r>
              <w:rPr>
                <w:rFonts w:hint="default" w:ascii="Times New Roman" w:hAnsi="Times New Roman" w:cs="Times New Roman"/>
                <w:color w:val="auto"/>
                <w:sz w:val="24"/>
                <w:szCs w:val="24"/>
                <w:highlight w:val="none"/>
                <w:lang w:val="en-US" w:eastAsia="zh-CN"/>
              </w:rPr>
              <w:t>硝酸钠、珍珠岩等粒料上料粉尘</w:t>
            </w:r>
            <w:bookmarkEnd w:id="205"/>
            <w:bookmarkStart w:id="206" w:name="OLE_LINK69"/>
            <w:r>
              <w:rPr>
                <w:rFonts w:hint="default" w:ascii="Times New Roman" w:hAnsi="Times New Roman" w:cs="Times New Roman"/>
                <w:color w:val="auto"/>
                <w:sz w:val="24"/>
                <w:szCs w:val="24"/>
                <w:highlight w:val="none"/>
                <w:lang w:val="en-US" w:eastAsia="zh-CN"/>
              </w:rPr>
              <w:t>；油相溶液从槽车输送至水油相制备工房内油相制备罐时产生少量挥发性有机废气，钢带冷却和散料皮带输送过程中产生的挥发性有机废气，</w:t>
            </w:r>
            <w:r>
              <w:rPr>
                <w:rFonts w:hint="eastAsia" w:cs="Times New Roman"/>
                <w:color w:val="auto"/>
                <w:sz w:val="24"/>
                <w:szCs w:val="24"/>
                <w:highlight w:val="none"/>
                <w:lang w:val="en-US" w:eastAsia="zh-CN"/>
              </w:rPr>
              <w:t>喷码过程产生的有机废气，</w:t>
            </w:r>
            <w:r>
              <w:rPr>
                <w:rFonts w:hint="default" w:ascii="Times New Roman" w:hAnsi="Times New Roman" w:cs="Times New Roman"/>
                <w:color w:val="auto"/>
                <w:sz w:val="24"/>
                <w:szCs w:val="24"/>
                <w:highlight w:val="none"/>
                <w:lang w:val="en-US" w:eastAsia="zh-CN"/>
              </w:rPr>
              <w:t>以非甲烷总烃计。</w:t>
            </w:r>
            <w:bookmarkEnd w:id="206"/>
            <w:r>
              <w:rPr>
                <w:rFonts w:hint="default" w:ascii="Times New Roman" w:hAnsi="Times New Roman" w:cs="Times New Roman"/>
                <w:color w:val="auto"/>
                <w:sz w:val="24"/>
                <w:szCs w:val="24"/>
                <w:highlight w:val="none"/>
                <w:lang w:val="en-US" w:eastAsia="zh-CN"/>
              </w:rPr>
              <w:t>不合格品仅根据需要混拌少量膨胀珍珠岩进行二次物理敏化，产生珍珠岩上料粉尘量极少，不进行定量分析。</w:t>
            </w:r>
            <w:r>
              <w:rPr>
                <w:rFonts w:hint="eastAsia" w:cs="Times New Roman"/>
                <w:color w:val="auto"/>
                <w:sz w:val="24"/>
                <w:szCs w:val="24"/>
                <w:highlight w:val="none"/>
                <w:lang w:val="en-US" w:eastAsia="zh-CN"/>
              </w:rPr>
              <w:t>本项目沾染炸药的废包装，在符合《民用爆炸物品工程设计安全标准》（GB 50089-2018）的危险品销毁场进行烧毁法销毁，由于固废产生量较小且以沾染炸药成分为主，炸药主要成分为硝酸铵，销毁时产生的废气主要为NO</w:t>
            </w:r>
            <w:r>
              <w:rPr>
                <w:rFonts w:hint="eastAsia" w:cs="Times New Roman"/>
                <w:color w:val="auto"/>
                <w:sz w:val="24"/>
                <w:szCs w:val="24"/>
                <w:highlight w:val="none"/>
                <w:vertAlign w:val="subscript"/>
                <w:lang w:val="en-US" w:eastAsia="zh-CN"/>
              </w:rPr>
              <w:t>2</w:t>
            </w:r>
            <w:r>
              <w:rPr>
                <w:rFonts w:hint="eastAsia" w:cs="Times New Roman"/>
                <w:color w:val="auto"/>
                <w:sz w:val="24"/>
                <w:szCs w:val="24"/>
                <w:highlight w:val="none"/>
                <w:lang w:val="en-US" w:eastAsia="zh-CN"/>
              </w:rPr>
              <w:t>，销毁操作时间较短，为非常规连续生产行为，对周围环境空气的影响很小。</w:t>
            </w:r>
          </w:p>
          <w:p w14:paraId="629C3639">
            <w:pPr>
              <w:spacing w:line="360" w:lineRule="auto"/>
              <w:ind w:firstLine="440" w:firstLineChars="200"/>
              <w:outlineLvl w:val="9"/>
              <w:rPr>
                <w:rFonts w:hint="eastAsia"/>
                <w:bCs/>
                <w:color w:val="auto"/>
                <w:spacing w:val="-10"/>
                <w:sz w:val="24"/>
                <w:szCs w:val="24"/>
                <w:lang w:val="en-US" w:eastAsia="zh-CN"/>
              </w:rPr>
            </w:pPr>
            <w:r>
              <w:rPr>
                <w:rFonts w:hint="eastAsia"/>
                <w:bCs/>
                <w:color w:val="auto"/>
                <w:spacing w:val="-10"/>
                <w:sz w:val="24"/>
                <w:szCs w:val="24"/>
                <w:lang w:val="en-US" w:eastAsia="zh-CN"/>
              </w:rPr>
              <w:t>（1）</w:t>
            </w:r>
            <w:r>
              <w:rPr>
                <w:rFonts w:hint="default"/>
                <w:bCs/>
                <w:color w:val="auto"/>
                <w:spacing w:val="-10"/>
                <w:sz w:val="24"/>
                <w:szCs w:val="24"/>
                <w:lang w:val="en-US" w:eastAsia="zh-CN"/>
              </w:rPr>
              <w:t>硝酸钠</w:t>
            </w:r>
            <w:r>
              <w:rPr>
                <w:rFonts w:hint="eastAsia"/>
                <w:bCs/>
                <w:color w:val="auto"/>
                <w:spacing w:val="-10"/>
                <w:sz w:val="24"/>
                <w:szCs w:val="24"/>
                <w:lang w:val="en-US" w:eastAsia="zh-CN"/>
              </w:rPr>
              <w:t>上料粉尘</w:t>
            </w:r>
          </w:p>
          <w:p w14:paraId="5B6A6036">
            <w:pPr>
              <w:spacing w:line="360" w:lineRule="auto"/>
              <w:ind w:firstLine="480" w:firstLineChars="200"/>
              <w:outlineLvl w:val="9"/>
              <w:rPr>
                <w:rFonts w:hint="default" w:ascii="Times New Roman" w:hAnsi="Times New Roman" w:cs="Times New Roman"/>
                <w:color w:val="auto"/>
                <w:sz w:val="24"/>
                <w:szCs w:val="24"/>
                <w:highlight w:val="none"/>
                <w:u w:val="none"/>
                <w:lang w:val="en-US" w:eastAsia="zh-CN"/>
              </w:rPr>
            </w:pPr>
            <w:r>
              <w:rPr>
                <w:rFonts w:hint="default" w:ascii="Times New Roman" w:hAnsi="Times New Roman" w:cs="Times New Roman" w:eastAsiaTheme="minorEastAsia"/>
                <w:color w:val="auto"/>
                <w:sz w:val="24"/>
                <w:szCs w:val="24"/>
                <w:u w:val="none"/>
                <w:lang w:val="en-US" w:eastAsia="zh-CN"/>
              </w:rPr>
              <w:t>本项目硝酸钠通过密闭螺旋输送机输送，</w:t>
            </w:r>
            <w:r>
              <w:rPr>
                <w:rFonts w:hint="eastAsia" w:cs="Times New Roman" w:eastAsiaTheme="minorEastAsia"/>
                <w:color w:val="auto"/>
                <w:sz w:val="24"/>
                <w:szCs w:val="24"/>
                <w:u w:val="none"/>
                <w:lang w:val="en-US" w:eastAsia="zh-CN"/>
              </w:rPr>
              <w:t>仅</w:t>
            </w:r>
            <w:r>
              <w:rPr>
                <w:rFonts w:hint="default" w:ascii="Times New Roman" w:hAnsi="Times New Roman" w:cs="Times New Roman" w:eastAsiaTheme="minorEastAsia"/>
                <w:color w:val="auto"/>
                <w:sz w:val="24"/>
                <w:szCs w:val="24"/>
                <w:u w:val="none"/>
                <w:lang w:val="en-US" w:eastAsia="zh-CN"/>
              </w:rPr>
              <w:t>上料过程会产生粉尘</w:t>
            </w:r>
            <w:r>
              <w:rPr>
                <w:rFonts w:hint="eastAsia" w:cs="Times New Roman" w:eastAsiaTheme="minorEastAsia"/>
                <w:color w:val="auto"/>
                <w:sz w:val="24"/>
                <w:szCs w:val="24"/>
                <w:u w:val="none"/>
                <w:lang w:val="en-US" w:eastAsia="zh-CN"/>
              </w:rPr>
              <w:t>。</w:t>
            </w:r>
            <w:r>
              <w:rPr>
                <w:rFonts w:hint="default" w:ascii="Times New Roman" w:hAnsi="Times New Roman" w:cs="Times New Roman"/>
                <w:color w:val="auto"/>
                <w:sz w:val="24"/>
                <w:szCs w:val="24"/>
                <w:highlight w:val="none"/>
                <w:u w:val="none"/>
                <w:lang w:val="en-US" w:eastAsia="zh-CN"/>
              </w:rPr>
              <w:t>参照《逸散性工业粉尘控制技术》中粒料的卸料产尘系数，粉尘产生量按0.01kg/t-原料计，项目使用硝酸钠</w:t>
            </w:r>
            <w:r>
              <w:rPr>
                <w:rFonts w:hint="eastAsia" w:cs="Times New Roman"/>
                <w:color w:val="auto"/>
                <w:sz w:val="24"/>
                <w:szCs w:val="24"/>
                <w:highlight w:val="none"/>
                <w:u w:val="none"/>
                <w:lang w:val="en-US" w:eastAsia="zh-CN"/>
              </w:rPr>
              <w:t>798</w:t>
            </w:r>
            <w:r>
              <w:rPr>
                <w:rFonts w:hint="default" w:ascii="Times New Roman" w:hAnsi="Times New Roman" w:cs="Times New Roman"/>
                <w:color w:val="auto"/>
                <w:sz w:val="24"/>
                <w:szCs w:val="24"/>
                <w:highlight w:val="none"/>
                <w:u w:val="none"/>
                <w:lang w:val="en-US" w:eastAsia="zh-CN"/>
              </w:rPr>
              <w:t>t/a，则硝酸钠上料粉尘产生量为0.00</w:t>
            </w:r>
            <w:r>
              <w:rPr>
                <w:rFonts w:hint="eastAsia" w:cs="Times New Roman"/>
                <w:color w:val="auto"/>
                <w:sz w:val="24"/>
                <w:szCs w:val="24"/>
                <w:highlight w:val="none"/>
                <w:u w:val="none"/>
                <w:lang w:val="en-US" w:eastAsia="zh-CN"/>
              </w:rPr>
              <w:t>80</w:t>
            </w:r>
            <w:r>
              <w:rPr>
                <w:rFonts w:hint="default" w:ascii="Times New Roman" w:hAnsi="Times New Roman" w:cs="Times New Roman"/>
                <w:color w:val="auto"/>
                <w:sz w:val="24"/>
                <w:szCs w:val="24"/>
                <w:highlight w:val="none"/>
                <w:u w:val="none"/>
                <w:lang w:val="en-US" w:eastAsia="zh-CN"/>
              </w:rPr>
              <w:t>t/a，以平均每班上料时间为2h计，则产生速率为0.0</w:t>
            </w:r>
            <w:r>
              <w:rPr>
                <w:rFonts w:hint="eastAsia" w:cs="Times New Roman"/>
                <w:color w:val="auto"/>
                <w:sz w:val="24"/>
                <w:szCs w:val="24"/>
                <w:highlight w:val="none"/>
                <w:u w:val="none"/>
                <w:lang w:val="en-US" w:eastAsia="zh-CN"/>
              </w:rPr>
              <w:t>160</w:t>
            </w:r>
            <w:r>
              <w:rPr>
                <w:rFonts w:hint="default" w:ascii="Times New Roman" w:hAnsi="Times New Roman" w:cs="Times New Roman"/>
                <w:color w:val="auto"/>
                <w:sz w:val="24"/>
                <w:szCs w:val="24"/>
                <w:highlight w:val="none"/>
                <w:u w:val="none"/>
                <w:lang w:val="en-US" w:eastAsia="zh-CN"/>
              </w:rPr>
              <w:t>kg/h，废气为无组织排放。</w:t>
            </w:r>
          </w:p>
          <w:p w14:paraId="2C09F852">
            <w:pPr>
              <w:spacing w:line="360" w:lineRule="auto"/>
              <w:ind w:firstLine="440" w:firstLineChars="200"/>
              <w:outlineLvl w:val="9"/>
              <w:rPr>
                <w:rFonts w:hint="default"/>
                <w:bCs/>
                <w:color w:val="auto"/>
                <w:spacing w:val="-10"/>
                <w:sz w:val="24"/>
                <w:szCs w:val="24"/>
                <w:lang w:val="en-US" w:eastAsia="zh-CN"/>
              </w:rPr>
            </w:pPr>
            <w:r>
              <w:rPr>
                <w:rFonts w:hint="eastAsia"/>
                <w:bCs/>
                <w:color w:val="auto"/>
                <w:spacing w:val="-10"/>
                <w:sz w:val="24"/>
                <w:szCs w:val="24"/>
                <w:lang w:val="en-US" w:eastAsia="zh-CN"/>
              </w:rPr>
              <w:t>（2）</w:t>
            </w:r>
            <w:r>
              <w:rPr>
                <w:rFonts w:hint="default"/>
                <w:bCs/>
                <w:color w:val="auto"/>
                <w:spacing w:val="-10"/>
                <w:sz w:val="24"/>
                <w:szCs w:val="24"/>
                <w:lang w:val="en-US" w:eastAsia="zh-CN"/>
              </w:rPr>
              <w:t>珍珠岩</w:t>
            </w:r>
            <w:r>
              <w:rPr>
                <w:rFonts w:hint="eastAsia"/>
                <w:bCs/>
                <w:color w:val="auto"/>
                <w:spacing w:val="-10"/>
                <w:sz w:val="24"/>
                <w:szCs w:val="24"/>
                <w:lang w:val="en-US" w:eastAsia="zh-CN"/>
              </w:rPr>
              <w:t>上料粉尘</w:t>
            </w:r>
          </w:p>
          <w:p w14:paraId="1A47C7D9">
            <w:pPr>
              <w:spacing w:line="360" w:lineRule="auto"/>
              <w:ind w:firstLine="480" w:firstLineChars="200"/>
              <w:outlineLvl w:val="9"/>
              <w:rPr>
                <w:rFonts w:hint="default" w:ascii="Times New Roman" w:hAnsi="Times New Roman" w:cs="Times New Roman" w:eastAsiaTheme="minorEastAsia"/>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本项目珍珠岩通过</w:t>
            </w:r>
            <w:r>
              <w:rPr>
                <w:rFonts w:hint="default" w:ascii="Times New Roman" w:hAnsi="Times New Roman" w:cs="Times New Roman" w:eastAsiaTheme="minorEastAsia"/>
                <w:color w:val="auto"/>
                <w:sz w:val="24"/>
                <w:szCs w:val="24"/>
                <w:u w:val="none"/>
                <w:lang w:val="en-US" w:eastAsia="zh-CN"/>
              </w:rPr>
              <w:t>密闭螺旋输送系统输送，</w:t>
            </w:r>
            <w:r>
              <w:rPr>
                <w:rFonts w:hint="default" w:ascii="Times New Roman" w:hAnsi="Times New Roman" w:cs="Times New Roman"/>
                <w:color w:val="auto"/>
                <w:sz w:val="24"/>
                <w:szCs w:val="24"/>
                <w:highlight w:val="none"/>
                <w:u w:val="none"/>
                <w:lang w:val="en-US" w:eastAsia="zh-CN"/>
              </w:rPr>
              <w:t>上料过程会产生粉尘，</w:t>
            </w:r>
            <w:r>
              <w:rPr>
                <w:rFonts w:hint="default" w:ascii="Times New Roman" w:hAnsi="Times New Roman" w:cs="Times New Roman"/>
                <w:color w:val="auto"/>
                <w:sz w:val="24"/>
                <w:szCs w:val="24"/>
                <w:u w:val="none"/>
                <w:lang w:val="en-US" w:eastAsia="zh-CN"/>
              </w:rPr>
              <w:t>参照</w:t>
            </w:r>
            <w:r>
              <w:rPr>
                <w:rFonts w:hint="default" w:ascii="Times New Roman" w:hAnsi="Times New Roman" w:cs="Times New Roman"/>
                <w:color w:val="auto"/>
                <w:sz w:val="24"/>
                <w:szCs w:val="24"/>
                <w:highlight w:val="none"/>
                <w:u w:val="none"/>
                <w:lang w:val="en-US" w:eastAsia="zh-CN"/>
              </w:rPr>
              <w:t>《逸散性工业粉尘控制技术》中粒料的卸料产尘系数，粒料上料粉尘产生量按0.01kg/t-原料计，项目使用珍珠岩</w:t>
            </w:r>
            <w:r>
              <w:rPr>
                <w:rFonts w:hint="eastAsia" w:cs="Times New Roman"/>
                <w:color w:val="auto"/>
                <w:sz w:val="24"/>
                <w:szCs w:val="24"/>
                <w:highlight w:val="none"/>
                <w:u w:val="none"/>
                <w:lang w:val="en-US" w:eastAsia="zh-CN"/>
              </w:rPr>
              <w:t>246.7</w:t>
            </w:r>
            <w:r>
              <w:rPr>
                <w:rFonts w:hint="default" w:ascii="Times New Roman" w:hAnsi="Times New Roman" w:cs="Times New Roman"/>
                <w:color w:val="auto"/>
                <w:sz w:val="24"/>
                <w:szCs w:val="24"/>
                <w:highlight w:val="none"/>
                <w:u w:val="none"/>
                <w:lang w:val="en-US" w:eastAsia="zh-CN"/>
              </w:rPr>
              <w:t>t/a，则粉尘产生量为0.00</w:t>
            </w:r>
            <w:r>
              <w:rPr>
                <w:rFonts w:hint="eastAsia" w:cs="Times New Roman"/>
                <w:color w:val="auto"/>
                <w:sz w:val="24"/>
                <w:szCs w:val="24"/>
                <w:highlight w:val="none"/>
                <w:u w:val="none"/>
                <w:lang w:val="en-US" w:eastAsia="zh-CN"/>
              </w:rPr>
              <w:t>25</w:t>
            </w:r>
            <w:r>
              <w:rPr>
                <w:rFonts w:hint="default" w:ascii="Times New Roman" w:hAnsi="Times New Roman" w:cs="Times New Roman"/>
                <w:color w:val="auto"/>
                <w:sz w:val="24"/>
                <w:szCs w:val="24"/>
                <w:highlight w:val="none"/>
                <w:u w:val="none"/>
                <w:lang w:val="en-US" w:eastAsia="zh-CN"/>
              </w:rPr>
              <w:t>t/a，以平均每班上料时间为</w:t>
            </w:r>
            <w:r>
              <w:rPr>
                <w:rFonts w:hint="eastAsia" w:ascii="Times New Roman" w:hAnsi="Times New Roman" w:cs="Times New Roman"/>
                <w:color w:val="auto"/>
                <w:sz w:val="24"/>
                <w:szCs w:val="24"/>
                <w:highlight w:val="none"/>
                <w:u w:val="none"/>
                <w:lang w:val="en-US" w:eastAsia="zh-CN"/>
              </w:rPr>
              <w:t>1</w:t>
            </w:r>
            <w:r>
              <w:rPr>
                <w:rFonts w:hint="default" w:ascii="Times New Roman" w:hAnsi="Times New Roman" w:cs="Times New Roman"/>
                <w:color w:val="auto"/>
                <w:sz w:val="24"/>
                <w:szCs w:val="24"/>
                <w:highlight w:val="none"/>
                <w:u w:val="none"/>
                <w:lang w:val="en-US" w:eastAsia="zh-CN"/>
              </w:rPr>
              <w:t>h</w:t>
            </w:r>
            <w:r>
              <w:rPr>
                <w:rFonts w:hint="eastAsia" w:ascii="Times New Roman" w:hAnsi="Times New Roman" w:cs="Times New Roman"/>
                <w:color w:val="auto"/>
                <w:sz w:val="24"/>
                <w:szCs w:val="24"/>
                <w:highlight w:val="none"/>
                <w:u w:val="none"/>
                <w:lang w:val="en-US" w:eastAsia="zh-CN"/>
              </w:rPr>
              <w:t>计</w:t>
            </w:r>
            <w:r>
              <w:rPr>
                <w:rFonts w:hint="default" w:ascii="Times New Roman" w:hAnsi="Times New Roman" w:cs="Times New Roman"/>
                <w:color w:val="auto"/>
                <w:sz w:val="24"/>
                <w:szCs w:val="24"/>
                <w:highlight w:val="none"/>
                <w:u w:val="none"/>
                <w:lang w:val="en-US" w:eastAsia="zh-CN"/>
              </w:rPr>
              <w:t>，则产生速率为0.0</w:t>
            </w:r>
            <w:r>
              <w:rPr>
                <w:rFonts w:hint="eastAsia" w:cs="Times New Roman"/>
                <w:color w:val="auto"/>
                <w:sz w:val="24"/>
                <w:szCs w:val="24"/>
                <w:highlight w:val="none"/>
                <w:u w:val="none"/>
                <w:lang w:val="en-US" w:eastAsia="zh-CN"/>
              </w:rPr>
              <w:t>099</w:t>
            </w:r>
            <w:r>
              <w:rPr>
                <w:rFonts w:hint="default" w:ascii="Times New Roman" w:hAnsi="Times New Roman" w:cs="Times New Roman"/>
                <w:color w:val="auto"/>
                <w:sz w:val="24"/>
                <w:szCs w:val="24"/>
                <w:highlight w:val="none"/>
                <w:u w:val="none"/>
                <w:lang w:val="en-US" w:eastAsia="zh-CN"/>
              </w:rPr>
              <w:t>kg/h，废气无组织排放。</w:t>
            </w:r>
          </w:p>
          <w:p w14:paraId="16D6BFB7">
            <w:pPr>
              <w:spacing w:line="360" w:lineRule="auto"/>
              <w:ind w:firstLine="480" w:firstLineChars="200"/>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上料、物料输送废气</w:t>
            </w:r>
          </w:p>
          <w:p w14:paraId="4BB22820">
            <w:pPr>
              <w:spacing w:line="360" w:lineRule="auto"/>
              <w:ind w:firstLine="480" w:firstLineChars="200"/>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lang w:val="en-US" w:eastAsia="zh-CN"/>
              </w:rPr>
              <w:t>本项目无油相融化和制备工序，直接采购复合油相成品使用，从密闭槽车上料输送至油相制备罐过程均为密闭连接，仅上料时储罐产生少量废气排放</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水相和油相乳化后的物料及敏化后半成品物料输送冷却过程产生少量废气排放。水相和油相经过前期的乳化及敏化过程，输送过程物料均为半固态，物料混合均匀且</w:t>
            </w:r>
            <w:r>
              <w:rPr>
                <w:rFonts w:hint="eastAsia" w:cs="Times New Roman"/>
                <w:color w:val="auto"/>
                <w:sz w:val="24"/>
                <w:szCs w:val="24"/>
                <w:lang w:val="en-US" w:eastAsia="zh-CN"/>
              </w:rPr>
              <w:t>黏滞性</w:t>
            </w:r>
            <w:r>
              <w:rPr>
                <w:rFonts w:hint="default" w:ascii="Times New Roman" w:hAnsi="Times New Roman" w:cs="Times New Roman"/>
                <w:color w:val="auto"/>
                <w:sz w:val="24"/>
                <w:szCs w:val="24"/>
                <w:lang w:val="en-US" w:eastAsia="zh-CN"/>
              </w:rPr>
              <w:t>较高，不发生流动，有一定的温度（平均为50-70</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），在输送过程中同时进行冷却降温，考虑安全的需要，输送过程敞开进行，物料产生少量挥发性有机废气排放，以非甲烷总烃计。</w:t>
            </w:r>
          </w:p>
          <w:p w14:paraId="43C2EDF9">
            <w:pPr>
              <w:spacing w:line="360" w:lineRule="auto"/>
              <w:ind w:firstLine="480" w:firstLineChars="200"/>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根据本项目原料成分和特点，营运期</w:t>
            </w:r>
            <w:r>
              <w:rPr>
                <w:rFonts w:hint="eastAsia" w:cs="Times New Roman"/>
                <w:color w:val="auto"/>
                <w:sz w:val="24"/>
                <w:szCs w:val="24"/>
                <w:highlight w:val="none"/>
                <w:lang w:val="en-US" w:eastAsia="zh-CN"/>
              </w:rPr>
              <w:t>上料、</w:t>
            </w:r>
            <w:r>
              <w:rPr>
                <w:rFonts w:hint="default" w:ascii="Times New Roman" w:hAnsi="Times New Roman" w:cs="Times New Roman"/>
                <w:color w:val="auto"/>
                <w:sz w:val="24"/>
                <w:szCs w:val="24"/>
                <w:highlight w:val="none"/>
                <w:lang w:val="en-US" w:eastAsia="zh-CN"/>
              </w:rPr>
              <w:t>物料输送产生的挥发性有机废气参照《排放源统计调查产排污核算方法和系数手册》中其它日用化学产品制造行业系数中使用石蜡/硬脂酸等生产蜡烛等类似产品生产过程中挥发性有机物产生系数130克/吨产品进行核算。本项目以涉VOC</w:t>
            </w:r>
            <w:r>
              <w:rPr>
                <w:rFonts w:hint="default" w:ascii="Times New Roman" w:hAnsi="Times New Roman" w:cs="Times New Roman"/>
                <w:color w:val="auto"/>
                <w:sz w:val="24"/>
                <w:szCs w:val="24"/>
                <w:highlight w:val="none"/>
                <w:vertAlign w:val="subscript"/>
                <w:lang w:val="en-US" w:eastAsia="zh-CN"/>
              </w:rPr>
              <w:t>S</w:t>
            </w:r>
            <w:r>
              <w:rPr>
                <w:rFonts w:hint="default" w:ascii="Times New Roman" w:hAnsi="Times New Roman" w:cs="Times New Roman"/>
                <w:color w:val="auto"/>
                <w:sz w:val="24"/>
                <w:szCs w:val="24"/>
                <w:highlight w:val="none"/>
                <w:lang w:val="en-US" w:eastAsia="zh-CN"/>
              </w:rPr>
              <w:t>物料复合油相年用量</w:t>
            </w:r>
            <w:r>
              <w:rPr>
                <w:rFonts w:hint="eastAsia" w:cs="Times New Roman"/>
                <w:color w:val="auto"/>
                <w:sz w:val="24"/>
                <w:szCs w:val="24"/>
                <w:highlight w:val="none"/>
                <w:lang w:val="en-US" w:eastAsia="zh-CN"/>
              </w:rPr>
              <w:t>326</w:t>
            </w:r>
            <w:r>
              <w:rPr>
                <w:rFonts w:hint="default" w:ascii="Times New Roman" w:hAnsi="Times New Roman" w:cs="Times New Roman"/>
                <w:color w:val="auto"/>
                <w:sz w:val="24"/>
                <w:szCs w:val="24"/>
                <w:highlight w:val="none"/>
                <w:lang w:val="en-US" w:eastAsia="zh-CN"/>
              </w:rPr>
              <w:t>t/a为基础进行核算，则VOCs产生量为</w:t>
            </w:r>
            <w:r>
              <w:rPr>
                <w:rFonts w:hint="eastAsia" w:cs="Times New Roman"/>
                <w:color w:val="auto"/>
                <w:sz w:val="24"/>
                <w:szCs w:val="24"/>
                <w:highlight w:val="none"/>
                <w:lang w:val="en-US" w:eastAsia="zh-CN"/>
              </w:rPr>
              <w:t>0.0424</w:t>
            </w:r>
            <w:r>
              <w:rPr>
                <w:rFonts w:hint="default"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水油相制备工房复合油相上料过程</w:t>
            </w:r>
            <w:r>
              <w:rPr>
                <w:rFonts w:hint="default" w:ascii="Times New Roman" w:hAnsi="Times New Roman" w:cs="Times New Roman"/>
                <w:color w:val="auto"/>
                <w:sz w:val="24"/>
                <w:szCs w:val="24"/>
                <w:highlight w:val="none"/>
                <w:lang w:val="en-US" w:eastAsia="zh-CN"/>
              </w:rPr>
              <w:t>VOCs产生量</w:t>
            </w:r>
            <w:r>
              <w:rPr>
                <w:rFonts w:hint="eastAsia" w:cs="Times New Roman"/>
                <w:color w:val="auto"/>
                <w:sz w:val="24"/>
                <w:szCs w:val="24"/>
                <w:highlight w:val="none"/>
                <w:lang w:val="en-US" w:eastAsia="zh-CN"/>
              </w:rPr>
              <w:t>按20%计，</w:t>
            </w:r>
            <w:r>
              <w:rPr>
                <w:rFonts w:hint="default" w:ascii="Times New Roman" w:hAnsi="Times New Roman" w:cs="Times New Roman"/>
                <w:color w:val="auto"/>
                <w:sz w:val="24"/>
                <w:szCs w:val="24"/>
                <w:highlight w:val="none"/>
                <w:lang w:val="en-US" w:eastAsia="zh-CN"/>
              </w:rPr>
              <w:t>VOCs产生量</w:t>
            </w:r>
            <w:r>
              <w:rPr>
                <w:rFonts w:hint="eastAsia" w:cs="Times New Roman"/>
                <w:color w:val="auto"/>
                <w:sz w:val="24"/>
                <w:szCs w:val="24"/>
                <w:highlight w:val="none"/>
                <w:lang w:val="en-US" w:eastAsia="zh-CN"/>
              </w:rPr>
              <w:t>为0.0085</w:t>
            </w:r>
            <w:r>
              <w:rPr>
                <w:rFonts w:hint="default"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vertAlign w:val="baseline"/>
                <w:lang w:val="en-US" w:eastAsia="zh-CN"/>
              </w:rPr>
              <w:t>上料时间以每班0.5h计，则</w:t>
            </w:r>
            <w:r>
              <w:rPr>
                <w:rFonts w:hint="eastAsia" w:ascii="Times New Roman" w:hAnsi="Times New Roman" w:cs="Times New Roman"/>
                <w:color w:val="auto"/>
                <w:sz w:val="24"/>
                <w:szCs w:val="24"/>
                <w:highlight w:val="none"/>
                <w:vertAlign w:val="baseline"/>
                <w:lang w:val="en-US" w:eastAsia="zh-CN"/>
              </w:rPr>
              <w:t>产生</w:t>
            </w:r>
            <w:r>
              <w:rPr>
                <w:rFonts w:hint="default" w:ascii="Times New Roman" w:hAnsi="Times New Roman" w:cs="Times New Roman"/>
                <w:color w:val="auto"/>
                <w:sz w:val="24"/>
                <w:szCs w:val="24"/>
                <w:highlight w:val="none"/>
                <w:vertAlign w:val="baseline"/>
                <w:lang w:val="en-US" w:eastAsia="zh-CN"/>
              </w:rPr>
              <w:t>速率为</w:t>
            </w:r>
            <w:r>
              <w:rPr>
                <w:rFonts w:hint="eastAsia" w:cs="Times New Roman"/>
                <w:color w:val="auto"/>
                <w:sz w:val="24"/>
                <w:szCs w:val="24"/>
                <w:highlight w:val="none"/>
                <w:vertAlign w:val="baseline"/>
                <w:lang w:val="en-US" w:eastAsia="zh-CN"/>
              </w:rPr>
              <w:t>0.0680</w:t>
            </w:r>
            <w:r>
              <w:rPr>
                <w:rFonts w:hint="default" w:ascii="Times New Roman" w:hAnsi="Times New Roman" w:cs="Times New Roman"/>
                <w:color w:val="auto"/>
                <w:sz w:val="24"/>
                <w:szCs w:val="24"/>
                <w:highlight w:val="none"/>
                <w:vertAlign w:val="baseline"/>
                <w:lang w:val="en-US" w:eastAsia="zh-CN"/>
              </w:rPr>
              <w:t>kg/h，为无组织排放</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乳化炸药震源药柱生产工房</w:t>
            </w:r>
            <w:r>
              <w:rPr>
                <w:rFonts w:hint="default" w:ascii="Times New Roman" w:hAnsi="Times New Roman" w:cs="Times New Roman"/>
                <w:color w:val="auto"/>
                <w:sz w:val="24"/>
                <w:szCs w:val="24"/>
                <w:highlight w:val="none"/>
                <w:lang w:val="en-US" w:eastAsia="zh-CN"/>
              </w:rPr>
              <w:t>钢带冷却和散料皮带输送</w:t>
            </w:r>
            <w:r>
              <w:rPr>
                <w:rFonts w:hint="eastAsia" w:cs="Times New Roman"/>
                <w:color w:val="auto"/>
                <w:sz w:val="24"/>
                <w:szCs w:val="24"/>
                <w:highlight w:val="none"/>
                <w:lang w:val="en-US" w:eastAsia="zh-CN"/>
              </w:rPr>
              <w:t>过程</w:t>
            </w:r>
            <w:r>
              <w:rPr>
                <w:rFonts w:hint="default" w:ascii="Times New Roman" w:hAnsi="Times New Roman" w:cs="Times New Roman"/>
                <w:color w:val="auto"/>
                <w:sz w:val="24"/>
                <w:szCs w:val="24"/>
                <w:highlight w:val="none"/>
                <w:lang w:val="en-US" w:eastAsia="zh-CN"/>
              </w:rPr>
              <w:t>VOCs产生量</w:t>
            </w:r>
            <w:r>
              <w:rPr>
                <w:rFonts w:hint="eastAsia" w:cs="Times New Roman"/>
                <w:color w:val="auto"/>
                <w:sz w:val="24"/>
                <w:szCs w:val="24"/>
                <w:highlight w:val="none"/>
                <w:lang w:val="en-US" w:eastAsia="zh-CN"/>
              </w:rPr>
              <w:t>按80%计，</w:t>
            </w:r>
            <w:r>
              <w:rPr>
                <w:rFonts w:hint="default" w:ascii="Times New Roman" w:hAnsi="Times New Roman" w:cs="Times New Roman"/>
                <w:color w:val="auto"/>
                <w:sz w:val="24"/>
                <w:szCs w:val="24"/>
                <w:highlight w:val="none"/>
                <w:lang w:val="en-US" w:eastAsia="zh-CN"/>
              </w:rPr>
              <w:t>VOCs产生量</w:t>
            </w:r>
            <w:r>
              <w:rPr>
                <w:rFonts w:hint="eastAsia" w:cs="Times New Roman"/>
                <w:color w:val="auto"/>
                <w:sz w:val="24"/>
                <w:szCs w:val="24"/>
                <w:highlight w:val="none"/>
                <w:lang w:val="en-US" w:eastAsia="zh-CN"/>
              </w:rPr>
              <w:t>为0.0339</w:t>
            </w:r>
            <w:r>
              <w:rPr>
                <w:rFonts w:hint="default"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年运行1875h，则产生速率为</w:t>
            </w:r>
            <w:r>
              <w:rPr>
                <w:rFonts w:hint="eastAsia" w:cs="Times New Roman"/>
                <w:color w:val="auto"/>
                <w:sz w:val="24"/>
                <w:szCs w:val="24"/>
                <w:highlight w:val="none"/>
                <w:lang w:val="en-US" w:eastAsia="zh-CN"/>
              </w:rPr>
              <w:t>0.0181</w:t>
            </w:r>
            <w:r>
              <w:rPr>
                <w:rFonts w:hint="default" w:ascii="Times New Roman" w:hAnsi="Times New Roman" w:cs="Times New Roman"/>
                <w:color w:val="auto"/>
                <w:sz w:val="24"/>
                <w:szCs w:val="24"/>
                <w:highlight w:val="none"/>
                <w:vertAlign w:val="baseline"/>
                <w:lang w:val="en-US" w:eastAsia="zh-CN"/>
              </w:rPr>
              <w:t>k</w:t>
            </w:r>
            <w:r>
              <w:rPr>
                <w:rFonts w:hint="default" w:ascii="Times New Roman" w:hAnsi="Times New Roman" w:cs="Times New Roman"/>
                <w:color w:val="auto"/>
                <w:sz w:val="24"/>
                <w:szCs w:val="24"/>
                <w:highlight w:val="none"/>
                <w:lang w:val="en-US" w:eastAsia="zh-CN"/>
              </w:rPr>
              <w:t>g/h，为无组织排放。</w:t>
            </w:r>
          </w:p>
          <w:p w14:paraId="78C66C9A">
            <w:pPr>
              <w:numPr>
                <w:ilvl w:val="0"/>
                <w:numId w:val="0"/>
              </w:numPr>
              <w:spacing w:line="360" w:lineRule="auto"/>
              <w:ind w:leftChars="200"/>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（4）喷码废气</w:t>
            </w:r>
          </w:p>
          <w:p w14:paraId="2A5EF42B">
            <w:pPr>
              <w:spacing w:line="360" w:lineRule="auto"/>
              <w:ind w:firstLine="480" w:firstLineChars="200"/>
              <w:outlineLvl w:val="9"/>
              <w:rPr>
                <w:rFonts w:hint="default" w:ascii="宋体" w:hAnsi="宋体" w:eastAsia="宋体" w:cs="宋体"/>
                <w:color w:val="auto"/>
                <w:sz w:val="24"/>
                <w:szCs w:val="24"/>
                <w:lang w:val="en-US" w:eastAsia="zh-CN"/>
              </w:rPr>
            </w:pPr>
            <w:r>
              <w:rPr>
                <w:rFonts w:ascii="宋体" w:hAnsi="宋体" w:eastAsia="宋体" w:cs="宋体"/>
                <w:color w:val="auto"/>
                <w:sz w:val="24"/>
                <w:szCs w:val="24"/>
              </w:rPr>
              <w:t>本项目喷码</w:t>
            </w:r>
            <w:r>
              <w:rPr>
                <w:rFonts w:hint="eastAsia" w:ascii="宋体" w:hAnsi="宋体" w:eastAsia="宋体" w:cs="宋体"/>
                <w:color w:val="auto"/>
                <w:sz w:val="24"/>
                <w:szCs w:val="24"/>
                <w:lang w:val="en-US" w:eastAsia="zh-CN"/>
              </w:rPr>
              <w:t>工序</w:t>
            </w:r>
            <w:r>
              <w:rPr>
                <w:rFonts w:ascii="宋体" w:hAnsi="宋体" w:eastAsia="宋体" w:cs="宋体"/>
                <w:color w:val="auto"/>
                <w:sz w:val="24"/>
                <w:szCs w:val="24"/>
              </w:rPr>
              <w:t>是在常温常压下进行的，油墨和添加剂无需调配，喷码机自动调配（配比约为1:2），油墨挥发较少。本项目喷码工序年使用油墨0.00</w:t>
            </w:r>
            <w:r>
              <w:rPr>
                <w:rFonts w:hint="eastAsia" w:ascii="宋体" w:hAnsi="宋体" w:eastAsia="宋体" w:cs="宋体"/>
                <w:color w:val="auto"/>
                <w:sz w:val="24"/>
                <w:szCs w:val="24"/>
                <w:lang w:val="en-US" w:eastAsia="zh-CN"/>
              </w:rPr>
              <w:t>4</w:t>
            </w:r>
            <w:r>
              <w:rPr>
                <w:rFonts w:ascii="宋体" w:hAnsi="宋体" w:eastAsia="宋体" w:cs="宋体"/>
                <w:color w:val="auto"/>
                <w:sz w:val="24"/>
                <w:szCs w:val="24"/>
              </w:rPr>
              <w:t>t/a，油墨添加剂0.</w:t>
            </w:r>
            <w:r>
              <w:rPr>
                <w:rFonts w:hint="eastAsia" w:ascii="宋体" w:hAnsi="宋体" w:eastAsia="宋体" w:cs="宋体"/>
                <w:color w:val="auto"/>
                <w:sz w:val="24"/>
                <w:szCs w:val="24"/>
                <w:lang w:val="en-US" w:eastAsia="zh-CN"/>
              </w:rPr>
              <w:t>008</w:t>
            </w:r>
            <w:r>
              <w:rPr>
                <w:rFonts w:ascii="宋体" w:hAnsi="宋体" w:eastAsia="宋体" w:cs="宋体"/>
                <w:color w:val="auto"/>
                <w:sz w:val="24"/>
                <w:szCs w:val="24"/>
              </w:rPr>
              <w:t>t/a，根据企业提供的油墨VOCs检测报告可知，本项目使用油墨和添加剂不含有禁用成分，油墨中VOCs含量为71.9%；油墨添加剂中VOCs含量为807g/L，本环评以最不利情况（即在</w:t>
            </w:r>
            <w:r>
              <w:rPr>
                <w:rFonts w:hint="eastAsia" w:ascii="宋体" w:hAnsi="宋体" w:eastAsia="宋体" w:cs="宋体"/>
                <w:color w:val="auto"/>
                <w:sz w:val="24"/>
                <w:szCs w:val="24"/>
                <w:lang w:val="en-US" w:eastAsia="zh-CN"/>
              </w:rPr>
              <w:t>喷码</w:t>
            </w:r>
            <w:r>
              <w:rPr>
                <w:rFonts w:ascii="宋体" w:hAnsi="宋体" w:eastAsia="宋体" w:cs="宋体"/>
                <w:color w:val="auto"/>
                <w:sz w:val="24"/>
                <w:szCs w:val="24"/>
              </w:rPr>
              <w:t>过程中全部挥发）计，则喷码过程中的VOCs（以非甲烷总烃计）产生量合计为</w:t>
            </w:r>
            <w:r>
              <w:rPr>
                <w:rFonts w:hint="eastAsia" w:ascii="宋体" w:hAnsi="宋体" w:eastAsia="宋体" w:cs="宋体"/>
                <w:color w:val="auto"/>
                <w:sz w:val="24"/>
                <w:szCs w:val="24"/>
                <w:lang w:val="en-US" w:eastAsia="zh-CN"/>
              </w:rPr>
              <w:t>0.0104</w:t>
            </w:r>
            <w:r>
              <w:rPr>
                <w:rFonts w:ascii="宋体" w:hAnsi="宋体" w:eastAsia="宋体" w:cs="宋体"/>
                <w:color w:val="auto"/>
                <w:sz w:val="24"/>
                <w:szCs w:val="24"/>
              </w:rPr>
              <w:t>t/a</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年运行</w:t>
            </w:r>
            <w:r>
              <w:rPr>
                <w:rFonts w:hint="default" w:ascii="Times New Roman" w:hAnsi="Times New Roman" w:cs="Times New Roman"/>
                <w:color w:val="auto"/>
                <w:sz w:val="24"/>
                <w:szCs w:val="24"/>
                <w:highlight w:val="none"/>
                <w:lang w:val="en-US" w:eastAsia="zh-CN"/>
              </w:rPr>
              <w:t>1875h，则产生速率为</w:t>
            </w:r>
            <w:r>
              <w:rPr>
                <w:rFonts w:hint="eastAsia" w:cs="Times New Roman"/>
                <w:color w:val="auto"/>
                <w:sz w:val="24"/>
                <w:szCs w:val="24"/>
                <w:highlight w:val="none"/>
                <w:lang w:val="en-US" w:eastAsia="zh-CN"/>
              </w:rPr>
              <w:t>0.0055k</w:t>
            </w:r>
            <w:r>
              <w:rPr>
                <w:rFonts w:hint="default" w:ascii="Times New Roman" w:hAnsi="Times New Roman" w:cs="Times New Roman"/>
                <w:color w:val="auto"/>
                <w:sz w:val="24"/>
                <w:szCs w:val="24"/>
                <w:highlight w:val="none"/>
                <w:lang w:val="en-US" w:eastAsia="zh-CN"/>
              </w:rPr>
              <w:t>g/h，为无组织排放。</w:t>
            </w:r>
          </w:p>
          <w:p w14:paraId="10BE9A21">
            <w:pPr>
              <w:adjustRightInd w:val="0"/>
              <w:snapToGrid w:val="0"/>
              <w:jc w:val="center"/>
              <w:outlineLvl w:val="9"/>
              <w:rPr>
                <w:b/>
                <w:color w:val="auto"/>
                <w:kern w:val="0"/>
                <w:szCs w:val="21"/>
              </w:rPr>
            </w:pPr>
            <w:r>
              <w:rPr>
                <w:b/>
                <w:color w:val="auto"/>
                <w:kern w:val="0"/>
                <w:szCs w:val="21"/>
              </w:rPr>
              <w:t>表4-1  废气源强一览表</w:t>
            </w:r>
          </w:p>
          <w:tbl>
            <w:tblPr>
              <w:tblStyle w:val="32"/>
              <w:tblW w:w="498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Layout w:type="autofit"/>
              <w:tblCellMar>
                <w:top w:w="0" w:type="dxa"/>
                <w:left w:w="108" w:type="dxa"/>
                <w:bottom w:w="0" w:type="dxa"/>
                <w:right w:w="108" w:type="dxa"/>
              </w:tblCellMar>
            </w:tblPr>
            <w:tblGrid>
              <w:gridCol w:w="701"/>
              <w:gridCol w:w="757"/>
              <w:gridCol w:w="691"/>
              <w:gridCol w:w="892"/>
              <w:gridCol w:w="907"/>
              <w:gridCol w:w="816"/>
              <w:gridCol w:w="723"/>
              <w:gridCol w:w="840"/>
              <w:gridCol w:w="653"/>
              <w:gridCol w:w="716"/>
              <w:gridCol w:w="872"/>
              <w:gridCol w:w="872"/>
              <w:gridCol w:w="800"/>
              <w:gridCol w:w="636"/>
              <w:gridCol w:w="788"/>
            </w:tblGrid>
            <w:tr w14:paraId="3B52823F">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302" w:type="pct"/>
                  <w:vMerge w:val="restart"/>
                  <w:tcBorders>
                    <w:tl2br w:val="nil"/>
                    <w:tr2bl w:val="nil"/>
                  </w:tcBorders>
                  <w:vAlign w:val="center"/>
                </w:tcPr>
                <w:p w14:paraId="3E4E5244">
                  <w:pPr>
                    <w:adjustRightInd w:val="0"/>
                    <w:snapToGrid w:val="0"/>
                    <w:jc w:val="center"/>
                    <w:outlineLvl w:val="9"/>
                    <w:rPr>
                      <w:b/>
                      <w:color w:val="auto"/>
                      <w:spacing w:val="-10"/>
                      <w:sz w:val="21"/>
                      <w:szCs w:val="21"/>
                    </w:rPr>
                  </w:pPr>
                  <w:r>
                    <w:rPr>
                      <w:b/>
                      <w:color w:val="auto"/>
                      <w:spacing w:val="-10"/>
                      <w:sz w:val="21"/>
                      <w:szCs w:val="21"/>
                    </w:rPr>
                    <w:t>产污环节</w:t>
                  </w:r>
                </w:p>
              </w:tc>
              <w:tc>
                <w:tcPr>
                  <w:tcW w:w="326" w:type="pct"/>
                  <w:vMerge w:val="restart"/>
                  <w:tcBorders>
                    <w:tl2br w:val="nil"/>
                    <w:tr2bl w:val="nil"/>
                  </w:tcBorders>
                  <w:vAlign w:val="center"/>
                </w:tcPr>
                <w:p w14:paraId="75205F0B">
                  <w:pPr>
                    <w:adjustRightInd w:val="0"/>
                    <w:snapToGrid w:val="0"/>
                    <w:jc w:val="center"/>
                    <w:outlineLvl w:val="9"/>
                    <w:rPr>
                      <w:b/>
                      <w:color w:val="auto"/>
                      <w:spacing w:val="-10"/>
                      <w:sz w:val="21"/>
                      <w:szCs w:val="21"/>
                    </w:rPr>
                  </w:pPr>
                  <w:r>
                    <w:rPr>
                      <w:b/>
                      <w:color w:val="auto"/>
                      <w:spacing w:val="-10"/>
                      <w:sz w:val="21"/>
                      <w:szCs w:val="21"/>
                    </w:rPr>
                    <w:t>污染物种类</w:t>
                  </w:r>
                </w:p>
              </w:tc>
              <w:tc>
                <w:tcPr>
                  <w:tcW w:w="298" w:type="pct"/>
                  <w:vMerge w:val="restart"/>
                  <w:tcBorders>
                    <w:tl2br w:val="nil"/>
                    <w:tr2bl w:val="nil"/>
                  </w:tcBorders>
                  <w:vAlign w:val="center"/>
                </w:tcPr>
                <w:p w14:paraId="56975593">
                  <w:pPr>
                    <w:adjustRightInd w:val="0"/>
                    <w:snapToGrid w:val="0"/>
                    <w:jc w:val="center"/>
                    <w:outlineLvl w:val="9"/>
                    <w:rPr>
                      <w:b/>
                      <w:color w:val="auto"/>
                      <w:spacing w:val="-10"/>
                      <w:sz w:val="21"/>
                      <w:szCs w:val="21"/>
                    </w:rPr>
                  </w:pPr>
                  <w:r>
                    <w:rPr>
                      <w:b/>
                      <w:color w:val="auto"/>
                      <w:spacing w:val="-10"/>
                      <w:sz w:val="21"/>
                      <w:szCs w:val="21"/>
                    </w:rPr>
                    <w:t>排放形式</w:t>
                  </w:r>
                </w:p>
              </w:tc>
              <w:tc>
                <w:tcPr>
                  <w:tcW w:w="1125" w:type="pct"/>
                  <w:gridSpan w:val="3"/>
                  <w:tcBorders>
                    <w:tl2br w:val="nil"/>
                    <w:tr2bl w:val="nil"/>
                  </w:tcBorders>
                  <w:vAlign w:val="center"/>
                </w:tcPr>
                <w:p w14:paraId="3642902C">
                  <w:pPr>
                    <w:adjustRightInd w:val="0"/>
                    <w:snapToGrid w:val="0"/>
                    <w:jc w:val="center"/>
                    <w:outlineLvl w:val="9"/>
                    <w:rPr>
                      <w:b/>
                      <w:color w:val="auto"/>
                      <w:spacing w:val="-10"/>
                      <w:sz w:val="21"/>
                      <w:szCs w:val="21"/>
                    </w:rPr>
                  </w:pPr>
                  <w:r>
                    <w:rPr>
                      <w:b/>
                      <w:color w:val="auto"/>
                      <w:spacing w:val="-10"/>
                      <w:sz w:val="21"/>
                      <w:szCs w:val="21"/>
                    </w:rPr>
                    <w:t>污染物产生</w:t>
                  </w:r>
                </w:p>
              </w:tc>
              <w:tc>
                <w:tcPr>
                  <w:tcW w:w="1261" w:type="pct"/>
                  <w:gridSpan w:val="4"/>
                  <w:tcBorders>
                    <w:tl2br w:val="nil"/>
                    <w:tr2bl w:val="nil"/>
                  </w:tcBorders>
                  <w:vAlign w:val="center"/>
                </w:tcPr>
                <w:p w14:paraId="2B51EED3">
                  <w:pPr>
                    <w:adjustRightInd w:val="0"/>
                    <w:snapToGrid w:val="0"/>
                    <w:jc w:val="center"/>
                    <w:outlineLvl w:val="9"/>
                    <w:rPr>
                      <w:b/>
                      <w:color w:val="auto"/>
                      <w:spacing w:val="-10"/>
                      <w:sz w:val="21"/>
                      <w:szCs w:val="21"/>
                    </w:rPr>
                  </w:pPr>
                  <w:r>
                    <w:rPr>
                      <w:b/>
                      <w:color w:val="auto"/>
                      <w:spacing w:val="-10"/>
                      <w:sz w:val="21"/>
                      <w:szCs w:val="21"/>
                    </w:rPr>
                    <w:t>治理设施</w:t>
                  </w:r>
                </w:p>
              </w:tc>
              <w:tc>
                <w:tcPr>
                  <w:tcW w:w="1094" w:type="pct"/>
                  <w:gridSpan w:val="3"/>
                  <w:tcBorders>
                    <w:tl2br w:val="nil"/>
                    <w:tr2bl w:val="nil"/>
                  </w:tcBorders>
                  <w:vAlign w:val="center"/>
                </w:tcPr>
                <w:p w14:paraId="729EEAE2">
                  <w:pPr>
                    <w:adjustRightInd w:val="0"/>
                    <w:snapToGrid w:val="0"/>
                    <w:jc w:val="center"/>
                    <w:outlineLvl w:val="9"/>
                    <w:rPr>
                      <w:b/>
                      <w:color w:val="auto"/>
                      <w:spacing w:val="-10"/>
                      <w:sz w:val="21"/>
                      <w:szCs w:val="21"/>
                    </w:rPr>
                  </w:pPr>
                  <w:r>
                    <w:rPr>
                      <w:b/>
                      <w:color w:val="auto"/>
                      <w:spacing w:val="-10"/>
                      <w:sz w:val="21"/>
                      <w:szCs w:val="21"/>
                    </w:rPr>
                    <w:t>污染物排放</w:t>
                  </w:r>
                </w:p>
              </w:tc>
              <w:tc>
                <w:tcPr>
                  <w:tcW w:w="253" w:type="pct"/>
                  <w:vMerge w:val="restart"/>
                  <w:tcBorders>
                    <w:tl2br w:val="nil"/>
                    <w:tr2bl w:val="nil"/>
                  </w:tcBorders>
                  <w:vAlign w:val="center"/>
                </w:tcPr>
                <w:p w14:paraId="39695A3C">
                  <w:pPr>
                    <w:adjustRightInd w:val="0"/>
                    <w:snapToGrid w:val="0"/>
                    <w:jc w:val="center"/>
                    <w:outlineLvl w:val="9"/>
                    <w:rPr>
                      <w:bCs/>
                      <w:color w:val="auto"/>
                      <w:spacing w:val="-10"/>
                      <w:sz w:val="21"/>
                      <w:szCs w:val="21"/>
                    </w:rPr>
                  </w:pPr>
                  <w:r>
                    <w:rPr>
                      <w:b/>
                      <w:color w:val="auto"/>
                      <w:spacing w:val="-10"/>
                      <w:sz w:val="21"/>
                      <w:szCs w:val="21"/>
                    </w:rPr>
                    <w:t>排放时间/h</w:t>
                  </w:r>
                </w:p>
              </w:tc>
              <w:tc>
                <w:tcPr>
                  <w:tcW w:w="339" w:type="pct"/>
                  <w:vMerge w:val="restart"/>
                  <w:tcBorders>
                    <w:tl2br w:val="nil"/>
                    <w:tr2bl w:val="nil"/>
                  </w:tcBorders>
                  <w:vAlign w:val="center"/>
                </w:tcPr>
                <w:p w14:paraId="0A4DECF9">
                  <w:pPr>
                    <w:adjustRightInd w:val="0"/>
                    <w:snapToGrid w:val="0"/>
                    <w:jc w:val="center"/>
                    <w:outlineLvl w:val="9"/>
                    <w:rPr>
                      <w:bCs/>
                      <w:color w:val="auto"/>
                      <w:spacing w:val="-10"/>
                      <w:sz w:val="21"/>
                      <w:szCs w:val="21"/>
                    </w:rPr>
                  </w:pPr>
                  <w:r>
                    <w:rPr>
                      <w:b/>
                      <w:color w:val="auto"/>
                      <w:spacing w:val="-10"/>
                      <w:sz w:val="21"/>
                      <w:szCs w:val="21"/>
                    </w:rPr>
                    <w:t>排放口编号</w:t>
                  </w:r>
                </w:p>
              </w:tc>
            </w:tr>
            <w:tr w14:paraId="47470680">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302" w:type="pct"/>
                  <w:vMerge w:val="continue"/>
                  <w:tcBorders>
                    <w:tl2br w:val="nil"/>
                    <w:tr2bl w:val="nil"/>
                  </w:tcBorders>
                  <w:vAlign w:val="center"/>
                </w:tcPr>
                <w:p w14:paraId="5954EE73">
                  <w:pPr>
                    <w:adjustRightInd w:val="0"/>
                    <w:snapToGrid w:val="0"/>
                    <w:jc w:val="center"/>
                    <w:outlineLvl w:val="9"/>
                    <w:rPr>
                      <w:bCs/>
                      <w:color w:val="auto"/>
                      <w:spacing w:val="-10"/>
                      <w:sz w:val="21"/>
                      <w:szCs w:val="21"/>
                    </w:rPr>
                  </w:pPr>
                </w:p>
              </w:tc>
              <w:tc>
                <w:tcPr>
                  <w:tcW w:w="326" w:type="pct"/>
                  <w:vMerge w:val="continue"/>
                  <w:tcBorders>
                    <w:tl2br w:val="nil"/>
                    <w:tr2bl w:val="nil"/>
                  </w:tcBorders>
                  <w:vAlign w:val="center"/>
                </w:tcPr>
                <w:p w14:paraId="6C5DDB4C">
                  <w:pPr>
                    <w:adjustRightInd w:val="0"/>
                    <w:snapToGrid w:val="0"/>
                    <w:jc w:val="center"/>
                    <w:outlineLvl w:val="9"/>
                    <w:rPr>
                      <w:bCs/>
                      <w:color w:val="auto"/>
                      <w:spacing w:val="-10"/>
                      <w:sz w:val="21"/>
                      <w:szCs w:val="21"/>
                    </w:rPr>
                  </w:pPr>
                </w:p>
              </w:tc>
              <w:tc>
                <w:tcPr>
                  <w:tcW w:w="298" w:type="pct"/>
                  <w:vMerge w:val="continue"/>
                  <w:tcBorders>
                    <w:tl2br w:val="nil"/>
                    <w:tr2bl w:val="nil"/>
                  </w:tcBorders>
                  <w:vAlign w:val="center"/>
                </w:tcPr>
                <w:p w14:paraId="4ED50089">
                  <w:pPr>
                    <w:adjustRightInd w:val="0"/>
                    <w:snapToGrid w:val="0"/>
                    <w:jc w:val="center"/>
                    <w:outlineLvl w:val="9"/>
                    <w:rPr>
                      <w:bCs/>
                      <w:color w:val="auto"/>
                      <w:spacing w:val="-10"/>
                      <w:sz w:val="21"/>
                      <w:szCs w:val="21"/>
                    </w:rPr>
                  </w:pPr>
                </w:p>
              </w:tc>
              <w:tc>
                <w:tcPr>
                  <w:tcW w:w="384" w:type="pct"/>
                  <w:tcBorders>
                    <w:tl2br w:val="nil"/>
                    <w:tr2bl w:val="nil"/>
                  </w:tcBorders>
                  <w:vAlign w:val="center"/>
                </w:tcPr>
                <w:p w14:paraId="5D559C5D">
                  <w:pPr>
                    <w:adjustRightInd w:val="0"/>
                    <w:snapToGrid w:val="0"/>
                    <w:jc w:val="center"/>
                    <w:outlineLvl w:val="9"/>
                    <w:rPr>
                      <w:b/>
                      <w:color w:val="auto"/>
                      <w:spacing w:val="-10"/>
                      <w:sz w:val="21"/>
                      <w:szCs w:val="21"/>
                    </w:rPr>
                  </w:pPr>
                  <w:r>
                    <w:rPr>
                      <w:b/>
                      <w:color w:val="auto"/>
                      <w:spacing w:val="-10"/>
                      <w:sz w:val="21"/>
                      <w:szCs w:val="21"/>
                    </w:rPr>
                    <w:t>产生量t/a</w:t>
                  </w:r>
                </w:p>
              </w:tc>
              <w:tc>
                <w:tcPr>
                  <w:tcW w:w="390" w:type="pct"/>
                  <w:tcBorders>
                    <w:tl2br w:val="nil"/>
                    <w:tr2bl w:val="nil"/>
                  </w:tcBorders>
                  <w:vAlign w:val="center"/>
                </w:tcPr>
                <w:p w14:paraId="10AA3BA6">
                  <w:pPr>
                    <w:adjustRightInd w:val="0"/>
                    <w:snapToGrid w:val="0"/>
                    <w:jc w:val="center"/>
                    <w:outlineLvl w:val="9"/>
                    <w:rPr>
                      <w:b/>
                      <w:color w:val="auto"/>
                      <w:spacing w:val="-10"/>
                      <w:sz w:val="21"/>
                      <w:szCs w:val="21"/>
                    </w:rPr>
                  </w:pPr>
                  <w:r>
                    <w:rPr>
                      <w:b/>
                      <w:color w:val="auto"/>
                      <w:spacing w:val="-10"/>
                      <w:sz w:val="21"/>
                      <w:szCs w:val="21"/>
                    </w:rPr>
                    <w:t>产生速率kg/h</w:t>
                  </w:r>
                </w:p>
              </w:tc>
              <w:tc>
                <w:tcPr>
                  <w:tcW w:w="351" w:type="pct"/>
                  <w:tcBorders>
                    <w:tl2br w:val="nil"/>
                    <w:tr2bl w:val="nil"/>
                  </w:tcBorders>
                  <w:vAlign w:val="center"/>
                </w:tcPr>
                <w:p w14:paraId="4D40E82E">
                  <w:pPr>
                    <w:adjustRightInd w:val="0"/>
                    <w:snapToGrid w:val="0"/>
                    <w:jc w:val="center"/>
                    <w:outlineLvl w:val="9"/>
                    <w:rPr>
                      <w:b/>
                      <w:color w:val="auto"/>
                      <w:spacing w:val="-10"/>
                      <w:sz w:val="21"/>
                      <w:szCs w:val="21"/>
                    </w:rPr>
                  </w:pPr>
                  <w:r>
                    <w:rPr>
                      <w:b/>
                      <w:color w:val="auto"/>
                      <w:spacing w:val="-10"/>
                      <w:sz w:val="21"/>
                      <w:szCs w:val="21"/>
                    </w:rPr>
                    <w:t>产生浓度mg/m</w:t>
                  </w:r>
                  <w:r>
                    <w:rPr>
                      <w:b/>
                      <w:color w:val="auto"/>
                      <w:spacing w:val="-10"/>
                      <w:sz w:val="21"/>
                      <w:szCs w:val="21"/>
                      <w:vertAlign w:val="superscript"/>
                    </w:rPr>
                    <w:t>3</w:t>
                  </w:r>
                </w:p>
              </w:tc>
              <w:tc>
                <w:tcPr>
                  <w:tcW w:w="311" w:type="pct"/>
                  <w:tcBorders>
                    <w:tl2br w:val="nil"/>
                    <w:tr2bl w:val="nil"/>
                  </w:tcBorders>
                  <w:vAlign w:val="center"/>
                </w:tcPr>
                <w:p w14:paraId="371B595F">
                  <w:pPr>
                    <w:adjustRightInd w:val="0"/>
                    <w:snapToGrid w:val="0"/>
                    <w:jc w:val="center"/>
                    <w:outlineLvl w:val="9"/>
                    <w:rPr>
                      <w:b/>
                      <w:color w:val="auto"/>
                      <w:spacing w:val="-10"/>
                      <w:sz w:val="21"/>
                      <w:szCs w:val="21"/>
                    </w:rPr>
                  </w:pPr>
                  <w:r>
                    <w:rPr>
                      <w:b/>
                      <w:color w:val="auto"/>
                      <w:spacing w:val="-10"/>
                      <w:sz w:val="21"/>
                      <w:szCs w:val="21"/>
                    </w:rPr>
                    <w:t>治理工艺</w:t>
                  </w:r>
                </w:p>
              </w:tc>
              <w:tc>
                <w:tcPr>
                  <w:tcW w:w="361" w:type="pct"/>
                  <w:tcBorders>
                    <w:tl2br w:val="nil"/>
                    <w:tr2bl w:val="nil"/>
                  </w:tcBorders>
                  <w:vAlign w:val="center"/>
                </w:tcPr>
                <w:p w14:paraId="02E1C5F5">
                  <w:pPr>
                    <w:adjustRightInd w:val="0"/>
                    <w:snapToGrid w:val="0"/>
                    <w:jc w:val="center"/>
                    <w:outlineLvl w:val="9"/>
                    <w:rPr>
                      <w:b/>
                      <w:color w:val="auto"/>
                      <w:spacing w:val="-10"/>
                      <w:sz w:val="21"/>
                      <w:szCs w:val="21"/>
                    </w:rPr>
                  </w:pPr>
                  <w:r>
                    <w:rPr>
                      <w:rFonts w:hint="eastAsia"/>
                      <w:b/>
                      <w:color w:val="auto"/>
                      <w:spacing w:val="-10"/>
                      <w:sz w:val="21"/>
                      <w:szCs w:val="21"/>
                    </w:rPr>
                    <w:t>收集效率%</w:t>
                  </w:r>
                </w:p>
              </w:tc>
              <w:tc>
                <w:tcPr>
                  <w:tcW w:w="281" w:type="pct"/>
                  <w:tcBorders>
                    <w:tl2br w:val="nil"/>
                    <w:tr2bl w:val="nil"/>
                  </w:tcBorders>
                  <w:vAlign w:val="center"/>
                </w:tcPr>
                <w:p w14:paraId="1E58DFF0">
                  <w:pPr>
                    <w:adjustRightInd w:val="0"/>
                    <w:snapToGrid w:val="0"/>
                    <w:jc w:val="center"/>
                    <w:outlineLvl w:val="9"/>
                    <w:rPr>
                      <w:b/>
                      <w:color w:val="auto"/>
                      <w:spacing w:val="-10"/>
                      <w:sz w:val="21"/>
                      <w:szCs w:val="21"/>
                    </w:rPr>
                  </w:pPr>
                  <w:r>
                    <w:rPr>
                      <w:rFonts w:hint="eastAsia"/>
                      <w:b/>
                      <w:color w:val="auto"/>
                      <w:spacing w:val="-10"/>
                      <w:sz w:val="21"/>
                      <w:szCs w:val="21"/>
                    </w:rPr>
                    <w:t>治理效率</w:t>
                  </w:r>
                  <w:r>
                    <w:rPr>
                      <w:b/>
                      <w:color w:val="auto"/>
                      <w:spacing w:val="-10"/>
                      <w:sz w:val="21"/>
                      <w:szCs w:val="21"/>
                    </w:rPr>
                    <w:t>%</w:t>
                  </w:r>
                </w:p>
              </w:tc>
              <w:tc>
                <w:tcPr>
                  <w:tcW w:w="307" w:type="pct"/>
                  <w:tcBorders>
                    <w:tl2br w:val="nil"/>
                    <w:tr2bl w:val="nil"/>
                  </w:tcBorders>
                  <w:vAlign w:val="center"/>
                </w:tcPr>
                <w:p w14:paraId="5BE948FD">
                  <w:pPr>
                    <w:adjustRightInd w:val="0"/>
                    <w:snapToGrid w:val="0"/>
                    <w:jc w:val="center"/>
                    <w:outlineLvl w:val="9"/>
                    <w:rPr>
                      <w:b/>
                      <w:color w:val="auto"/>
                      <w:spacing w:val="-10"/>
                      <w:sz w:val="21"/>
                      <w:szCs w:val="21"/>
                    </w:rPr>
                  </w:pPr>
                  <w:r>
                    <w:rPr>
                      <w:b/>
                      <w:color w:val="auto"/>
                      <w:spacing w:val="-10"/>
                      <w:sz w:val="21"/>
                      <w:szCs w:val="21"/>
                    </w:rPr>
                    <w:t>可行技术</w:t>
                  </w:r>
                </w:p>
              </w:tc>
              <w:tc>
                <w:tcPr>
                  <w:tcW w:w="375" w:type="pct"/>
                  <w:tcBorders>
                    <w:tl2br w:val="nil"/>
                    <w:tr2bl w:val="nil"/>
                  </w:tcBorders>
                  <w:vAlign w:val="center"/>
                </w:tcPr>
                <w:p w14:paraId="141A59A8">
                  <w:pPr>
                    <w:adjustRightInd w:val="0"/>
                    <w:snapToGrid w:val="0"/>
                    <w:jc w:val="center"/>
                    <w:outlineLvl w:val="9"/>
                    <w:rPr>
                      <w:b/>
                      <w:color w:val="auto"/>
                      <w:spacing w:val="-10"/>
                      <w:sz w:val="21"/>
                      <w:szCs w:val="21"/>
                    </w:rPr>
                  </w:pPr>
                  <w:r>
                    <w:rPr>
                      <w:b/>
                      <w:color w:val="auto"/>
                      <w:spacing w:val="-10"/>
                      <w:sz w:val="21"/>
                      <w:szCs w:val="21"/>
                    </w:rPr>
                    <w:t>排放量t/a</w:t>
                  </w:r>
                </w:p>
              </w:tc>
              <w:tc>
                <w:tcPr>
                  <w:tcW w:w="375" w:type="pct"/>
                  <w:tcBorders>
                    <w:tl2br w:val="nil"/>
                    <w:tr2bl w:val="nil"/>
                  </w:tcBorders>
                  <w:vAlign w:val="center"/>
                </w:tcPr>
                <w:p w14:paraId="3D6D0571">
                  <w:pPr>
                    <w:adjustRightInd w:val="0"/>
                    <w:snapToGrid w:val="0"/>
                    <w:jc w:val="center"/>
                    <w:outlineLvl w:val="9"/>
                    <w:rPr>
                      <w:b/>
                      <w:color w:val="auto"/>
                      <w:spacing w:val="-10"/>
                      <w:sz w:val="21"/>
                      <w:szCs w:val="21"/>
                    </w:rPr>
                  </w:pPr>
                  <w:r>
                    <w:rPr>
                      <w:b/>
                      <w:color w:val="auto"/>
                      <w:spacing w:val="-10"/>
                      <w:sz w:val="21"/>
                      <w:szCs w:val="21"/>
                    </w:rPr>
                    <w:t>排放速率kg/h</w:t>
                  </w:r>
                </w:p>
              </w:tc>
              <w:tc>
                <w:tcPr>
                  <w:tcW w:w="344" w:type="pct"/>
                  <w:tcBorders>
                    <w:tl2br w:val="nil"/>
                    <w:tr2bl w:val="nil"/>
                  </w:tcBorders>
                  <w:vAlign w:val="center"/>
                </w:tcPr>
                <w:p w14:paraId="66E294AB">
                  <w:pPr>
                    <w:adjustRightInd w:val="0"/>
                    <w:snapToGrid w:val="0"/>
                    <w:jc w:val="center"/>
                    <w:outlineLvl w:val="9"/>
                    <w:rPr>
                      <w:b/>
                      <w:color w:val="auto"/>
                      <w:spacing w:val="-10"/>
                      <w:sz w:val="21"/>
                      <w:szCs w:val="21"/>
                    </w:rPr>
                  </w:pPr>
                  <w:r>
                    <w:rPr>
                      <w:b/>
                      <w:color w:val="auto"/>
                      <w:spacing w:val="-10"/>
                      <w:sz w:val="21"/>
                      <w:szCs w:val="21"/>
                    </w:rPr>
                    <w:t>排放浓度mg/m</w:t>
                  </w:r>
                  <w:r>
                    <w:rPr>
                      <w:b/>
                      <w:color w:val="auto"/>
                      <w:spacing w:val="-10"/>
                      <w:sz w:val="21"/>
                      <w:szCs w:val="21"/>
                      <w:vertAlign w:val="superscript"/>
                    </w:rPr>
                    <w:t>3</w:t>
                  </w:r>
                </w:p>
              </w:tc>
              <w:tc>
                <w:tcPr>
                  <w:tcW w:w="253" w:type="pct"/>
                  <w:vMerge w:val="continue"/>
                  <w:tcBorders>
                    <w:tl2br w:val="nil"/>
                    <w:tr2bl w:val="nil"/>
                  </w:tcBorders>
                  <w:vAlign w:val="center"/>
                </w:tcPr>
                <w:p w14:paraId="6698E9A4">
                  <w:pPr>
                    <w:adjustRightInd w:val="0"/>
                    <w:snapToGrid w:val="0"/>
                    <w:jc w:val="center"/>
                    <w:outlineLvl w:val="9"/>
                    <w:rPr>
                      <w:bCs/>
                      <w:color w:val="auto"/>
                      <w:spacing w:val="-10"/>
                      <w:sz w:val="21"/>
                      <w:szCs w:val="21"/>
                    </w:rPr>
                  </w:pPr>
                </w:p>
              </w:tc>
              <w:tc>
                <w:tcPr>
                  <w:tcW w:w="339" w:type="pct"/>
                  <w:vMerge w:val="continue"/>
                  <w:tcBorders>
                    <w:tl2br w:val="nil"/>
                    <w:tr2bl w:val="nil"/>
                  </w:tcBorders>
                  <w:vAlign w:val="center"/>
                </w:tcPr>
                <w:p w14:paraId="17EB8344">
                  <w:pPr>
                    <w:adjustRightInd w:val="0"/>
                    <w:snapToGrid w:val="0"/>
                    <w:jc w:val="center"/>
                    <w:outlineLvl w:val="9"/>
                    <w:rPr>
                      <w:bCs/>
                      <w:color w:val="auto"/>
                      <w:spacing w:val="-10"/>
                      <w:sz w:val="21"/>
                      <w:szCs w:val="21"/>
                    </w:rPr>
                  </w:pPr>
                </w:p>
              </w:tc>
            </w:tr>
            <w:tr w14:paraId="3D053F84">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302" w:type="pct"/>
                  <w:tcBorders>
                    <w:tl2br w:val="nil"/>
                    <w:tr2bl w:val="nil"/>
                  </w:tcBorders>
                  <w:vAlign w:val="center"/>
                </w:tcPr>
                <w:p w14:paraId="21D6683D">
                  <w:pPr>
                    <w:adjustRightInd w:val="0"/>
                    <w:snapToGrid w:val="0"/>
                    <w:outlineLvl w:val="9"/>
                    <w:rPr>
                      <w:rFonts w:hint="default"/>
                      <w:bCs/>
                      <w:color w:val="auto"/>
                      <w:spacing w:val="-10"/>
                      <w:sz w:val="21"/>
                      <w:szCs w:val="21"/>
                      <w:lang w:val="en-US"/>
                    </w:rPr>
                  </w:pPr>
                  <w:r>
                    <w:rPr>
                      <w:rFonts w:hint="default" w:ascii="Times New Roman" w:hAnsi="Times New Roman" w:cs="Times New Roman" w:eastAsiaTheme="minorEastAsia"/>
                      <w:color w:val="auto"/>
                      <w:sz w:val="21"/>
                      <w:szCs w:val="21"/>
                      <w:u w:val="none"/>
                      <w:lang w:val="en-US" w:eastAsia="zh-CN"/>
                    </w:rPr>
                    <w:t>硝酸钠</w:t>
                  </w:r>
                  <w:r>
                    <w:rPr>
                      <w:rFonts w:hint="eastAsia" w:cs="Times New Roman" w:eastAsiaTheme="minorEastAsia"/>
                      <w:color w:val="auto"/>
                      <w:sz w:val="21"/>
                      <w:szCs w:val="21"/>
                      <w:u w:val="none"/>
                      <w:lang w:val="en-US" w:eastAsia="zh-CN"/>
                    </w:rPr>
                    <w:t>上料</w:t>
                  </w:r>
                </w:p>
              </w:tc>
              <w:tc>
                <w:tcPr>
                  <w:tcW w:w="326" w:type="pct"/>
                  <w:tcBorders>
                    <w:tl2br w:val="nil"/>
                    <w:tr2bl w:val="nil"/>
                  </w:tcBorders>
                  <w:vAlign w:val="center"/>
                </w:tcPr>
                <w:p w14:paraId="123C14EE">
                  <w:pPr>
                    <w:adjustRightInd w:val="0"/>
                    <w:snapToGrid w:val="0"/>
                    <w:jc w:val="center"/>
                    <w:outlineLvl w:val="9"/>
                    <w:rPr>
                      <w:color w:val="auto"/>
                      <w:sz w:val="21"/>
                      <w:szCs w:val="21"/>
                    </w:rPr>
                  </w:pPr>
                  <w:r>
                    <w:rPr>
                      <w:color w:val="auto"/>
                      <w:sz w:val="21"/>
                      <w:szCs w:val="21"/>
                    </w:rPr>
                    <w:t>颗粒物</w:t>
                  </w:r>
                </w:p>
              </w:tc>
              <w:tc>
                <w:tcPr>
                  <w:tcW w:w="298" w:type="pct"/>
                  <w:tcBorders>
                    <w:tl2br w:val="nil"/>
                    <w:tr2bl w:val="nil"/>
                  </w:tcBorders>
                  <w:vAlign w:val="center"/>
                </w:tcPr>
                <w:p w14:paraId="5BDAE5C4">
                  <w:pPr>
                    <w:adjustRightInd w:val="0"/>
                    <w:snapToGrid w:val="0"/>
                    <w:jc w:val="center"/>
                    <w:outlineLvl w:val="9"/>
                    <w:rPr>
                      <w:color w:val="auto"/>
                      <w:sz w:val="21"/>
                      <w:szCs w:val="21"/>
                    </w:rPr>
                  </w:pPr>
                  <w:r>
                    <w:rPr>
                      <w:rFonts w:hint="eastAsia"/>
                      <w:color w:val="auto"/>
                      <w:sz w:val="21"/>
                      <w:szCs w:val="21"/>
                    </w:rPr>
                    <w:t>无组织</w:t>
                  </w:r>
                </w:p>
              </w:tc>
              <w:tc>
                <w:tcPr>
                  <w:tcW w:w="384" w:type="pct"/>
                  <w:tcBorders>
                    <w:tl2br w:val="nil"/>
                    <w:tr2bl w:val="nil"/>
                  </w:tcBorders>
                  <w:vAlign w:val="center"/>
                </w:tcPr>
                <w:p w14:paraId="7EBA7D4F">
                  <w:pPr>
                    <w:widowControl/>
                    <w:jc w:val="center"/>
                    <w:textAlignment w:val="center"/>
                    <w:outlineLvl w:val="9"/>
                    <w:rPr>
                      <w:color w:val="auto"/>
                      <w:sz w:val="21"/>
                      <w:szCs w:val="21"/>
                    </w:rPr>
                  </w:pPr>
                  <w:r>
                    <w:rPr>
                      <w:rFonts w:hint="default" w:ascii="Times New Roman" w:hAnsi="Times New Roman" w:cs="Times New Roman"/>
                      <w:color w:val="auto"/>
                      <w:sz w:val="21"/>
                      <w:szCs w:val="21"/>
                      <w:highlight w:val="none"/>
                      <w:u w:val="none"/>
                      <w:lang w:val="en-US" w:eastAsia="zh-CN"/>
                    </w:rPr>
                    <w:t>0.00</w:t>
                  </w:r>
                  <w:r>
                    <w:rPr>
                      <w:rFonts w:hint="eastAsia" w:cs="Times New Roman"/>
                      <w:color w:val="auto"/>
                      <w:sz w:val="21"/>
                      <w:szCs w:val="21"/>
                      <w:highlight w:val="none"/>
                      <w:u w:val="none"/>
                      <w:lang w:val="en-US" w:eastAsia="zh-CN"/>
                    </w:rPr>
                    <w:t>80</w:t>
                  </w:r>
                </w:p>
              </w:tc>
              <w:tc>
                <w:tcPr>
                  <w:tcW w:w="390" w:type="pct"/>
                  <w:tcBorders>
                    <w:tl2br w:val="nil"/>
                    <w:tr2bl w:val="nil"/>
                  </w:tcBorders>
                  <w:vAlign w:val="center"/>
                </w:tcPr>
                <w:p w14:paraId="0BE112DB">
                  <w:pPr>
                    <w:widowControl/>
                    <w:jc w:val="center"/>
                    <w:textAlignment w:val="center"/>
                    <w:outlineLvl w:val="9"/>
                    <w:rPr>
                      <w:color w:val="auto"/>
                      <w:sz w:val="21"/>
                      <w:szCs w:val="21"/>
                    </w:rPr>
                  </w:pPr>
                  <w:r>
                    <w:rPr>
                      <w:rFonts w:hint="default" w:ascii="Times New Roman" w:hAnsi="Times New Roman" w:cs="Times New Roman"/>
                      <w:color w:val="auto"/>
                      <w:sz w:val="21"/>
                      <w:szCs w:val="21"/>
                      <w:highlight w:val="none"/>
                      <w:u w:val="none"/>
                      <w:lang w:val="en-US" w:eastAsia="zh-CN"/>
                    </w:rPr>
                    <w:t>0.0</w:t>
                  </w:r>
                  <w:r>
                    <w:rPr>
                      <w:rFonts w:hint="eastAsia" w:cs="Times New Roman"/>
                      <w:color w:val="auto"/>
                      <w:sz w:val="21"/>
                      <w:szCs w:val="21"/>
                      <w:highlight w:val="none"/>
                      <w:u w:val="none"/>
                      <w:lang w:val="en-US" w:eastAsia="zh-CN"/>
                    </w:rPr>
                    <w:t>160</w:t>
                  </w:r>
                </w:p>
              </w:tc>
              <w:tc>
                <w:tcPr>
                  <w:tcW w:w="351" w:type="pct"/>
                  <w:tcBorders>
                    <w:tl2br w:val="nil"/>
                    <w:tr2bl w:val="nil"/>
                  </w:tcBorders>
                  <w:vAlign w:val="center"/>
                </w:tcPr>
                <w:p w14:paraId="2DD23D95">
                  <w:pPr>
                    <w:widowControl/>
                    <w:jc w:val="center"/>
                    <w:textAlignment w:val="center"/>
                    <w:outlineLvl w:val="9"/>
                    <w:rPr>
                      <w:color w:val="auto"/>
                      <w:sz w:val="21"/>
                      <w:szCs w:val="21"/>
                    </w:rPr>
                  </w:pPr>
                  <w:r>
                    <w:rPr>
                      <w:color w:val="auto"/>
                      <w:sz w:val="21"/>
                      <w:szCs w:val="21"/>
                    </w:rPr>
                    <w:t>/</w:t>
                  </w:r>
                </w:p>
              </w:tc>
              <w:tc>
                <w:tcPr>
                  <w:tcW w:w="311" w:type="pct"/>
                  <w:tcBorders>
                    <w:tl2br w:val="nil"/>
                    <w:tr2bl w:val="nil"/>
                  </w:tcBorders>
                  <w:vAlign w:val="center"/>
                </w:tcPr>
                <w:p w14:paraId="7523CE25">
                  <w:pPr>
                    <w:adjustRightInd w:val="0"/>
                    <w:snapToGrid w:val="0"/>
                    <w:jc w:val="center"/>
                    <w:outlineLvl w:val="9"/>
                    <w:rPr>
                      <w:color w:val="auto"/>
                      <w:sz w:val="21"/>
                      <w:szCs w:val="21"/>
                    </w:rPr>
                  </w:pPr>
                  <w:r>
                    <w:rPr>
                      <w:rFonts w:hint="eastAsia"/>
                      <w:color w:val="auto"/>
                      <w:sz w:val="21"/>
                      <w:szCs w:val="21"/>
                    </w:rPr>
                    <w:t>/</w:t>
                  </w:r>
                </w:p>
              </w:tc>
              <w:tc>
                <w:tcPr>
                  <w:tcW w:w="361" w:type="pct"/>
                  <w:tcBorders>
                    <w:tl2br w:val="nil"/>
                    <w:tr2bl w:val="nil"/>
                  </w:tcBorders>
                  <w:vAlign w:val="center"/>
                </w:tcPr>
                <w:p w14:paraId="37BED83C">
                  <w:pPr>
                    <w:adjustRightInd w:val="0"/>
                    <w:snapToGrid w:val="0"/>
                    <w:jc w:val="center"/>
                    <w:outlineLvl w:val="9"/>
                    <w:rPr>
                      <w:color w:val="auto"/>
                      <w:sz w:val="21"/>
                      <w:szCs w:val="21"/>
                    </w:rPr>
                  </w:pPr>
                  <w:r>
                    <w:rPr>
                      <w:color w:val="auto"/>
                      <w:sz w:val="21"/>
                      <w:szCs w:val="21"/>
                    </w:rPr>
                    <w:t>/</w:t>
                  </w:r>
                </w:p>
              </w:tc>
              <w:tc>
                <w:tcPr>
                  <w:tcW w:w="281" w:type="pct"/>
                  <w:tcBorders>
                    <w:tl2br w:val="nil"/>
                    <w:tr2bl w:val="nil"/>
                  </w:tcBorders>
                  <w:vAlign w:val="center"/>
                </w:tcPr>
                <w:p w14:paraId="6ABD5754">
                  <w:pPr>
                    <w:adjustRightInd w:val="0"/>
                    <w:snapToGrid w:val="0"/>
                    <w:jc w:val="center"/>
                    <w:outlineLvl w:val="9"/>
                    <w:rPr>
                      <w:color w:val="auto"/>
                      <w:sz w:val="21"/>
                      <w:szCs w:val="21"/>
                    </w:rPr>
                  </w:pPr>
                  <w:r>
                    <w:rPr>
                      <w:rFonts w:hint="eastAsia"/>
                      <w:color w:val="auto"/>
                      <w:sz w:val="21"/>
                      <w:szCs w:val="21"/>
                    </w:rPr>
                    <w:t>/</w:t>
                  </w:r>
                </w:p>
              </w:tc>
              <w:tc>
                <w:tcPr>
                  <w:tcW w:w="307" w:type="pct"/>
                  <w:tcBorders>
                    <w:tl2br w:val="nil"/>
                    <w:tr2bl w:val="nil"/>
                  </w:tcBorders>
                  <w:vAlign w:val="center"/>
                </w:tcPr>
                <w:p w14:paraId="71CEB627">
                  <w:pPr>
                    <w:adjustRightInd w:val="0"/>
                    <w:snapToGrid w:val="0"/>
                    <w:jc w:val="center"/>
                    <w:outlineLvl w:val="9"/>
                    <w:rPr>
                      <w:color w:val="auto"/>
                      <w:sz w:val="21"/>
                      <w:szCs w:val="21"/>
                    </w:rPr>
                  </w:pPr>
                  <w:r>
                    <w:rPr>
                      <w:color w:val="auto"/>
                      <w:sz w:val="21"/>
                      <w:szCs w:val="21"/>
                    </w:rPr>
                    <w:t>/</w:t>
                  </w:r>
                </w:p>
              </w:tc>
              <w:tc>
                <w:tcPr>
                  <w:tcW w:w="375" w:type="pct"/>
                  <w:tcBorders>
                    <w:tl2br w:val="nil"/>
                    <w:tr2bl w:val="nil"/>
                  </w:tcBorders>
                  <w:vAlign w:val="center"/>
                </w:tcPr>
                <w:p w14:paraId="08D9F5AA">
                  <w:pPr>
                    <w:widowControl/>
                    <w:jc w:val="center"/>
                    <w:textAlignment w:val="center"/>
                    <w:outlineLvl w:val="9"/>
                    <w:rPr>
                      <w:color w:val="auto"/>
                      <w:sz w:val="21"/>
                      <w:szCs w:val="21"/>
                    </w:rPr>
                  </w:pPr>
                  <w:r>
                    <w:rPr>
                      <w:rFonts w:hint="default" w:ascii="Times New Roman" w:hAnsi="Times New Roman" w:cs="Times New Roman"/>
                      <w:color w:val="auto"/>
                      <w:sz w:val="21"/>
                      <w:szCs w:val="21"/>
                      <w:highlight w:val="none"/>
                      <w:u w:val="none"/>
                      <w:lang w:val="en-US" w:eastAsia="zh-CN"/>
                    </w:rPr>
                    <w:t>0.00</w:t>
                  </w:r>
                  <w:r>
                    <w:rPr>
                      <w:rFonts w:hint="eastAsia" w:cs="Times New Roman"/>
                      <w:color w:val="auto"/>
                      <w:sz w:val="21"/>
                      <w:szCs w:val="21"/>
                      <w:highlight w:val="none"/>
                      <w:u w:val="none"/>
                      <w:lang w:val="en-US" w:eastAsia="zh-CN"/>
                    </w:rPr>
                    <w:t>80</w:t>
                  </w:r>
                </w:p>
              </w:tc>
              <w:tc>
                <w:tcPr>
                  <w:tcW w:w="375" w:type="pct"/>
                  <w:tcBorders>
                    <w:tl2br w:val="nil"/>
                    <w:tr2bl w:val="nil"/>
                  </w:tcBorders>
                  <w:vAlign w:val="center"/>
                </w:tcPr>
                <w:p w14:paraId="73B3B6B7">
                  <w:pPr>
                    <w:widowControl/>
                    <w:jc w:val="center"/>
                    <w:textAlignment w:val="center"/>
                    <w:outlineLvl w:val="9"/>
                    <w:rPr>
                      <w:color w:val="auto"/>
                      <w:sz w:val="21"/>
                      <w:szCs w:val="21"/>
                    </w:rPr>
                  </w:pPr>
                  <w:r>
                    <w:rPr>
                      <w:rFonts w:hint="default" w:ascii="Times New Roman" w:hAnsi="Times New Roman" w:cs="Times New Roman"/>
                      <w:color w:val="auto"/>
                      <w:sz w:val="21"/>
                      <w:szCs w:val="21"/>
                      <w:highlight w:val="none"/>
                      <w:u w:val="none"/>
                      <w:lang w:val="en-US" w:eastAsia="zh-CN"/>
                    </w:rPr>
                    <w:t>0.0</w:t>
                  </w:r>
                  <w:r>
                    <w:rPr>
                      <w:rFonts w:hint="eastAsia" w:cs="Times New Roman"/>
                      <w:color w:val="auto"/>
                      <w:sz w:val="21"/>
                      <w:szCs w:val="21"/>
                      <w:highlight w:val="none"/>
                      <w:u w:val="none"/>
                      <w:lang w:val="en-US" w:eastAsia="zh-CN"/>
                    </w:rPr>
                    <w:t>160</w:t>
                  </w:r>
                </w:p>
              </w:tc>
              <w:tc>
                <w:tcPr>
                  <w:tcW w:w="344" w:type="pct"/>
                  <w:tcBorders>
                    <w:tl2br w:val="nil"/>
                    <w:tr2bl w:val="nil"/>
                  </w:tcBorders>
                  <w:vAlign w:val="center"/>
                </w:tcPr>
                <w:p w14:paraId="7D14DCD3">
                  <w:pPr>
                    <w:widowControl/>
                    <w:jc w:val="center"/>
                    <w:textAlignment w:val="center"/>
                    <w:outlineLvl w:val="9"/>
                    <w:rPr>
                      <w:color w:val="auto"/>
                      <w:kern w:val="0"/>
                      <w:sz w:val="21"/>
                      <w:szCs w:val="21"/>
                      <w:lang w:bidi="ar"/>
                    </w:rPr>
                  </w:pPr>
                  <w:r>
                    <w:rPr>
                      <w:color w:val="auto"/>
                      <w:sz w:val="21"/>
                      <w:szCs w:val="21"/>
                    </w:rPr>
                    <w:t>/</w:t>
                  </w:r>
                </w:p>
              </w:tc>
              <w:tc>
                <w:tcPr>
                  <w:tcW w:w="253" w:type="pct"/>
                  <w:tcBorders>
                    <w:tl2br w:val="nil"/>
                    <w:tr2bl w:val="nil"/>
                  </w:tcBorders>
                  <w:vAlign w:val="center"/>
                </w:tcPr>
                <w:p w14:paraId="65C22292">
                  <w:pPr>
                    <w:widowControl/>
                    <w:jc w:val="center"/>
                    <w:textAlignment w:val="center"/>
                    <w:outlineLvl w:val="9"/>
                    <w:rPr>
                      <w:rFonts w:hint="default" w:eastAsia="宋体"/>
                      <w:color w:val="auto"/>
                      <w:kern w:val="0"/>
                      <w:sz w:val="21"/>
                      <w:szCs w:val="21"/>
                      <w:lang w:val="en-US" w:eastAsia="zh-CN" w:bidi="ar"/>
                    </w:rPr>
                  </w:pPr>
                  <w:r>
                    <w:rPr>
                      <w:rFonts w:hint="eastAsia"/>
                      <w:color w:val="auto"/>
                      <w:kern w:val="0"/>
                      <w:sz w:val="21"/>
                      <w:szCs w:val="21"/>
                      <w:lang w:val="en-US" w:eastAsia="zh-CN" w:bidi="ar"/>
                    </w:rPr>
                    <w:t>500</w:t>
                  </w:r>
                </w:p>
              </w:tc>
              <w:tc>
                <w:tcPr>
                  <w:tcW w:w="339" w:type="pct"/>
                  <w:tcBorders>
                    <w:tl2br w:val="nil"/>
                    <w:tr2bl w:val="nil"/>
                  </w:tcBorders>
                  <w:vAlign w:val="center"/>
                </w:tcPr>
                <w:p w14:paraId="3F6018AE">
                  <w:pPr>
                    <w:widowControl/>
                    <w:jc w:val="center"/>
                    <w:textAlignment w:val="center"/>
                    <w:outlineLvl w:val="9"/>
                    <w:rPr>
                      <w:color w:val="auto"/>
                      <w:kern w:val="0"/>
                      <w:sz w:val="21"/>
                      <w:szCs w:val="21"/>
                      <w:lang w:bidi="ar"/>
                    </w:rPr>
                  </w:pPr>
                  <w:r>
                    <w:rPr>
                      <w:rFonts w:hint="eastAsia"/>
                      <w:color w:val="auto"/>
                      <w:kern w:val="0"/>
                      <w:sz w:val="21"/>
                      <w:szCs w:val="21"/>
                      <w:lang w:bidi="ar"/>
                    </w:rPr>
                    <w:t>/</w:t>
                  </w:r>
                </w:p>
              </w:tc>
            </w:tr>
            <w:tr w14:paraId="0A55928D">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302" w:type="pct"/>
                  <w:tcBorders>
                    <w:tl2br w:val="nil"/>
                    <w:tr2bl w:val="nil"/>
                  </w:tcBorders>
                  <w:vAlign w:val="center"/>
                </w:tcPr>
                <w:p w14:paraId="0EF8D71E">
                  <w:pPr>
                    <w:adjustRightInd w:val="0"/>
                    <w:snapToGrid w:val="0"/>
                    <w:outlineLvl w:val="9"/>
                    <w:rPr>
                      <w:rFonts w:hint="default" w:ascii="Times New Roman" w:hAnsi="Times New Roman" w:cs="Times New Roman" w:eastAsiaTheme="minorEastAsia"/>
                      <w:color w:val="auto"/>
                      <w:sz w:val="21"/>
                      <w:szCs w:val="21"/>
                      <w:u w:val="none"/>
                      <w:lang w:val="en-US" w:eastAsia="zh-CN"/>
                    </w:rPr>
                  </w:pPr>
                  <w:r>
                    <w:rPr>
                      <w:rFonts w:hint="default" w:ascii="Times New Roman" w:hAnsi="Times New Roman" w:cs="Times New Roman"/>
                      <w:color w:val="auto"/>
                      <w:sz w:val="21"/>
                      <w:szCs w:val="21"/>
                      <w:highlight w:val="none"/>
                      <w:u w:val="none"/>
                      <w:lang w:val="en-US" w:eastAsia="zh-CN"/>
                    </w:rPr>
                    <w:t>珍珠岩</w:t>
                  </w:r>
                  <w:r>
                    <w:rPr>
                      <w:rFonts w:hint="eastAsia" w:cs="Times New Roman"/>
                      <w:color w:val="auto"/>
                      <w:sz w:val="21"/>
                      <w:szCs w:val="21"/>
                      <w:highlight w:val="none"/>
                      <w:u w:val="none"/>
                      <w:lang w:val="en-US" w:eastAsia="zh-CN"/>
                    </w:rPr>
                    <w:t>上料</w:t>
                  </w:r>
                </w:p>
              </w:tc>
              <w:tc>
                <w:tcPr>
                  <w:tcW w:w="326" w:type="pct"/>
                  <w:tcBorders>
                    <w:tl2br w:val="nil"/>
                    <w:tr2bl w:val="nil"/>
                  </w:tcBorders>
                  <w:vAlign w:val="center"/>
                </w:tcPr>
                <w:p w14:paraId="441BD298">
                  <w:pPr>
                    <w:adjustRightInd w:val="0"/>
                    <w:snapToGrid w:val="0"/>
                    <w:jc w:val="center"/>
                    <w:outlineLvl w:val="9"/>
                    <w:rPr>
                      <w:color w:val="auto"/>
                      <w:sz w:val="21"/>
                      <w:szCs w:val="21"/>
                    </w:rPr>
                  </w:pPr>
                  <w:r>
                    <w:rPr>
                      <w:color w:val="auto"/>
                      <w:sz w:val="21"/>
                      <w:szCs w:val="21"/>
                    </w:rPr>
                    <w:t>颗粒物</w:t>
                  </w:r>
                </w:p>
              </w:tc>
              <w:tc>
                <w:tcPr>
                  <w:tcW w:w="298" w:type="pct"/>
                  <w:tcBorders>
                    <w:tl2br w:val="nil"/>
                    <w:tr2bl w:val="nil"/>
                  </w:tcBorders>
                  <w:vAlign w:val="center"/>
                </w:tcPr>
                <w:p w14:paraId="0893B301">
                  <w:pPr>
                    <w:adjustRightInd w:val="0"/>
                    <w:snapToGrid w:val="0"/>
                    <w:jc w:val="center"/>
                    <w:outlineLvl w:val="9"/>
                    <w:rPr>
                      <w:rFonts w:hint="eastAsia"/>
                      <w:color w:val="auto"/>
                      <w:sz w:val="21"/>
                      <w:szCs w:val="21"/>
                    </w:rPr>
                  </w:pPr>
                  <w:r>
                    <w:rPr>
                      <w:rFonts w:hint="eastAsia"/>
                      <w:color w:val="auto"/>
                      <w:sz w:val="21"/>
                      <w:szCs w:val="21"/>
                    </w:rPr>
                    <w:t>无组织</w:t>
                  </w:r>
                </w:p>
              </w:tc>
              <w:tc>
                <w:tcPr>
                  <w:tcW w:w="892" w:type="dxa"/>
                  <w:tcBorders>
                    <w:tl2br w:val="nil"/>
                    <w:tr2bl w:val="nil"/>
                  </w:tcBorders>
                  <w:vAlign w:val="center"/>
                </w:tcPr>
                <w:p w14:paraId="674364D9">
                  <w:pPr>
                    <w:widowControl/>
                    <w:jc w:val="center"/>
                    <w:textAlignment w:val="center"/>
                    <w:outlineLvl w:val="9"/>
                    <w:rPr>
                      <w:rFonts w:hint="eastAsia"/>
                      <w:color w:val="auto"/>
                      <w:sz w:val="21"/>
                      <w:szCs w:val="21"/>
                    </w:rPr>
                  </w:pPr>
                  <w:r>
                    <w:rPr>
                      <w:rFonts w:hint="default" w:ascii="Times New Roman" w:hAnsi="Times New Roman" w:cs="Times New Roman"/>
                      <w:color w:val="auto"/>
                      <w:sz w:val="21"/>
                      <w:szCs w:val="21"/>
                      <w:highlight w:val="none"/>
                      <w:u w:val="none"/>
                      <w:lang w:val="en-US" w:eastAsia="zh-CN"/>
                    </w:rPr>
                    <w:t>0.00</w:t>
                  </w:r>
                  <w:r>
                    <w:rPr>
                      <w:rFonts w:hint="eastAsia" w:cs="Times New Roman"/>
                      <w:color w:val="auto"/>
                      <w:sz w:val="21"/>
                      <w:szCs w:val="21"/>
                      <w:highlight w:val="none"/>
                      <w:u w:val="none"/>
                      <w:lang w:val="en-US" w:eastAsia="zh-CN"/>
                    </w:rPr>
                    <w:t>25</w:t>
                  </w:r>
                </w:p>
              </w:tc>
              <w:tc>
                <w:tcPr>
                  <w:tcW w:w="907" w:type="dxa"/>
                  <w:tcBorders>
                    <w:tl2br w:val="nil"/>
                    <w:tr2bl w:val="nil"/>
                  </w:tcBorders>
                  <w:vAlign w:val="center"/>
                </w:tcPr>
                <w:p w14:paraId="7F2ACC3B">
                  <w:pPr>
                    <w:widowControl/>
                    <w:jc w:val="center"/>
                    <w:textAlignment w:val="center"/>
                    <w:outlineLvl w:val="9"/>
                    <w:rPr>
                      <w:rFonts w:hint="eastAsia"/>
                      <w:color w:val="auto"/>
                      <w:sz w:val="21"/>
                      <w:szCs w:val="21"/>
                    </w:rPr>
                  </w:pPr>
                  <w:r>
                    <w:rPr>
                      <w:rFonts w:hint="default" w:ascii="Times New Roman" w:hAnsi="Times New Roman" w:cs="Times New Roman"/>
                      <w:color w:val="auto"/>
                      <w:sz w:val="21"/>
                      <w:szCs w:val="21"/>
                      <w:highlight w:val="none"/>
                      <w:u w:val="none"/>
                      <w:lang w:val="en-US" w:eastAsia="zh-CN"/>
                    </w:rPr>
                    <w:t>0.0</w:t>
                  </w:r>
                  <w:r>
                    <w:rPr>
                      <w:rFonts w:hint="eastAsia" w:cs="Times New Roman"/>
                      <w:color w:val="auto"/>
                      <w:sz w:val="21"/>
                      <w:szCs w:val="21"/>
                      <w:highlight w:val="none"/>
                      <w:u w:val="none"/>
                      <w:lang w:val="en-US" w:eastAsia="zh-CN"/>
                    </w:rPr>
                    <w:t>099</w:t>
                  </w:r>
                </w:p>
              </w:tc>
              <w:tc>
                <w:tcPr>
                  <w:tcW w:w="351" w:type="pct"/>
                  <w:tcBorders>
                    <w:tl2br w:val="nil"/>
                    <w:tr2bl w:val="nil"/>
                  </w:tcBorders>
                  <w:vAlign w:val="center"/>
                </w:tcPr>
                <w:p w14:paraId="5C78543F">
                  <w:pPr>
                    <w:widowControl/>
                    <w:jc w:val="center"/>
                    <w:textAlignment w:val="center"/>
                    <w:outlineLvl w:val="9"/>
                    <w:rPr>
                      <w:color w:val="auto"/>
                      <w:sz w:val="21"/>
                      <w:szCs w:val="21"/>
                    </w:rPr>
                  </w:pPr>
                  <w:r>
                    <w:rPr>
                      <w:color w:val="auto"/>
                      <w:sz w:val="21"/>
                      <w:szCs w:val="21"/>
                    </w:rPr>
                    <w:t>/</w:t>
                  </w:r>
                </w:p>
              </w:tc>
              <w:tc>
                <w:tcPr>
                  <w:tcW w:w="311" w:type="pct"/>
                  <w:tcBorders>
                    <w:tl2br w:val="nil"/>
                    <w:tr2bl w:val="nil"/>
                  </w:tcBorders>
                  <w:vAlign w:val="center"/>
                </w:tcPr>
                <w:p w14:paraId="03576988">
                  <w:pPr>
                    <w:adjustRightInd w:val="0"/>
                    <w:snapToGrid w:val="0"/>
                    <w:jc w:val="center"/>
                    <w:outlineLvl w:val="9"/>
                    <w:rPr>
                      <w:rFonts w:hint="eastAsia"/>
                      <w:color w:val="auto"/>
                      <w:sz w:val="21"/>
                      <w:szCs w:val="21"/>
                    </w:rPr>
                  </w:pPr>
                  <w:r>
                    <w:rPr>
                      <w:rFonts w:hint="eastAsia"/>
                      <w:color w:val="auto"/>
                      <w:sz w:val="21"/>
                      <w:szCs w:val="21"/>
                    </w:rPr>
                    <w:t>/</w:t>
                  </w:r>
                </w:p>
              </w:tc>
              <w:tc>
                <w:tcPr>
                  <w:tcW w:w="361" w:type="pct"/>
                  <w:tcBorders>
                    <w:tl2br w:val="nil"/>
                    <w:tr2bl w:val="nil"/>
                  </w:tcBorders>
                  <w:vAlign w:val="center"/>
                </w:tcPr>
                <w:p w14:paraId="0E0D4160">
                  <w:pPr>
                    <w:adjustRightInd w:val="0"/>
                    <w:snapToGrid w:val="0"/>
                    <w:jc w:val="center"/>
                    <w:outlineLvl w:val="9"/>
                    <w:rPr>
                      <w:rFonts w:hint="eastAsia"/>
                      <w:color w:val="auto"/>
                      <w:sz w:val="21"/>
                      <w:szCs w:val="21"/>
                    </w:rPr>
                  </w:pPr>
                  <w:r>
                    <w:rPr>
                      <w:color w:val="auto"/>
                      <w:sz w:val="21"/>
                      <w:szCs w:val="21"/>
                    </w:rPr>
                    <w:t>/</w:t>
                  </w:r>
                </w:p>
              </w:tc>
              <w:tc>
                <w:tcPr>
                  <w:tcW w:w="281" w:type="pct"/>
                  <w:tcBorders>
                    <w:tl2br w:val="nil"/>
                    <w:tr2bl w:val="nil"/>
                  </w:tcBorders>
                  <w:vAlign w:val="center"/>
                </w:tcPr>
                <w:p w14:paraId="7A49873E">
                  <w:pPr>
                    <w:adjustRightInd w:val="0"/>
                    <w:snapToGrid w:val="0"/>
                    <w:jc w:val="center"/>
                    <w:outlineLvl w:val="9"/>
                    <w:rPr>
                      <w:rFonts w:hint="eastAsia"/>
                      <w:color w:val="auto"/>
                      <w:sz w:val="21"/>
                      <w:szCs w:val="21"/>
                    </w:rPr>
                  </w:pPr>
                  <w:r>
                    <w:rPr>
                      <w:rFonts w:hint="eastAsia"/>
                      <w:color w:val="auto"/>
                      <w:sz w:val="21"/>
                      <w:szCs w:val="21"/>
                    </w:rPr>
                    <w:t>/</w:t>
                  </w:r>
                </w:p>
              </w:tc>
              <w:tc>
                <w:tcPr>
                  <w:tcW w:w="307" w:type="pct"/>
                  <w:tcBorders>
                    <w:tl2br w:val="nil"/>
                    <w:tr2bl w:val="nil"/>
                  </w:tcBorders>
                  <w:vAlign w:val="center"/>
                </w:tcPr>
                <w:p w14:paraId="1B37C94A">
                  <w:pPr>
                    <w:adjustRightInd w:val="0"/>
                    <w:snapToGrid w:val="0"/>
                    <w:jc w:val="center"/>
                    <w:outlineLvl w:val="9"/>
                    <w:rPr>
                      <w:color w:val="auto"/>
                      <w:sz w:val="21"/>
                      <w:szCs w:val="21"/>
                    </w:rPr>
                  </w:pPr>
                  <w:r>
                    <w:rPr>
                      <w:color w:val="auto"/>
                      <w:sz w:val="21"/>
                      <w:szCs w:val="21"/>
                    </w:rPr>
                    <w:t>/</w:t>
                  </w:r>
                </w:p>
              </w:tc>
              <w:tc>
                <w:tcPr>
                  <w:tcW w:w="375" w:type="pct"/>
                  <w:tcBorders>
                    <w:tl2br w:val="nil"/>
                    <w:tr2bl w:val="nil"/>
                  </w:tcBorders>
                  <w:vAlign w:val="center"/>
                </w:tcPr>
                <w:p w14:paraId="667241AF">
                  <w:pPr>
                    <w:widowControl/>
                    <w:jc w:val="center"/>
                    <w:textAlignment w:val="center"/>
                    <w:outlineLvl w:val="9"/>
                    <w:rPr>
                      <w:rFonts w:hint="eastAsia"/>
                      <w:color w:val="auto"/>
                      <w:sz w:val="21"/>
                      <w:szCs w:val="21"/>
                    </w:rPr>
                  </w:pPr>
                  <w:r>
                    <w:rPr>
                      <w:rFonts w:hint="default" w:ascii="Times New Roman" w:hAnsi="Times New Roman" w:cs="Times New Roman"/>
                      <w:color w:val="auto"/>
                      <w:sz w:val="21"/>
                      <w:szCs w:val="21"/>
                      <w:highlight w:val="none"/>
                      <w:u w:val="none"/>
                      <w:lang w:val="en-US" w:eastAsia="zh-CN"/>
                    </w:rPr>
                    <w:t>0.00</w:t>
                  </w:r>
                  <w:r>
                    <w:rPr>
                      <w:rFonts w:hint="eastAsia" w:cs="Times New Roman"/>
                      <w:color w:val="auto"/>
                      <w:sz w:val="21"/>
                      <w:szCs w:val="21"/>
                      <w:highlight w:val="none"/>
                      <w:u w:val="none"/>
                      <w:lang w:val="en-US" w:eastAsia="zh-CN"/>
                    </w:rPr>
                    <w:t>25</w:t>
                  </w:r>
                </w:p>
              </w:tc>
              <w:tc>
                <w:tcPr>
                  <w:tcW w:w="375" w:type="pct"/>
                  <w:tcBorders>
                    <w:tl2br w:val="nil"/>
                    <w:tr2bl w:val="nil"/>
                  </w:tcBorders>
                  <w:vAlign w:val="center"/>
                </w:tcPr>
                <w:p w14:paraId="1A6E5F25">
                  <w:pPr>
                    <w:widowControl/>
                    <w:jc w:val="center"/>
                    <w:textAlignment w:val="center"/>
                    <w:outlineLvl w:val="9"/>
                    <w:rPr>
                      <w:rFonts w:hint="default"/>
                      <w:color w:val="auto"/>
                      <w:sz w:val="21"/>
                      <w:szCs w:val="21"/>
                      <w:lang w:val="en-US"/>
                    </w:rPr>
                  </w:pPr>
                  <w:r>
                    <w:rPr>
                      <w:rFonts w:hint="default" w:ascii="Times New Roman" w:hAnsi="Times New Roman" w:cs="Times New Roman"/>
                      <w:color w:val="auto"/>
                      <w:sz w:val="21"/>
                      <w:szCs w:val="21"/>
                      <w:highlight w:val="none"/>
                      <w:u w:val="none"/>
                      <w:lang w:val="en-US" w:eastAsia="zh-CN"/>
                    </w:rPr>
                    <w:t>0.0</w:t>
                  </w:r>
                  <w:r>
                    <w:rPr>
                      <w:rFonts w:hint="eastAsia" w:cs="Times New Roman"/>
                      <w:color w:val="auto"/>
                      <w:sz w:val="21"/>
                      <w:szCs w:val="21"/>
                      <w:highlight w:val="none"/>
                      <w:u w:val="none"/>
                      <w:lang w:val="en-US" w:eastAsia="zh-CN"/>
                    </w:rPr>
                    <w:t>099</w:t>
                  </w:r>
                </w:p>
              </w:tc>
              <w:tc>
                <w:tcPr>
                  <w:tcW w:w="344" w:type="pct"/>
                  <w:tcBorders>
                    <w:tl2br w:val="nil"/>
                    <w:tr2bl w:val="nil"/>
                  </w:tcBorders>
                  <w:vAlign w:val="center"/>
                </w:tcPr>
                <w:p w14:paraId="5A04670A">
                  <w:pPr>
                    <w:widowControl/>
                    <w:jc w:val="center"/>
                    <w:textAlignment w:val="center"/>
                    <w:outlineLvl w:val="9"/>
                    <w:rPr>
                      <w:color w:val="auto"/>
                      <w:sz w:val="21"/>
                      <w:szCs w:val="21"/>
                    </w:rPr>
                  </w:pPr>
                  <w:r>
                    <w:rPr>
                      <w:color w:val="auto"/>
                      <w:sz w:val="21"/>
                      <w:szCs w:val="21"/>
                    </w:rPr>
                    <w:t>/</w:t>
                  </w:r>
                </w:p>
              </w:tc>
              <w:tc>
                <w:tcPr>
                  <w:tcW w:w="253" w:type="pct"/>
                  <w:tcBorders>
                    <w:tl2br w:val="nil"/>
                    <w:tr2bl w:val="nil"/>
                  </w:tcBorders>
                  <w:vAlign w:val="center"/>
                </w:tcPr>
                <w:p w14:paraId="7DE6A77D">
                  <w:pPr>
                    <w:widowControl/>
                    <w:jc w:val="center"/>
                    <w:textAlignment w:val="center"/>
                    <w:outlineLvl w:val="9"/>
                    <w:rPr>
                      <w:rFonts w:hint="default" w:eastAsia="宋体"/>
                      <w:color w:val="auto"/>
                      <w:kern w:val="0"/>
                      <w:sz w:val="21"/>
                      <w:szCs w:val="21"/>
                      <w:lang w:val="en-US" w:eastAsia="zh-CN" w:bidi="ar"/>
                    </w:rPr>
                  </w:pPr>
                  <w:r>
                    <w:rPr>
                      <w:rFonts w:hint="eastAsia"/>
                      <w:color w:val="auto"/>
                      <w:kern w:val="0"/>
                      <w:sz w:val="21"/>
                      <w:szCs w:val="21"/>
                      <w:lang w:val="en-US" w:eastAsia="zh-CN" w:bidi="ar"/>
                    </w:rPr>
                    <w:t>250</w:t>
                  </w:r>
                </w:p>
              </w:tc>
              <w:tc>
                <w:tcPr>
                  <w:tcW w:w="339" w:type="pct"/>
                  <w:tcBorders>
                    <w:tl2br w:val="nil"/>
                    <w:tr2bl w:val="nil"/>
                  </w:tcBorders>
                  <w:vAlign w:val="center"/>
                </w:tcPr>
                <w:p w14:paraId="60CE755F">
                  <w:pPr>
                    <w:widowControl/>
                    <w:jc w:val="center"/>
                    <w:textAlignment w:val="center"/>
                    <w:outlineLvl w:val="9"/>
                    <w:rPr>
                      <w:rFonts w:hint="eastAsia"/>
                      <w:color w:val="auto"/>
                      <w:kern w:val="0"/>
                      <w:sz w:val="21"/>
                      <w:szCs w:val="21"/>
                      <w:lang w:bidi="ar"/>
                    </w:rPr>
                  </w:pPr>
                  <w:r>
                    <w:rPr>
                      <w:rFonts w:hint="eastAsia"/>
                      <w:color w:val="auto"/>
                      <w:kern w:val="0"/>
                      <w:sz w:val="21"/>
                      <w:szCs w:val="21"/>
                      <w:lang w:bidi="ar"/>
                    </w:rPr>
                    <w:t>/</w:t>
                  </w:r>
                </w:p>
              </w:tc>
            </w:tr>
            <w:tr w14:paraId="1B4529AE">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302" w:type="pct"/>
                  <w:tcBorders>
                    <w:tl2br w:val="nil"/>
                    <w:tr2bl w:val="nil"/>
                  </w:tcBorders>
                  <w:vAlign w:val="center"/>
                </w:tcPr>
                <w:p w14:paraId="73F86BAE">
                  <w:pPr>
                    <w:adjustRightInd w:val="0"/>
                    <w:snapToGrid w:val="0"/>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油相上料</w:t>
                  </w:r>
                </w:p>
              </w:tc>
              <w:tc>
                <w:tcPr>
                  <w:tcW w:w="757" w:type="dxa"/>
                  <w:tcBorders>
                    <w:tl2br w:val="nil"/>
                    <w:tr2bl w:val="nil"/>
                  </w:tcBorders>
                  <w:vAlign w:val="center"/>
                </w:tcPr>
                <w:p w14:paraId="783C0CDA">
                  <w:pPr>
                    <w:adjustRightInd w:val="0"/>
                    <w:snapToGrid w:val="0"/>
                    <w:jc w:val="center"/>
                    <w:outlineLvl w:val="9"/>
                    <w:rPr>
                      <w:rFonts w:hint="eastAsia"/>
                      <w:color w:val="auto"/>
                      <w:sz w:val="21"/>
                      <w:szCs w:val="21"/>
                      <w:lang w:val="en-US" w:eastAsia="zh-CN"/>
                    </w:rPr>
                  </w:pPr>
                  <w:r>
                    <w:rPr>
                      <w:rFonts w:hint="eastAsia"/>
                      <w:color w:val="auto"/>
                      <w:sz w:val="21"/>
                      <w:szCs w:val="21"/>
                      <w:lang w:val="en-US" w:eastAsia="zh-CN"/>
                    </w:rPr>
                    <w:t>非甲烷总烃</w:t>
                  </w:r>
                </w:p>
              </w:tc>
              <w:tc>
                <w:tcPr>
                  <w:tcW w:w="691" w:type="dxa"/>
                  <w:tcBorders>
                    <w:tl2br w:val="nil"/>
                    <w:tr2bl w:val="nil"/>
                  </w:tcBorders>
                  <w:vAlign w:val="center"/>
                </w:tcPr>
                <w:p w14:paraId="1DE140BF">
                  <w:pPr>
                    <w:adjustRightInd w:val="0"/>
                    <w:snapToGrid w:val="0"/>
                    <w:jc w:val="center"/>
                    <w:outlineLvl w:val="9"/>
                    <w:rPr>
                      <w:rFonts w:hint="eastAsia"/>
                      <w:color w:val="auto"/>
                      <w:sz w:val="21"/>
                      <w:szCs w:val="21"/>
                    </w:rPr>
                  </w:pPr>
                  <w:r>
                    <w:rPr>
                      <w:rFonts w:hint="eastAsia"/>
                      <w:color w:val="auto"/>
                      <w:sz w:val="21"/>
                      <w:szCs w:val="21"/>
                    </w:rPr>
                    <w:t>无组织</w:t>
                  </w:r>
                </w:p>
              </w:tc>
              <w:tc>
                <w:tcPr>
                  <w:tcW w:w="384" w:type="pct"/>
                  <w:tcBorders>
                    <w:tl2br w:val="nil"/>
                    <w:tr2bl w:val="nil"/>
                  </w:tcBorders>
                  <w:vAlign w:val="center"/>
                </w:tcPr>
                <w:p w14:paraId="28A8262F">
                  <w:pPr>
                    <w:widowControl/>
                    <w:jc w:val="center"/>
                    <w:textAlignment w:val="center"/>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0.0085</w:t>
                  </w:r>
                </w:p>
              </w:tc>
              <w:tc>
                <w:tcPr>
                  <w:tcW w:w="390" w:type="pct"/>
                  <w:tcBorders>
                    <w:tl2br w:val="nil"/>
                    <w:tr2bl w:val="nil"/>
                  </w:tcBorders>
                  <w:vAlign w:val="center"/>
                </w:tcPr>
                <w:p w14:paraId="0FAF1AD8">
                  <w:pPr>
                    <w:widowControl/>
                    <w:jc w:val="center"/>
                    <w:textAlignment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0.0680</w:t>
                  </w:r>
                </w:p>
              </w:tc>
              <w:tc>
                <w:tcPr>
                  <w:tcW w:w="815" w:type="dxa"/>
                  <w:tcBorders>
                    <w:tl2br w:val="nil"/>
                    <w:tr2bl w:val="nil"/>
                  </w:tcBorders>
                  <w:vAlign w:val="center"/>
                </w:tcPr>
                <w:p w14:paraId="682038E3">
                  <w:pPr>
                    <w:widowControl/>
                    <w:jc w:val="center"/>
                    <w:textAlignment w:val="center"/>
                    <w:outlineLvl w:val="9"/>
                    <w:rPr>
                      <w:color w:val="auto"/>
                      <w:sz w:val="21"/>
                      <w:szCs w:val="21"/>
                    </w:rPr>
                  </w:pPr>
                  <w:r>
                    <w:rPr>
                      <w:color w:val="auto"/>
                      <w:sz w:val="21"/>
                      <w:szCs w:val="21"/>
                    </w:rPr>
                    <w:t>/</w:t>
                  </w:r>
                </w:p>
              </w:tc>
              <w:tc>
                <w:tcPr>
                  <w:tcW w:w="722" w:type="dxa"/>
                  <w:tcBorders>
                    <w:tl2br w:val="nil"/>
                    <w:tr2bl w:val="nil"/>
                  </w:tcBorders>
                  <w:vAlign w:val="center"/>
                </w:tcPr>
                <w:p w14:paraId="10C425B6">
                  <w:pPr>
                    <w:adjustRightInd w:val="0"/>
                    <w:snapToGrid w:val="0"/>
                    <w:jc w:val="center"/>
                    <w:outlineLvl w:val="9"/>
                    <w:rPr>
                      <w:rFonts w:hint="eastAsia"/>
                      <w:color w:val="auto"/>
                      <w:sz w:val="21"/>
                      <w:szCs w:val="21"/>
                    </w:rPr>
                  </w:pPr>
                  <w:r>
                    <w:rPr>
                      <w:rFonts w:hint="eastAsia"/>
                      <w:color w:val="auto"/>
                      <w:sz w:val="21"/>
                      <w:szCs w:val="21"/>
                    </w:rPr>
                    <w:t>/</w:t>
                  </w:r>
                </w:p>
              </w:tc>
              <w:tc>
                <w:tcPr>
                  <w:tcW w:w="839" w:type="dxa"/>
                  <w:tcBorders>
                    <w:tl2br w:val="nil"/>
                    <w:tr2bl w:val="nil"/>
                  </w:tcBorders>
                  <w:vAlign w:val="center"/>
                </w:tcPr>
                <w:p w14:paraId="579C1B72">
                  <w:pPr>
                    <w:adjustRightInd w:val="0"/>
                    <w:snapToGrid w:val="0"/>
                    <w:jc w:val="center"/>
                    <w:outlineLvl w:val="9"/>
                    <w:rPr>
                      <w:color w:val="auto"/>
                      <w:sz w:val="21"/>
                      <w:szCs w:val="21"/>
                    </w:rPr>
                  </w:pPr>
                  <w:r>
                    <w:rPr>
                      <w:color w:val="auto"/>
                      <w:sz w:val="21"/>
                      <w:szCs w:val="21"/>
                    </w:rPr>
                    <w:t>/</w:t>
                  </w:r>
                </w:p>
              </w:tc>
              <w:tc>
                <w:tcPr>
                  <w:tcW w:w="652" w:type="dxa"/>
                  <w:tcBorders>
                    <w:tl2br w:val="nil"/>
                    <w:tr2bl w:val="nil"/>
                  </w:tcBorders>
                  <w:vAlign w:val="center"/>
                </w:tcPr>
                <w:p w14:paraId="72B8059B">
                  <w:pPr>
                    <w:adjustRightInd w:val="0"/>
                    <w:snapToGrid w:val="0"/>
                    <w:jc w:val="center"/>
                    <w:outlineLvl w:val="9"/>
                    <w:rPr>
                      <w:rFonts w:hint="eastAsia"/>
                      <w:color w:val="auto"/>
                      <w:sz w:val="21"/>
                      <w:szCs w:val="21"/>
                    </w:rPr>
                  </w:pPr>
                  <w:r>
                    <w:rPr>
                      <w:rFonts w:hint="eastAsia"/>
                      <w:color w:val="auto"/>
                      <w:sz w:val="21"/>
                      <w:szCs w:val="21"/>
                    </w:rPr>
                    <w:t>/</w:t>
                  </w:r>
                </w:p>
              </w:tc>
              <w:tc>
                <w:tcPr>
                  <w:tcW w:w="715" w:type="dxa"/>
                  <w:tcBorders>
                    <w:tl2br w:val="nil"/>
                    <w:tr2bl w:val="nil"/>
                  </w:tcBorders>
                  <w:vAlign w:val="center"/>
                </w:tcPr>
                <w:p w14:paraId="0BD513E2">
                  <w:pPr>
                    <w:adjustRightInd w:val="0"/>
                    <w:snapToGrid w:val="0"/>
                    <w:jc w:val="center"/>
                    <w:outlineLvl w:val="9"/>
                    <w:rPr>
                      <w:color w:val="auto"/>
                      <w:sz w:val="21"/>
                      <w:szCs w:val="21"/>
                    </w:rPr>
                  </w:pPr>
                  <w:r>
                    <w:rPr>
                      <w:color w:val="auto"/>
                      <w:sz w:val="21"/>
                      <w:szCs w:val="21"/>
                    </w:rPr>
                    <w:t>/</w:t>
                  </w:r>
                </w:p>
              </w:tc>
              <w:tc>
                <w:tcPr>
                  <w:tcW w:w="872" w:type="dxa"/>
                  <w:tcBorders>
                    <w:tl2br w:val="nil"/>
                    <w:tr2bl w:val="nil"/>
                  </w:tcBorders>
                  <w:vAlign w:val="center"/>
                </w:tcPr>
                <w:p w14:paraId="66FB5221">
                  <w:pPr>
                    <w:widowControl/>
                    <w:jc w:val="center"/>
                    <w:textAlignment w:val="center"/>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0.0085</w:t>
                  </w:r>
                </w:p>
              </w:tc>
              <w:tc>
                <w:tcPr>
                  <w:tcW w:w="872" w:type="dxa"/>
                  <w:tcBorders>
                    <w:tl2br w:val="nil"/>
                    <w:tr2bl w:val="nil"/>
                  </w:tcBorders>
                  <w:vAlign w:val="center"/>
                </w:tcPr>
                <w:p w14:paraId="6682DA7C">
                  <w:pPr>
                    <w:widowControl/>
                    <w:jc w:val="center"/>
                    <w:textAlignment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0.0680</w:t>
                  </w:r>
                </w:p>
              </w:tc>
              <w:tc>
                <w:tcPr>
                  <w:tcW w:w="344" w:type="pct"/>
                  <w:tcBorders>
                    <w:tl2br w:val="nil"/>
                    <w:tr2bl w:val="nil"/>
                  </w:tcBorders>
                  <w:vAlign w:val="center"/>
                </w:tcPr>
                <w:p w14:paraId="6A4D7A9D">
                  <w:pPr>
                    <w:widowControl/>
                    <w:jc w:val="center"/>
                    <w:textAlignment w:val="center"/>
                    <w:outlineLvl w:val="9"/>
                    <w:rPr>
                      <w:color w:val="auto"/>
                      <w:sz w:val="21"/>
                      <w:szCs w:val="21"/>
                    </w:rPr>
                  </w:pPr>
                  <w:r>
                    <w:rPr>
                      <w:color w:val="auto"/>
                      <w:sz w:val="21"/>
                      <w:szCs w:val="21"/>
                    </w:rPr>
                    <w:t>/</w:t>
                  </w:r>
                </w:p>
              </w:tc>
              <w:tc>
                <w:tcPr>
                  <w:tcW w:w="253" w:type="pct"/>
                  <w:tcBorders>
                    <w:tl2br w:val="nil"/>
                    <w:tr2bl w:val="nil"/>
                  </w:tcBorders>
                  <w:vAlign w:val="center"/>
                </w:tcPr>
                <w:p w14:paraId="1CD7E9AD">
                  <w:pPr>
                    <w:widowControl/>
                    <w:jc w:val="center"/>
                    <w:textAlignment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125</w:t>
                  </w:r>
                </w:p>
              </w:tc>
              <w:tc>
                <w:tcPr>
                  <w:tcW w:w="339" w:type="pct"/>
                  <w:tcBorders>
                    <w:tl2br w:val="nil"/>
                    <w:tr2bl w:val="nil"/>
                  </w:tcBorders>
                  <w:vAlign w:val="center"/>
                </w:tcPr>
                <w:p w14:paraId="108858C2">
                  <w:pPr>
                    <w:widowControl/>
                    <w:jc w:val="center"/>
                    <w:textAlignment w:val="center"/>
                    <w:outlineLvl w:val="9"/>
                    <w:rPr>
                      <w:color w:val="auto"/>
                      <w:sz w:val="21"/>
                      <w:szCs w:val="21"/>
                    </w:rPr>
                  </w:pPr>
                  <w:r>
                    <w:rPr>
                      <w:rFonts w:hint="eastAsia"/>
                      <w:color w:val="auto"/>
                      <w:kern w:val="0"/>
                      <w:sz w:val="21"/>
                      <w:szCs w:val="21"/>
                      <w:lang w:bidi="ar"/>
                    </w:rPr>
                    <w:t>/</w:t>
                  </w:r>
                </w:p>
              </w:tc>
            </w:tr>
            <w:tr w14:paraId="4EEB389E">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302" w:type="pct"/>
                  <w:tcBorders>
                    <w:tl2br w:val="nil"/>
                    <w:tr2bl w:val="nil"/>
                  </w:tcBorders>
                  <w:vAlign w:val="center"/>
                </w:tcPr>
                <w:p w14:paraId="6DA248AF">
                  <w:pPr>
                    <w:adjustRightInd w:val="0"/>
                    <w:snapToGrid w:val="0"/>
                    <w:outlineLvl w:val="9"/>
                    <w:rPr>
                      <w:rFonts w:hint="default" w:ascii="Times New Roman" w:hAnsi="Times New Roman" w:cs="Times New Roman"/>
                      <w:color w:val="auto"/>
                      <w:sz w:val="21"/>
                      <w:szCs w:val="21"/>
                      <w:highlight w:val="none"/>
                      <w:u w:val="none"/>
                      <w:lang w:val="en-US" w:eastAsia="zh-CN"/>
                    </w:rPr>
                  </w:pPr>
                  <w:bookmarkStart w:id="207" w:name="OLE_LINK8" w:colFirst="5" w:colLast="9"/>
                  <w:r>
                    <w:rPr>
                      <w:rFonts w:hint="default" w:ascii="Times New Roman" w:hAnsi="Times New Roman" w:cs="Times New Roman"/>
                      <w:color w:val="auto"/>
                      <w:sz w:val="21"/>
                      <w:szCs w:val="21"/>
                      <w:highlight w:val="none"/>
                      <w:lang w:val="en-US" w:eastAsia="zh-CN"/>
                    </w:rPr>
                    <w:t>钢带冷却和散料皮带输送</w:t>
                  </w:r>
                </w:p>
              </w:tc>
              <w:tc>
                <w:tcPr>
                  <w:tcW w:w="326" w:type="pct"/>
                  <w:tcBorders>
                    <w:tl2br w:val="nil"/>
                    <w:tr2bl w:val="nil"/>
                  </w:tcBorders>
                  <w:vAlign w:val="center"/>
                </w:tcPr>
                <w:p w14:paraId="50F54D7D">
                  <w:pPr>
                    <w:adjustRightInd w:val="0"/>
                    <w:snapToGrid w:val="0"/>
                    <w:jc w:val="center"/>
                    <w:outlineLvl w:val="9"/>
                    <w:rPr>
                      <w:color w:val="auto"/>
                      <w:sz w:val="21"/>
                      <w:szCs w:val="21"/>
                    </w:rPr>
                  </w:pPr>
                  <w:r>
                    <w:rPr>
                      <w:rFonts w:hint="eastAsia"/>
                      <w:color w:val="auto"/>
                      <w:sz w:val="21"/>
                      <w:szCs w:val="21"/>
                      <w:lang w:val="en-US" w:eastAsia="zh-CN"/>
                    </w:rPr>
                    <w:t>非甲烷总烃</w:t>
                  </w:r>
                </w:p>
              </w:tc>
              <w:tc>
                <w:tcPr>
                  <w:tcW w:w="298" w:type="pct"/>
                  <w:tcBorders>
                    <w:tl2br w:val="nil"/>
                    <w:tr2bl w:val="nil"/>
                  </w:tcBorders>
                  <w:vAlign w:val="center"/>
                </w:tcPr>
                <w:p w14:paraId="0E54420A">
                  <w:pPr>
                    <w:adjustRightInd w:val="0"/>
                    <w:snapToGrid w:val="0"/>
                    <w:jc w:val="center"/>
                    <w:outlineLvl w:val="9"/>
                    <w:rPr>
                      <w:rFonts w:hint="eastAsia"/>
                      <w:color w:val="auto"/>
                      <w:sz w:val="21"/>
                      <w:szCs w:val="21"/>
                    </w:rPr>
                  </w:pPr>
                  <w:r>
                    <w:rPr>
                      <w:rFonts w:hint="eastAsia"/>
                      <w:color w:val="auto"/>
                      <w:sz w:val="21"/>
                      <w:szCs w:val="21"/>
                    </w:rPr>
                    <w:t>无组织</w:t>
                  </w:r>
                </w:p>
              </w:tc>
              <w:tc>
                <w:tcPr>
                  <w:tcW w:w="384" w:type="pct"/>
                  <w:tcBorders>
                    <w:tl2br w:val="nil"/>
                    <w:tr2bl w:val="nil"/>
                  </w:tcBorders>
                  <w:vAlign w:val="center"/>
                </w:tcPr>
                <w:p w14:paraId="61D03838">
                  <w:pPr>
                    <w:widowControl/>
                    <w:jc w:val="center"/>
                    <w:textAlignment w:val="center"/>
                    <w:outlineLvl w:val="9"/>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lang w:val="en-US" w:eastAsia="zh-CN"/>
                    </w:rPr>
                    <w:t>0.0339</w:t>
                  </w:r>
                </w:p>
              </w:tc>
              <w:tc>
                <w:tcPr>
                  <w:tcW w:w="390" w:type="pct"/>
                  <w:tcBorders>
                    <w:tl2br w:val="nil"/>
                    <w:tr2bl w:val="nil"/>
                  </w:tcBorders>
                  <w:vAlign w:val="center"/>
                </w:tcPr>
                <w:p w14:paraId="481A6FEA">
                  <w:pPr>
                    <w:widowControl/>
                    <w:jc w:val="center"/>
                    <w:textAlignment w:val="center"/>
                    <w:outlineLvl w:val="9"/>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lang w:val="en-US" w:eastAsia="zh-CN"/>
                    </w:rPr>
                    <w:t>0.0181</w:t>
                  </w:r>
                </w:p>
              </w:tc>
              <w:tc>
                <w:tcPr>
                  <w:tcW w:w="351" w:type="pct"/>
                  <w:tcBorders>
                    <w:tl2br w:val="nil"/>
                    <w:tr2bl w:val="nil"/>
                  </w:tcBorders>
                  <w:vAlign w:val="center"/>
                </w:tcPr>
                <w:p w14:paraId="3DC5C85A">
                  <w:pPr>
                    <w:widowControl/>
                    <w:jc w:val="center"/>
                    <w:textAlignment w:val="center"/>
                    <w:outlineLvl w:val="9"/>
                    <w:rPr>
                      <w:color w:val="auto"/>
                      <w:sz w:val="21"/>
                      <w:szCs w:val="21"/>
                    </w:rPr>
                  </w:pPr>
                  <w:r>
                    <w:rPr>
                      <w:color w:val="auto"/>
                      <w:sz w:val="21"/>
                      <w:szCs w:val="21"/>
                    </w:rPr>
                    <w:t>/</w:t>
                  </w:r>
                </w:p>
              </w:tc>
              <w:tc>
                <w:tcPr>
                  <w:tcW w:w="311" w:type="pct"/>
                  <w:tcBorders>
                    <w:tl2br w:val="nil"/>
                    <w:tr2bl w:val="nil"/>
                  </w:tcBorders>
                  <w:vAlign w:val="center"/>
                </w:tcPr>
                <w:p w14:paraId="5AC3F4CA">
                  <w:pPr>
                    <w:adjustRightInd w:val="0"/>
                    <w:snapToGrid w:val="0"/>
                    <w:jc w:val="center"/>
                    <w:outlineLvl w:val="9"/>
                    <w:rPr>
                      <w:rFonts w:hint="eastAsia"/>
                      <w:color w:val="auto"/>
                      <w:sz w:val="21"/>
                      <w:szCs w:val="21"/>
                    </w:rPr>
                  </w:pPr>
                  <w:r>
                    <w:rPr>
                      <w:rFonts w:hint="eastAsia"/>
                      <w:color w:val="auto"/>
                      <w:sz w:val="21"/>
                      <w:szCs w:val="21"/>
                    </w:rPr>
                    <w:t>/</w:t>
                  </w:r>
                </w:p>
              </w:tc>
              <w:tc>
                <w:tcPr>
                  <w:tcW w:w="361" w:type="pct"/>
                  <w:tcBorders>
                    <w:tl2br w:val="nil"/>
                    <w:tr2bl w:val="nil"/>
                  </w:tcBorders>
                  <w:vAlign w:val="center"/>
                </w:tcPr>
                <w:p w14:paraId="2E5D1518">
                  <w:pPr>
                    <w:adjustRightInd w:val="0"/>
                    <w:snapToGrid w:val="0"/>
                    <w:jc w:val="center"/>
                    <w:outlineLvl w:val="9"/>
                    <w:rPr>
                      <w:color w:val="auto"/>
                      <w:sz w:val="21"/>
                      <w:szCs w:val="21"/>
                    </w:rPr>
                  </w:pPr>
                  <w:r>
                    <w:rPr>
                      <w:color w:val="auto"/>
                      <w:sz w:val="21"/>
                      <w:szCs w:val="21"/>
                    </w:rPr>
                    <w:t>/</w:t>
                  </w:r>
                </w:p>
              </w:tc>
              <w:tc>
                <w:tcPr>
                  <w:tcW w:w="281" w:type="pct"/>
                  <w:tcBorders>
                    <w:tl2br w:val="nil"/>
                    <w:tr2bl w:val="nil"/>
                  </w:tcBorders>
                  <w:vAlign w:val="center"/>
                </w:tcPr>
                <w:p w14:paraId="26146BD4">
                  <w:pPr>
                    <w:adjustRightInd w:val="0"/>
                    <w:snapToGrid w:val="0"/>
                    <w:jc w:val="center"/>
                    <w:outlineLvl w:val="9"/>
                    <w:rPr>
                      <w:rFonts w:hint="eastAsia"/>
                      <w:color w:val="auto"/>
                      <w:sz w:val="21"/>
                      <w:szCs w:val="21"/>
                    </w:rPr>
                  </w:pPr>
                  <w:r>
                    <w:rPr>
                      <w:rFonts w:hint="eastAsia"/>
                      <w:color w:val="auto"/>
                      <w:sz w:val="21"/>
                      <w:szCs w:val="21"/>
                    </w:rPr>
                    <w:t>/</w:t>
                  </w:r>
                </w:p>
              </w:tc>
              <w:tc>
                <w:tcPr>
                  <w:tcW w:w="307" w:type="pct"/>
                  <w:tcBorders>
                    <w:tl2br w:val="nil"/>
                    <w:tr2bl w:val="nil"/>
                  </w:tcBorders>
                  <w:vAlign w:val="center"/>
                </w:tcPr>
                <w:p w14:paraId="58479F48">
                  <w:pPr>
                    <w:adjustRightInd w:val="0"/>
                    <w:snapToGrid w:val="0"/>
                    <w:jc w:val="center"/>
                    <w:outlineLvl w:val="9"/>
                    <w:rPr>
                      <w:color w:val="auto"/>
                      <w:sz w:val="21"/>
                      <w:szCs w:val="21"/>
                    </w:rPr>
                  </w:pPr>
                  <w:r>
                    <w:rPr>
                      <w:color w:val="auto"/>
                      <w:sz w:val="21"/>
                      <w:szCs w:val="21"/>
                    </w:rPr>
                    <w:t>/</w:t>
                  </w:r>
                </w:p>
              </w:tc>
              <w:tc>
                <w:tcPr>
                  <w:tcW w:w="872" w:type="dxa"/>
                  <w:tcBorders>
                    <w:tl2br w:val="nil"/>
                    <w:tr2bl w:val="nil"/>
                  </w:tcBorders>
                  <w:vAlign w:val="center"/>
                </w:tcPr>
                <w:p w14:paraId="2A2B57F0">
                  <w:pPr>
                    <w:widowControl/>
                    <w:jc w:val="center"/>
                    <w:textAlignment w:val="center"/>
                    <w:outlineLvl w:val="9"/>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lang w:val="en-US" w:eastAsia="zh-CN"/>
                    </w:rPr>
                    <w:t>0.0339</w:t>
                  </w:r>
                </w:p>
              </w:tc>
              <w:tc>
                <w:tcPr>
                  <w:tcW w:w="872" w:type="dxa"/>
                  <w:tcBorders>
                    <w:tl2br w:val="nil"/>
                    <w:tr2bl w:val="nil"/>
                  </w:tcBorders>
                  <w:vAlign w:val="center"/>
                </w:tcPr>
                <w:p w14:paraId="2FE70EB7">
                  <w:pPr>
                    <w:widowControl/>
                    <w:jc w:val="center"/>
                    <w:textAlignment w:val="center"/>
                    <w:outlineLvl w:val="9"/>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lang w:val="en-US" w:eastAsia="zh-CN"/>
                    </w:rPr>
                    <w:t>0.0181</w:t>
                  </w:r>
                </w:p>
              </w:tc>
              <w:tc>
                <w:tcPr>
                  <w:tcW w:w="344" w:type="pct"/>
                  <w:tcBorders>
                    <w:tl2br w:val="nil"/>
                    <w:tr2bl w:val="nil"/>
                  </w:tcBorders>
                  <w:vAlign w:val="center"/>
                </w:tcPr>
                <w:p w14:paraId="3D858A02">
                  <w:pPr>
                    <w:widowControl/>
                    <w:jc w:val="center"/>
                    <w:textAlignment w:val="center"/>
                    <w:outlineLvl w:val="9"/>
                    <w:rPr>
                      <w:color w:val="auto"/>
                      <w:sz w:val="21"/>
                      <w:szCs w:val="21"/>
                    </w:rPr>
                  </w:pPr>
                  <w:r>
                    <w:rPr>
                      <w:color w:val="auto"/>
                      <w:sz w:val="21"/>
                      <w:szCs w:val="21"/>
                    </w:rPr>
                    <w:t>/</w:t>
                  </w:r>
                </w:p>
              </w:tc>
              <w:tc>
                <w:tcPr>
                  <w:tcW w:w="253" w:type="pct"/>
                  <w:tcBorders>
                    <w:tl2br w:val="nil"/>
                    <w:tr2bl w:val="nil"/>
                  </w:tcBorders>
                  <w:vAlign w:val="center"/>
                </w:tcPr>
                <w:p w14:paraId="003F25EB">
                  <w:pPr>
                    <w:widowControl/>
                    <w:jc w:val="center"/>
                    <w:textAlignment w:val="center"/>
                    <w:outlineLvl w:val="9"/>
                    <w:rPr>
                      <w:rFonts w:hint="eastAsia"/>
                      <w:color w:val="auto"/>
                      <w:kern w:val="0"/>
                      <w:sz w:val="21"/>
                      <w:szCs w:val="21"/>
                      <w:lang w:val="en-US" w:eastAsia="zh-CN" w:bidi="ar"/>
                    </w:rPr>
                  </w:pPr>
                  <w:r>
                    <w:rPr>
                      <w:rFonts w:hint="default" w:ascii="Times New Roman" w:hAnsi="Times New Roman" w:cs="Times New Roman"/>
                      <w:color w:val="auto"/>
                      <w:sz w:val="21"/>
                      <w:szCs w:val="21"/>
                      <w:highlight w:val="none"/>
                      <w:lang w:val="en-US" w:eastAsia="zh-CN"/>
                    </w:rPr>
                    <w:t>1875</w:t>
                  </w:r>
                </w:p>
              </w:tc>
              <w:tc>
                <w:tcPr>
                  <w:tcW w:w="339" w:type="pct"/>
                  <w:tcBorders>
                    <w:tl2br w:val="nil"/>
                    <w:tr2bl w:val="nil"/>
                  </w:tcBorders>
                  <w:vAlign w:val="center"/>
                </w:tcPr>
                <w:p w14:paraId="58299381">
                  <w:pPr>
                    <w:widowControl/>
                    <w:jc w:val="center"/>
                    <w:textAlignment w:val="center"/>
                    <w:outlineLvl w:val="9"/>
                    <w:rPr>
                      <w:rFonts w:hint="eastAsia"/>
                      <w:color w:val="auto"/>
                      <w:kern w:val="0"/>
                      <w:sz w:val="21"/>
                      <w:szCs w:val="21"/>
                      <w:lang w:bidi="ar"/>
                    </w:rPr>
                  </w:pPr>
                  <w:r>
                    <w:rPr>
                      <w:color w:val="auto"/>
                      <w:sz w:val="21"/>
                      <w:szCs w:val="21"/>
                    </w:rPr>
                    <w:t>/</w:t>
                  </w:r>
                </w:p>
              </w:tc>
            </w:tr>
            <w:bookmarkEnd w:id="207"/>
            <w:tr w14:paraId="4C534E60">
              <w:tblPrEx>
                <w:tblBorders>
                  <w:top w:val="single" w:color="auto" w:sz="6" w:space="0"/>
                  <w:left w:val="single" w:color="auto" w:sz="6" w:space="0"/>
                  <w:bottom w:val="single" w:color="auto" w:sz="6" w:space="0"/>
                  <w:right w:val="single" w:color="auto" w:sz="6"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302" w:type="pct"/>
                  <w:tcBorders>
                    <w:tl2br w:val="nil"/>
                    <w:tr2bl w:val="nil"/>
                  </w:tcBorders>
                  <w:vAlign w:val="center"/>
                </w:tcPr>
                <w:p w14:paraId="3096F397">
                  <w:pPr>
                    <w:adjustRightInd w:val="0"/>
                    <w:snapToGrid w:val="0"/>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喷码</w:t>
                  </w:r>
                </w:p>
              </w:tc>
              <w:tc>
                <w:tcPr>
                  <w:tcW w:w="757" w:type="dxa"/>
                  <w:tcBorders>
                    <w:tl2br w:val="nil"/>
                    <w:tr2bl w:val="nil"/>
                  </w:tcBorders>
                  <w:vAlign w:val="center"/>
                </w:tcPr>
                <w:p w14:paraId="5A18EE3B">
                  <w:pPr>
                    <w:adjustRightInd w:val="0"/>
                    <w:snapToGrid w:val="0"/>
                    <w:jc w:val="center"/>
                    <w:outlineLvl w:val="9"/>
                    <w:rPr>
                      <w:rFonts w:hint="eastAsia"/>
                      <w:color w:val="auto"/>
                      <w:sz w:val="21"/>
                      <w:szCs w:val="21"/>
                      <w:lang w:val="en-US" w:eastAsia="zh-CN"/>
                    </w:rPr>
                  </w:pPr>
                  <w:r>
                    <w:rPr>
                      <w:rFonts w:hint="eastAsia"/>
                      <w:color w:val="auto"/>
                      <w:sz w:val="21"/>
                      <w:szCs w:val="21"/>
                      <w:lang w:val="en-US" w:eastAsia="zh-CN"/>
                    </w:rPr>
                    <w:t>非甲烷总烃</w:t>
                  </w:r>
                </w:p>
              </w:tc>
              <w:tc>
                <w:tcPr>
                  <w:tcW w:w="691" w:type="dxa"/>
                  <w:tcBorders>
                    <w:tl2br w:val="nil"/>
                    <w:tr2bl w:val="nil"/>
                  </w:tcBorders>
                  <w:vAlign w:val="center"/>
                </w:tcPr>
                <w:p w14:paraId="64074A0C">
                  <w:pPr>
                    <w:adjustRightInd w:val="0"/>
                    <w:snapToGrid w:val="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无组织</w:t>
                  </w:r>
                </w:p>
              </w:tc>
              <w:tc>
                <w:tcPr>
                  <w:tcW w:w="384" w:type="pct"/>
                  <w:tcBorders>
                    <w:tl2br w:val="nil"/>
                    <w:tr2bl w:val="nil"/>
                  </w:tcBorders>
                  <w:vAlign w:val="center"/>
                </w:tcPr>
                <w:p w14:paraId="5BFBBBEF">
                  <w:pPr>
                    <w:widowControl/>
                    <w:jc w:val="center"/>
                    <w:textAlignment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0.010</w:t>
                  </w:r>
                  <w:r>
                    <w:rPr>
                      <w:rFonts w:hint="default" w:ascii="Times New Roman" w:hAnsi="Times New Roman" w:cs="Times New Roman"/>
                      <w:color w:val="auto"/>
                      <w:sz w:val="21"/>
                      <w:szCs w:val="21"/>
                      <w:lang w:val="en-US" w:eastAsia="zh-CN"/>
                    </w:rPr>
                    <w:t>4</w:t>
                  </w:r>
                </w:p>
              </w:tc>
              <w:tc>
                <w:tcPr>
                  <w:tcW w:w="390" w:type="pct"/>
                  <w:tcBorders>
                    <w:tl2br w:val="nil"/>
                    <w:tr2bl w:val="nil"/>
                  </w:tcBorders>
                  <w:vAlign w:val="center"/>
                </w:tcPr>
                <w:p w14:paraId="6CE4AFAB">
                  <w:pPr>
                    <w:widowControl/>
                    <w:jc w:val="center"/>
                    <w:textAlignment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0.0055</w:t>
                  </w:r>
                </w:p>
              </w:tc>
              <w:tc>
                <w:tcPr>
                  <w:tcW w:w="816" w:type="dxa"/>
                  <w:tcBorders>
                    <w:tl2br w:val="nil"/>
                    <w:tr2bl w:val="nil"/>
                  </w:tcBorders>
                  <w:vAlign w:val="center"/>
                </w:tcPr>
                <w:p w14:paraId="7C5D39C4">
                  <w:pPr>
                    <w:widowControl/>
                    <w:jc w:val="center"/>
                    <w:textAlignment w:val="center"/>
                    <w:outlineLvl w:val="9"/>
                    <w:rPr>
                      <w:color w:val="auto"/>
                      <w:sz w:val="21"/>
                      <w:szCs w:val="21"/>
                    </w:rPr>
                  </w:pPr>
                  <w:r>
                    <w:rPr>
                      <w:color w:val="auto"/>
                      <w:sz w:val="21"/>
                      <w:szCs w:val="21"/>
                    </w:rPr>
                    <w:t>/</w:t>
                  </w:r>
                </w:p>
              </w:tc>
              <w:tc>
                <w:tcPr>
                  <w:tcW w:w="723" w:type="dxa"/>
                  <w:tcBorders>
                    <w:tl2br w:val="nil"/>
                    <w:tr2bl w:val="nil"/>
                  </w:tcBorders>
                  <w:vAlign w:val="center"/>
                </w:tcPr>
                <w:p w14:paraId="367B4B37">
                  <w:pPr>
                    <w:adjustRightInd w:val="0"/>
                    <w:snapToGrid w:val="0"/>
                    <w:jc w:val="center"/>
                    <w:outlineLvl w:val="9"/>
                    <w:rPr>
                      <w:rFonts w:hint="eastAsia"/>
                      <w:color w:val="auto"/>
                      <w:sz w:val="21"/>
                      <w:szCs w:val="21"/>
                    </w:rPr>
                  </w:pPr>
                  <w:r>
                    <w:rPr>
                      <w:rFonts w:hint="eastAsia"/>
                      <w:color w:val="auto"/>
                      <w:sz w:val="21"/>
                      <w:szCs w:val="21"/>
                    </w:rPr>
                    <w:t>/</w:t>
                  </w:r>
                </w:p>
              </w:tc>
              <w:tc>
                <w:tcPr>
                  <w:tcW w:w="840" w:type="dxa"/>
                  <w:tcBorders>
                    <w:tl2br w:val="nil"/>
                    <w:tr2bl w:val="nil"/>
                  </w:tcBorders>
                  <w:vAlign w:val="center"/>
                </w:tcPr>
                <w:p w14:paraId="456A0E7E">
                  <w:pPr>
                    <w:adjustRightInd w:val="0"/>
                    <w:snapToGrid w:val="0"/>
                    <w:jc w:val="center"/>
                    <w:outlineLvl w:val="9"/>
                    <w:rPr>
                      <w:color w:val="auto"/>
                      <w:sz w:val="21"/>
                      <w:szCs w:val="21"/>
                    </w:rPr>
                  </w:pPr>
                  <w:r>
                    <w:rPr>
                      <w:color w:val="auto"/>
                      <w:sz w:val="21"/>
                      <w:szCs w:val="21"/>
                    </w:rPr>
                    <w:t>/</w:t>
                  </w:r>
                </w:p>
              </w:tc>
              <w:tc>
                <w:tcPr>
                  <w:tcW w:w="653" w:type="dxa"/>
                  <w:tcBorders>
                    <w:tl2br w:val="nil"/>
                    <w:tr2bl w:val="nil"/>
                  </w:tcBorders>
                  <w:vAlign w:val="center"/>
                </w:tcPr>
                <w:p w14:paraId="050BEAFE">
                  <w:pPr>
                    <w:adjustRightInd w:val="0"/>
                    <w:snapToGrid w:val="0"/>
                    <w:jc w:val="center"/>
                    <w:outlineLvl w:val="9"/>
                    <w:rPr>
                      <w:rFonts w:hint="eastAsia"/>
                      <w:color w:val="auto"/>
                      <w:sz w:val="21"/>
                      <w:szCs w:val="21"/>
                    </w:rPr>
                  </w:pPr>
                  <w:r>
                    <w:rPr>
                      <w:rFonts w:hint="eastAsia"/>
                      <w:color w:val="auto"/>
                      <w:sz w:val="21"/>
                      <w:szCs w:val="21"/>
                    </w:rPr>
                    <w:t>/</w:t>
                  </w:r>
                </w:p>
              </w:tc>
              <w:tc>
                <w:tcPr>
                  <w:tcW w:w="716" w:type="dxa"/>
                  <w:tcBorders>
                    <w:tl2br w:val="nil"/>
                    <w:tr2bl w:val="nil"/>
                  </w:tcBorders>
                  <w:vAlign w:val="center"/>
                </w:tcPr>
                <w:p w14:paraId="2A31AF03">
                  <w:pPr>
                    <w:adjustRightInd w:val="0"/>
                    <w:snapToGrid w:val="0"/>
                    <w:jc w:val="center"/>
                    <w:outlineLvl w:val="9"/>
                    <w:rPr>
                      <w:color w:val="auto"/>
                      <w:sz w:val="21"/>
                      <w:szCs w:val="21"/>
                    </w:rPr>
                  </w:pPr>
                  <w:r>
                    <w:rPr>
                      <w:color w:val="auto"/>
                      <w:sz w:val="21"/>
                      <w:szCs w:val="21"/>
                    </w:rPr>
                    <w:t>/</w:t>
                  </w:r>
                </w:p>
              </w:tc>
              <w:tc>
                <w:tcPr>
                  <w:tcW w:w="872" w:type="dxa"/>
                  <w:tcBorders>
                    <w:tl2br w:val="nil"/>
                    <w:tr2bl w:val="nil"/>
                  </w:tcBorders>
                  <w:vAlign w:val="center"/>
                </w:tcPr>
                <w:p w14:paraId="13922874">
                  <w:pPr>
                    <w:widowControl/>
                    <w:jc w:val="center"/>
                    <w:textAlignment w:val="center"/>
                    <w:outlineLvl w:val="9"/>
                    <w:rPr>
                      <w:rFonts w:hint="eastAsia" w:cs="Times New Roman"/>
                      <w:color w:val="auto"/>
                      <w:sz w:val="21"/>
                      <w:szCs w:val="21"/>
                      <w:highlight w:val="none"/>
                      <w:lang w:val="en-US" w:eastAsia="zh-CN"/>
                    </w:rPr>
                  </w:pPr>
                  <w:r>
                    <w:rPr>
                      <w:rFonts w:hint="eastAsia" w:ascii="宋体" w:hAnsi="宋体" w:eastAsia="宋体" w:cs="宋体"/>
                      <w:color w:val="auto"/>
                      <w:sz w:val="21"/>
                      <w:szCs w:val="21"/>
                      <w:lang w:val="en-US" w:eastAsia="zh-CN"/>
                    </w:rPr>
                    <w:t>0.010</w:t>
                  </w:r>
                  <w:r>
                    <w:rPr>
                      <w:rFonts w:hint="eastAsia" w:ascii="宋体" w:hAnsi="宋体" w:cs="宋体"/>
                      <w:color w:val="auto"/>
                      <w:sz w:val="21"/>
                      <w:szCs w:val="21"/>
                      <w:lang w:val="en-US" w:eastAsia="zh-CN"/>
                    </w:rPr>
                    <w:t>4</w:t>
                  </w:r>
                </w:p>
              </w:tc>
              <w:tc>
                <w:tcPr>
                  <w:tcW w:w="872" w:type="dxa"/>
                  <w:tcBorders>
                    <w:tl2br w:val="nil"/>
                    <w:tr2bl w:val="nil"/>
                  </w:tcBorders>
                  <w:vAlign w:val="center"/>
                </w:tcPr>
                <w:p w14:paraId="069818AE">
                  <w:pPr>
                    <w:widowControl/>
                    <w:jc w:val="center"/>
                    <w:textAlignment w:val="center"/>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0.0055</w:t>
                  </w:r>
                </w:p>
              </w:tc>
              <w:tc>
                <w:tcPr>
                  <w:tcW w:w="800" w:type="dxa"/>
                  <w:tcBorders>
                    <w:tl2br w:val="nil"/>
                    <w:tr2bl w:val="nil"/>
                  </w:tcBorders>
                  <w:vAlign w:val="center"/>
                </w:tcPr>
                <w:p w14:paraId="4102E019">
                  <w:pPr>
                    <w:widowControl/>
                    <w:jc w:val="center"/>
                    <w:textAlignment w:val="center"/>
                    <w:outlineLvl w:val="9"/>
                    <w:rPr>
                      <w:color w:val="auto"/>
                      <w:sz w:val="21"/>
                      <w:szCs w:val="21"/>
                    </w:rPr>
                  </w:pPr>
                  <w:r>
                    <w:rPr>
                      <w:color w:val="auto"/>
                      <w:sz w:val="21"/>
                      <w:szCs w:val="21"/>
                    </w:rPr>
                    <w:t>/</w:t>
                  </w:r>
                </w:p>
              </w:tc>
              <w:tc>
                <w:tcPr>
                  <w:tcW w:w="636" w:type="dxa"/>
                  <w:tcBorders>
                    <w:tl2br w:val="nil"/>
                    <w:tr2bl w:val="nil"/>
                  </w:tcBorders>
                  <w:vAlign w:val="center"/>
                </w:tcPr>
                <w:p w14:paraId="4D562629">
                  <w:pPr>
                    <w:widowControl/>
                    <w:jc w:val="center"/>
                    <w:textAlignment w:val="center"/>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1875</w:t>
                  </w:r>
                </w:p>
              </w:tc>
              <w:tc>
                <w:tcPr>
                  <w:tcW w:w="788" w:type="dxa"/>
                  <w:tcBorders>
                    <w:tl2br w:val="nil"/>
                    <w:tr2bl w:val="nil"/>
                  </w:tcBorders>
                  <w:vAlign w:val="center"/>
                </w:tcPr>
                <w:p w14:paraId="67AFA00F">
                  <w:pPr>
                    <w:widowControl/>
                    <w:jc w:val="center"/>
                    <w:textAlignment w:val="center"/>
                    <w:outlineLvl w:val="9"/>
                    <w:rPr>
                      <w:color w:val="auto"/>
                      <w:sz w:val="21"/>
                      <w:szCs w:val="21"/>
                    </w:rPr>
                  </w:pPr>
                  <w:r>
                    <w:rPr>
                      <w:color w:val="auto"/>
                      <w:sz w:val="21"/>
                      <w:szCs w:val="21"/>
                    </w:rPr>
                    <w:t>/</w:t>
                  </w:r>
                </w:p>
              </w:tc>
            </w:tr>
          </w:tbl>
          <w:p w14:paraId="5A4201C2">
            <w:pPr>
              <w:spacing w:line="360" w:lineRule="auto"/>
              <w:ind w:firstLine="482" w:firstLineChars="200"/>
              <w:outlineLvl w:val="9"/>
              <w:rPr>
                <w:b/>
                <w:bCs/>
                <w:color w:val="auto"/>
                <w:sz w:val="24"/>
              </w:rPr>
            </w:pPr>
            <w:r>
              <w:rPr>
                <w:rFonts w:hint="eastAsia"/>
                <w:b/>
                <w:bCs/>
                <w:color w:val="auto"/>
                <w:sz w:val="24"/>
                <w:lang w:val="en-US" w:eastAsia="zh-CN"/>
              </w:rPr>
              <w:t>2</w:t>
            </w:r>
            <w:r>
              <w:rPr>
                <w:rFonts w:hint="eastAsia"/>
                <w:b/>
                <w:bCs/>
                <w:color w:val="auto"/>
                <w:sz w:val="24"/>
              </w:rPr>
              <w:t>、</w:t>
            </w:r>
            <w:r>
              <w:rPr>
                <w:b/>
                <w:bCs/>
                <w:color w:val="auto"/>
                <w:sz w:val="24"/>
              </w:rPr>
              <w:t>废气达标分析</w:t>
            </w:r>
          </w:p>
          <w:p w14:paraId="4FE63989">
            <w:pPr>
              <w:adjustRightInd w:val="0"/>
              <w:snapToGrid w:val="0"/>
              <w:spacing w:before="120" w:beforeLines="50"/>
              <w:jc w:val="center"/>
              <w:outlineLvl w:val="9"/>
              <w:rPr>
                <w:b/>
                <w:color w:val="auto"/>
                <w:kern w:val="0"/>
                <w:szCs w:val="21"/>
              </w:rPr>
            </w:pPr>
            <w:r>
              <w:rPr>
                <w:b/>
                <w:color w:val="auto"/>
                <w:kern w:val="0"/>
                <w:szCs w:val="21"/>
              </w:rPr>
              <w:t>表4-</w:t>
            </w:r>
            <w:r>
              <w:rPr>
                <w:rFonts w:hint="eastAsia"/>
                <w:b/>
                <w:color w:val="auto"/>
                <w:kern w:val="0"/>
                <w:szCs w:val="21"/>
                <w:lang w:val="en-US" w:eastAsia="zh-CN"/>
              </w:rPr>
              <w:t>2</w:t>
            </w:r>
            <w:r>
              <w:rPr>
                <w:b/>
                <w:color w:val="auto"/>
                <w:kern w:val="0"/>
                <w:szCs w:val="21"/>
              </w:rPr>
              <w:t xml:space="preserve">  </w:t>
            </w:r>
            <w:r>
              <w:rPr>
                <w:rFonts w:hint="eastAsia"/>
                <w:b/>
                <w:color w:val="auto"/>
                <w:kern w:val="0"/>
                <w:szCs w:val="21"/>
                <w:lang w:val="en-US" w:eastAsia="zh-CN"/>
              </w:rPr>
              <w:t>厂界</w:t>
            </w:r>
            <w:r>
              <w:rPr>
                <w:b/>
                <w:color w:val="auto"/>
                <w:kern w:val="0"/>
                <w:szCs w:val="21"/>
              </w:rPr>
              <w:t>无组织废气达标分析</w:t>
            </w:r>
          </w:p>
          <w:tbl>
            <w:tblPr>
              <w:tblStyle w:val="32"/>
              <w:tblW w:w="4990"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1087"/>
              <w:gridCol w:w="1197"/>
              <w:gridCol w:w="1386"/>
              <w:gridCol w:w="1657"/>
              <w:gridCol w:w="1699"/>
              <w:gridCol w:w="1727"/>
              <w:gridCol w:w="1428"/>
              <w:gridCol w:w="840"/>
            </w:tblGrid>
            <w:tr w14:paraId="6D03CD4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restart"/>
                  <w:tcBorders>
                    <w:tl2br w:val="nil"/>
                    <w:tr2bl w:val="nil"/>
                  </w:tcBorders>
                  <w:vAlign w:val="center"/>
                </w:tcPr>
                <w:p w14:paraId="6D7E0F1F">
                  <w:pPr>
                    <w:adjustRightInd w:val="0"/>
                    <w:snapToGrid w:val="0"/>
                    <w:jc w:val="center"/>
                    <w:outlineLvl w:val="9"/>
                    <w:rPr>
                      <w:b/>
                      <w:color w:val="auto"/>
                      <w:spacing w:val="-10"/>
                      <w:szCs w:val="21"/>
                    </w:rPr>
                  </w:pPr>
                  <w:r>
                    <w:rPr>
                      <w:b/>
                      <w:color w:val="auto"/>
                      <w:spacing w:val="-10"/>
                      <w:szCs w:val="21"/>
                    </w:rPr>
                    <w:t>序号</w:t>
                  </w:r>
                </w:p>
              </w:tc>
              <w:tc>
                <w:tcPr>
                  <w:tcW w:w="465" w:type="pct"/>
                  <w:vMerge w:val="restart"/>
                  <w:tcBorders>
                    <w:tl2br w:val="nil"/>
                    <w:tr2bl w:val="nil"/>
                  </w:tcBorders>
                  <w:vAlign w:val="center"/>
                </w:tcPr>
                <w:p w14:paraId="42B804D7">
                  <w:pPr>
                    <w:adjustRightInd w:val="0"/>
                    <w:snapToGrid w:val="0"/>
                    <w:jc w:val="center"/>
                    <w:outlineLvl w:val="9"/>
                    <w:rPr>
                      <w:b/>
                      <w:color w:val="auto"/>
                      <w:spacing w:val="-10"/>
                      <w:szCs w:val="21"/>
                    </w:rPr>
                  </w:pPr>
                  <w:r>
                    <w:rPr>
                      <w:b/>
                      <w:color w:val="auto"/>
                      <w:spacing w:val="-10"/>
                      <w:szCs w:val="21"/>
                    </w:rPr>
                    <w:t>面源名称</w:t>
                  </w:r>
                </w:p>
              </w:tc>
              <w:tc>
                <w:tcPr>
                  <w:tcW w:w="512" w:type="pct"/>
                  <w:vMerge w:val="restart"/>
                  <w:tcBorders>
                    <w:tl2br w:val="nil"/>
                    <w:tr2bl w:val="nil"/>
                  </w:tcBorders>
                  <w:vAlign w:val="center"/>
                </w:tcPr>
                <w:p w14:paraId="1AF3C77A">
                  <w:pPr>
                    <w:adjustRightInd w:val="0"/>
                    <w:snapToGrid w:val="0"/>
                    <w:jc w:val="center"/>
                    <w:outlineLvl w:val="9"/>
                    <w:rPr>
                      <w:b/>
                      <w:color w:val="auto"/>
                      <w:spacing w:val="-10"/>
                      <w:szCs w:val="21"/>
                    </w:rPr>
                  </w:pPr>
                  <w:r>
                    <w:rPr>
                      <w:b/>
                      <w:color w:val="auto"/>
                      <w:spacing w:val="-10"/>
                      <w:szCs w:val="21"/>
                    </w:rPr>
                    <w:t>污染物种类</w:t>
                  </w:r>
                </w:p>
              </w:tc>
              <w:tc>
                <w:tcPr>
                  <w:tcW w:w="2029" w:type="pct"/>
                  <w:gridSpan w:val="3"/>
                  <w:tcBorders>
                    <w:tl2br w:val="nil"/>
                    <w:tr2bl w:val="nil"/>
                  </w:tcBorders>
                  <w:vAlign w:val="center"/>
                </w:tcPr>
                <w:p w14:paraId="666DEC56">
                  <w:pPr>
                    <w:adjustRightInd w:val="0"/>
                    <w:snapToGrid w:val="0"/>
                    <w:jc w:val="center"/>
                    <w:outlineLvl w:val="9"/>
                    <w:rPr>
                      <w:b/>
                      <w:color w:val="auto"/>
                      <w:spacing w:val="-10"/>
                      <w:szCs w:val="21"/>
                    </w:rPr>
                  </w:pPr>
                  <w:r>
                    <w:rPr>
                      <w:b/>
                      <w:color w:val="auto"/>
                      <w:spacing w:val="-10"/>
                      <w:szCs w:val="21"/>
                    </w:rPr>
                    <w:t>污染物排放</w:t>
                  </w:r>
                </w:p>
              </w:tc>
              <w:tc>
                <w:tcPr>
                  <w:tcW w:w="1350" w:type="pct"/>
                  <w:gridSpan w:val="2"/>
                  <w:tcBorders>
                    <w:tl2br w:val="nil"/>
                    <w:tr2bl w:val="nil"/>
                  </w:tcBorders>
                  <w:vAlign w:val="center"/>
                </w:tcPr>
                <w:p w14:paraId="0EA98086">
                  <w:pPr>
                    <w:adjustRightInd w:val="0"/>
                    <w:snapToGrid w:val="0"/>
                    <w:jc w:val="center"/>
                    <w:outlineLvl w:val="9"/>
                    <w:rPr>
                      <w:b/>
                      <w:color w:val="auto"/>
                      <w:spacing w:val="-10"/>
                      <w:szCs w:val="21"/>
                    </w:rPr>
                  </w:pPr>
                  <w:r>
                    <w:rPr>
                      <w:b/>
                      <w:color w:val="auto"/>
                      <w:spacing w:val="-10"/>
                      <w:szCs w:val="21"/>
                    </w:rPr>
                    <w:t>排放标准</w:t>
                  </w:r>
                </w:p>
              </w:tc>
              <w:tc>
                <w:tcPr>
                  <w:tcW w:w="359" w:type="pct"/>
                  <w:vMerge w:val="restart"/>
                  <w:tcBorders>
                    <w:tl2br w:val="nil"/>
                    <w:tr2bl w:val="nil"/>
                  </w:tcBorders>
                  <w:vAlign w:val="center"/>
                </w:tcPr>
                <w:p w14:paraId="6220801D">
                  <w:pPr>
                    <w:adjustRightInd w:val="0"/>
                    <w:snapToGrid w:val="0"/>
                    <w:jc w:val="center"/>
                    <w:outlineLvl w:val="9"/>
                    <w:rPr>
                      <w:b/>
                      <w:color w:val="auto"/>
                      <w:spacing w:val="-10"/>
                      <w:szCs w:val="21"/>
                    </w:rPr>
                  </w:pPr>
                  <w:r>
                    <w:rPr>
                      <w:b/>
                      <w:color w:val="auto"/>
                      <w:spacing w:val="-10"/>
                      <w:szCs w:val="21"/>
                    </w:rPr>
                    <w:t>达标情况</w:t>
                  </w:r>
                </w:p>
              </w:tc>
            </w:tr>
            <w:tr w14:paraId="5342CE5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vMerge w:val="continue"/>
                  <w:tcBorders>
                    <w:tl2br w:val="nil"/>
                    <w:tr2bl w:val="nil"/>
                  </w:tcBorders>
                  <w:vAlign w:val="center"/>
                </w:tcPr>
                <w:p w14:paraId="34DADD75">
                  <w:pPr>
                    <w:adjustRightInd w:val="0"/>
                    <w:snapToGrid w:val="0"/>
                    <w:jc w:val="center"/>
                    <w:outlineLvl w:val="9"/>
                    <w:rPr>
                      <w:bCs/>
                      <w:color w:val="auto"/>
                      <w:spacing w:val="-10"/>
                      <w:szCs w:val="21"/>
                    </w:rPr>
                  </w:pPr>
                </w:p>
              </w:tc>
              <w:tc>
                <w:tcPr>
                  <w:tcW w:w="465" w:type="pct"/>
                  <w:vMerge w:val="continue"/>
                  <w:tcBorders>
                    <w:tl2br w:val="nil"/>
                    <w:tr2bl w:val="nil"/>
                  </w:tcBorders>
                  <w:vAlign w:val="center"/>
                </w:tcPr>
                <w:p w14:paraId="285B26AD">
                  <w:pPr>
                    <w:adjustRightInd w:val="0"/>
                    <w:snapToGrid w:val="0"/>
                    <w:jc w:val="center"/>
                    <w:outlineLvl w:val="9"/>
                    <w:rPr>
                      <w:bCs/>
                      <w:color w:val="auto"/>
                      <w:spacing w:val="-10"/>
                      <w:szCs w:val="21"/>
                    </w:rPr>
                  </w:pPr>
                </w:p>
              </w:tc>
              <w:tc>
                <w:tcPr>
                  <w:tcW w:w="512" w:type="pct"/>
                  <w:vMerge w:val="continue"/>
                  <w:tcBorders>
                    <w:tl2br w:val="nil"/>
                    <w:tr2bl w:val="nil"/>
                  </w:tcBorders>
                  <w:vAlign w:val="center"/>
                </w:tcPr>
                <w:p w14:paraId="58F07F71">
                  <w:pPr>
                    <w:adjustRightInd w:val="0"/>
                    <w:snapToGrid w:val="0"/>
                    <w:jc w:val="center"/>
                    <w:outlineLvl w:val="9"/>
                    <w:rPr>
                      <w:bCs/>
                      <w:color w:val="auto"/>
                      <w:spacing w:val="-10"/>
                      <w:szCs w:val="21"/>
                    </w:rPr>
                  </w:pPr>
                </w:p>
              </w:tc>
              <w:tc>
                <w:tcPr>
                  <w:tcW w:w="593" w:type="pct"/>
                  <w:tcBorders>
                    <w:tl2br w:val="nil"/>
                    <w:tr2bl w:val="nil"/>
                  </w:tcBorders>
                  <w:vAlign w:val="center"/>
                </w:tcPr>
                <w:p w14:paraId="69FD2730">
                  <w:pPr>
                    <w:adjustRightInd w:val="0"/>
                    <w:snapToGrid w:val="0"/>
                    <w:jc w:val="center"/>
                    <w:outlineLvl w:val="9"/>
                    <w:rPr>
                      <w:b/>
                      <w:color w:val="auto"/>
                      <w:spacing w:val="-10"/>
                      <w:szCs w:val="21"/>
                    </w:rPr>
                  </w:pPr>
                  <w:r>
                    <w:rPr>
                      <w:b/>
                      <w:color w:val="auto"/>
                      <w:spacing w:val="-10"/>
                      <w:szCs w:val="21"/>
                    </w:rPr>
                    <w:t>排放量t/a</w:t>
                  </w:r>
                </w:p>
              </w:tc>
              <w:tc>
                <w:tcPr>
                  <w:tcW w:w="709" w:type="pct"/>
                  <w:tcBorders>
                    <w:tl2br w:val="nil"/>
                    <w:tr2bl w:val="nil"/>
                  </w:tcBorders>
                  <w:vAlign w:val="center"/>
                </w:tcPr>
                <w:p w14:paraId="4BDD186B">
                  <w:pPr>
                    <w:adjustRightInd w:val="0"/>
                    <w:snapToGrid w:val="0"/>
                    <w:jc w:val="center"/>
                    <w:outlineLvl w:val="9"/>
                    <w:rPr>
                      <w:b/>
                      <w:color w:val="auto"/>
                      <w:spacing w:val="-10"/>
                      <w:szCs w:val="21"/>
                    </w:rPr>
                  </w:pPr>
                  <w:r>
                    <w:rPr>
                      <w:b/>
                      <w:color w:val="auto"/>
                      <w:spacing w:val="-10"/>
                      <w:szCs w:val="21"/>
                    </w:rPr>
                    <w:t>排放速率kg/h</w:t>
                  </w:r>
                </w:p>
              </w:tc>
              <w:tc>
                <w:tcPr>
                  <w:tcW w:w="727" w:type="pct"/>
                  <w:tcBorders>
                    <w:tl2br w:val="nil"/>
                    <w:tr2bl w:val="nil"/>
                  </w:tcBorders>
                  <w:vAlign w:val="center"/>
                </w:tcPr>
                <w:p w14:paraId="65B1C566">
                  <w:pPr>
                    <w:adjustRightInd w:val="0"/>
                    <w:snapToGrid w:val="0"/>
                    <w:jc w:val="center"/>
                    <w:outlineLvl w:val="9"/>
                    <w:rPr>
                      <w:b/>
                      <w:color w:val="auto"/>
                      <w:spacing w:val="-10"/>
                      <w:szCs w:val="21"/>
                    </w:rPr>
                  </w:pPr>
                  <w:r>
                    <w:rPr>
                      <w:rFonts w:hint="eastAsia"/>
                      <w:b/>
                      <w:color w:val="auto"/>
                      <w:spacing w:val="-10"/>
                      <w:szCs w:val="21"/>
                      <w:lang w:val="en-US" w:eastAsia="zh-CN"/>
                    </w:rPr>
                    <w:t>最大落地</w:t>
                  </w:r>
                  <w:r>
                    <w:rPr>
                      <w:b/>
                      <w:color w:val="auto"/>
                      <w:spacing w:val="-10"/>
                      <w:szCs w:val="21"/>
                    </w:rPr>
                    <w:t>浓度</w:t>
                  </w:r>
                </w:p>
                <w:p w14:paraId="2B41BC94">
                  <w:pPr>
                    <w:adjustRightInd w:val="0"/>
                    <w:snapToGrid w:val="0"/>
                    <w:jc w:val="center"/>
                    <w:outlineLvl w:val="9"/>
                    <w:rPr>
                      <w:b/>
                      <w:color w:val="auto"/>
                      <w:spacing w:val="-10"/>
                      <w:szCs w:val="21"/>
                    </w:rPr>
                  </w:pPr>
                  <w:r>
                    <w:rPr>
                      <w:b/>
                      <w:color w:val="auto"/>
                      <w:spacing w:val="-10"/>
                      <w:szCs w:val="21"/>
                    </w:rPr>
                    <w:t>mg/m</w:t>
                  </w:r>
                  <w:r>
                    <w:rPr>
                      <w:b/>
                      <w:color w:val="auto"/>
                      <w:spacing w:val="-10"/>
                      <w:szCs w:val="21"/>
                      <w:vertAlign w:val="superscript"/>
                    </w:rPr>
                    <w:t>3</w:t>
                  </w:r>
                </w:p>
              </w:tc>
              <w:tc>
                <w:tcPr>
                  <w:tcW w:w="739" w:type="pct"/>
                  <w:tcBorders>
                    <w:tl2br w:val="nil"/>
                    <w:tr2bl w:val="nil"/>
                  </w:tcBorders>
                  <w:vAlign w:val="center"/>
                </w:tcPr>
                <w:p w14:paraId="2B30C01D">
                  <w:pPr>
                    <w:adjustRightInd w:val="0"/>
                    <w:snapToGrid w:val="0"/>
                    <w:jc w:val="center"/>
                    <w:outlineLvl w:val="9"/>
                    <w:rPr>
                      <w:b/>
                      <w:color w:val="auto"/>
                      <w:spacing w:val="-10"/>
                      <w:szCs w:val="21"/>
                      <w:highlight w:val="yellow"/>
                    </w:rPr>
                  </w:pPr>
                  <w:r>
                    <w:rPr>
                      <w:b/>
                      <w:color w:val="auto"/>
                      <w:spacing w:val="-10"/>
                      <w:szCs w:val="21"/>
                    </w:rPr>
                    <w:t>监控点位</w:t>
                  </w:r>
                </w:p>
              </w:tc>
              <w:tc>
                <w:tcPr>
                  <w:tcW w:w="610" w:type="pct"/>
                  <w:tcBorders>
                    <w:tl2br w:val="nil"/>
                    <w:tr2bl w:val="nil"/>
                  </w:tcBorders>
                  <w:vAlign w:val="center"/>
                </w:tcPr>
                <w:p w14:paraId="4EDD9197">
                  <w:pPr>
                    <w:adjustRightInd w:val="0"/>
                    <w:snapToGrid w:val="0"/>
                    <w:jc w:val="center"/>
                    <w:outlineLvl w:val="9"/>
                    <w:rPr>
                      <w:b/>
                      <w:color w:val="auto"/>
                      <w:spacing w:val="-10"/>
                      <w:szCs w:val="21"/>
                    </w:rPr>
                  </w:pPr>
                  <w:r>
                    <w:rPr>
                      <w:b/>
                      <w:color w:val="auto"/>
                      <w:spacing w:val="-10"/>
                      <w:szCs w:val="21"/>
                    </w:rPr>
                    <w:t>浓度限值mg/m</w:t>
                  </w:r>
                  <w:r>
                    <w:rPr>
                      <w:b/>
                      <w:color w:val="auto"/>
                      <w:spacing w:val="-10"/>
                      <w:szCs w:val="21"/>
                      <w:vertAlign w:val="superscript"/>
                    </w:rPr>
                    <w:t>3</w:t>
                  </w:r>
                </w:p>
              </w:tc>
              <w:tc>
                <w:tcPr>
                  <w:tcW w:w="359" w:type="pct"/>
                  <w:vMerge w:val="continue"/>
                  <w:tcBorders>
                    <w:tl2br w:val="nil"/>
                    <w:tr2bl w:val="nil"/>
                  </w:tcBorders>
                  <w:vAlign w:val="center"/>
                </w:tcPr>
                <w:p w14:paraId="01893FF0">
                  <w:pPr>
                    <w:adjustRightInd w:val="0"/>
                    <w:snapToGrid w:val="0"/>
                    <w:jc w:val="center"/>
                    <w:outlineLvl w:val="9"/>
                    <w:rPr>
                      <w:bCs/>
                      <w:color w:val="auto"/>
                      <w:spacing w:val="-10"/>
                      <w:szCs w:val="21"/>
                    </w:rPr>
                  </w:pPr>
                </w:p>
              </w:tc>
            </w:tr>
            <w:tr w14:paraId="6238CEF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283" w:type="pct"/>
                  <w:tcBorders>
                    <w:tl2br w:val="nil"/>
                    <w:tr2bl w:val="nil"/>
                  </w:tcBorders>
                  <w:vAlign w:val="center"/>
                </w:tcPr>
                <w:p w14:paraId="0945CFB5">
                  <w:pPr>
                    <w:adjustRightInd w:val="0"/>
                    <w:snapToGrid w:val="0"/>
                    <w:jc w:val="center"/>
                    <w:outlineLvl w:val="9"/>
                    <w:rPr>
                      <w:bCs/>
                      <w:color w:val="auto"/>
                      <w:spacing w:val="-10"/>
                      <w:szCs w:val="21"/>
                    </w:rPr>
                  </w:pPr>
                  <w:r>
                    <w:rPr>
                      <w:bCs/>
                      <w:color w:val="auto"/>
                      <w:spacing w:val="-10"/>
                      <w:szCs w:val="21"/>
                    </w:rPr>
                    <w:t>1</w:t>
                  </w:r>
                </w:p>
              </w:tc>
              <w:tc>
                <w:tcPr>
                  <w:tcW w:w="465" w:type="pct"/>
                  <w:vMerge w:val="restart"/>
                  <w:tcBorders>
                    <w:tl2br w:val="nil"/>
                    <w:tr2bl w:val="nil"/>
                  </w:tcBorders>
                  <w:vAlign w:val="center"/>
                </w:tcPr>
                <w:p w14:paraId="56EEF21E">
                  <w:pPr>
                    <w:pStyle w:val="17"/>
                    <w:adjustRightInd w:val="0"/>
                    <w:snapToGrid w:val="0"/>
                    <w:spacing w:after="0" w:line="240" w:lineRule="auto"/>
                    <w:ind w:left="0" w:leftChars="0"/>
                    <w:jc w:val="center"/>
                    <w:outlineLvl w:val="9"/>
                    <w:rPr>
                      <w:rFonts w:hint="default" w:eastAsia="宋体"/>
                      <w:bCs/>
                      <w:color w:val="auto"/>
                      <w:spacing w:val="-10"/>
                      <w:szCs w:val="21"/>
                      <w:lang w:val="en-US" w:eastAsia="zh-CN"/>
                    </w:rPr>
                  </w:pPr>
                  <w:r>
                    <w:rPr>
                      <w:rFonts w:hint="eastAsia"/>
                      <w:bCs/>
                      <w:color w:val="auto"/>
                      <w:spacing w:val="-10"/>
                      <w:szCs w:val="21"/>
                      <w:lang w:val="en-US" w:eastAsia="zh-CN"/>
                    </w:rPr>
                    <w:t>水油相制备工房</w:t>
                  </w:r>
                </w:p>
              </w:tc>
              <w:tc>
                <w:tcPr>
                  <w:tcW w:w="512" w:type="pct"/>
                  <w:tcBorders>
                    <w:tl2br w:val="nil"/>
                    <w:tr2bl w:val="nil"/>
                  </w:tcBorders>
                  <w:vAlign w:val="center"/>
                </w:tcPr>
                <w:p w14:paraId="6EE1A7EE">
                  <w:pPr>
                    <w:pStyle w:val="87"/>
                    <w:outlineLvl w:val="9"/>
                    <w:rPr>
                      <w:bCs/>
                      <w:color w:val="auto"/>
                      <w:spacing w:val="-10"/>
                      <w:szCs w:val="21"/>
                    </w:rPr>
                  </w:pPr>
                  <w:r>
                    <w:rPr>
                      <w:color w:val="auto"/>
                      <w:szCs w:val="21"/>
                    </w:rPr>
                    <w:t>颗粒物</w:t>
                  </w:r>
                </w:p>
              </w:tc>
              <w:tc>
                <w:tcPr>
                  <w:tcW w:w="593" w:type="pct"/>
                  <w:tcBorders>
                    <w:tl2br w:val="nil"/>
                    <w:tr2bl w:val="nil"/>
                  </w:tcBorders>
                  <w:shd w:val="clear" w:color="auto" w:fill="auto"/>
                  <w:vAlign w:val="center"/>
                </w:tcPr>
                <w:p w14:paraId="17A00190">
                  <w:pPr>
                    <w:widowControl/>
                    <w:jc w:val="center"/>
                    <w:textAlignment w:val="center"/>
                    <w:outlineLvl w:val="9"/>
                    <w:rPr>
                      <w:rFonts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u w:val="none"/>
                      <w:lang w:val="en-US" w:eastAsia="zh-CN"/>
                    </w:rPr>
                    <w:t>0.00</w:t>
                  </w:r>
                  <w:r>
                    <w:rPr>
                      <w:rFonts w:hint="eastAsia" w:cs="Times New Roman"/>
                      <w:color w:val="auto"/>
                      <w:sz w:val="21"/>
                      <w:szCs w:val="21"/>
                      <w:highlight w:val="none"/>
                      <w:u w:val="none"/>
                      <w:lang w:val="en-US" w:eastAsia="zh-CN"/>
                    </w:rPr>
                    <w:t>80</w:t>
                  </w:r>
                </w:p>
              </w:tc>
              <w:tc>
                <w:tcPr>
                  <w:tcW w:w="709" w:type="pct"/>
                  <w:tcBorders>
                    <w:tl2br w:val="nil"/>
                    <w:tr2bl w:val="nil"/>
                  </w:tcBorders>
                  <w:shd w:val="clear" w:color="auto" w:fill="auto"/>
                  <w:vAlign w:val="center"/>
                </w:tcPr>
                <w:p w14:paraId="3731443E">
                  <w:pPr>
                    <w:widowControl/>
                    <w:jc w:val="center"/>
                    <w:textAlignment w:val="center"/>
                    <w:outlineLvl w:val="9"/>
                    <w:rPr>
                      <w:rFonts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u w:val="none"/>
                      <w:lang w:val="en-US" w:eastAsia="zh-CN"/>
                    </w:rPr>
                    <w:t>0.0</w:t>
                  </w:r>
                  <w:r>
                    <w:rPr>
                      <w:rFonts w:hint="eastAsia" w:cs="Times New Roman"/>
                      <w:color w:val="auto"/>
                      <w:sz w:val="21"/>
                      <w:szCs w:val="21"/>
                      <w:highlight w:val="none"/>
                      <w:u w:val="none"/>
                      <w:lang w:val="en-US" w:eastAsia="zh-CN"/>
                    </w:rPr>
                    <w:t>160</w:t>
                  </w:r>
                </w:p>
              </w:tc>
              <w:tc>
                <w:tcPr>
                  <w:tcW w:w="727" w:type="pct"/>
                  <w:tcBorders>
                    <w:tl2br w:val="nil"/>
                    <w:tr2bl w:val="nil"/>
                  </w:tcBorders>
                  <w:vAlign w:val="center"/>
                </w:tcPr>
                <w:p w14:paraId="00C83905">
                  <w:pPr>
                    <w:adjustRightInd w:val="0"/>
                    <w:snapToGrid w:val="0"/>
                    <w:jc w:val="center"/>
                    <w:outlineLvl w:val="9"/>
                    <w:rPr>
                      <w:rFonts w:hint="default" w:eastAsia="宋体"/>
                      <w:bCs/>
                      <w:color w:val="auto"/>
                      <w:spacing w:val="-10"/>
                      <w:szCs w:val="21"/>
                      <w:lang w:val="en-US" w:eastAsia="zh-CN"/>
                    </w:rPr>
                  </w:pPr>
                  <w:r>
                    <w:rPr>
                      <w:rFonts w:hint="eastAsia"/>
                      <w:bCs/>
                      <w:color w:val="auto"/>
                      <w:spacing w:val="-10"/>
                      <w:szCs w:val="21"/>
                      <w:lang w:val="en-US" w:eastAsia="zh-CN"/>
                    </w:rPr>
                    <w:t>0.0148</w:t>
                  </w:r>
                </w:p>
              </w:tc>
              <w:tc>
                <w:tcPr>
                  <w:tcW w:w="739" w:type="pct"/>
                  <w:tcBorders>
                    <w:tl2br w:val="nil"/>
                    <w:tr2bl w:val="nil"/>
                  </w:tcBorders>
                  <w:vAlign w:val="center"/>
                </w:tcPr>
                <w:p w14:paraId="23153376">
                  <w:pPr>
                    <w:adjustRightInd w:val="0"/>
                    <w:snapToGrid w:val="0"/>
                    <w:jc w:val="center"/>
                    <w:outlineLvl w:val="9"/>
                    <w:rPr>
                      <w:bCs/>
                      <w:color w:val="auto"/>
                      <w:spacing w:val="-10"/>
                      <w:szCs w:val="21"/>
                    </w:rPr>
                  </w:pPr>
                  <w:r>
                    <w:rPr>
                      <w:rFonts w:hint="eastAsia"/>
                      <w:bCs/>
                      <w:color w:val="auto"/>
                      <w:spacing w:val="-10"/>
                      <w:szCs w:val="21"/>
                    </w:rPr>
                    <w:t>企业边界</w:t>
                  </w:r>
                </w:p>
              </w:tc>
              <w:tc>
                <w:tcPr>
                  <w:tcW w:w="610" w:type="pct"/>
                  <w:tcBorders>
                    <w:tl2br w:val="nil"/>
                    <w:tr2bl w:val="nil"/>
                  </w:tcBorders>
                  <w:vAlign w:val="center"/>
                </w:tcPr>
                <w:p w14:paraId="53061E4B">
                  <w:pPr>
                    <w:adjustRightInd w:val="0"/>
                    <w:snapToGrid w:val="0"/>
                    <w:jc w:val="center"/>
                    <w:outlineLvl w:val="9"/>
                    <w:rPr>
                      <w:rFonts w:hint="default" w:eastAsia="宋体"/>
                      <w:bCs/>
                      <w:color w:val="auto"/>
                      <w:spacing w:val="-10"/>
                      <w:szCs w:val="21"/>
                      <w:lang w:val="en-US" w:eastAsia="zh-CN"/>
                    </w:rPr>
                  </w:pPr>
                  <w:r>
                    <w:rPr>
                      <w:rFonts w:hint="eastAsia"/>
                      <w:bCs/>
                      <w:color w:val="auto"/>
                      <w:spacing w:val="-10"/>
                      <w:szCs w:val="21"/>
                      <w:lang w:val="en-US" w:eastAsia="zh-CN"/>
                    </w:rPr>
                    <w:t>1.0</w:t>
                  </w:r>
                </w:p>
              </w:tc>
              <w:tc>
                <w:tcPr>
                  <w:tcW w:w="359" w:type="pct"/>
                  <w:tcBorders>
                    <w:tl2br w:val="nil"/>
                    <w:tr2bl w:val="nil"/>
                  </w:tcBorders>
                  <w:vAlign w:val="center"/>
                </w:tcPr>
                <w:p w14:paraId="0A9C3BAA">
                  <w:pPr>
                    <w:adjustRightInd w:val="0"/>
                    <w:snapToGrid w:val="0"/>
                    <w:jc w:val="center"/>
                    <w:outlineLvl w:val="9"/>
                    <w:rPr>
                      <w:color w:val="auto"/>
                      <w:szCs w:val="21"/>
                    </w:rPr>
                  </w:pPr>
                  <w:r>
                    <w:rPr>
                      <w:color w:val="auto"/>
                      <w:szCs w:val="21"/>
                    </w:rPr>
                    <w:t>达标</w:t>
                  </w:r>
                </w:p>
              </w:tc>
            </w:tr>
            <w:tr w14:paraId="0E23037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tcBorders>
                    <w:tl2br w:val="nil"/>
                    <w:tr2bl w:val="nil"/>
                  </w:tcBorders>
                  <w:vAlign w:val="center"/>
                </w:tcPr>
                <w:p w14:paraId="16FB7397">
                  <w:pPr>
                    <w:adjustRightInd w:val="0"/>
                    <w:snapToGrid w:val="0"/>
                    <w:jc w:val="center"/>
                    <w:outlineLvl w:val="9"/>
                    <w:rPr>
                      <w:rFonts w:hint="eastAsia" w:eastAsia="宋体"/>
                      <w:bCs/>
                      <w:color w:val="auto"/>
                      <w:spacing w:val="-10"/>
                      <w:szCs w:val="21"/>
                      <w:lang w:eastAsia="zh-CN"/>
                    </w:rPr>
                  </w:pPr>
                  <w:r>
                    <w:rPr>
                      <w:rFonts w:hint="eastAsia"/>
                      <w:bCs/>
                      <w:color w:val="auto"/>
                      <w:spacing w:val="-10"/>
                      <w:szCs w:val="21"/>
                      <w:lang w:val="en-US" w:eastAsia="zh-CN"/>
                    </w:rPr>
                    <w:t>2</w:t>
                  </w:r>
                </w:p>
              </w:tc>
              <w:tc>
                <w:tcPr>
                  <w:tcW w:w="465" w:type="pct"/>
                  <w:vMerge w:val="continue"/>
                  <w:tcBorders>
                    <w:tl2br w:val="nil"/>
                    <w:tr2bl w:val="nil"/>
                  </w:tcBorders>
                  <w:vAlign w:val="center"/>
                </w:tcPr>
                <w:p w14:paraId="7197C6F3">
                  <w:pPr>
                    <w:pStyle w:val="17"/>
                    <w:adjustRightInd w:val="0"/>
                    <w:snapToGrid w:val="0"/>
                    <w:spacing w:after="0" w:line="240" w:lineRule="auto"/>
                    <w:ind w:left="0" w:leftChars="0"/>
                    <w:jc w:val="center"/>
                    <w:outlineLvl w:val="9"/>
                    <w:rPr>
                      <w:color w:val="auto"/>
                      <w:szCs w:val="21"/>
                    </w:rPr>
                  </w:pPr>
                </w:p>
              </w:tc>
              <w:tc>
                <w:tcPr>
                  <w:tcW w:w="512" w:type="pct"/>
                  <w:tcBorders>
                    <w:tl2br w:val="nil"/>
                    <w:tr2bl w:val="nil"/>
                  </w:tcBorders>
                  <w:vAlign w:val="center"/>
                </w:tcPr>
                <w:p w14:paraId="20FDA5EE">
                  <w:pPr>
                    <w:adjustRightInd w:val="0"/>
                    <w:snapToGrid w:val="0"/>
                    <w:jc w:val="center"/>
                    <w:outlineLvl w:val="9"/>
                    <w:rPr>
                      <w:color w:val="auto"/>
                      <w:szCs w:val="21"/>
                    </w:rPr>
                  </w:pPr>
                  <w:r>
                    <w:rPr>
                      <w:color w:val="auto"/>
                      <w:kern w:val="2"/>
                      <w:szCs w:val="21"/>
                    </w:rPr>
                    <w:t>非甲烷总烃</w:t>
                  </w:r>
                </w:p>
              </w:tc>
              <w:tc>
                <w:tcPr>
                  <w:tcW w:w="1386" w:type="dxa"/>
                  <w:tcBorders>
                    <w:tl2br w:val="nil"/>
                    <w:tr2bl w:val="nil"/>
                  </w:tcBorders>
                  <w:shd w:val="clear" w:color="auto" w:fill="auto"/>
                  <w:vAlign w:val="center"/>
                </w:tcPr>
                <w:p w14:paraId="6F5CC876">
                  <w:pPr>
                    <w:widowControl/>
                    <w:jc w:val="center"/>
                    <w:textAlignment w:val="center"/>
                    <w:outlineLvl w:val="9"/>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sz w:val="21"/>
                      <w:szCs w:val="21"/>
                      <w:highlight w:val="none"/>
                      <w:lang w:val="en-US" w:eastAsia="zh-CN"/>
                    </w:rPr>
                    <w:t>0.0085</w:t>
                  </w:r>
                </w:p>
              </w:tc>
              <w:tc>
                <w:tcPr>
                  <w:tcW w:w="1657" w:type="dxa"/>
                  <w:tcBorders>
                    <w:tl2br w:val="nil"/>
                    <w:tr2bl w:val="nil"/>
                  </w:tcBorders>
                  <w:shd w:val="clear" w:color="auto" w:fill="auto"/>
                  <w:vAlign w:val="center"/>
                </w:tcPr>
                <w:p w14:paraId="063E8F83">
                  <w:pPr>
                    <w:widowControl/>
                    <w:jc w:val="center"/>
                    <w:textAlignment w:val="center"/>
                    <w:outlineLvl w:val="9"/>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sz w:val="21"/>
                      <w:szCs w:val="21"/>
                      <w:highlight w:val="none"/>
                      <w:vertAlign w:val="baseline"/>
                      <w:lang w:val="en-US" w:eastAsia="zh-CN"/>
                    </w:rPr>
                    <w:t>0.0680</w:t>
                  </w:r>
                </w:p>
              </w:tc>
              <w:tc>
                <w:tcPr>
                  <w:tcW w:w="727" w:type="pct"/>
                  <w:tcBorders>
                    <w:tl2br w:val="nil"/>
                    <w:tr2bl w:val="nil"/>
                  </w:tcBorders>
                  <w:vAlign w:val="center"/>
                </w:tcPr>
                <w:p w14:paraId="0519F21E">
                  <w:pPr>
                    <w:adjustRightInd w:val="0"/>
                    <w:snapToGrid w:val="0"/>
                    <w:jc w:val="center"/>
                    <w:outlineLvl w:val="9"/>
                    <w:rPr>
                      <w:rFonts w:hint="default" w:eastAsia="宋体"/>
                      <w:bCs/>
                      <w:color w:val="auto"/>
                      <w:spacing w:val="-10"/>
                      <w:szCs w:val="21"/>
                      <w:lang w:val="en-US" w:eastAsia="zh-CN"/>
                    </w:rPr>
                  </w:pPr>
                  <w:r>
                    <w:rPr>
                      <w:rFonts w:hint="eastAsia"/>
                      <w:bCs/>
                      <w:color w:val="auto"/>
                      <w:spacing w:val="-10"/>
                      <w:szCs w:val="21"/>
                      <w:lang w:val="en-US" w:eastAsia="zh-CN"/>
                    </w:rPr>
                    <w:t>0.0631</w:t>
                  </w:r>
                </w:p>
              </w:tc>
              <w:tc>
                <w:tcPr>
                  <w:tcW w:w="739" w:type="pct"/>
                  <w:tcBorders>
                    <w:tl2br w:val="nil"/>
                    <w:tr2bl w:val="nil"/>
                  </w:tcBorders>
                  <w:vAlign w:val="center"/>
                </w:tcPr>
                <w:p w14:paraId="67077BC1">
                  <w:pPr>
                    <w:adjustRightInd w:val="0"/>
                    <w:snapToGrid w:val="0"/>
                    <w:jc w:val="center"/>
                    <w:outlineLvl w:val="9"/>
                    <w:rPr>
                      <w:bCs/>
                      <w:color w:val="auto"/>
                      <w:spacing w:val="-10"/>
                      <w:szCs w:val="21"/>
                    </w:rPr>
                  </w:pPr>
                  <w:r>
                    <w:rPr>
                      <w:rFonts w:hint="eastAsia"/>
                      <w:bCs/>
                      <w:color w:val="auto"/>
                      <w:spacing w:val="-10"/>
                      <w:szCs w:val="21"/>
                    </w:rPr>
                    <w:t>企业边界</w:t>
                  </w:r>
                </w:p>
              </w:tc>
              <w:tc>
                <w:tcPr>
                  <w:tcW w:w="610" w:type="pct"/>
                  <w:tcBorders>
                    <w:tl2br w:val="nil"/>
                    <w:tr2bl w:val="nil"/>
                  </w:tcBorders>
                  <w:vAlign w:val="center"/>
                </w:tcPr>
                <w:p w14:paraId="3CDA1DB2">
                  <w:pPr>
                    <w:adjustRightInd w:val="0"/>
                    <w:snapToGrid w:val="0"/>
                    <w:jc w:val="center"/>
                    <w:outlineLvl w:val="9"/>
                    <w:rPr>
                      <w:rFonts w:hint="default" w:eastAsia="宋体"/>
                      <w:bCs/>
                      <w:color w:val="auto"/>
                      <w:spacing w:val="-10"/>
                      <w:szCs w:val="21"/>
                      <w:lang w:val="en-US" w:eastAsia="zh-CN"/>
                    </w:rPr>
                  </w:pPr>
                  <w:r>
                    <w:rPr>
                      <w:rFonts w:hint="eastAsia"/>
                      <w:bCs/>
                      <w:color w:val="auto"/>
                      <w:spacing w:val="-10"/>
                      <w:szCs w:val="21"/>
                      <w:lang w:val="en-US" w:eastAsia="zh-CN"/>
                    </w:rPr>
                    <w:t>4.0</w:t>
                  </w:r>
                </w:p>
              </w:tc>
              <w:tc>
                <w:tcPr>
                  <w:tcW w:w="359" w:type="pct"/>
                  <w:tcBorders>
                    <w:tl2br w:val="nil"/>
                    <w:tr2bl w:val="nil"/>
                  </w:tcBorders>
                  <w:vAlign w:val="center"/>
                </w:tcPr>
                <w:p w14:paraId="30A113B8">
                  <w:pPr>
                    <w:adjustRightInd w:val="0"/>
                    <w:snapToGrid w:val="0"/>
                    <w:jc w:val="center"/>
                    <w:outlineLvl w:val="9"/>
                    <w:rPr>
                      <w:color w:val="auto"/>
                      <w:szCs w:val="21"/>
                    </w:rPr>
                  </w:pPr>
                  <w:r>
                    <w:rPr>
                      <w:color w:val="auto"/>
                      <w:szCs w:val="21"/>
                    </w:rPr>
                    <w:t>达标</w:t>
                  </w:r>
                </w:p>
              </w:tc>
            </w:tr>
            <w:tr w14:paraId="745B5AC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tcBorders>
                    <w:tl2br w:val="nil"/>
                    <w:tr2bl w:val="nil"/>
                  </w:tcBorders>
                  <w:vAlign w:val="center"/>
                </w:tcPr>
                <w:p w14:paraId="06C4347F">
                  <w:pPr>
                    <w:adjustRightInd w:val="0"/>
                    <w:snapToGrid w:val="0"/>
                    <w:jc w:val="center"/>
                    <w:outlineLvl w:val="9"/>
                    <w:rPr>
                      <w:rFonts w:hint="eastAsia" w:eastAsia="宋体"/>
                      <w:bCs/>
                      <w:color w:val="auto"/>
                      <w:spacing w:val="-10"/>
                      <w:szCs w:val="21"/>
                      <w:lang w:val="en-US" w:eastAsia="zh-CN"/>
                    </w:rPr>
                  </w:pPr>
                  <w:r>
                    <w:rPr>
                      <w:rFonts w:hint="eastAsia"/>
                      <w:bCs/>
                      <w:color w:val="auto"/>
                      <w:spacing w:val="-10"/>
                      <w:szCs w:val="21"/>
                      <w:lang w:val="en-US" w:eastAsia="zh-CN"/>
                    </w:rPr>
                    <w:t>3</w:t>
                  </w:r>
                </w:p>
              </w:tc>
              <w:tc>
                <w:tcPr>
                  <w:tcW w:w="465" w:type="pct"/>
                  <w:vMerge w:val="restart"/>
                  <w:tcBorders>
                    <w:tl2br w:val="nil"/>
                    <w:tr2bl w:val="nil"/>
                  </w:tcBorders>
                  <w:vAlign w:val="center"/>
                </w:tcPr>
                <w:p w14:paraId="58C27DD4">
                  <w:pPr>
                    <w:pStyle w:val="14"/>
                    <w:bidi w:val="0"/>
                    <w:outlineLvl w:val="9"/>
                    <w:rPr>
                      <w:color w:val="auto"/>
                      <w:highlight w:val="none"/>
                    </w:rPr>
                  </w:pPr>
                  <w:r>
                    <w:rPr>
                      <w:rFonts w:hint="eastAsia"/>
                      <w:color w:val="auto"/>
                      <w:highlight w:val="none"/>
                      <w:lang w:val="en-US" w:eastAsia="zh-CN"/>
                    </w:rPr>
                    <w:t>乳化炸药震源药柱生产工房</w:t>
                  </w:r>
                </w:p>
              </w:tc>
              <w:tc>
                <w:tcPr>
                  <w:tcW w:w="512" w:type="pct"/>
                  <w:tcBorders>
                    <w:tl2br w:val="nil"/>
                    <w:tr2bl w:val="nil"/>
                  </w:tcBorders>
                  <w:vAlign w:val="center"/>
                </w:tcPr>
                <w:p w14:paraId="497E0392">
                  <w:pPr>
                    <w:pStyle w:val="87"/>
                    <w:outlineLvl w:val="9"/>
                    <w:rPr>
                      <w:color w:val="auto"/>
                      <w:szCs w:val="21"/>
                      <w:highlight w:val="none"/>
                    </w:rPr>
                  </w:pPr>
                  <w:r>
                    <w:rPr>
                      <w:color w:val="auto"/>
                      <w:szCs w:val="21"/>
                      <w:highlight w:val="none"/>
                    </w:rPr>
                    <w:t>颗粒物</w:t>
                  </w:r>
                </w:p>
              </w:tc>
              <w:tc>
                <w:tcPr>
                  <w:tcW w:w="593" w:type="pct"/>
                  <w:tcBorders>
                    <w:tl2br w:val="nil"/>
                    <w:tr2bl w:val="nil"/>
                  </w:tcBorders>
                  <w:shd w:val="clear" w:color="auto" w:fill="auto"/>
                  <w:vAlign w:val="center"/>
                </w:tcPr>
                <w:p w14:paraId="5363E5D2">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u w:val="none"/>
                      <w:lang w:val="en-US" w:eastAsia="zh-CN"/>
                    </w:rPr>
                    <w:t>0.00</w:t>
                  </w:r>
                  <w:r>
                    <w:rPr>
                      <w:rFonts w:hint="eastAsia" w:cs="Times New Roman"/>
                      <w:color w:val="auto"/>
                      <w:sz w:val="21"/>
                      <w:szCs w:val="21"/>
                      <w:highlight w:val="none"/>
                      <w:u w:val="none"/>
                      <w:lang w:val="en-US" w:eastAsia="zh-CN"/>
                    </w:rPr>
                    <w:t>25</w:t>
                  </w:r>
                </w:p>
              </w:tc>
              <w:tc>
                <w:tcPr>
                  <w:tcW w:w="709" w:type="pct"/>
                  <w:tcBorders>
                    <w:tl2br w:val="nil"/>
                    <w:tr2bl w:val="nil"/>
                  </w:tcBorders>
                  <w:shd w:val="clear" w:color="auto" w:fill="auto"/>
                  <w:vAlign w:val="center"/>
                </w:tcPr>
                <w:p w14:paraId="5967A708">
                  <w:pPr>
                    <w:widowControl/>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u w:val="none"/>
                      <w:lang w:val="en-US" w:eastAsia="zh-CN"/>
                    </w:rPr>
                    <w:t>0.0</w:t>
                  </w:r>
                  <w:r>
                    <w:rPr>
                      <w:rFonts w:hint="eastAsia" w:cs="Times New Roman"/>
                      <w:color w:val="auto"/>
                      <w:sz w:val="21"/>
                      <w:szCs w:val="21"/>
                      <w:highlight w:val="none"/>
                      <w:u w:val="none"/>
                      <w:lang w:val="en-US" w:eastAsia="zh-CN"/>
                    </w:rPr>
                    <w:t>099</w:t>
                  </w:r>
                </w:p>
              </w:tc>
              <w:tc>
                <w:tcPr>
                  <w:tcW w:w="727" w:type="pct"/>
                  <w:tcBorders>
                    <w:tl2br w:val="nil"/>
                    <w:tr2bl w:val="nil"/>
                  </w:tcBorders>
                  <w:vAlign w:val="center"/>
                </w:tcPr>
                <w:p w14:paraId="6753238A">
                  <w:pPr>
                    <w:adjustRightInd w:val="0"/>
                    <w:snapToGrid w:val="0"/>
                    <w:jc w:val="center"/>
                    <w:outlineLvl w:val="9"/>
                    <w:rPr>
                      <w:rFonts w:hint="default" w:eastAsia="宋体"/>
                      <w:bCs/>
                      <w:color w:val="auto"/>
                      <w:spacing w:val="-10"/>
                      <w:szCs w:val="21"/>
                      <w:highlight w:val="none"/>
                      <w:lang w:val="en-US" w:eastAsia="zh-CN"/>
                    </w:rPr>
                  </w:pPr>
                  <w:r>
                    <w:rPr>
                      <w:rFonts w:hint="eastAsia"/>
                      <w:bCs/>
                      <w:color w:val="auto"/>
                      <w:spacing w:val="-10"/>
                      <w:szCs w:val="21"/>
                      <w:highlight w:val="none"/>
                      <w:lang w:val="en-US" w:eastAsia="zh-CN"/>
                    </w:rPr>
                    <w:t>0.0050</w:t>
                  </w:r>
                </w:p>
              </w:tc>
              <w:tc>
                <w:tcPr>
                  <w:tcW w:w="739" w:type="pct"/>
                  <w:tcBorders>
                    <w:tl2br w:val="nil"/>
                    <w:tr2bl w:val="nil"/>
                  </w:tcBorders>
                  <w:vAlign w:val="center"/>
                </w:tcPr>
                <w:p w14:paraId="15C9893D">
                  <w:pPr>
                    <w:adjustRightInd w:val="0"/>
                    <w:snapToGrid w:val="0"/>
                    <w:jc w:val="center"/>
                    <w:outlineLvl w:val="9"/>
                    <w:rPr>
                      <w:rFonts w:hint="eastAsia"/>
                      <w:bCs/>
                      <w:color w:val="auto"/>
                      <w:spacing w:val="-10"/>
                      <w:szCs w:val="21"/>
                      <w:highlight w:val="none"/>
                    </w:rPr>
                  </w:pPr>
                  <w:r>
                    <w:rPr>
                      <w:rFonts w:hint="eastAsia"/>
                      <w:bCs/>
                      <w:color w:val="auto"/>
                      <w:spacing w:val="-10"/>
                      <w:szCs w:val="21"/>
                      <w:highlight w:val="none"/>
                    </w:rPr>
                    <w:t>企业边界</w:t>
                  </w:r>
                </w:p>
              </w:tc>
              <w:tc>
                <w:tcPr>
                  <w:tcW w:w="610" w:type="pct"/>
                  <w:tcBorders>
                    <w:tl2br w:val="nil"/>
                    <w:tr2bl w:val="nil"/>
                  </w:tcBorders>
                  <w:vAlign w:val="center"/>
                </w:tcPr>
                <w:p w14:paraId="1EC9FF9A">
                  <w:pPr>
                    <w:adjustRightInd w:val="0"/>
                    <w:snapToGrid w:val="0"/>
                    <w:jc w:val="center"/>
                    <w:outlineLvl w:val="9"/>
                    <w:rPr>
                      <w:rFonts w:hint="default" w:eastAsia="宋体"/>
                      <w:bCs/>
                      <w:color w:val="auto"/>
                      <w:spacing w:val="-10"/>
                      <w:szCs w:val="21"/>
                      <w:highlight w:val="none"/>
                      <w:lang w:val="en-US" w:eastAsia="zh-CN"/>
                    </w:rPr>
                  </w:pPr>
                  <w:r>
                    <w:rPr>
                      <w:rFonts w:hint="eastAsia"/>
                      <w:bCs/>
                      <w:color w:val="auto"/>
                      <w:spacing w:val="-10"/>
                      <w:szCs w:val="21"/>
                      <w:highlight w:val="none"/>
                      <w:lang w:val="en-US" w:eastAsia="zh-CN"/>
                    </w:rPr>
                    <w:t>1.0</w:t>
                  </w:r>
                </w:p>
              </w:tc>
              <w:tc>
                <w:tcPr>
                  <w:tcW w:w="359" w:type="pct"/>
                  <w:tcBorders>
                    <w:tl2br w:val="nil"/>
                    <w:tr2bl w:val="nil"/>
                  </w:tcBorders>
                  <w:vAlign w:val="center"/>
                </w:tcPr>
                <w:p w14:paraId="2123662C">
                  <w:pPr>
                    <w:adjustRightInd w:val="0"/>
                    <w:snapToGrid w:val="0"/>
                    <w:jc w:val="center"/>
                    <w:outlineLvl w:val="9"/>
                    <w:rPr>
                      <w:color w:val="auto"/>
                      <w:szCs w:val="21"/>
                      <w:highlight w:val="none"/>
                    </w:rPr>
                  </w:pPr>
                  <w:r>
                    <w:rPr>
                      <w:color w:val="auto"/>
                      <w:szCs w:val="21"/>
                      <w:highlight w:val="none"/>
                    </w:rPr>
                    <w:t>达标</w:t>
                  </w:r>
                </w:p>
              </w:tc>
            </w:tr>
            <w:tr w14:paraId="36A0550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3" w:type="pct"/>
                  <w:tcBorders>
                    <w:tl2br w:val="nil"/>
                    <w:tr2bl w:val="nil"/>
                  </w:tcBorders>
                  <w:vAlign w:val="center"/>
                </w:tcPr>
                <w:p w14:paraId="694AF400">
                  <w:pPr>
                    <w:adjustRightInd w:val="0"/>
                    <w:snapToGrid w:val="0"/>
                    <w:jc w:val="center"/>
                    <w:outlineLvl w:val="9"/>
                    <w:rPr>
                      <w:rFonts w:hint="eastAsia" w:eastAsia="宋体"/>
                      <w:bCs/>
                      <w:color w:val="auto"/>
                      <w:spacing w:val="-10"/>
                      <w:szCs w:val="21"/>
                      <w:lang w:val="en-US" w:eastAsia="zh-CN"/>
                    </w:rPr>
                  </w:pPr>
                  <w:r>
                    <w:rPr>
                      <w:rFonts w:hint="eastAsia"/>
                      <w:bCs/>
                      <w:color w:val="auto"/>
                      <w:spacing w:val="-10"/>
                      <w:szCs w:val="21"/>
                      <w:lang w:val="en-US" w:eastAsia="zh-CN"/>
                    </w:rPr>
                    <w:t>4</w:t>
                  </w:r>
                </w:p>
              </w:tc>
              <w:tc>
                <w:tcPr>
                  <w:tcW w:w="465" w:type="pct"/>
                  <w:vMerge w:val="continue"/>
                  <w:tcBorders>
                    <w:tl2br w:val="nil"/>
                    <w:tr2bl w:val="nil"/>
                  </w:tcBorders>
                  <w:vAlign w:val="center"/>
                </w:tcPr>
                <w:p w14:paraId="24130733">
                  <w:pPr>
                    <w:pStyle w:val="17"/>
                    <w:adjustRightInd w:val="0"/>
                    <w:snapToGrid w:val="0"/>
                    <w:spacing w:after="0" w:line="240" w:lineRule="auto"/>
                    <w:ind w:left="0" w:leftChars="0"/>
                    <w:jc w:val="center"/>
                    <w:outlineLvl w:val="9"/>
                    <w:rPr>
                      <w:color w:val="auto"/>
                      <w:szCs w:val="21"/>
                      <w:highlight w:val="none"/>
                    </w:rPr>
                  </w:pPr>
                </w:p>
              </w:tc>
              <w:tc>
                <w:tcPr>
                  <w:tcW w:w="512" w:type="pct"/>
                  <w:tcBorders>
                    <w:tl2br w:val="nil"/>
                    <w:tr2bl w:val="nil"/>
                  </w:tcBorders>
                  <w:vAlign w:val="center"/>
                </w:tcPr>
                <w:p w14:paraId="2CBBEF1C">
                  <w:pPr>
                    <w:adjustRightInd w:val="0"/>
                    <w:snapToGrid w:val="0"/>
                    <w:jc w:val="center"/>
                    <w:outlineLvl w:val="9"/>
                    <w:rPr>
                      <w:color w:val="auto"/>
                      <w:szCs w:val="21"/>
                      <w:highlight w:val="none"/>
                    </w:rPr>
                  </w:pPr>
                  <w:r>
                    <w:rPr>
                      <w:color w:val="auto"/>
                      <w:kern w:val="2"/>
                      <w:szCs w:val="21"/>
                      <w:highlight w:val="none"/>
                    </w:rPr>
                    <w:t>非甲烷总烃</w:t>
                  </w:r>
                </w:p>
              </w:tc>
              <w:tc>
                <w:tcPr>
                  <w:tcW w:w="1386" w:type="dxa"/>
                  <w:tcBorders>
                    <w:tl2br w:val="nil"/>
                    <w:tr2bl w:val="nil"/>
                  </w:tcBorders>
                  <w:vAlign w:val="center"/>
                </w:tcPr>
                <w:p w14:paraId="3402376A">
                  <w:pPr>
                    <w:widowControl/>
                    <w:jc w:val="center"/>
                    <w:textAlignment w:val="center"/>
                    <w:outlineLvl w:val="9"/>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0.0443</w:t>
                  </w:r>
                </w:p>
              </w:tc>
              <w:tc>
                <w:tcPr>
                  <w:tcW w:w="1657" w:type="dxa"/>
                  <w:tcBorders>
                    <w:tl2br w:val="nil"/>
                    <w:tr2bl w:val="nil"/>
                  </w:tcBorders>
                  <w:vAlign w:val="center"/>
                </w:tcPr>
                <w:p w14:paraId="08104E73">
                  <w:pPr>
                    <w:widowControl/>
                    <w:jc w:val="center"/>
                    <w:textAlignment w:val="center"/>
                    <w:outlineLvl w:val="9"/>
                    <w:rPr>
                      <w:rFonts w:hint="eastAsia" w:ascii="Times New Roman" w:hAnsi="Times New Roman"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0.0236</w:t>
                  </w:r>
                </w:p>
              </w:tc>
              <w:tc>
                <w:tcPr>
                  <w:tcW w:w="727" w:type="pct"/>
                  <w:tcBorders>
                    <w:tl2br w:val="nil"/>
                    <w:tr2bl w:val="nil"/>
                  </w:tcBorders>
                  <w:vAlign w:val="center"/>
                </w:tcPr>
                <w:p w14:paraId="60E25F76">
                  <w:pPr>
                    <w:adjustRightInd w:val="0"/>
                    <w:snapToGrid w:val="0"/>
                    <w:jc w:val="center"/>
                    <w:outlineLvl w:val="9"/>
                    <w:rPr>
                      <w:rFonts w:hint="default" w:eastAsia="宋体"/>
                      <w:bCs/>
                      <w:color w:val="auto"/>
                      <w:spacing w:val="-10"/>
                      <w:szCs w:val="21"/>
                      <w:highlight w:val="none"/>
                      <w:lang w:val="en-US" w:eastAsia="zh-CN"/>
                    </w:rPr>
                  </w:pPr>
                  <w:r>
                    <w:rPr>
                      <w:rFonts w:hint="eastAsia"/>
                      <w:bCs/>
                      <w:color w:val="auto"/>
                      <w:spacing w:val="-10"/>
                      <w:szCs w:val="21"/>
                      <w:highlight w:val="none"/>
                      <w:lang w:val="en-US" w:eastAsia="zh-CN"/>
                    </w:rPr>
                    <w:t>0.0118</w:t>
                  </w:r>
                </w:p>
              </w:tc>
              <w:tc>
                <w:tcPr>
                  <w:tcW w:w="739" w:type="pct"/>
                  <w:tcBorders>
                    <w:tl2br w:val="nil"/>
                    <w:tr2bl w:val="nil"/>
                  </w:tcBorders>
                  <w:vAlign w:val="center"/>
                </w:tcPr>
                <w:p w14:paraId="5F5E6548">
                  <w:pPr>
                    <w:adjustRightInd w:val="0"/>
                    <w:snapToGrid w:val="0"/>
                    <w:jc w:val="center"/>
                    <w:outlineLvl w:val="9"/>
                    <w:rPr>
                      <w:rFonts w:hint="eastAsia"/>
                      <w:bCs/>
                      <w:color w:val="auto"/>
                      <w:spacing w:val="-10"/>
                      <w:szCs w:val="21"/>
                      <w:highlight w:val="none"/>
                    </w:rPr>
                  </w:pPr>
                  <w:r>
                    <w:rPr>
                      <w:rFonts w:hint="eastAsia"/>
                      <w:bCs/>
                      <w:color w:val="auto"/>
                      <w:spacing w:val="-10"/>
                      <w:szCs w:val="21"/>
                      <w:highlight w:val="none"/>
                    </w:rPr>
                    <w:t>企业边界</w:t>
                  </w:r>
                </w:p>
              </w:tc>
              <w:tc>
                <w:tcPr>
                  <w:tcW w:w="610" w:type="pct"/>
                  <w:tcBorders>
                    <w:tl2br w:val="nil"/>
                    <w:tr2bl w:val="nil"/>
                  </w:tcBorders>
                  <w:vAlign w:val="center"/>
                </w:tcPr>
                <w:p w14:paraId="2C811720">
                  <w:pPr>
                    <w:adjustRightInd w:val="0"/>
                    <w:snapToGrid w:val="0"/>
                    <w:jc w:val="center"/>
                    <w:outlineLvl w:val="9"/>
                    <w:rPr>
                      <w:rFonts w:hint="default" w:eastAsia="宋体"/>
                      <w:bCs/>
                      <w:color w:val="auto"/>
                      <w:spacing w:val="-10"/>
                      <w:szCs w:val="21"/>
                      <w:highlight w:val="none"/>
                      <w:lang w:val="en-US" w:eastAsia="zh-CN"/>
                    </w:rPr>
                  </w:pPr>
                  <w:r>
                    <w:rPr>
                      <w:rFonts w:hint="eastAsia"/>
                      <w:bCs/>
                      <w:color w:val="auto"/>
                      <w:spacing w:val="-10"/>
                      <w:szCs w:val="21"/>
                      <w:highlight w:val="none"/>
                      <w:lang w:val="en-US" w:eastAsia="zh-CN"/>
                    </w:rPr>
                    <w:t>4.0</w:t>
                  </w:r>
                </w:p>
              </w:tc>
              <w:tc>
                <w:tcPr>
                  <w:tcW w:w="359" w:type="pct"/>
                  <w:tcBorders>
                    <w:tl2br w:val="nil"/>
                    <w:tr2bl w:val="nil"/>
                  </w:tcBorders>
                  <w:vAlign w:val="center"/>
                </w:tcPr>
                <w:p w14:paraId="4BE935F0">
                  <w:pPr>
                    <w:adjustRightInd w:val="0"/>
                    <w:snapToGrid w:val="0"/>
                    <w:jc w:val="center"/>
                    <w:outlineLvl w:val="9"/>
                    <w:rPr>
                      <w:color w:val="auto"/>
                      <w:szCs w:val="21"/>
                      <w:highlight w:val="none"/>
                    </w:rPr>
                  </w:pPr>
                  <w:r>
                    <w:rPr>
                      <w:color w:val="auto"/>
                      <w:szCs w:val="21"/>
                      <w:highlight w:val="none"/>
                    </w:rPr>
                    <w:t>达标</w:t>
                  </w:r>
                </w:p>
              </w:tc>
            </w:tr>
          </w:tbl>
          <w:p w14:paraId="104F6817">
            <w:pPr>
              <w:spacing w:line="360" w:lineRule="auto"/>
              <w:ind w:firstLine="480" w:firstLineChars="200"/>
              <w:outlineLvl w:val="9"/>
              <w:rPr>
                <w:rFonts w:ascii="Times New Roman" w:hAnsi="Times New Roman" w:cs="Times New Roman"/>
                <w:color w:val="auto"/>
                <w:sz w:val="24"/>
                <w:szCs w:val="24"/>
                <w:lang w:eastAsia="zh-CN"/>
              </w:rPr>
            </w:pPr>
            <w:r>
              <w:rPr>
                <w:rFonts w:ascii="Times New Roman" w:hAnsi="Times New Roman" w:cs="Times New Roman"/>
                <w:color w:val="auto"/>
                <w:sz w:val="24"/>
                <w:szCs w:val="24"/>
                <w:highlight w:val="none"/>
                <w:lang w:eastAsia="zh-CN"/>
              </w:rPr>
              <w:t>本项目无组织</w:t>
            </w:r>
            <w:r>
              <w:rPr>
                <w:rFonts w:ascii="Times New Roman" w:hAnsi="Times New Roman" w:cs="Times New Roman"/>
                <w:color w:val="auto"/>
                <w:sz w:val="24"/>
                <w:szCs w:val="24"/>
                <w:lang w:eastAsia="zh-CN"/>
              </w:rPr>
              <w:t>排放的</w:t>
            </w:r>
            <w:r>
              <w:rPr>
                <w:rFonts w:hint="eastAsia" w:cs="Times New Roman"/>
                <w:color w:val="auto"/>
                <w:sz w:val="24"/>
                <w:szCs w:val="24"/>
                <w:lang w:eastAsia="zh-CN"/>
              </w:rPr>
              <w:t>颗粒物</w:t>
            </w:r>
            <w:r>
              <w:rPr>
                <w:rFonts w:ascii="Times New Roman" w:hAnsi="Times New Roman" w:cs="Times New Roman"/>
                <w:color w:val="auto"/>
                <w:sz w:val="24"/>
                <w:szCs w:val="24"/>
                <w:lang w:eastAsia="zh-CN"/>
              </w:rPr>
              <w:t>最大落地浓度</w:t>
            </w:r>
            <w:r>
              <w:rPr>
                <w:rFonts w:hint="eastAsia" w:cs="Times New Roman"/>
                <w:color w:val="auto"/>
                <w:sz w:val="24"/>
                <w:szCs w:val="24"/>
                <w:lang w:eastAsia="zh-CN"/>
              </w:rPr>
              <w:t>符</w:t>
            </w:r>
            <w:r>
              <w:rPr>
                <w:rFonts w:ascii="Times New Roman" w:hAnsi="Times New Roman" w:cs="Times New Roman"/>
                <w:color w:val="auto"/>
                <w:sz w:val="24"/>
                <w:szCs w:val="24"/>
                <w:lang w:eastAsia="zh-CN"/>
              </w:rPr>
              <w:t>合</w:t>
            </w:r>
            <w:r>
              <w:rPr>
                <w:rFonts w:hint="default" w:ascii="Times New Roman" w:hAnsi="Times New Roman" w:cs="Times New Roman" w:eastAsiaTheme="minorEastAsia"/>
                <w:color w:val="auto"/>
                <w:sz w:val="24"/>
                <w:szCs w:val="24"/>
                <w:lang w:val="en-US" w:eastAsia="zh-CN"/>
              </w:rPr>
              <w:t>《大气污染物综合排放标准》</w:t>
            </w:r>
            <w:r>
              <w:rPr>
                <w:rFonts w:hint="eastAsia"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GB16297- 1996</w:t>
            </w:r>
            <w:r>
              <w:rPr>
                <w:rFonts w:hint="eastAsia"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中表2</w:t>
            </w:r>
            <w:r>
              <w:rPr>
                <w:rFonts w:hint="eastAsia" w:ascii="Times New Roman" w:hAnsi="Times New Roman" w:cs="Times New Roman"/>
                <w:color w:val="auto"/>
                <w:sz w:val="24"/>
                <w:szCs w:val="24"/>
                <w:lang w:val="en-US" w:eastAsia="zh-CN"/>
              </w:rPr>
              <w:t>无组织</w:t>
            </w:r>
            <w:r>
              <w:rPr>
                <w:rFonts w:hint="default" w:ascii="Times New Roman" w:hAnsi="Times New Roman" w:cs="Times New Roman" w:eastAsiaTheme="minorEastAsia"/>
                <w:color w:val="auto"/>
                <w:sz w:val="24"/>
                <w:szCs w:val="24"/>
                <w:lang w:val="en-US" w:eastAsia="zh-CN"/>
              </w:rPr>
              <w:t>排放限值</w:t>
            </w:r>
            <w:r>
              <w:rPr>
                <w:rFonts w:hint="eastAsia" w:cs="Times New Roman" w:eastAsiaTheme="minorEastAsia"/>
                <w:color w:val="auto"/>
                <w:sz w:val="24"/>
                <w:szCs w:val="24"/>
                <w:lang w:val="en-US" w:eastAsia="zh-CN"/>
              </w:rPr>
              <w:t>，</w:t>
            </w:r>
            <w:r>
              <w:rPr>
                <w:rFonts w:hint="eastAsia" w:cs="Times New Roman"/>
                <w:color w:val="auto"/>
                <w:sz w:val="24"/>
                <w:szCs w:val="24"/>
                <w:lang w:eastAsia="zh-CN"/>
              </w:rPr>
              <w:t>非甲烷总烃</w:t>
            </w:r>
            <w:r>
              <w:rPr>
                <w:rFonts w:ascii="Times New Roman" w:hAnsi="Times New Roman" w:cs="Times New Roman"/>
                <w:color w:val="auto"/>
                <w:sz w:val="24"/>
                <w:szCs w:val="24"/>
                <w:lang w:eastAsia="zh-CN"/>
              </w:rPr>
              <w:t>最大落地浓度</w:t>
            </w:r>
            <w:r>
              <w:rPr>
                <w:rFonts w:hint="eastAsia" w:cs="Times New Roman"/>
                <w:color w:val="auto"/>
                <w:sz w:val="24"/>
                <w:szCs w:val="24"/>
                <w:lang w:eastAsia="zh-CN"/>
              </w:rPr>
              <w:t>符</w:t>
            </w:r>
            <w:r>
              <w:rPr>
                <w:rFonts w:ascii="Times New Roman" w:hAnsi="Times New Roman" w:cs="Times New Roman"/>
                <w:color w:val="auto"/>
                <w:sz w:val="24"/>
                <w:szCs w:val="24"/>
                <w:lang w:eastAsia="zh-CN"/>
              </w:rPr>
              <w:t>合</w:t>
            </w:r>
            <w:r>
              <w:rPr>
                <w:rFonts w:hint="default" w:ascii="Times New Roman" w:hAnsi="Times New Roman" w:cs="Times New Roman" w:eastAsiaTheme="minorEastAsia"/>
                <w:color w:val="auto"/>
                <w:sz w:val="24"/>
                <w:szCs w:val="24"/>
                <w:lang w:val="en-US" w:eastAsia="zh-CN"/>
              </w:rPr>
              <w:t>《大气污染物综合排放标准》</w:t>
            </w:r>
            <w:r>
              <w:rPr>
                <w:rFonts w:hint="eastAsia"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GB16297- 1996</w:t>
            </w:r>
            <w:r>
              <w:rPr>
                <w:rFonts w:hint="eastAsia"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中表2</w:t>
            </w:r>
            <w:r>
              <w:rPr>
                <w:rFonts w:hint="eastAsia" w:ascii="Times New Roman" w:hAnsi="Times New Roman" w:cs="Times New Roman"/>
                <w:color w:val="auto"/>
                <w:sz w:val="24"/>
                <w:szCs w:val="24"/>
                <w:lang w:val="en-US" w:eastAsia="zh-CN"/>
              </w:rPr>
              <w:t>无组织</w:t>
            </w:r>
            <w:r>
              <w:rPr>
                <w:rFonts w:hint="default" w:ascii="Times New Roman" w:hAnsi="Times New Roman" w:cs="Times New Roman" w:eastAsiaTheme="minorEastAsia"/>
                <w:color w:val="auto"/>
                <w:sz w:val="24"/>
                <w:szCs w:val="24"/>
                <w:lang w:val="en-US" w:eastAsia="zh-CN"/>
              </w:rPr>
              <w:t>排放限值</w:t>
            </w:r>
            <w:r>
              <w:rPr>
                <w:rFonts w:hint="eastAsia" w:cs="Times New Roman" w:eastAsiaTheme="minorEastAsia"/>
                <w:color w:val="auto"/>
                <w:sz w:val="24"/>
                <w:szCs w:val="24"/>
                <w:lang w:val="en-US" w:eastAsia="zh-CN"/>
              </w:rPr>
              <w:t>和</w:t>
            </w:r>
            <w:r>
              <w:rPr>
                <w:rFonts w:hint="eastAsia"/>
                <w:color w:val="auto"/>
                <w:sz w:val="24"/>
                <w:szCs w:val="24"/>
                <w:lang w:val="en-US" w:eastAsia="zh-CN"/>
              </w:rPr>
              <w:t>《印刷业挥发性有机物排放标准》</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DB21/ 3161</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2019</w:t>
            </w:r>
            <w:r>
              <w:rPr>
                <w:rFonts w:hint="eastAsia" w:ascii="Times New Roman" w:hAnsi="Times New Roman" w:eastAsia="宋体" w:cs="Times New Roman"/>
                <w:color w:val="auto"/>
                <w:kern w:val="0"/>
                <w:sz w:val="24"/>
                <w:szCs w:val="24"/>
                <w:highlight w:val="none"/>
                <w:lang w:val="en-US" w:eastAsia="zh-CN" w:bidi="ar-SA"/>
              </w:rPr>
              <w:t>）</w:t>
            </w:r>
            <w:r>
              <w:rPr>
                <w:rFonts w:hint="eastAsia"/>
                <w:color w:val="auto"/>
                <w:sz w:val="24"/>
                <w:lang w:val="en-US" w:eastAsia="zh-CN"/>
              </w:rPr>
              <w:t>中表2厂界无组织排放监控点挥发性有机物浓度限值，</w:t>
            </w:r>
            <w:r>
              <w:rPr>
                <w:rFonts w:ascii="Times New Roman" w:hAnsi="Times New Roman" w:cs="Times New Roman"/>
                <w:color w:val="auto"/>
                <w:sz w:val="24"/>
                <w:szCs w:val="24"/>
                <w:lang w:eastAsia="zh-CN"/>
              </w:rPr>
              <w:t>对周边环境影响较小。</w:t>
            </w:r>
          </w:p>
          <w:p w14:paraId="5D4226B9">
            <w:pPr>
              <w:adjustRightInd w:val="0"/>
              <w:snapToGrid w:val="0"/>
              <w:spacing w:before="120" w:beforeLines="50"/>
              <w:jc w:val="center"/>
              <w:outlineLvl w:val="9"/>
              <w:rPr>
                <w:b/>
                <w:color w:val="auto"/>
                <w:kern w:val="0"/>
                <w:szCs w:val="21"/>
              </w:rPr>
            </w:pPr>
            <w:r>
              <w:rPr>
                <w:b/>
                <w:color w:val="auto"/>
                <w:kern w:val="0"/>
                <w:szCs w:val="21"/>
              </w:rPr>
              <w:t>表4-</w:t>
            </w:r>
            <w:r>
              <w:rPr>
                <w:rFonts w:hint="eastAsia"/>
                <w:b/>
                <w:color w:val="auto"/>
                <w:kern w:val="0"/>
                <w:szCs w:val="21"/>
                <w:lang w:val="en-US" w:eastAsia="zh-CN"/>
              </w:rPr>
              <w:t>3</w:t>
            </w:r>
            <w:r>
              <w:rPr>
                <w:b/>
                <w:color w:val="auto"/>
                <w:kern w:val="0"/>
                <w:szCs w:val="21"/>
              </w:rPr>
              <w:t xml:space="preserve">  </w:t>
            </w:r>
            <w:r>
              <w:rPr>
                <w:rFonts w:hint="eastAsia"/>
                <w:b/>
                <w:color w:val="auto"/>
                <w:kern w:val="0"/>
                <w:szCs w:val="21"/>
                <w:lang w:val="en-US" w:eastAsia="zh-CN"/>
              </w:rPr>
              <w:t>厂区内</w:t>
            </w:r>
            <w:r>
              <w:rPr>
                <w:b/>
                <w:color w:val="auto"/>
                <w:kern w:val="0"/>
                <w:szCs w:val="21"/>
              </w:rPr>
              <w:t>无组织废气达标分析</w:t>
            </w:r>
          </w:p>
          <w:tbl>
            <w:tblPr>
              <w:tblStyle w:val="32"/>
              <w:tblW w:w="4987"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086"/>
              <w:gridCol w:w="1196"/>
              <w:gridCol w:w="1385"/>
              <w:gridCol w:w="1656"/>
              <w:gridCol w:w="1705"/>
              <w:gridCol w:w="1726"/>
              <w:gridCol w:w="1430"/>
              <w:gridCol w:w="840"/>
            </w:tblGrid>
            <w:tr w14:paraId="18C039D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vMerge w:val="restart"/>
                  <w:tcBorders>
                    <w:tl2br w:val="nil"/>
                    <w:tr2bl w:val="nil"/>
                  </w:tcBorders>
                  <w:vAlign w:val="center"/>
                </w:tcPr>
                <w:p w14:paraId="7F3BE9B9">
                  <w:pPr>
                    <w:adjustRightInd w:val="0"/>
                    <w:snapToGrid w:val="0"/>
                    <w:jc w:val="center"/>
                    <w:outlineLvl w:val="9"/>
                    <w:rPr>
                      <w:b/>
                      <w:color w:val="auto"/>
                      <w:spacing w:val="-10"/>
                      <w:szCs w:val="21"/>
                    </w:rPr>
                  </w:pPr>
                  <w:r>
                    <w:rPr>
                      <w:b/>
                      <w:color w:val="auto"/>
                      <w:spacing w:val="-10"/>
                      <w:szCs w:val="21"/>
                    </w:rPr>
                    <w:t>序号</w:t>
                  </w:r>
                </w:p>
              </w:tc>
              <w:tc>
                <w:tcPr>
                  <w:tcW w:w="465" w:type="pct"/>
                  <w:vMerge w:val="restart"/>
                  <w:tcBorders>
                    <w:tl2br w:val="nil"/>
                    <w:tr2bl w:val="nil"/>
                  </w:tcBorders>
                  <w:vAlign w:val="center"/>
                </w:tcPr>
                <w:p w14:paraId="4485057B">
                  <w:pPr>
                    <w:adjustRightInd w:val="0"/>
                    <w:snapToGrid w:val="0"/>
                    <w:jc w:val="center"/>
                    <w:outlineLvl w:val="9"/>
                    <w:rPr>
                      <w:b/>
                      <w:color w:val="auto"/>
                      <w:spacing w:val="-10"/>
                      <w:szCs w:val="21"/>
                    </w:rPr>
                  </w:pPr>
                  <w:r>
                    <w:rPr>
                      <w:b/>
                      <w:color w:val="auto"/>
                      <w:spacing w:val="-10"/>
                      <w:szCs w:val="21"/>
                    </w:rPr>
                    <w:t>面源名称</w:t>
                  </w:r>
                </w:p>
              </w:tc>
              <w:tc>
                <w:tcPr>
                  <w:tcW w:w="512" w:type="pct"/>
                  <w:vMerge w:val="restart"/>
                  <w:tcBorders>
                    <w:tl2br w:val="nil"/>
                    <w:tr2bl w:val="nil"/>
                  </w:tcBorders>
                  <w:vAlign w:val="center"/>
                </w:tcPr>
                <w:p w14:paraId="471C7E0A">
                  <w:pPr>
                    <w:adjustRightInd w:val="0"/>
                    <w:snapToGrid w:val="0"/>
                    <w:jc w:val="center"/>
                    <w:outlineLvl w:val="9"/>
                    <w:rPr>
                      <w:b/>
                      <w:color w:val="auto"/>
                      <w:spacing w:val="-10"/>
                      <w:szCs w:val="21"/>
                    </w:rPr>
                  </w:pPr>
                  <w:r>
                    <w:rPr>
                      <w:b/>
                      <w:color w:val="auto"/>
                      <w:spacing w:val="-10"/>
                      <w:szCs w:val="21"/>
                    </w:rPr>
                    <w:t>污染物种类</w:t>
                  </w:r>
                </w:p>
              </w:tc>
              <w:tc>
                <w:tcPr>
                  <w:tcW w:w="2032" w:type="pct"/>
                  <w:gridSpan w:val="3"/>
                  <w:tcBorders>
                    <w:tl2br w:val="nil"/>
                    <w:tr2bl w:val="nil"/>
                  </w:tcBorders>
                  <w:vAlign w:val="center"/>
                </w:tcPr>
                <w:p w14:paraId="61A0C73C">
                  <w:pPr>
                    <w:adjustRightInd w:val="0"/>
                    <w:snapToGrid w:val="0"/>
                    <w:jc w:val="center"/>
                    <w:outlineLvl w:val="9"/>
                    <w:rPr>
                      <w:b/>
                      <w:color w:val="auto"/>
                      <w:spacing w:val="-10"/>
                      <w:szCs w:val="21"/>
                    </w:rPr>
                  </w:pPr>
                  <w:r>
                    <w:rPr>
                      <w:b/>
                      <w:color w:val="auto"/>
                      <w:spacing w:val="-10"/>
                      <w:szCs w:val="21"/>
                    </w:rPr>
                    <w:t>污染物排放</w:t>
                  </w:r>
                </w:p>
              </w:tc>
              <w:tc>
                <w:tcPr>
                  <w:tcW w:w="1351" w:type="pct"/>
                  <w:gridSpan w:val="2"/>
                  <w:tcBorders>
                    <w:tl2br w:val="nil"/>
                    <w:tr2bl w:val="nil"/>
                  </w:tcBorders>
                  <w:vAlign w:val="center"/>
                </w:tcPr>
                <w:p w14:paraId="5AB0A109">
                  <w:pPr>
                    <w:adjustRightInd w:val="0"/>
                    <w:snapToGrid w:val="0"/>
                    <w:jc w:val="center"/>
                    <w:outlineLvl w:val="9"/>
                    <w:rPr>
                      <w:b/>
                      <w:color w:val="auto"/>
                      <w:spacing w:val="-10"/>
                      <w:szCs w:val="21"/>
                    </w:rPr>
                  </w:pPr>
                  <w:r>
                    <w:rPr>
                      <w:b/>
                      <w:color w:val="auto"/>
                      <w:spacing w:val="-10"/>
                      <w:szCs w:val="21"/>
                    </w:rPr>
                    <w:t>排放标准</w:t>
                  </w:r>
                </w:p>
              </w:tc>
              <w:tc>
                <w:tcPr>
                  <w:tcW w:w="359" w:type="pct"/>
                  <w:vMerge w:val="restart"/>
                  <w:tcBorders>
                    <w:tl2br w:val="nil"/>
                    <w:tr2bl w:val="nil"/>
                  </w:tcBorders>
                  <w:vAlign w:val="center"/>
                </w:tcPr>
                <w:p w14:paraId="661E86F7">
                  <w:pPr>
                    <w:adjustRightInd w:val="0"/>
                    <w:snapToGrid w:val="0"/>
                    <w:jc w:val="center"/>
                    <w:outlineLvl w:val="9"/>
                    <w:rPr>
                      <w:b/>
                      <w:color w:val="auto"/>
                      <w:spacing w:val="-10"/>
                      <w:szCs w:val="21"/>
                    </w:rPr>
                  </w:pPr>
                  <w:r>
                    <w:rPr>
                      <w:b/>
                      <w:color w:val="auto"/>
                      <w:spacing w:val="-10"/>
                      <w:szCs w:val="21"/>
                    </w:rPr>
                    <w:t>达标情况</w:t>
                  </w:r>
                </w:p>
              </w:tc>
            </w:tr>
            <w:tr w14:paraId="5F67490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vMerge w:val="continue"/>
                  <w:tcBorders>
                    <w:tl2br w:val="nil"/>
                    <w:tr2bl w:val="nil"/>
                  </w:tcBorders>
                  <w:vAlign w:val="center"/>
                </w:tcPr>
                <w:p w14:paraId="44F2F87B">
                  <w:pPr>
                    <w:adjustRightInd w:val="0"/>
                    <w:snapToGrid w:val="0"/>
                    <w:jc w:val="center"/>
                    <w:outlineLvl w:val="9"/>
                    <w:rPr>
                      <w:bCs/>
                      <w:color w:val="auto"/>
                      <w:spacing w:val="-10"/>
                      <w:szCs w:val="21"/>
                    </w:rPr>
                  </w:pPr>
                </w:p>
              </w:tc>
              <w:tc>
                <w:tcPr>
                  <w:tcW w:w="465" w:type="pct"/>
                  <w:vMerge w:val="continue"/>
                  <w:tcBorders>
                    <w:tl2br w:val="nil"/>
                    <w:tr2bl w:val="nil"/>
                  </w:tcBorders>
                  <w:vAlign w:val="center"/>
                </w:tcPr>
                <w:p w14:paraId="32EB92C3">
                  <w:pPr>
                    <w:adjustRightInd w:val="0"/>
                    <w:snapToGrid w:val="0"/>
                    <w:jc w:val="center"/>
                    <w:outlineLvl w:val="9"/>
                    <w:rPr>
                      <w:bCs/>
                      <w:color w:val="auto"/>
                      <w:spacing w:val="-10"/>
                      <w:szCs w:val="21"/>
                    </w:rPr>
                  </w:pPr>
                </w:p>
              </w:tc>
              <w:tc>
                <w:tcPr>
                  <w:tcW w:w="512" w:type="pct"/>
                  <w:vMerge w:val="continue"/>
                  <w:tcBorders>
                    <w:tl2br w:val="nil"/>
                    <w:tr2bl w:val="nil"/>
                  </w:tcBorders>
                  <w:vAlign w:val="center"/>
                </w:tcPr>
                <w:p w14:paraId="48A21F01">
                  <w:pPr>
                    <w:adjustRightInd w:val="0"/>
                    <w:snapToGrid w:val="0"/>
                    <w:jc w:val="center"/>
                    <w:outlineLvl w:val="9"/>
                    <w:rPr>
                      <w:bCs/>
                      <w:color w:val="auto"/>
                      <w:spacing w:val="-10"/>
                      <w:szCs w:val="21"/>
                    </w:rPr>
                  </w:pPr>
                </w:p>
              </w:tc>
              <w:tc>
                <w:tcPr>
                  <w:tcW w:w="593" w:type="pct"/>
                  <w:tcBorders>
                    <w:tl2br w:val="nil"/>
                    <w:tr2bl w:val="nil"/>
                  </w:tcBorders>
                  <w:vAlign w:val="center"/>
                </w:tcPr>
                <w:p w14:paraId="3D8193B4">
                  <w:pPr>
                    <w:adjustRightInd w:val="0"/>
                    <w:snapToGrid w:val="0"/>
                    <w:jc w:val="center"/>
                    <w:outlineLvl w:val="9"/>
                    <w:rPr>
                      <w:b/>
                      <w:color w:val="auto"/>
                      <w:spacing w:val="-10"/>
                      <w:szCs w:val="21"/>
                    </w:rPr>
                  </w:pPr>
                  <w:r>
                    <w:rPr>
                      <w:b/>
                      <w:color w:val="auto"/>
                      <w:spacing w:val="-10"/>
                      <w:szCs w:val="21"/>
                    </w:rPr>
                    <w:t>排放量t/a</w:t>
                  </w:r>
                </w:p>
              </w:tc>
              <w:tc>
                <w:tcPr>
                  <w:tcW w:w="709" w:type="pct"/>
                  <w:tcBorders>
                    <w:tl2br w:val="nil"/>
                    <w:tr2bl w:val="nil"/>
                  </w:tcBorders>
                  <w:vAlign w:val="center"/>
                </w:tcPr>
                <w:p w14:paraId="7D61B937">
                  <w:pPr>
                    <w:adjustRightInd w:val="0"/>
                    <w:snapToGrid w:val="0"/>
                    <w:jc w:val="center"/>
                    <w:outlineLvl w:val="9"/>
                    <w:rPr>
                      <w:b/>
                      <w:color w:val="auto"/>
                      <w:spacing w:val="-10"/>
                      <w:szCs w:val="21"/>
                    </w:rPr>
                  </w:pPr>
                  <w:r>
                    <w:rPr>
                      <w:b/>
                      <w:color w:val="auto"/>
                      <w:spacing w:val="-10"/>
                      <w:szCs w:val="21"/>
                    </w:rPr>
                    <w:t>排放速率kg/h</w:t>
                  </w:r>
                </w:p>
              </w:tc>
              <w:tc>
                <w:tcPr>
                  <w:tcW w:w="729" w:type="pct"/>
                  <w:tcBorders>
                    <w:tl2br w:val="nil"/>
                    <w:tr2bl w:val="nil"/>
                  </w:tcBorders>
                  <w:vAlign w:val="center"/>
                </w:tcPr>
                <w:p w14:paraId="7FEC5F53">
                  <w:pPr>
                    <w:adjustRightInd w:val="0"/>
                    <w:snapToGrid w:val="0"/>
                    <w:jc w:val="center"/>
                    <w:outlineLvl w:val="9"/>
                    <w:rPr>
                      <w:b/>
                      <w:color w:val="auto"/>
                      <w:spacing w:val="-10"/>
                      <w:szCs w:val="21"/>
                    </w:rPr>
                  </w:pPr>
                  <w:r>
                    <w:rPr>
                      <w:rFonts w:hint="eastAsia"/>
                      <w:b/>
                      <w:color w:val="auto"/>
                      <w:spacing w:val="-10"/>
                      <w:szCs w:val="21"/>
                      <w:lang w:val="en-US" w:eastAsia="zh-CN"/>
                    </w:rPr>
                    <w:t>厂房外</w:t>
                  </w:r>
                  <w:r>
                    <w:rPr>
                      <w:b/>
                      <w:color w:val="auto"/>
                      <w:spacing w:val="-10"/>
                      <w:szCs w:val="21"/>
                    </w:rPr>
                    <w:t>浓度</w:t>
                  </w:r>
                </w:p>
                <w:p w14:paraId="5D0C01A7">
                  <w:pPr>
                    <w:adjustRightInd w:val="0"/>
                    <w:snapToGrid w:val="0"/>
                    <w:jc w:val="center"/>
                    <w:outlineLvl w:val="9"/>
                    <w:rPr>
                      <w:b/>
                      <w:color w:val="auto"/>
                      <w:spacing w:val="-10"/>
                      <w:szCs w:val="21"/>
                    </w:rPr>
                  </w:pPr>
                  <w:r>
                    <w:rPr>
                      <w:b/>
                      <w:color w:val="auto"/>
                      <w:spacing w:val="-10"/>
                      <w:szCs w:val="21"/>
                    </w:rPr>
                    <w:t>mg/m</w:t>
                  </w:r>
                  <w:r>
                    <w:rPr>
                      <w:b/>
                      <w:color w:val="auto"/>
                      <w:spacing w:val="-10"/>
                      <w:szCs w:val="21"/>
                      <w:vertAlign w:val="superscript"/>
                    </w:rPr>
                    <w:t>3</w:t>
                  </w:r>
                </w:p>
              </w:tc>
              <w:tc>
                <w:tcPr>
                  <w:tcW w:w="739" w:type="pct"/>
                  <w:tcBorders>
                    <w:tl2br w:val="nil"/>
                    <w:tr2bl w:val="nil"/>
                  </w:tcBorders>
                  <w:vAlign w:val="center"/>
                </w:tcPr>
                <w:p w14:paraId="506EE87F">
                  <w:pPr>
                    <w:adjustRightInd w:val="0"/>
                    <w:snapToGrid w:val="0"/>
                    <w:jc w:val="center"/>
                    <w:outlineLvl w:val="9"/>
                    <w:rPr>
                      <w:b/>
                      <w:color w:val="auto"/>
                      <w:spacing w:val="-10"/>
                      <w:szCs w:val="21"/>
                      <w:highlight w:val="yellow"/>
                    </w:rPr>
                  </w:pPr>
                  <w:r>
                    <w:rPr>
                      <w:b/>
                      <w:color w:val="auto"/>
                      <w:spacing w:val="-10"/>
                      <w:szCs w:val="21"/>
                    </w:rPr>
                    <w:t>监控点位</w:t>
                  </w:r>
                </w:p>
              </w:tc>
              <w:tc>
                <w:tcPr>
                  <w:tcW w:w="611" w:type="pct"/>
                  <w:tcBorders>
                    <w:tl2br w:val="nil"/>
                    <w:tr2bl w:val="nil"/>
                  </w:tcBorders>
                  <w:vAlign w:val="center"/>
                </w:tcPr>
                <w:p w14:paraId="71AD564C">
                  <w:pPr>
                    <w:adjustRightInd w:val="0"/>
                    <w:snapToGrid w:val="0"/>
                    <w:jc w:val="center"/>
                    <w:outlineLvl w:val="9"/>
                    <w:rPr>
                      <w:b/>
                      <w:color w:val="auto"/>
                      <w:spacing w:val="-10"/>
                      <w:szCs w:val="21"/>
                    </w:rPr>
                  </w:pPr>
                  <w:r>
                    <w:rPr>
                      <w:b/>
                      <w:color w:val="auto"/>
                      <w:spacing w:val="-10"/>
                      <w:szCs w:val="21"/>
                    </w:rPr>
                    <w:t>浓度限值mg/m</w:t>
                  </w:r>
                  <w:r>
                    <w:rPr>
                      <w:b/>
                      <w:color w:val="auto"/>
                      <w:spacing w:val="-10"/>
                      <w:szCs w:val="21"/>
                      <w:vertAlign w:val="superscript"/>
                    </w:rPr>
                    <w:t>3</w:t>
                  </w:r>
                </w:p>
              </w:tc>
              <w:tc>
                <w:tcPr>
                  <w:tcW w:w="359" w:type="pct"/>
                  <w:vMerge w:val="continue"/>
                  <w:tcBorders>
                    <w:tl2br w:val="nil"/>
                    <w:tr2bl w:val="nil"/>
                  </w:tcBorders>
                  <w:vAlign w:val="center"/>
                </w:tcPr>
                <w:p w14:paraId="114271AE">
                  <w:pPr>
                    <w:adjustRightInd w:val="0"/>
                    <w:snapToGrid w:val="0"/>
                    <w:jc w:val="center"/>
                    <w:outlineLvl w:val="9"/>
                    <w:rPr>
                      <w:bCs/>
                      <w:color w:val="auto"/>
                      <w:spacing w:val="-10"/>
                      <w:szCs w:val="21"/>
                    </w:rPr>
                  </w:pPr>
                </w:p>
              </w:tc>
            </w:tr>
            <w:tr w14:paraId="3CAE3D8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tcBorders>
                    <w:tl2br w:val="nil"/>
                    <w:tr2bl w:val="nil"/>
                  </w:tcBorders>
                  <w:vAlign w:val="center"/>
                </w:tcPr>
                <w:p w14:paraId="70D26679">
                  <w:pPr>
                    <w:adjustRightInd w:val="0"/>
                    <w:snapToGrid w:val="0"/>
                    <w:jc w:val="center"/>
                    <w:outlineLvl w:val="9"/>
                    <w:rPr>
                      <w:rFonts w:hint="eastAsia" w:eastAsia="宋体"/>
                      <w:bCs/>
                      <w:color w:val="auto"/>
                      <w:spacing w:val="-10"/>
                      <w:szCs w:val="21"/>
                      <w:lang w:eastAsia="zh-CN"/>
                    </w:rPr>
                  </w:pPr>
                  <w:r>
                    <w:rPr>
                      <w:rFonts w:hint="eastAsia"/>
                      <w:bCs/>
                      <w:color w:val="auto"/>
                      <w:spacing w:val="-10"/>
                      <w:szCs w:val="21"/>
                      <w:lang w:val="en-US" w:eastAsia="zh-CN"/>
                    </w:rPr>
                    <w:t>1</w:t>
                  </w:r>
                </w:p>
              </w:tc>
              <w:tc>
                <w:tcPr>
                  <w:tcW w:w="465" w:type="pct"/>
                  <w:tcBorders>
                    <w:tl2br w:val="nil"/>
                    <w:tr2bl w:val="nil"/>
                  </w:tcBorders>
                  <w:vAlign w:val="center"/>
                </w:tcPr>
                <w:p w14:paraId="339C9790">
                  <w:pPr>
                    <w:pStyle w:val="17"/>
                    <w:adjustRightInd w:val="0"/>
                    <w:snapToGrid w:val="0"/>
                    <w:spacing w:after="0" w:line="240" w:lineRule="auto"/>
                    <w:ind w:left="0" w:leftChars="0"/>
                    <w:jc w:val="center"/>
                    <w:outlineLvl w:val="9"/>
                    <w:rPr>
                      <w:rFonts w:hint="default"/>
                      <w:color w:val="auto"/>
                      <w:szCs w:val="21"/>
                      <w:lang w:val="en-US"/>
                    </w:rPr>
                  </w:pPr>
                  <w:r>
                    <w:rPr>
                      <w:rFonts w:hint="eastAsia"/>
                      <w:bCs/>
                      <w:color w:val="auto"/>
                      <w:spacing w:val="-10"/>
                      <w:szCs w:val="21"/>
                      <w:lang w:val="en-US" w:eastAsia="zh-CN"/>
                    </w:rPr>
                    <w:t>水油相制备工房</w:t>
                  </w:r>
                </w:p>
              </w:tc>
              <w:tc>
                <w:tcPr>
                  <w:tcW w:w="512" w:type="pct"/>
                  <w:tcBorders>
                    <w:tl2br w:val="nil"/>
                    <w:tr2bl w:val="nil"/>
                  </w:tcBorders>
                  <w:vAlign w:val="center"/>
                </w:tcPr>
                <w:p w14:paraId="22A26A04">
                  <w:pPr>
                    <w:adjustRightInd w:val="0"/>
                    <w:snapToGrid w:val="0"/>
                    <w:jc w:val="center"/>
                    <w:outlineLvl w:val="9"/>
                    <w:rPr>
                      <w:color w:val="auto"/>
                      <w:szCs w:val="21"/>
                    </w:rPr>
                  </w:pPr>
                  <w:r>
                    <w:rPr>
                      <w:color w:val="auto"/>
                      <w:kern w:val="2"/>
                      <w:szCs w:val="21"/>
                    </w:rPr>
                    <w:t>非甲烷总烃</w:t>
                  </w:r>
                </w:p>
              </w:tc>
              <w:tc>
                <w:tcPr>
                  <w:tcW w:w="1385" w:type="dxa"/>
                  <w:tcBorders>
                    <w:tl2br w:val="nil"/>
                    <w:tr2bl w:val="nil"/>
                  </w:tcBorders>
                  <w:shd w:val="clear" w:color="auto" w:fill="auto"/>
                  <w:vAlign w:val="center"/>
                </w:tcPr>
                <w:p w14:paraId="31FDB61C">
                  <w:pPr>
                    <w:widowControl/>
                    <w:jc w:val="center"/>
                    <w:textAlignment w:val="center"/>
                    <w:outlineLvl w:val="9"/>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sz w:val="21"/>
                      <w:szCs w:val="21"/>
                      <w:highlight w:val="none"/>
                      <w:lang w:val="en-US" w:eastAsia="zh-CN"/>
                    </w:rPr>
                    <w:t>0.0085</w:t>
                  </w:r>
                </w:p>
              </w:tc>
              <w:tc>
                <w:tcPr>
                  <w:tcW w:w="1656" w:type="dxa"/>
                  <w:tcBorders>
                    <w:tl2br w:val="nil"/>
                    <w:tr2bl w:val="nil"/>
                  </w:tcBorders>
                  <w:shd w:val="clear" w:color="auto" w:fill="auto"/>
                  <w:vAlign w:val="center"/>
                </w:tcPr>
                <w:p w14:paraId="7830286E">
                  <w:pPr>
                    <w:widowControl/>
                    <w:jc w:val="center"/>
                    <w:textAlignment w:val="center"/>
                    <w:outlineLvl w:val="9"/>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sz w:val="21"/>
                      <w:szCs w:val="21"/>
                      <w:highlight w:val="none"/>
                      <w:vertAlign w:val="baseline"/>
                      <w:lang w:val="en-US" w:eastAsia="zh-CN"/>
                    </w:rPr>
                    <w:t>0.0680</w:t>
                  </w:r>
                </w:p>
              </w:tc>
              <w:tc>
                <w:tcPr>
                  <w:tcW w:w="729" w:type="pct"/>
                  <w:tcBorders>
                    <w:tl2br w:val="nil"/>
                    <w:tr2bl w:val="nil"/>
                  </w:tcBorders>
                  <w:vAlign w:val="center"/>
                </w:tcPr>
                <w:p w14:paraId="10E05E6D">
                  <w:pPr>
                    <w:adjustRightInd w:val="0"/>
                    <w:snapToGrid w:val="0"/>
                    <w:jc w:val="center"/>
                    <w:outlineLvl w:val="9"/>
                    <w:rPr>
                      <w:rFonts w:hint="default" w:eastAsia="宋体"/>
                      <w:bCs/>
                      <w:color w:val="auto"/>
                      <w:spacing w:val="-10"/>
                      <w:szCs w:val="21"/>
                      <w:lang w:val="en-US" w:eastAsia="zh-CN"/>
                    </w:rPr>
                  </w:pPr>
                  <w:r>
                    <w:rPr>
                      <w:rFonts w:hint="eastAsia"/>
                      <w:bCs/>
                      <w:color w:val="auto"/>
                      <w:spacing w:val="-10"/>
                      <w:szCs w:val="21"/>
                      <w:lang w:val="en-US" w:eastAsia="zh-CN"/>
                    </w:rPr>
                    <w:t>0.0002</w:t>
                  </w:r>
                </w:p>
              </w:tc>
              <w:tc>
                <w:tcPr>
                  <w:tcW w:w="739" w:type="pct"/>
                  <w:tcBorders>
                    <w:tl2br w:val="nil"/>
                    <w:tr2bl w:val="nil"/>
                  </w:tcBorders>
                  <w:vAlign w:val="center"/>
                </w:tcPr>
                <w:p w14:paraId="65896996">
                  <w:pPr>
                    <w:adjustRightInd w:val="0"/>
                    <w:snapToGrid w:val="0"/>
                    <w:jc w:val="center"/>
                    <w:outlineLvl w:val="9"/>
                    <w:rPr>
                      <w:bCs/>
                      <w:color w:val="auto"/>
                      <w:spacing w:val="-10"/>
                      <w:szCs w:val="21"/>
                    </w:rPr>
                  </w:pPr>
                  <w:r>
                    <w:rPr>
                      <w:rFonts w:hint="eastAsia" w:ascii="Times New Roman" w:hAnsi="Times New Roman" w:eastAsia="宋体" w:cs="Times New Roman"/>
                      <w:bCs/>
                      <w:color w:val="auto"/>
                      <w:spacing w:val="-10"/>
                      <w:szCs w:val="21"/>
                      <w:lang w:val="en-US" w:eastAsia="zh-CN"/>
                    </w:rPr>
                    <w:t>水油相制备工房</w:t>
                  </w:r>
                  <w:r>
                    <w:rPr>
                      <w:rFonts w:hint="eastAsia" w:cs="Times New Roman"/>
                      <w:bCs/>
                      <w:color w:val="auto"/>
                      <w:spacing w:val="-10"/>
                      <w:szCs w:val="21"/>
                      <w:lang w:val="en-US" w:eastAsia="zh-CN"/>
                    </w:rPr>
                    <w:t>门窗或通风口</w:t>
                  </w:r>
                  <w:r>
                    <w:rPr>
                      <w:rFonts w:hint="eastAsia" w:ascii="Times New Roman" w:hAnsi="Times New Roman" w:eastAsia="宋体" w:cs="Times New Roman"/>
                      <w:bCs/>
                      <w:color w:val="auto"/>
                      <w:spacing w:val="-10"/>
                      <w:szCs w:val="21"/>
                      <w:lang w:val="en-US" w:eastAsia="zh-CN"/>
                    </w:rPr>
                    <w:t>外</w:t>
                  </w:r>
                  <w:r>
                    <w:rPr>
                      <w:rFonts w:hint="eastAsia" w:cs="Times New Roman"/>
                      <w:bCs/>
                      <w:color w:val="auto"/>
                      <w:spacing w:val="-10"/>
                      <w:szCs w:val="21"/>
                      <w:lang w:val="en-US" w:eastAsia="zh-CN"/>
                    </w:rPr>
                    <w:t>1m</w:t>
                  </w:r>
                </w:p>
              </w:tc>
              <w:tc>
                <w:tcPr>
                  <w:tcW w:w="611" w:type="pct"/>
                  <w:tcBorders>
                    <w:tl2br w:val="nil"/>
                    <w:tr2bl w:val="nil"/>
                  </w:tcBorders>
                  <w:vAlign w:val="center"/>
                </w:tcPr>
                <w:p w14:paraId="27D2CAAD">
                  <w:pPr>
                    <w:adjustRightInd w:val="0"/>
                    <w:snapToGrid w:val="0"/>
                    <w:jc w:val="center"/>
                    <w:outlineLvl w:val="9"/>
                    <w:rPr>
                      <w:rFonts w:hint="default" w:eastAsia="宋体"/>
                      <w:bCs/>
                      <w:color w:val="auto"/>
                      <w:spacing w:val="-10"/>
                      <w:szCs w:val="21"/>
                      <w:lang w:val="en-US" w:eastAsia="zh-CN"/>
                    </w:rPr>
                  </w:pPr>
                  <w:r>
                    <w:rPr>
                      <w:rFonts w:hint="eastAsia" w:ascii="Times New Roman" w:hAnsi="Times New Roman" w:cs="Times New Roman"/>
                      <w:color w:val="auto"/>
                      <w:highlight w:val="none"/>
                      <w:lang w:val="en-US" w:eastAsia="zh-CN"/>
                    </w:rPr>
                    <w:t>6</w:t>
                  </w:r>
                  <w:r>
                    <w:rPr>
                      <w:rFonts w:hint="eastAsia" w:cs="Times New Roman"/>
                      <w:color w:val="auto"/>
                      <w:highlight w:val="none"/>
                      <w:lang w:val="en-US" w:eastAsia="zh-CN"/>
                    </w:rPr>
                    <w:t>/20</w:t>
                  </w:r>
                </w:p>
              </w:tc>
              <w:tc>
                <w:tcPr>
                  <w:tcW w:w="359" w:type="pct"/>
                  <w:tcBorders>
                    <w:tl2br w:val="nil"/>
                    <w:tr2bl w:val="nil"/>
                  </w:tcBorders>
                  <w:vAlign w:val="center"/>
                </w:tcPr>
                <w:p w14:paraId="79DF3A87">
                  <w:pPr>
                    <w:adjustRightInd w:val="0"/>
                    <w:snapToGrid w:val="0"/>
                    <w:jc w:val="center"/>
                    <w:outlineLvl w:val="9"/>
                    <w:rPr>
                      <w:color w:val="auto"/>
                      <w:szCs w:val="21"/>
                    </w:rPr>
                  </w:pPr>
                  <w:r>
                    <w:rPr>
                      <w:color w:val="auto"/>
                      <w:szCs w:val="21"/>
                    </w:rPr>
                    <w:t>达标</w:t>
                  </w:r>
                </w:p>
              </w:tc>
            </w:tr>
            <w:tr w14:paraId="5848ACE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9" w:type="pct"/>
                  <w:tcBorders>
                    <w:tl2br w:val="nil"/>
                    <w:tr2bl w:val="nil"/>
                  </w:tcBorders>
                  <w:vAlign w:val="center"/>
                </w:tcPr>
                <w:p w14:paraId="16B9D1A7">
                  <w:pPr>
                    <w:adjustRightInd w:val="0"/>
                    <w:snapToGrid w:val="0"/>
                    <w:jc w:val="center"/>
                    <w:outlineLvl w:val="9"/>
                    <w:rPr>
                      <w:rFonts w:hint="eastAsia" w:eastAsia="宋体"/>
                      <w:bCs/>
                      <w:color w:val="auto"/>
                      <w:spacing w:val="-10"/>
                      <w:szCs w:val="21"/>
                      <w:lang w:val="en-US" w:eastAsia="zh-CN"/>
                    </w:rPr>
                  </w:pPr>
                  <w:r>
                    <w:rPr>
                      <w:rFonts w:hint="eastAsia"/>
                      <w:bCs/>
                      <w:color w:val="auto"/>
                      <w:spacing w:val="-10"/>
                      <w:szCs w:val="21"/>
                      <w:lang w:val="en-US" w:eastAsia="zh-CN"/>
                    </w:rPr>
                    <w:t>2</w:t>
                  </w:r>
                </w:p>
              </w:tc>
              <w:tc>
                <w:tcPr>
                  <w:tcW w:w="465" w:type="pct"/>
                  <w:tcBorders>
                    <w:tl2br w:val="nil"/>
                    <w:tr2bl w:val="nil"/>
                  </w:tcBorders>
                  <w:vAlign w:val="center"/>
                </w:tcPr>
                <w:p w14:paraId="2068FD7D">
                  <w:pPr>
                    <w:pStyle w:val="17"/>
                    <w:adjustRightInd w:val="0"/>
                    <w:snapToGrid w:val="0"/>
                    <w:spacing w:after="0" w:line="240" w:lineRule="auto"/>
                    <w:ind w:left="0" w:leftChars="0"/>
                    <w:jc w:val="center"/>
                    <w:outlineLvl w:val="9"/>
                    <w:rPr>
                      <w:color w:val="auto"/>
                      <w:szCs w:val="21"/>
                      <w:highlight w:val="none"/>
                    </w:rPr>
                  </w:pPr>
                  <w:r>
                    <w:rPr>
                      <w:rFonts w:hint="eastAsia"/>
                      <w:color w:val="auto"/>
                      <w:highlight w:val="none"/>
                      <w:lang w:val="en-US" w:eastAsia="zh-CN"/>
                    </w:rPr>
                    <w:t>乳化炸药震源药柱生产工房</w:t>
                  </w:r>
                </w:p>
              </w:tc>
              <w:tc>
                <w:tcPr>
                  <w:tcW w:w="512" w:type="pct"/>
                  <w:tcBorders>
                    <w:tl2br w:val="nil"/>
                    <w:tr2bl w:val="nil"/>
                  </w:tcBorders>
                  <w:vAlign w:val="center"/>
                </w:tcPr>
                <w:p w14:paraId="2146BFC2">
                  <w:pPr>
                    <w:adjustRightInd w:val="0"/>
                    <w:snapToGrid w:val="0"/>
                    <w:jc w:val="center"/>
                    <w:outlineLvl w:val="9"/>
                    <w:rPr>
                      <w:color w:val="auto"/>
                      <w:szCs w:val="21"/>
                      <w:highlight w:val="none"/>
                    </w:rPr>
                  </w:pPr>
                  <w:r>
                    <w:rPr>
                      <w:color w:val="auto"/>
                      <w:kern w:val="2"/>
                      <w:szCs w:val="21"/>
                      <w:highlight w:val="none"/>
                    </w:rPr>
                    <w:t>非甲烷总烃</w:t>
                  </w:r>
                </w:p>
              </w:tc>
              <w:tc>
                <w:tcPr>
                  <w:tcW w:w="1385" w:type="dxa"/>
                  <w:tcBorders>
                    <w:tl2br w:val="nil"/>
                    <w:tr2bl w:val="nil"/>
                  </w:tcBorders>
                  <w:vAlign w:val="center"/>
                </w:tcPr>
                <w:p w14:paraId="092C9389">
                  <w:pPr>
                    <w:widowControl/>
                    <w:jc w:val="center"/>
                    <w:textAlignment w:val="center"/>
                    <w:outlineLvl w:val="9"/>
                    <w:rPr>
                      <w:rFonts w:hint="eastAsia"/>
                      <w:color w:val="auto"/>
                      <w:szCs w:val="21"/>
                      <w:highlight w:val="yellow"/>
                    </w:rPr>
                  </w:pPr>
                  <w:r>
                    <w:rPr>
                      <w:rFonts w:hint="eastAsia" w:ascii="Times New Roman" w:hAnsi="Times New Roman" w:cs="Times New Roman"/>
                      <w:color w:val="auto"/>
                      <w:sz w:val="21"/>
                      <w:szCs w:val="21"/>
                      <w:highlight w:val="none"/>
                      <w:u w:val="none"/>
                      <w:lang w:val="en-US" w:eastAsia="zh-CN"/>
                    </w:rPr>
                    <w:t>0.0443</w:t>
                  </w:r>
                </w:p>
              </w:tc>
              <w:tc>
                <w:tcPr>
                  <w:tcW w:w="1656" w:type="dxa"/>
                  <w:tcBorders>
                    <w:tl2br w:val="nil"/>
                    <w:tr2bl w:val="nil"/>
                  </w:tcBorders>
                  <w:vAlign w:val="center"/>
                </w:tcPr>
                <w:p w14:paraId="610EF4F6">
                  <w:pPr>
                    <w:widowControl/>
                    <w:jc w:val="center"/>
                    <w:textAlignment w:val="center"/>
                    <w:outlineLvl w:val="9"/>
                    <w:rPr>
                      <w:rFonts w:hint="eastAsia"/>
                      <w:color w:val="auto"/>
                      <w:szCs w:val="21"/>
                      <w:highlight w:val="yellow"/>
                    </w:rPr>
                  </w:pPr>
                  <w:r>
                    <w:rPr>
                      <w:rFonts w:hint="eastAsia" w:ascii="Times New Roman" w:hAnsi="Times New Roman" w:cs="Times New Roman"/>
                      <w:color w:val="auto"/>
                      <w:sz w:val="21"/>
                      <w:szCs w:val="21"/>
                      <w:highlight w:val="none"/>
                      <w:u w:val="none"/>
                      <w:lang w:val="en-US" w:eastAsia="zh-CN"/>
                    </w:rPr>
                    <w:t>0.0236</w:t>
                  </w:r>
                </w:p>
              </w:tc>
              <w:tc>
                <w:tcPr>
                  <w:tcW w:w="729" w:type="pct"/>
                  <w:tcBorders>
                    <w:tl2br w:val="nil"/>
                    <w:tr2bl w:val="nil"/>
                  </w:tcBorders>
                  <w:vAlign w:val="center"/>
                </w:tcPr>
                <w:p w14:paraId="4E70B008">
                  <w:pPr>
                    <w:adjustRightInd w:val="0"/>
                    <w:snapToGrid w:val="0"/>
                    <w:jc w:val="center"/>
                    <w:outlineLvl w:val="9"/>
                    <w:rPr>
                      <w:rFonts w:hint="default" w:eastAsia="宋体"/>
                      <w:bCs/>
                      <w:color w:val="auto"/>
                      <w:spacing w:val="-10"/>
                      <w:szCs w:val="21"/>
                      <w:highlight w:val="yellow"/>
                      <w:lang w:val="en-US" w:eastAsia="zh-CN"/>
                    </w:rPr>
                  </w:pPr>
                  <w:r>
                    <w:rPr>
                      <w:rFonts w:hint="eastAsia"/>
                      <w:bCs/>
                      <w:color w:val="auto"/>
                      <w:spacing w:val="-10"/>
                      <w:szCs w:val="21"/>
                      <w:highlight w:val="none"/>
                      <w:lang w:val="en-US" w:eastAsia="zh-CN"/>
                    </w:rPr>
                    <w:t>0.0043</w:t>
                  </w:r>
                </w:p>
              </w:tc>
              <w:tc>
                <w:tcPr>
                  <w:tcW w:w="739" w:type="pct"/>
                  <w:tcBorders>
                    <w:tl2br w:val="nil"/>
                    <w:tr2bl w:val="nil"/>
                  </w:tcBorders>
                  <w:vAlign w:val="center"/>
                </w:tcPr>
                <w:p w14:paraId="0D41258E">
                  <w:pPr>
                    <w:adjustRightInd w:val="0"/>
                    <w:snapToGrid w:val="0"/>
                    <w:jc w:val="center"/>
                    <w:outlineLvl w:val="9"/>
                    <w:rPr>
                      <w:rFonts w:hint="eastAsia"/>
                      <w:bCs/>
                      <w:color w:val="auto"/>
                      <w:spacing w:val="-10"/>
                      <w:szCs w:val="21"/>
                      <w:highlight w:val="yellow"/>
                    </w:rPr>
                  </w:pPr>
                  <w:r>
                    <w:rPr>
                      <w:rFonts w:hint="eastAsia" w:ascii="Times New Roman" w:hAnsi="Times New Roman" w:eastAsia="宋体" w:cs="Times New Roman"/>
                      <w:bCs/>
                      <w:color w:val="auto"/>
                      <w:spacing w:val="-10"/>
                      <w:szCs w:val="21"/>
                      <w:lang w:val="en-US" w:eastAsia="zh-CN"/>
                    </w:rPr>
                    <w:t>乳化炸药震源药柱生产工房</w:t>
                  </w:r>
                  <w:r>
                    <w:rPr>
                      <w:rFonts w:hint="eastAsia" w:cs="Times New Roman"/>
                      <w:bCs/>
                      <w:color w:val="auto"/>
                      <w:spacing w:val="-10"/>
                      <w:szCs w:val="21"/>
                      <w:lang w:val="en-US" w:eastAsia="zh-CN"/>
                    </w:rPr>
                    <w:t>门窗或通风口</w:t>
                  </w:r>
                  <w:r>
                    <w:rPr>
                      <w:rFonts w:hint="eastAsia" w:ascii="Times New Roman" w:hAnsi="Times New Roman" w:eastAsia="宋体" w:cs="Times New Roman"/>
                      <w:bCs/>
                      <w:color w:val="auto"/>
                      <w:spacing w:val="-10"/>
                      <w:szCs w:val="21"/>
                      <w:lang w:val="en-US" w:eastAsia="zh-CN"/>
                    </w:rPr>
                    <w:t>外</w:t>
                  </w:r>
                  <w:r>
                    <w:rPr>
                      <w:rFonts w:hint="eastAsia" w:cs="Times New Roman"/>
                      <w:bCs/>
                      <w:color w:val="auto"/>
                      <w:spacing w:val="-10"/>
                      <w:szCs w:val="21"/>
                      <w:lang w:val="en-US" w:eastAsia="zh-CN"/>
                    </w:rPr>
                    <w:t>1m</w:t>
                  </w:r>
                </w:p>
              </w:tc>
              <w:tc>
                <w:tcPr>
                  <w:tcW w:w="611" w:type="pct"/>
                  <w:tcBorders>
                    <w:tl2br w:val="nil"/>
                    <w:tr2bl w:val="nil"/>
                  </w:tcBorders>
                  <w:vAlign w:val="center"/>
                </w:tcPr>
                <w:p w14:paraId="4F42A283">
                  <w:pPr>
                    <w:adjustRightInd w:val="0"/>
                    <w:snapToGrid w:val="0"/>
                    <w:jc w:val="center"/>
                    <w:outlineLvl w:val="9"/>
                    <w:rPr>
                      <w:rFonts w:hint="default" w:eastAsia="宋体"/>
                      <w:bCs/>
                      <w:color w:val="auto"/>
                      <w:spacing w:val="-10"/>
                      <w:szCs w:val="21"/>
                      <w:lang w:val="en-US" w:eastAsia="zh-CN"/>
                    </w:rPr>
                  </w:pPr>
                  <w:r>
                    <w:rPr>
                      <w:rFonts w:hint="eastAsia" w:ascii="Times New Roman" w:hAnsi="Times New Roman" w:cs="Times New Roman"/>
                      <w:color w:val="auto"/>
                      <w:highlight w:val="none"/>
                      <w:lang w:val="en-US" w:eastAsia="zh-CN"/>
                    </w:rPr>
                    <w:t>6</w:t>
                  </w:r>
                  <w:r>
                    <w:rPr>
                      <w:rFonts w:hint="eastAsia" w:cs="Times New Roman"/>
                      <w:color w:val="auto"/>
                      <w:highlight w:val="none"/>
                      <w:lang w:val="en-US" w:eastAsia="zh-CN"/>
                    </w:rPr>
                    <w:t>/20</w:t>
                  </w:r>
                </w:p>
              </w:tc>
              <w:tc>
                <w:tcPr>
                  <w:tcW w:w="359" w:type="pct"/>
                  <w:tcBorders>
                    <w:tl2br w:val="nil"/>
                    <w:tr2bl w:val="nil"/>
                  </w:tcBorders>
                  <w:vAlign w:val="center"/>
                </w:tcPr>
                <w:p w14:paraId="6956AD16">
                  <w:pPr>
                    <w:adjustRightInd w:val="0"/>
                    <w:snapToGrid w:val="0"/>
                    <w:jc w:val="center"/>
                    <w:outlineLvl w:val="9"/>
                    <w:rPr>
                      <w:color w:val="auto"/>
                      <w:szCs w:val="21"/>
                    </w:rPr>
                  </w:pPr>
                  <w:r>
                    <w:rPr>
                      <w:color w:val="auto"/>
                      <w:szCs w:val="21"/>
                    </w:rPr>
                    <w:t>达标</w:t>
                  </w:r>
                </w:p>
              </w:tc>
            </w:tr>
          </w:tbl>
          <w:p w14:paraId="5953C754">
            <w:pPr>
              <w:pStyle w:val="27"/>
              <w:spacing w:line="360" w:lineRule="auto"/>
              <w:ind w:left="0" w:leftChars="0" w:firstLine="480" w:firstLineChars="200"/>
              <w:outlineLvl w:val="9"/>
              <w:rPr>
                <w:rFonts w:hint="eastAsia"/>
                <w:b/>
                <w:bCs/>
                <w:color w:val="auto"/>
                <w:sz w:val="24"/>
                <w:lang w:val="en-US" w:eastAsia="zh-CN"/>
              </w:rPr>
            </w:pPr>
            <w:r>
              <w:rPr>
                <w:rFonts w:ascii="Times New Roman" w:hAnsi="Times New Roman" w:cs="Times New Roman"/>
                <w:color w:val="auto"/>
                <w:sz w:val="24"/>
                <w:szCs w:val="24"/>
                <w:highlight w:val="none"/>
                <w:lang w:eastAsia="zh-CN"/>
              </w:rPr>
              <w:t>本项目</w:t>
            </w:r>
            <w:r>
              <w:rPr>
                <w:rFonts w:hint="eastAsia"/>
                <w:bCs/>
                <w:color w:val="auto"/>
                <w:spacing w:val="-10"/>
                <w:sz w:val="24"/>
                <w:szCs w:val="24"/>
                <w:lang w:val="en-US" w:eastAsia="zh-CN"/>
              </w:rPr>
              <w:t>水油相制备工房</w:t>
            </w:r>
            <w:r>
              <w:rPr>
                <w:rFonts w:hint="eastAsia" w:cs="Times New Roman"/>
                <w:bCs/>
                <w:color w:val="auto"/>
                <w:spacing w:val="-10"/>
                <w:szCs w:val="21"/>
                <w:lang w:val="en-US" w:eastAsia="zh-CN"/>
              </w:rPr>
              <w:t>门</w:t>
            </w:r>
            <w:r>
              <w:rPr>
                <w:rFonts w:hint="eastAsia" w:ascii="Times New Roman" w:hAnsi="Times New Roman" w:cs="Times New Roman"/>
                <w:color w:val="auto"/>
                <w:sz w:val="24"/>
                <w:szCs w:val="24"/>
                <w:highlight w:val="none"/>
                <w:lang w:val="en-US" w:eastAsia="zh-CN"/>
              </w:rPr>
              <w:t>窗或通风口外1m、乳化炸药震源药柱生产工房门窗或通风口外1m</w:t>
            </w:r>
            <w:r>
              <w:rPr>
                <w:rFonts w:hint="eastAsia" w:cs="Times New Roman"/>
                <w:color w:val="auto"/>
                <w:sz w:val="24"/>
                <w:szCs w:val="24"/>
                <w:lang w:eastAsia="zh-CN"/>
              </w:rPr>
              <w:t>非甲烷总烃</w:t>
            </w:r>
            <w:r>
              <w:rPr>
                <w:rFonts w:ascii="Times New Roman" w:hAnsi="Times New Roman" w:cs="Times New Roman"/>
                <w:color w:val="auto"/>
                <w:sz w:val="24"/>
                <w:szCs w:val="24"/>
                <w:highlight w:val="none"/>
                <w:lang w:eastAsia="zh-CN"/>
              </w:rPr>
              <w:t>浓度</w:t>
            </w:r>
            <w:r>
              <w:rPr>
                <w:rFonts w:hint="eastAsia" w:cs="Times New Roman"/>
                <w:color w:val="auto"/>
                <w:sz w:val="24"/>
                <w:szCs w:val="24"/>
                <w:highlight w:val="none"/>
                <w:lang w:eastAsia="zh-CN"/>
              </w:rPr>
              <w:t>符</w:t>
            </w:r>
            <w:r>
              <w:rPr>
                <w:rFonts w:ascii="Times New Roman" w:hAnsi="Times New Roman" w:cs="Times New Roman"/>
                <w:color w:val="auto"/>
                <w:sz w:val="24"/>
                <w:szCs w:val="24"/>
                <w:lang w:eastAsia="zh-CN"/>
              </w:rPr>
              <w:t>合</w:t>
            </w:r>
            <w:r>
              <w:rPr>
                <w:rFonts w:hint="eastAsia" w:ascii="Times New Roman" w:hAnsi="Times New Roman" w:cs="Times New Roman"/>
                <w:color w:val="auto"/>
                <w:sz w:val="24"/>
                <w:szCs w:val="24"/>
                <w:lang w:val="en-US" w:eastAsia="zh-CN"/>
              </w:rPr>
              <w:t>《挥发性有机物无组织排放控制标准》（GB37822-2019）附录A表A.1特别排放限值</w:t>
            </w:r>
            <w:r>
              <w:rPr>
                <w:rFonts w:ascii="Times New Roman" w:hAnsi="Times New Roman" w:cs="Times New Roman"/>
                <w:color w:val="auto"/>
                <w:sz w:val="24"/>
                <w:szCs w:val="24"/>
                <w:lang w:eastAsia="zh-CN"/>
              </w:rPr>
              <w:t>。</w:t>
            </w:r>
          </w:p>
          <w:p w14:paraId="5BB24488">
            <w:pPr>
              <w:pStyle w:val="27"/>
              <w:spacing w:line="360" w:lineRule="auto"/>
              <w:ind w:left="479" w:leftChars="228"/>
              <w:outlineLvl w:val="9"/>
              <w:rPr>
                <w:b/>
                <w:bCs/>
                <w:color w:val="auto"/>
                <w:sz w:val="24"/>
              </w:rPr>
            </w:pPr>
            <w:r>
              <w:rPr>
                <w:rFonts w:hint="eastAsia"/>
                <w:b/>
                <w:bCs/>
                <w:color w:val="auto"/>
                <w:sz w:val="24"/>
                <w:lang w:val="en-US" w:eastAsia="zh-CN"/>
              </w:rPr>
              <w:t>3</w:t>
            </w:r>
            <w:r>
              <w:rPr>
                <w:rFonts w:hint="eastAsia"/>
                <w:b/>
                <w:bCs/>
                <w:color w:val="auto"/>
                <w:sz w:val="24"/>
              </w:rPr>
              <w:t>、</w:t>
            </w:r>
            <w:r>
              <w:rPr>
                <w:b/>
                <w:bCs/>
                <w:color w:val="auto"/>
                <w:sz w:val="24"/>
              </w:rPr>
              <w:t>监测计划</w:t>
            </w:r>
          </w:p>
          <w:p w14:paraId="44B69E0E">
            <w:pPr>
              <w:spacing w:line="360" w:lineRule="auto"/>
              <w:ind w:firstLine="480" w:firstLineChars="200"/>
              <w:outlineLvl w:val="9"/>
              <w:rPr>
                <w:color w:val="auto"/>
                <w:kern w:val="0"/>
                <w:sz w:val="24"/>
                <w:szCs w:val="22"/>
              </w:rPr>
            </w:pPr>
            <w:r>
              <w:rPr>
                <w:color w:val="auto"/>
                <w:kern w:val="0"/>
                <w:sz w:val="24"/>
                <w:szCs w:val="22"/>
              </w:rPr>
              <w:t>根据《排污单位自行监测技术指南 总则》（HJ 819-2017）</w:t>
            </w:r>
            <w:r>
              <w:rPr>
                <w:rFonts w:hint="eastAsia"/>
                <w:color w:val="auto"/>
                <w:kern w:val="0"/>
                <w:sz w:val="24"/>
                <w:szCs w:val="22"/>
              </w:rPr>
              <w:t>，</w:t>
            </w:r>
            <w:r>
              <w:rPr>
                <w:color w:val="auto"/>
                <w:kern w:val="0"/>
                <w:sz w:val="24"/>
                <w:szCs w:val="22"/>
              </w:rPr>
              <w:t>确定本项目大气环境监测计划，监测计划见表 4-</w:t>
            </w:r>
            <w:r>
              <w:rPr>
                <w:rFonts w:hint="eastAsia"/>
                <w:color w:val="auto"/>
                <w:kern w:val="0"/>
                <w:sz w:val="24"/>
                <w:szCs w:val="22"/>
                <w:lang w:val="en-US" w:eastAsia="zh-CN"/>
              </w:rPr>
              <w:t>4</w:t>
            </w:r>
            <w:r>
              <w:rPr>
                <w:color w:val="auto"/>
                <w:kern w:val="0"/>
                <w:sz w:val="24"/>
                <w:szCs w:val="22"/>
              </w:rPr>
              <w:t>。</w:t>
            </w:r>
          </w:p>
          <w:p w14:paraId="75E55785">
            <w:pPr>
              <w:jc w:val="center"/>
              <w:outlineLvl w:val="9"/>
              <w:rPr>
                <w:b/>
                <w:color w:val="auto"/>
                <w:szCs w:val="21"/>
              </w:rPr>
            </w:pPr>
            <w:bookmarkStart w:id="208" w:name="_Ref489004591"/>
            <w:bookmarkStart w:id="209" w:name="_Ref489004579"/>
            <w:r>
              <w:rPr>
                <w:b/>
                <w:color w:val="auto"/>
                <w:szCs w:val="21"/>
              </w:rPr>
              <w:t>表</w:t>
            </w:r>
            <w:bookmarkEnd w:id="208"/>
            <w:r>
              <w:rPr>
                <w:b/>
                <w:color w:val="auto"/>
                <w:szCs w:val="21"/>
              </w:rPr>
              <w:t>4-</w:t>
            </w:r>
            <w:r>
              <w:rPr>
                <w:rFonts w:hint="eastAsia"/>
                <w:b/>
                <w:color w:val="auto"/>
                <w:szCs w:val="21"/>
                <w:lang w:val="en-US" w:eastAsia="zh-CN"/>
              </w:rPr>
              <w:t>4</w:t>
            </w:r>
            <w:r>
              <w:rPr>
                <w:b/>
                <w:color w:val="auto"/>
                <w:szCs w:val="21"/>
              </w:rPr>
              <w:t xml:space="preserve">  污染源监测计划表</w:t>
            </w:r>
            <w:bookmarkEnd w:id="209"/>
          </w:p>
          <w:tbl>
            <w:tblPr>
              <w:tblStyle w:val="32"/>
              <w:tblW w:w="498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2949"/>
              <w:gridCol w:w="2793"/>
              <w:gridCol w:w="1938"/>
              <w:gridCol w:w="3991"/>
            </w:tblGrid>
            <w:tr w14:paraId="1EC34F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48" w:hRule="atLeast"/>
                <w:jc w:val="center"/>
              </w:trPr>
              <w:tc>
                <w:tcPr>
                  <w:tcW w:w="1263" w:type="pct"/>
                  <w:tcBorders>
                    <w:tl2br w:val="nil"/>
                    <w:tr2bl w:val="nil"/>
                  </w:tcBorders>
                  <w:shd w:val="clear" w:color="auto" w:fill="FFFFFF"/>
                  <w:vAlign w:val="center"/>
                </w:tcPr>
                <w:p w14:paraId="0D727321">
                  <w:pPr>
                    <w:pStyle w:val="114"/>
                    <w:spacing w:after="0"/>
                    <w:ind w:firstLine="0" w:firstLineChars="0"/>
                    <w:outlineLvl w:val="9"/>
                    <w:rPr>
                      <w:rFonts w:ascii="Times New Roman" w:hAnsi="Times New Roman" w:eastAsia="宋体"/>
                      <w:color w:val="auto"/>
                      <w:sz w:val="21"/>
                      <w:szCs w:val="21"/>
                    </w:rPr>
                  </w:pPr>
                  <w:r>
                    <w:rPr>
                      <w:rFonts w:ascii="Times New Roman" w:hAnsi="Times New Roman" w:eastAsia="宋体"/>
                      <w:color w:val="auto"/>
                      <w:sz w:val="21"/>
                      <w:szCs w:val="21"/>
                    </w:rPr>
                    <w:t>监测点位</w:t>
                  </w:r>
                </w:p>
              </w:tc>
              <w:tc>
                <w:tcPr>
                  <w:tcW w:w="1196" w:type="pct"/>
                  <w:tcBorders>
                    <w:tl2br w:val="nil"/>
                    <w:tr2bl w:val="nil"/>
                  </w:tcBorders>
                  <w:shd w:val="clear" w:color="auto" w:fill="FFFFFF"/>
                  <w:vAlign w:val="center"/>
                </w:tcPr>
                <w:p w14:paraId="0CF32EB6">
                  <w:pPr>
                    <w:pStyle w:val="114"/>
                    <w:spacing w:after="0"/>
                    <w:ind w:firstLine="0" w:firstLineChars="0"/>
                    <w:outlineLvl w:val="9"/>
                    <w:rPr>
                      <w:rFonts w:ascii="Times New Roman" w:hAnsi="Times New Roman" w:eastAsia="宋体"/>
                      <w:color w:val="auto"/>
                      <w:sz w:val="21"/>
                      <w:szCs w:val="21"/>
                    </w:rPr>
                  </w:pPr>
                  <w:r>
                    <w:rPr>
                      <w:rFonts w:ascii="Times New Roman" w:hAnsi="Times New Roman" w:eastAsia="宋体"/>
                      <w:color w:val="auto"/>
                      <w:sz w:val="21"/>
                      <w:szCs w:val="21"/>
                    </w:rPr>
                    <w:t>监测指标</w:t>
                  </w:r>
                </w:p>
              </w:tc>
              <w:tc>
                <w:tcPr>
                  <w:tcW w:w="830" w:type="pct"/>
                  <w:tcBorders>
                    <w:tl2br w:val="nil"/>
                    <w:tr2bl w:val="nil"/>
                  </w:tcBorders>
                  <w:shd w:val="clear" w:color="auto" w:fill="FFFFFF"/>
                  <w:vAlign w:val="center"/>
                </w:tcPr>
                <w:p w14:paraId="2B02FEEE">
                  <w:pPr>
                    <w:pStyle w:val="114"/>
                    <w:spacing w:after="0"/>
                    <w:ind w:firstLine="0" w:firstLineChars="0"/>
                    <w:outlineLvl w:val="9"/>
                    <w:rPr>
                      <w:rFonts w:ascii="Times New Roman" w:hAnsi="Times New Roman" w:eastAsia="宋体"/>
                      <w:color w:val="auto"/>
                      <w:sz w:val="21"/>
                      <w:szCs w:val="21"/>
                    </w:rPr>
                  </w:pPr>
                  <w:r>
                    <w:rPr>
                      <w:rFonts w:ascii="Times New Roman" w:hAnsi="Times New Roman" w:eastAsia="宋体"/>
                      <w:color w:val="auto"/>
                      <w:sz w:val="21"/>
                      <w:szCs w:val="21"/>
                    </w:rPr>
                    <w:t>监测频次</w:t>
                  </w:r>
                </w:p>
              </w:tc>
              <w:tc>
                <w:tcPr>
                  <w:tcW w:w="1709" w:type="pct"/>
                  <w:tcBorders>
                    <w:tl2br w:val="nil"/>
                    <w:tr2bl w:val="nil"/>
                  </w:tcBorders>
                  <w:shd w:val="clear" w:color="auto" w:fill="FFFFFF"/>
                  <w:vAlign w:val="center"/>
                </w:tcPr>
                <w:p w14:paraId="577D33C3">
                  <w:pPr>
                    <w:pStyle w:val="114"/>
                    <w:spacing w:before="31" w:after="31"/>
                    <w:ind w:firstLine="440"/>
                    <w:outlineLvl w:val="9"/>
                    <w:rPr>
                      <w:rFonts w:ascii="Times New Roman" w:hAnsi="Times New Roman" w:eastAsia="宋体"/>
                      <w:color w:val="auto"/>
                      <w:szCs w:val="21"/>
                    </w:rPr>
                  </w:pPr>
                  <w:r>
                    <w:rPr>
                      <w:rFonts w:ascii="Times New Roman" w:hAnsi="Times New Roman" w:eastAsia="宋体"/>
                      <w:color w:val="auto"/>
                      <w:szCs w:val="21"/>
                    </w:rPr>
                    <w:t>执行标准</w:t>
                  </w:r>
                </w:p>
              </w:tc>
            </w:tr>
            <w:tr w14:paraId="24FB75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3" w:hRule="atLeast"/>
                <w:jc w:val="center"/>
              </w:trPr>
              <w:tc>
                <w:tcPr>
                  <w:tcW w:w="1263" w:type="pct"/>
                  <w:tcBorders>
                    <w:tl2br w:val="nil"/>
                    <w:tr2bl w:val="nil"/>
                  </w:tcBorders>
                  <w:shd w:val="clear" w:color="auto" w:fill="FFFFFF"/>
                  <w:vAlign w:val="center"/>
                </w:tcPr>
                <w:p w14:paraId="5C6049A5">
                  <w:pPr>
                    <w:pStyle w:val="114"/>
                    <w:spacing w:after="0"/>
                    <w:ind w:firstLine="0" w:firstLineChars="0"/>
                    <w:outlineLvl w:val="9"/>
                    <w:rPr>
                      <w:rFonts w:ascii="Times New Roman" w:hAnsi="Times New Roman" w:eastAsia="宋体"/>
                      <w:color w:val="auto"/>
                      <w:sz w:val="21"/>
                      <w:szCs w:val="21"/>
                    </w:rPr>
                  </w:pPr>
                  <w:r>
                    <w:rPr>
                      <w:rFonts w:ascii="Times New Roman" w:hAnsi="Times New Roman" w:eastAsia="宋体"/>
                      <w:color w:val="auto"/>
                      <w:sz w:val="21"/>
                      <w:szCs w:val="21"/>
                    </w:rPr>
                    <w:t>厂界</w:t>
                  </w:r>
                </w:p>
              </w:tc>
              <w:tc>
                <w:tcPr>
                  <w:tcW w:w="1196" w:type="pct"/>
                  <w:tcBorders>
                    <w:tl2br w:val="nil"/>
                    <w:tr2bl w:val="nil"/>
                  </w:tcBorders>
                  <w:shd w:val="clear" w:color="auto" w:fill="FFFFFF"/>
                  <w:vAlign w:val="center"/>
                </w:tcPr>
                <w:p w14:paraId="5A3E164B">
                  <w:pPr>
                    <w:widowControl/>
                    <w:jc w:val="center"/>
                    <w:outlineLvl w:val="9"/>
                    <w:rPr>
                      <w:color w:val="auto"/>
                      <w:sz w:val="21"/>
                      <w:szCs w:val="21"/>
                    </w:rPr>
                  </w:pPr>
                  <w:r>
                    <w:rPr>
                      <w:bCs/>
                      <w:color w:val="auto"/>
                      <w:spacing w:val="-10"/>
                      <w:sz w:val="21"/>
                      <w:szCs w:val="21"/>
                    </w:rPr>
                    <w:t>非甲烷总烃、颗粒物</w:t>
                  </w:r>
                </w:p>
              </w:tc>
              <w:tc>
                <w:tcPr>
                  <w:tcW w:w="830" w:type="pct"/>
                  <w:tcBorders>
                    <w:tl2br w:val="nil"/>
                    <w:tr2bl w:val="nil"/>
                  </w:tcBorders>
                  <w:shd w:val="clear" w:color="auto" w:fill="FFFFFF"/>
                  <w:vAlign w:val="center"/>
                </w:tcPr>
                <w:p w14:paraId="4188EAF6">
                  <w:pPr>
                    <w:pStyle w:val="114"/>
                    <w:spacing w:after="0"/>
                    <w:ind w:firstLine="0" w:firstLineChars="0"/>
                    <w:outlineLvl w:val="9"/>
                    <w:rPr>
                      <w:rFonts w:ascii="Times New Roman" w:hAnsi="Times New Roman" w:eastAsia="宋体"/>
                      <w:color w:val="auto"/>
                      <w:sz w:val="21"/>
                      <w:szCs w:val="21"/>
                    </w:rPr>
                  </w:pPr>
                  <w:r>
                    <w:rPr>
                      <w:rFonts w:ascii="Times New Roman" w:hAnsi="Times New Roman" w:eastAsia="宋体"/>
                      <w:color w:val="auto"/>
                      <w:sz w:val="21"/>
                      <w:szCs w:val="21"/>
                    </w:rPr>
                    <w:t>1次/年</w:t>
                  </w:r>
                </w:p>
              </w:tc>
              <w:tc>
                <w:tcPr>
                  <w:tcW w:w="1709" w:type="pct"/>
                  <w:tcBorders>
                    <w:tl2br w:val="nil"/>
                    <w:tr2bl w:val="nil"/>
                  </w:tcBorders>
                  <w:shd w:val="clear" w:color="auto" w:fill="FFFFFF"/>
                  <w:vAlign w:val="center"/>
                </w:tcPr>
                <w:p w14:paraId="3874FFD5">
                  <w:pPr>
                    <w:pStyle w:val="114"/>
                    <w:spacing w:before="31" w:after="31"/>
                    <w:ind w:firstLine="0" w:firstLineChars="0"/>
                    <w:outlineLvl w:val="9"/>
                    <w:rPr>
                      <w:rFonts w:ascii="Times New Roman" w:hAnsi="Times New Roman" w:eastAsia="宋体"/>
                      <w:color w:val="auto"/>
                      <w:sz w:val="21"/>
                      <w:szCs w:val="21"/>
                    </w:rPr>
                  </w:pPr>
                  <w:r>
                    <w:rPr>
                      <w:rFonts w:hint="default" w:ascii="Times New Roman" w:hAnsi="Times New Roman" w:cs="Times New Roman" w:eastAsiaTheme="minorEastAsia"/>
                      <w:color w:val="auto"/>
                      <w:sz w:val="21"/>
                      <w:szCs w:val="21"/>
                      <w:lang w:val="en-US" w:eastAsia="zh-CN"/>
                    </w:rPr>
                    <w:t>《大气污染物综合排放标准》</w:t>
                  </w:r>
                  <w:r>
                    <w:rPr>
                      <w:rFonts w:hint="eastAsia" w:ascii="Times New Roman" w:hAnsi="Times New Roman" w:cs="Times New Roman" w:eastAsiaTheme="minorEastAsia"/>
                      <w:color w:val="auto"/>
                      <w:sz w:val="21"/>
                      <w:szCs w:val="21"/>
                      <w:lang w:val="en-US" w:eastAsia="zh-CN"/>
                    </w:rPr>
                    <w:t>（</w:t>
                  </w:r>
                  <w:r>
                    <w:rPr>
                      <w:rFonts w:hint="default" w:ascii="Times New Roman" w:hAnsi="Times New Roman" w:cs="Times New Roman" w:eastAsiaTheme="minorEastAsia"/>
                      <w:color w:val="auto"/>
                      <w:sz w:val="21"/>
                      <w:szCs w:val="21"/>
                      <w:lang w:val="en-US" w:eastAsia="zh-CN"/>
                    </w:rPr>
                    <w:t>GB16297- 1996</w:t>
                  </w:r>
                  <w:r>
                    <w:rPr>
                      <w:rFonts w:hint="eastAsia" w:ascii="Times New Roman" w:hAnsi="Times New Roman" w:cs="Times New Roman" w:eastAsiaTheme="minorEastAsia"/>
                      <w:color w:val="auto"/>
                      <w:sz w:val="21"/>
                      <w:szCs w:val="21"/>
                      <w:lang w:val="en-US" w:eastAsia="zh-CN"/>
                    </w:rPr>
                    <w:t>）</w:t>
                  </w:r>
                  <w:r>
                    <w:rPr>
                      <w:rFonts w:hint="default" w:ascii="Times New Roman" w:hAnsi="Times New Roman" w:cs="Times New Roman" w:eastAsiaTheme="minorEastAsia"/>
                      <w:color w:val="auto"/>
                      <w:sz w:val="21"/>
                      <w:szCs w:val="21"/>
                      <w:lang w:val="en-US" w:eastAsia="zh-CN"/>
                    </w:rPr>
                    <w:t>中表2</w:t>
                  </w:r>
                </w:p>
              </w:tc>
            </w:tr>
            <w:tr w14:paraId="628B90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3" w:hRule="atLeast"/>
                <w:jc w:val="center"/>
              </w:trPr>
              <w:tc>
                <w:tcPr>
                  <w:tcW w:w="1263" w:type="pct"/>
                  <w:tcBorders>
                    <w:tl2br w:val="nil"/>
                    <w:tr2bl w:val="nil"/>
                  </w:tcBorders>
                  <w:shd w:val="clear" w:color="auto" w:fill="FFFFFF"/>
                  <w:vAlign w:val="center"/>
                </w:tcPr>
                <w:p w14:paraId="0A492D0A">
                  <w:pPr>
                    <w:widowControl/>
                    <w:jc w:val="center"/>
                    <w:outlineLvl w:val="9"/>
                    <w:rPr>
                      <w:rFonts w:hint="default" w:ascii="Times New Roman" w:hAnsi="Times New Roman" w:eastAsia="宋体"/>
                      <w:color w:val="auto"/>
                      <w:sz w:val="21"/>
                      <w:szCs w:val="21"/>
                      <w:lang w:val="en-US"/>
                    </w:rPr>
                  </w:pPr>
                  <w:r>
                    <w:rPr>
                      <w:rFonts w:hint="eastAsia" w:ascii="Times New Roman" w:hAnsi="Times New Roman" w:eastAsia="宋体" w:cs="Times New Roman"/>
                      <w:bCs/>
                      <w:color w:val="auto"/>
                      <w:spacing w:val="-10"/>
                      <w:szCs w:val="21"/>
                      <w:lang w:val="en-US" w:eastAsia="zh-CN"/>
                    </w:rPr>
                    <w:t>水油相制备工房</w:t>
                  </w:r>
                  <w:r>
                    <w:rPr>
                      <w:rFonts w:hint="eastAsia" w:cs="Times New Roman"/>
                      <w:bCs/>
                      <w:color w:val="auto"/>
                      <w:spacing w:val="-10"/>
                      <w:szCs w:val="21"/>
                      <w:lang w:val="en-US" w:eastAsia="zh-CN"/>
                    </w:rPr>
                    <w:t>门窗或通风口</w:t>
                  </w:r>
                  <w:r>
                    <w:rPr>
                      <w:rFonts w:hint="eastAsia" w:ascii="Times New Roman" w:hAnsi="Times New Roman" w:eastAsia="宋体" w:cs="Times New Roman"/>
                      <w:bCs/>
                      <w:color w:val="auto"/>
                      <w:spacing w:val="-10"/>
                      <w:szCs w:val="21"/>
                      <w:lang w:val="en-US" w:eastAsia="zh-CN"/>
                    </w:rPr>
                    <w:t>外</w:t>
                  </w:r>
                  <w:r>
                    <w:rPr>
                      <w:rFonts w:hint="eastAsia" w:cs="Times New Roman"/>
                      <w:bCs/>
                      <w:color w:val="auto"/>
                      <w:spacing w:val="-10"/>
                      <w:szCs w:val="21"/>
                      <w:lang w:val="en-US" w:eastAsia="zh-CN"/>
                    </w:rPr>
                    <w:t>1m</w:t>
                  </w:r>
                </w:p>
              </w:tc>
              <w:tc>
                <w:tcPr>
                  <w:tcW w:w="1196" w:type="pct"/>
                  <w:tcBorders>
                    <w:tl2br w:val="nil"/>
                    <w:tr2bl w:val="nil"/>
                  </w:tcBorders>
                  <w:shd w:val="clear" w:color="auto" w:fill="FFFFFF"/>
                  <w:vAlign w:val="center"/>
                </w:tcPr>
                <w:p w14:paraId="0617BD13">
                  <w:pPr>
                    <w:widowControl/>
                    <w:jc w:val="center"/>
                    <w:outlineLvl w:val="9"/>
                    <w:rPr>
                      <w:color w:val="auto"/>
                      <w:sz w:val="21"/>
                      <w:szCs w:val="21"/>
                    </w:rPr>
                  </w:pPr>
                  <w:r>
                    <w:rPr>
                      <w:bCs/>
                      <w:color w:val="auto"/>
                      <w:spacing w:val="-10"/>
                      <w:sz w:val="21"/>
                      <w:szCs w:val="21"/>
                    </w:rPr>
                    <w:t>非甲烷总烃</w:t>
                  </w:r>
                </w:p>
              </w:tc>
              <w:tc>
                <w:tcPr>
                  <w:tcW w:w="830" w:type="pct"/>
                  <w:tcBorders>
                    <w:tl2br w:val="nil"/>
                    <w:tr2bl w:val="nil"/>
                  </w:tcBorders>
                  <w:shd w:val="clear" w:color="auto" w:fill="FFFFFF"/>
                  <w:vAlign w:val="center"/>
                </w:tcPr>
                <w:p w14:paraId="147920FA">
                  <w:pPr>
                    <w:pStyle w:val="114"/>
                    <w:spacing w:after="0"/>
                    <w:ind w:firstLine="0" w:firstLineChars="0"/>
                    <w:outlineLvl w:val="9"/>
                    <w:rPr>
                      <w:rFonts w:ascii="Times New Roman" w:hAnsi="Times New Roman" w:eastAsia="宋体"/>
                      <w:color w:val="auto"/>
                      <w:sz w:val="21"/>
                      <w:szCs w:val="21"/>
                    </w:rPr>
                  </w:pPr>
                  <w:r>
                    <w:rPr>
                      <w:rFonts w:ascii="Times New Roman" w:hAnsi="Times New Roman" w:eastAsia="宋体"/>
                      <w:color w:val="auto"/>
                      <w:sz w:val="21"/>
                      <w:szCs w:val="21"/>
                    </w:rPr>
                    <w:t>1次/年</w:t>
                  </w:r>
                </w:p>
              </w:tc>
              <w:tc>
                <w:tcPr>
                  <w:tcW w:w="1709" w:type="pct"/>
                  <w:tcBorders>
                    <w:tl2br w:val="nil"/>
                    <w:tr2bl w:val="nil"/>
                  </w:tcBorders>
                  <w:shd w:val="clear" w:color="auto" w:fill="FFFFFF"/>
                  <w:vAlign w:val="center"/>
                </w:tcPr>
                <w:p w14:paraId="0F1D625E">
                  <w:pPr>
                    <w:pStyle w:val="115"/>
                    <w:spacing w:before="34" w:line="237" w:lineRule="auto"/>
                    <w:ind w:left="645" w:right="115" w:hanging="518"/>
                    <w:jc w:val="center"/>
                    <w:outlineLvl w:val="9"/>
                    <w:rPr>
                      <w:rFonts w:ascii="Times New Roman" w:hAnsi="Times New Roman" w:cs="Times New Roman"/>
                      <w:color w:val="auto"/>
                      <w:sz w:val="21"/>
                      <w:szCs w:val="21"/>
                      <w:lang w:eastAsia="zh-CN"/>
                    </w:rPr>
                  </w:pPr>
                  <w:r>
                    <w:rPr>
                      <w:rFonts w:ascii="Times New Roman" w:hAnsi="Times New Roman" w:cs="Times New Roman"/>
                      <w:color w:val="auto"/>
                      <w:spacing w:val="8"/>
                      <w:sz w:val="21"/>
                      <w:szCs w:val="21"/>
                      <w:lang w:eastAsia="zh-CN"/>
                    </w:rPr>
                    <w:t>《挥发性有机物无组织排放控制标准》</w:t>
                  </w:r>
                  <w:r>
                    <w:rPr>
                      <w:rFonts w:hint="eastAsia" w:ascii="Times New Roman" w:hAnsi="Times New Roman" w:cs="Times New Roman"/>
                      <w:color w:val="auto"/>
                      <w:spacing w:val="8"/>
                      <w:sz w:val="21"/>
                      <w:szCs w:val="21"/>
                      <w:lang w:eastAsia="zh-CN"/>
                    </w:rPr>
                    <w:t>（</w:t>
                  </w:r>
                  <w:r>
                    <w:rPr>
                      <w:rFonts w:ascii="Times New Roman" w:hAnsi="Times New Roman" w:cs="Times New Roman"/>
                      <w:color w:val="auto"/>
                      <w:spacing w:val="8"/>
                      <w:sz w:val="21"/>
                      <w:szCs w:val="21"/>
                      <w:lang w:eastAsia="zh-CN"/>
                    </w:rPr>
                    <w:t>GB37822-2019</w:t>
                  </w:r>
                  <w:r>
                    <w:rPr>
                      <w:rFonts w:hint="eastAsia" w:ascii="Times New Roman" w:hAnsi="Times New Roman" w:cs="Times New Roman"/>
                      <w:color w:val="auto"/>
                      <w:spacing w:val="8"/>
                      <w:sz w:val="21"/>
                      <w:szCs w:val="21"/>
                      <w:lang w:eastAsia="zh-CN"/>
                    </w:rPr>
                    <w:t>）</w:t>
                  </w:r>
                  <w:r>
                    <w:rPr>
                      <w:rFonts w:ascii="Times New Roman" w:hAnsi="Times New Roman" w:cs="Times New Roman"/>
                      <w:color w:val="auto"/>
                      <w:spacing w:val="8"/>
                      <w:sz w:val="21"/>
                      <w:szCs w:val="21"/>
                      <w:lang w:eastAsia="zh-CN"/>
                    </w:rPr>
                    <w:t>附录 A</w:t>
                  </w:r>
                </w:p>
              </w:tc>
            </w:tr>
            <w:tr w14:paraId="47EE5A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3" w:hRule="atLeast"/>
                <w:jc w:val="center"/>
              </w:trPr>
              <w:tc>
                <w:tcPr>
                  <w:tcW w:w="1263" w:type="pct"/>
                  <w:tcBorders>
                    <w:tl2br w:val="nil"/>
                    <w:tr2bl w:val="nil"/>
                  </w:tcBorders>
                  <w:shd w:val="clear" w:color="auto" w:fill="FFFFFF"/>
                  <w:vAlign w:val="center"/>
                </w:tcPr>
                <w:p w14:paraId="61DF495C">
                  <w:pPr>
                    <w:widowControl/>
                    <w:jc w:val="center"/>
                    <w:outlineLvl w:val="9"/>
                    <w:rPr>
                      <w:rFonts w:hint="eastAsia" w:ascii="Times New Roman" w:hAnsi="Times New Roman" w:eastAsia="宋体" w:cs="Times New Roman"/>
                      <w:bCs/>
                      <w:color w:val="auto"/>
                      <w:spacing w:val="-10"/>
                      <w:szCs w:val="21"/>
                      <w:lang w:val="en-US" w:eastAsia="zh-CN"/>
                    </w:rPr>
                  </w:pPr>
                  <w:r>
                    <w:rPr>
                      <w:rFonts w:hint="eastAsia" w:ascii="Times New Roman" w:hAnsi="Times New Roman" w:eastAsia="宋体" w:cs="Times New Roman"/>
                      <w:bCs/>
                      <w:color w:val="auto"/>
                      <w:spacing w:val="-10"/>
                      <w:szCs w:val="21"/>
                      <w:lang w:val="en-US" w:eastAsia="zh-CN"/>
                    </w:rPr>
                    <w:t>乳化炸药震源药柱生产工房</w:t>
                  </w:r>
                  <w:r>
                    <w:rPr>
                      <w:rFonts w:hint="eastAsia" w:cs="Times New Roman"/>
                      <w:bCs/>
                      <w:color w:val="auto"/>
                      <w:spacing w:val="-10"/>
                      <w:szCs w:val="21"/>
                      <w:lang w:val="en-US" w:eastAsia="zh-CN"/>
                    </w:rPr>
                    <w:t>门窗或通风口</w:t>
                  </w:r>
                  <w:r>
                    <w:rPr>
                      <w:rFonts w:hint="eastAsia" w:ascii="Times New Roman" w:hAnsi="Times New Roman" w:eastAsia="宋体" w:cs="Times New Roman"/>
                      <w:bCs/>
                      <w:color w:val="auto"/>
                      <w:spacing w:val="-10"/>
                      <w:szCs w:val="21"/>
                      <w:lang w:val="en-US" w:eastAsia="zh-CN"/>
                    </w:rPr>
                    <w:t>外</w:t>
                  </w:r>
                  <w:r>
                    <w:rPr>
                      <w:rFonts w:hint="eastAsia" w:cs="Times New Roman"/>
                      <w:bCs/>
                      <w:color w:val="auto"/>
                      <w:spacing w:val="-10"/>
                      <w:szCs w:val="21"/>
                      <w:lang w:val="en-US" w:eastAsia="zh-CN"/>
                    </w:rPr>
                    <w:t>1m</w:t>
                  </w:r>
                </w:p>
              </w:tc>
              <w:tc>
                <w:tcPr>
                  <w:tcW w:w="2793" w:type="dxa"/>
                  <w:tcBorders>
                    <w:tl2br w:val="nil"/>
                    <w:tr2bl w:val="nil"/>
                  </w:tcBorders>
                  <w:shd w:val="clear" w:color="auto" w:fill="FFFFFF"/>
                  <w:vAlign w:val="center"/>
                </w:tcPr>
                <w:p w14:paraId="6C91D48B">
                  <w:pPr>
                    <w:widowControl/>
                    <w:jc w:val="center"/>
                    <w:outlineLvl w:val="9"/>
                    <w:rPr>
                      <w:bCs/>
                      <w:color w:val="auto"/>
                      <w:spacing w:val="-10"/>
                      <w:sz w:val="21"/>
                      <w:szCs w:val="21"/>
                    </w:rPr>
                  </w:pPr>
                  <w:r>
                    <w:rPr>
                      <w:bCs/>
                      <w:color w:val="auto"/>
                      <w:spacing w:val="-10"/>
                      <w:sz w:val="21"/>
                      <w:szCs w:val="21"/>
                    </w:rPr>
                    <w:t>非甲烷总烃</w:t>
                  </w:r>
                </w:p>
              </w:tc>
              <w:tc>
                <w:tcPr>
                  <w:tcW w:w="1938" w:type="dxa"/>
                  <w:tcBorders>
                    <w:tl2br w:val="nil"/>
                    <w:tr2bl w:val="nil"/>
                  </w:tcBorders>
                  <w:shd w:val="clear" w:color="auto" w:fill="FFFFFF"/>
                  <w:vAlign w:val="center"/>
                </w:tcPr>
                <w:p w14:paraId="448D699C">
                  <w:pPr>
                    <w:pStyle w:val="114"/>
                    <w:spacing w:after="0"/>
                    <w:ind w:firstLine="0" w:firstLineChars="0"/>
                    <w:outlineLvl w:val="9"/>
                    <w:rPr>
                      <w:rFonts w:ascii="Times New Roman" w:hAnsi="Times New Roman" w:eastAsia="宋体"/>
                      <w:color w:val="auto"/>
                      <w:sz w:val="21"/>
                      <w:szCs w:val="21"/>
                    </w:rPr>
                  </w:pPr>
                  <w:r>
                    <w:rPr>
                      <w:rFonts w:ascii="Times New Roman" w:hAnsi="Times New Roman" w:eastAsia="宋体"/>
                      <w:color w:val="auto"/>
                      <w:sz w:val="21"/>
                      <w:szCs w:val="21"/>
                    </w:rPr>
                    <w:t>1次/年</w:t>
                  </w:r>
                </w:p>
              </w:tc>
              <w:tc>
                <w:tcPr>
                  <w:tcW w:w="3991" w:type="dxa"/>
                  <w:tcBorders>
                    <w:tl2br w:val="nil"/>
                    <w:tr2bl w:val="nil"/>
                  </w:tcBorders>
                  <w:shd w:val="clear" w:color="auto" w:fill="FFFFFF"/>
                  <w:vAlign w:val="center"/>
                </w:tcPr>
                <w:p w14:paraId="4DD7CF4B">
                  <w:pPr>
                    <w:pStyle w:val="115"/>
                    <w:spacing w:before="34" w:line="237" w:lineRule="auto"/>
                    <w:ind w:left="645" w:leftChars="0" w:right="115" w:rightChars="0" w:hanging="518" w:firstLineChars="0"/>
                    <w:jc w:val="center"/>
                    <w:outlineLvl w:val="9"/>
                    <w:rPr>
                      <w:rFonts w:ascii="Times New Roman" w:hAnsi="Times New Roman" w:cs="Times New Roman"/>
                      <w:color w:val="auto"/>
                      <w:spacing w:val="8"/>
                      <w:sz w:val="21"/>
                      <w:szCs w:val="21"/>
                      <w:lang w:eastAsia="zh-CN"/>
                    </w:rPr>
                  </w:pPr>
                  <w:r>
                    <w:rPr>
                      <w:rFonts w:ascii="Times New Roman" w:hAnsi="Times New Roman" w:cs="Times New Roman"/>
                      <w:color w:val="auto"/>
                      <w:spacing w:val="8"/>
                      <w:sz w:val="21"/>
                      <w:szCs w:val="21"/>
                      <w:lang w:eastAsia="zh-CN"/>
                    </w:rPr>
                    <w:t>《挥发性有机物无组织排放控制标准》</w:t>
                  </w:r>
                  <w:r>
                    <w:rPr>
                      <w:rFonts w:hint="eastAsia" w:ascii="Times New Roman" w:hAnsi="Times New Roman" w:cs="Times New Roman"/>
                      <w:color w:val="auto"/>
                      <w:spacing w:val="8"/>
                      <w:sz w:val="21"/>
                      <w:szCs w:val="21"/>
                      <w:lang w:eastAsia="zh-CN"/>
                    </w:rPr>
                    <w:t>（</w:t>
                  </w:r>
                  <w:r>
                    <w:rPr>
                      <w:rFonts w:ascii="Times New Roman" w:hAnsi="Times New Roman" w:cs="Times New Roman"/>
                      <w:color w:val="auto"/>
                      <w:spacing w:val="8"/>
                      <w:sz w:val="21"/>
                      <w:szCs w:val="21"/>
                      <w:lang w:eastAsia="zh-CN"/>
                    </w:rPr>
                    <w:t>GB37822-2019</w:t>
                  </w:r>
                  <w:r>
                    <w:rPr>
                      <w:rFonts w:hint="eastAsia" w:ascii="Times New Roman" w:hAnsi="Times New Roman" w:cs="Times New Roman"/>
                      <w:color w:val="auto"/>
                      <w:spacing w:val="8"/>
                      <w:sz w:val="21"/>
                      <w:szCs w:val="21"/>
                      <w:lang w:eastAsia="zh-CN"/>
                    </w:rPr>
                    <w:t>）</w:t>
                  </w:r>
                  <w:r>
                    <w:rPr>
                      <w:rFonts w:ascii="Times New Roman" w:hAnsi="Times New Roman" w:cs="Times New Roman"/>
                      <w:color w:val="auto"/>
                      <w:spacing w:val="8"/>
                      <w:sz w:val="21"/>
                      <w:szCs w:val="21"/>
                      <w:lang w:eastAsia="zh-CN"/>
                    </w:rPr>
                    <w:t>附录 A</w:t>
                  </w:r>
                </w:p>
              </w:tc>
            </w:tr>
          </w:tbl>
          <w:p w14:paraId="1397C61C">
            <w:pPr>
              <w:tabs>
                <w:tab w:val="left" w:pos="411"/>
              </w:tabs>
              <w:spacing w:line="360" w:lineRule="auto"/>
              <w:outlineLvl w:val="9"/>
              <w:rPr>
                <w:b/>
                <w:bCs/>
                <w:color w:val="auto"/>
                <w:sz w:val="24"/>
              </w:rPr>
            </w:pPr>
            <w:r>
              <w:rPr>
                <w:rFonts w:hint="eastAsia"/>
                <w:b/>
                <w:bCs/>
                <w:color w:val="auto"/>
                <w:sz w:val="24"/>
              </w:rPr>
              <w:t>二</w:t>
            </w:r>
            <w:r>
              <w:rPr>
                <w:b/>
                <w:bCs/>
                <w:color w:val="auto"/>
                <w:sz w:val="24"/>
              </w:rPr>
              <w:t>、废水</w:t>
            </w:r>
          </w:p>
          <w:p w14:paraId="19A671AC">
            <w:pPr>
              <w:spacing w:line="360" w:lineRule="auto"/>
              <w:ind w:firstLine="482" w:firstLineChars="200"/>
              <w:outlineLvl w:val="9"/>
              <w:rPr>
                <w:b/>
                <w:bCs/>
                <w:color w:val="auto"/>
                <w:sz w:val="24"/>
              </w:rPr>
            </w:pPr>
            <w:r>
              <w:rPr>
                <w:b/>
                <w:bCs/>
                <w:color w:val="auto"/>
                <w:sz w:val="24"/>
              </w:rPr>
              <w:t>1</w:t>
            </w:r>
            <w:r>
              <w:rPr>
                <w:rFonts w:hint="eastAsia"/>
                <w:b/>
                <w:bCs/>
                <w:color w:val="auto"/>
                <w:sz w:val="24"/>
              </w:rPr>
              <w:t>、</w:t>
            </w:r>
            <w:r>
              <w:rPr>
                <w:b/>
                <w:color w:val="auto"/>
                <w:kern w:val="21"/>
                <w:sz w:val="24"/>
              </w:rPr>
              <w:t>废水源强核算</w:t>
            </w:r>
          </w:p>
          <w:p w14:paraId="2CAE7EC4">
            <w:pPr>
              <w:spacing w:line="360" w:lineRule="auto"/>
              <w:ind w:firstLine="48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本项目不新增劳动定员，故不增加生活污水排放。</w:t>
            </w:r>
          </w:p>
          <w:p w14:paraId="1CDC7FC1">
            <w:pPr>
              <w:spacing w:line="360" w:lineRule="auto"/>
              <w:ind w:firstLine="480"/>
              <w:outlineLvl w:val="9"/>
              <w:rPr>
                <w:rFonts w:hint="eastAsia" w:ascii="Times New Roman" w:hAnsi="Times New Roman" w:eastAsia="宋体" w:cs="Times New Roman"/>
                <w:color w:val="auto"/>
                <w:sz w:val="24"/>
                <w:szCs w:val="24"/>
                <w:lang w:val="en-US" w:eastAsia="zh-CN"/>
              </w:rPr>
            </w:pPr>
            <w:r>
              <w:rPr>
                <w:rFonts w:hint="eastAsia"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lang w:val="en-US" w:eastAsia="zh-CN"/>
              </w:rPr>
              <w:t>冷却水循环使用不外排，水相制备用水全部进入产品或蒸发，不外排。</w:t>
            </w:r>
            <w:r>
              <w:rPr>
                <w:rFonts w:hint="eastAsia" w:ascii="Times New Roman" w:hAnsi="Times New Roman" w:eastAsia="宋体" w:cs="Times New Roman"/>
                <w:color w:val="auto"/>
                <w:sz w:val="24"/>
                <w:szCs w:val="24"/>
                <w:lang w:val="en-US" w:eastAsia="zh-CN"/>
              </w:rPr>
              <w:t>生产废水主要为车间地面清洗废水、过滤器冲洗废水，产生量为</w:t>
            </w:r>
            <w:r>
              <w:rPr>
                <w:rFonts w:hint="eastAsia" w:cs="Times New Roman"/>
                <w:color w:val="auto"/>
                <w:sz w:val="24"/>
                <w:szCs w:val="24"/>
                <w:lang w:val="en-US" w:eastAsia="zh-CN"/>
              </w:rPr>
              <w:t>229.82</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/a，经</w:t>
            </w:r>
            <w:r>
              <w:rPr>
                <w:rFonts w:hint="default" w:ascii="Times New Roman" w:hAnsi="Times New Roman" w:eastAsia="宋体" w:cs="Times New Roman"/>
                <w:color w:val="auto"/>
                <w:sz w:val="24"/>
                <w:szCs w:val="24"/>
                <w:lang w:val="en-US" w:eastAsia="zh-CN"/>
              </w:rPr>
              <w:t>隔油沉淀池</w:t>
            </w:r>
            <w:r>
              <w:rPr>
                <w:rFonts w:hint="eastAsia" w:ascii="Times New Roman" w:hAnsi="Times New Roman" w:eastAsia="宋体" w:cs="Times New Roman"/>
                <w:color w:val="auto"/>
                <w:sz w:val="24"/>
                <w:szCs w:val="24"/>
                <w:lang w:val="en-US" w:eastAsia="zh-CN"/>
              </w:rPr>
              <w:t>预</w:t>
            </w:r>
            <w:r>
              <w:rPr>
                <w:rFonts w:hint="default" w:ascii="Times New Roman" w:hAnsi="Times New Roman" w:eastAsia="宋体" w:cs="Times New Roman"/>
                <w:color w:val="auto"/>
                <w:sz w:val="24"/>
                <w:szCs w:val="24"/>
                <w:lang w:val="en-US" w:eastAsia="zh-CN"/>
              </w:rPr>
              <w:t>处理后</w:t>
            </w:r>
            <w:r>
              <w:rPr>
                <w:rFonts w:hint="eastAsia" w:cs="Times New Roman"/>
                <w:color w:val="auto"/>
                <w:sz w:val="24"/>
                <w:szCs w:val="24"/>
                <w:lang w:val="en-US" w:eastAsia="zh-CN"/>
              </w:rPr>
              <w:t>经管道输送</w:t>
            </w:r>
            <w:r>
              <w:rPr>
                <w:rFonts w:hint="eastAsia" w:ascii="Times New Roman" w:hAnsi="Times New Roman" w:eastAsia="宋体" w:cs="Times New Roman"/>
                <w:color w:val="auto"/>
                <w:sz w:val="24"/>
                <w:szCs w:val="24"/>
                <w:lang w:val="en-US" w:eastAsia="zh-CN"/>
              </w:rPr>
              <w:t>排入辽宁红山一体化污水处理站（处理规模为1.5t/h）处理后，</w:t>
            </w:r>
            <w:r>
              <w:rPr>
                <w:rFonts w:hint="default" w:ascii="Times New Roman" w:hAnsi="Times New Roman" w:eastAsia="宋体" w:cs="Times New Roman"/>
                <w:color w:val="auto"/>
                <w:sz w:val="24"/>
                <w:szCs w:val="24"/>
                <w:lang w:val="en-US" w:eastAsia="zh-CN"/>
              </w:rPr>
              <w:t>用于</w:t>
            </w:r>
            <w:r>
              <w:rPr>
                <w:rFonts w:hint="eastAsia" w:ascii="Times New Roman" w:hAnsi="Times New Roman" w:eastAsia="宋体" w:cs="Times New Roman"/>
                <w:color w:val="auto"/>
                <w:sz w:val="24"/>
                <w:szCs w:val="24"/>
                <w:lang w:val="en-US" w:eastAsia="zh-CN"/>
              </w:rPr>
              <w:t>道路洒扫</w:t>
            </w:r>
            <w:r>
              <w:rPr>
                <w:rFonts w:hint="default" w:ascii="Times New Roman" w:hAnsi="Times New Roman" w:eastAsia="宋体" w:cs="Times New Roman"/>
                <w:color w:val="auto"/>
                <w:sz w:val="24"/>
                <w:szCs w:val="24"/>
                <w:lang w:val="en-US" w:eastAsia="zh-CN"/>
              </w:rPr>
              <w:t>。</w:t>
            </w:r>
          </w:p>
          <w:p w14:paraId="0FA91902">
            <w:pPr>
              <w:spacing w:line="360" w:lineRule="auto"/>
              <w:ind w:firstLine="48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废水主要污染因子为pH、COD、SS、石油类和氨氮。废水污染物及其浓度类比</w:t>
            </w:r>
            <w:r>
              <w:rPr>
                <w:rFonts w:hint="eastAsia" w:cs="Times New Roman"/>
                <w:color w:val="auto"/>
                <w:sz w:val="24"/>
                <w:szCs w:val="24"/>
                <w:highlight w:val="none"/>
                <w:lang w:val="en-US" w:eastAsia="zh-CN"/>
              </w:rPr>
              <w:t>《朝阳红山化工有限责任公司年产20000t乳化炸药生产线扩能升级改造项目环境影响报告书》，</w:t>
            </w:r>
            <w:r>
              <w:rPr>
                <w:rFonts w:hint="eastAsia" w:ascii="Times New Roman" w:hAnsi="Times New Roman" w:cs="Times New Roman"/>
                <w:color w:val="auto"/>
                <w:sz w:val="24"/>
                <w:szCs w:val="24"/>
                <w:lang w:val="en-US" w:eastAsia="zh-CN"/>
              </w:rPr>
              <w:t>该项目</w:t>
            </w:r>
            <w:r>
              <w:rPr>
                <w:rFonts w:hint="eastAsia" w:cs="Times New Roman"/>
                <w:color w:val="auto"/>
                <w:sz w:val="24"/>
                <w:szCs w:val="24"/>
                <w:lang w:val="en-US" w:eastAsia="zh-CN"/>
              </w:rPr>
              <w:t>生产乳化炸药</w:t>
            </w:r>
            <w:r>
              <w:rPr>
                <w:rFonts w:hint="eastAsia" w:ascii="Times New Roman" w:hAnsi="Times New Roman" w:cs="Times New Roman"/>
                <w:color w:val="auto"/>
                <w:sz w:val="24"/>
                <w:szCs w:val="24"/>
                <w:lang w:val="en-US" w:eastAsia="zh-CN"/>
              </w:rPr>
              <w:t>与本项目原料、生产工艺、产污环节一致，类比可行。废水源强取pH6~9，COD</w:t>
            </w:r>
            <w:r>
              <w:rPr>
                <w:rFonts w:hint="eastAsia" w:ascii="Times New Roman" w:hAnsi="Times New Roman" w:eastAsia="宋体" w:cs="Times New Roman"/>
                <w:b/>
                <w:bCs/>
                <w:color w:val="auto"/>
                <w:spacing w:val="8"/>
                <w:sz w:val="21"/>
                <w:szCs w:val="21"/>
                <w:vertAlign w:val="subscript"/>
                <w:lang w:val="en-US" w:eastAsia="zh-CN"/>
              </w:rPr>
              <w:t>Cr</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val="en-US" w:eastAsia="zh-CN"/>
              </w:rPr>
              <w:t>00mg/L</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SS≤</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val="en-US" w:eastAsia="zh-CN"/>
              </w:rPr>
              <w:t>00mg/L</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石油类≤2</w:t>
            </w:r>
            <w:r>
              <w:rPr>
                <w:rFonts w:hint="eastAsia"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lang w:val="en-US" w:eastAsia="zh-CN"/>
              </w:rPr>
              <w:t>mg/L</w:t>
            </w:r>
            <w:r>
              <w:rPr>
                <w:rFonts w:hint="eastAsia" w:ascii="Times New Roman" w:hAnsi="Times New Roman" w:cs="Times New Roman"/>
                <w:color w:val="auto"/>
                <w:sz w:val="24"/>
                <w:szCs w:val="24"/>
                <w:lang w:val="en-US" w:eastAsia="zh-CN"/>
              </w:rPr>
              <w:t>，氨氮</w:t>
            </w:r>
            <w:r>
              <w:rPr>
                <w:rFonts w:hint="default"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lang w:val="en-US" w:eastAsia="zh-CN"/>
              </w:rPr>
              <w:t>mg/L</w:t>
            </w:r>
            <w:r>
              <w:rPr>
                <w:rFonts w:hint="eastAsia" w:ascii="Times New Roman" w:hAnsi="Times New Roman" w:cs="Times New Roman"/>
                <w:color w:val="auto"/>
                <w:sz w:val="24"/>
                <w:szCs w:val="24"/>
                <w:lang w:val="en-US" w:eastAsia="zh-CN"/>
              </w:rPr>
              <w:t>。</w:t>
            </w:r>
          </w:p>
          <w:p w14:paraId="5380B99D">
            <w:pPr>
              <w:adjustRightInd w:val="0"/>
              <w:snapToGrid w:val="0"/>
              <w:spacing w:line="360" w:lineRule="auto"/>
              <w:ind w:firstLine="482" w:firstLineChars="200"/>
              <w:outlineLvl w:val="9"/>
              <w:rPr>
                <w:b/>
                <w:color w:val="auto"/>
                <w:kern w:val="21"/>
                <w:sz w:val="24"/>
              </w:rPr>
            </w:pPr>
            <w:r>
              <w:rPr>
                <w:rFonts w:hint="eastAsia"/>
                <w:b/>
                <w:color w:val="auto"/>
                <w:kern w:val="21"/>
                <w:sz w:val="24"/>
                <w:lang w:val="en-US" w:eastAsia="zh-CN"/>
              </w:rPr>
              <w:t>2、</w:t>
            </w:r>
            <w:r>
              <w:rPr>
                <w:b/>
                <w:color w:val="auto"/>
                <w:kern w:val="21"/>
                <w:sz w:val="24"/>
              </w:rPr>
              <w:t>达标排放分析</w:t>
            </w:r>
          </w:p>
          <w:p w14:paraId="196AD39E">
            <w:pPr>
              <w:spacing w:line="360" w:lineRule="auto"/>
              <w:ind w:firstLine="480"/>
              <w:outlineLvl w:val="9"/>
              <w:rPr>
                <w:rFonts w:hint="eastAsia" w:ascii="Times New Roman" w:hAnsi="Times New Roman" w:eastAsia="宋体" w:cs="Times New Roman"/>
                <w:color w:val="auto"/>
                <w:sz w:val="24"/>
                <w:szCs w:val="24"/>
                <w:lang w:val="en-US" w:eastAsia="zh-CN"/>
              </w:rPr>
            </w:pPr>
            <w:r>
              <w:rPr>
                <w:rFonts w:hint="eastAsia"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lang w:val="en-US" w:eastAsia="zh-CN"/>
              </w:rPr>
              <w:t>冷却水循环使用不外排，水相制备用水全部进入产品或蒸发，不外排。</w:t>
            </w:r>
            <w:r>
              <w:rPr>
                <w:rFonts w:hint="eastAsia" w:ascii="Times New Roman" w:hAnsi="Times New Roman" w:eastAsia="宋体" w:cs="Times New Roman"/>
                <w:color w:val="auto"/>
                <w:sz w:val="24"/>
                <w:szCs w:val="24"/>
                <w:lang w:val="en-US" w:eastAsia="zh-CN"/>
              </w:rPr>
              <w:t>生产废水主要为车间地面清洗废水、过滤器冲洗废水，产生量为</w:t>
            </w:r>
            <w:r>
              <w:rPr>
                <w:rFonts w:hint="eastAsia" w:cs="Times New Roman"/>
                <w:color w:val="auto"/>
                <w:sz w:val="24"/>
                <w:szCs w:val="24"/>
                <w:lang w:val="en-US" w:eastAsia="zh-CN"/>
              </w:rPr>
              <w:t>229.82</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/a，经</w:t>
            </w:r>
            <w:r>
              <w:rPr>
                <w:rFonts w:hint="default" w:ascii="Times New Roman" w:hAnsi="Times New Roman" w:eastAsia="宋体" w:cs="Times New Roman"/>
                <w:color w:val="auto"/>
                <w:sz w:val="24"/>
                <w:szCs w:val="24"/>
                <w:lang w:val="en-US" w:eastAsia="zh-CN"/>
              </w:rPr>
              <w:t>隔油沉淀池</w:t>
            </w:r>
            <w:r>
              <w:rPr>
                <w:rFonts w:hint="eastAsia" w:ascii="Times New Roman" w:hAnsi="Times New Roman" w:eastAsia="宋体" w:cs="Times New Roman"/>
                <w:color w:val="auto"/>
                <w:sz w:val="24"/>
                <w:szCs w:val="24"/>
                <w:lang w:val="en-US" w:eastAsia="zh-CN"/>
              </w:rPr>
              <w:t>预</w:t>
            </w:r>
            <w:r>
              <w:rPr>
                <w:rFonts w:hint="default" w:ascii="Times New Roman" w:hAnsi="Times New Roman" w:eastAsia="宋体" w:cs="Times New Roman"/>
                <w:color w:val="auto"/>
                <w:sz w:val="24"/>
                <w:szCs w:val="24"/>
                <w:lang w:val="en-US" w:eastAsia="zh-CN"/>
              </w:rPr>
              <w:t>处理后</w:t>
            </w:r>
            <w:r>
              <w:rPr>
                <w:rFonts w:hint="eastAsia" w:cs="Times New Roman"/>
                <w:color w:val="auto"/>
                <w:sz w:val="24"/>
                <w:szCs w:val="24"/>
                <w:lang w:val="en-US" w:eastAsia="zh-CN"/>
              </w:rPr>
              <w:t>经管道输送</w:t>
            </w:r>
            <w:r>
              <w:rPr>
                <w:rFonts w:hint="eastAsia" w:ascii="Times New Roman" w:hAnsi="Times New Roman" w:eastAsia="宋体" w:cs="Times New Roman"/>
                <w:color w:val="auto"/>
                <w:sz w:val="24"/>
                <w:szCs w:val="24"/>
                <w:lang w:val="en-US" w:eastAsia="zh-CN"/>
              </w:rPr>
              <w:t>排入辽宁红山一体化污水处理站（处理规模为1.5t/h）处理后，</w:t>
            </w:r>
            <w:r>
              <w:rPr>
                <w:rFonts w:hint="default" w:ascii="Times New Roman" w:hAnsi="Times New Roman" w:eastAsia="宋体" w:cs="Times New Roman"/>
                <w:color w:val="auto"/>
                <w:sz w:val="24"/>
                <w:szCs w:val="24"/>
                <w:lang w:val="en-US" w:eastAsia="zh-CN"/>
              </w:rPr>
              <w:t>用于</w:t>
            </w:r>
            <w:r>
              <w:rPr>
                <w:rFonts w:hint="eastAsia" w:ascii="Times New Roman" w:hAnsi="Times New Roman" w:eastAsia="宋体" w:cs="Times New Roman"/>
                <w:color w:val="auto"/>
                <w:sz w:val="24"/>
                <w:szCs w:val="24"/>
                <w:lang w:val="en-US" w:eastAsia="zh-CN"/>
              </w:rPr>
              <w:t>道路洒扫</w:t>
            </w:r>
            <w:r>
              <w:rPr>
                <w:rFonts w:hint="default" w:ascii="Times New Roman" w:hAnsi="Times New Roman" w:eastAsia="宋体" w:cs="Times New Roman"/>
                <w:color w:val="auto"/>
                <w:sz w:val="24"/>
                <w:szCs w:val="24"/>
                <w:lang w:val="en-US" w:eastAsia="zh-CN"/>
              </w:rPr>
              <w:t>。</w:t>
            </w:r>
          </w:p>
          <w:p w14:paraId="1C87E183">
            <w:pPr>
              <w:spacing w:line="360" w:lineRule="auto"/>
              <w:ind w:firstLine="480" w:firstLineChars="200"/>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本项目隔油沉淀池水质水量情况如下：</w:t>
            </w:r>
          </w:p>
          <w:p w14:paraId="580E4F7B">
            <w:pPr>
              <w:pStyle w:val="130"/>
              <w:keepNext w:val="0"/>
              <w:keepLines w:val="0"/>
              <w:pageBreakBefore w:val="0"/>
              <w:widowControl/>
              <w:kinsoku/>
              <w:wordWrap/>
              <w:overflowPunct/>
              <w:topLinePunct w:val="0"/>
              <w:autoSpaceDE/>
              <w:autoSpaceDN/>
              <w:bidi w:val="0"/>
              <w:adjustRightInd/>
              <w:snapToGrid/>
              <w:spacing w:beforeLines="0" w:afterLines="0" w:line="360" w:lineRule="auto"/>
              <w:ind w:left="0" w:right="0" w:firstLine="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表</w:t>
            </w:r>
            <w:r>
              <w:rPr>
                <w:rFonts w:hint="eastAsia" w:ascii="Times New Roman" w:hAnsi="Times New Roman" w:eastAsia="宋体" w:cs="Times New Roman"/>
                <w:color w:val="auto"/>
                <w:sz w:val="21"/>
                <w:szCs w:val="21"/>
                <w:highlight w:val="none"/>
                <w:lang w:val="en-US" w:eastAsia="zh-CN"/>
              </w:rPr>
              <w:t>4-5  隔油沉淀池</w:t>
            </w:r>
            <w:r>
              <w:rPr>
                <w:rFonts w:hint="eastAsia" w:ascii="Times New Roman" w:hAnsi="Times New Roman" w:eastAsia="宋体" w:cs="Times New Roman"/>
                <w:color w:val="auto"/>
                <w:sz w:val="21"/>
                <w:szCs w:val="21"/>
                <w:lang w:val="en-US" w:eastAsia="zh-CN"/>
              </w:rPr>
              <w:t>水质水量</w:t>
            </w:r>
            <w:r>
              <w:rPr>
                <w:rFonts w:hint="eastAsia" w:ascii="Times New Roman" w:hAnsi="Times New Roman" w:eastAsia="宋体" w:cs="Times New Roman"/>
                <w:color w:val="auto"/>
                <w:sz w:val="21"/>
                <w:szCs w:val="21"/>
                <w:highlight w:val="none"/>
                <w:lang w:val="en-US" w:eastAsia="zh-CN"/>
              </w:rPr>
              <w:t>情况</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4"/>
              <w:gridCol w:w="1844"/>
              <w:gridCol w:w="1654"/>
              <w:gridCol w:w="1268"/>
              <w:gridCol w:w="1256"/>
              <w:gridCol w:w="1251"/>
              <w:gridCol w:w="1279"/>
              <w:gridCol w:w="1313"/>
            </w:tblGrid>
            <w:tr w14:paraId="3B226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787" w:type="pct"/>
                  <w:tcBorders>
                    <w:tl2br w:val="nil"/>
                    <w:tr2bl w:val="nil"/>
                  </w:tcBorders>
                  <w:vAlign w:val="center"/>
                </w:tcPr>
                <w:p w14:paraId="2E2D2B23">
                  <w:pPr>
                    <w:pStyle w:val="131"/>
                    <w:outlineLvl w:val="9"/>
                    <w:rPr>
                      <w:rFonts w:hint="default"/>
                      <w:b/>
                      <w:bCs/>
                      <w:color w:val="auto"/>
                      <w:sz w:val="21"/>
                      <w:szCs w:val="21"/>
                      <w:highlight w:val="none"/>
                      <w:lang w:val="en-US" w:eastAsia="zh-CN"/>
                    </w:rPr>
                  </w:pPr>
                  <w:r>
                    <w:rPr>
                      <w:rFonts w:hint="eastAsia"/>
                      <w:b/>
                      <w:bCs/>
                      <w:color w:val="auto"/>
                      <w:sz w:val="21"/>
                      <w:szCs w:val="21"/>
                      <w:highlight w:val="none"/>
                      <w:lang w:val="en-US" w:eastAsia="zh-CN"/>
                    </w:rPr>
                    <w:t>名称</w:t>
                  </w:r>
                </w:p>
              </w:tc>
              <w:tc>
                <w:tcPr>
                  <w:tcW w:w="787" w:type="pct"/>
                  <w:tcBorders>
                    <w:tl2br w:val="nil"/>
                    <w:tr2bl w:val="nil"/>
                  </w:tcBorders>
                  <w:vAlign w:val="center"/>
                </w:tcPr>
                <w:p w14:paraId="63556F54">
                  <w:pPr>
                    <w:pStyle w:val="131"/>
                    <w:outlineLvl w:val="9"/>
                    <w:rPr>
                      <w:rFonts w:hint="eastAsia" w:eastAsia="宋体"/>
                      <w:b/>
                      <w:bCs/>
                      <w:color w:val="auto"/>
                      <w:sz w:val="21"/>
                      <w:szCs w:val="21"/>
                      <w:highlight w:val="none"/>
                      <w:lang w:eastAsia="zh-CN"/>
                    </w:rPr>
                  </w:pPr>
                  <w:r>
                    <w:rPr>
                      <w:rFonts w:hint="eastAsia"/>
                      <w:b/>
                      <w:bCs/>
                      <w:color w:val="auto"/>
                      <w:sz w:val="21"/>
                      <w:szCs w:val="21"/>
                      <w:highlight w:val="none"/>
                      <w:lang w:val="en-US" w:eastAsia="zh-CN"/>
                    </w:rPr>
                    <w:t>项目</w:t>
                  </w:r>
                </w:p>
              </w:tc>
              <w:tc>
                <w:tcPr>
                  <w:tcW w:w="706" w:type="pct"/>
                  <w:tcBorders>
                    <w:tl2br w:val="nil"/>
                    <w:tr2bl w:val="nil"/>
                  </w:tcBorders>
                  <w:vAlign w:val="center"/>
                </w:tcPr>
                <w:p w14:paraId="65369CE6">
                  <w:pPr>
                    <w:pStyle w:val="131"/>
                    <w:outlineLvl w:val="9"/>
                    <w:rPr>
                      <w:rFonts w:hint="default"/>
                      <w:b/>
                      <w:bCs/>
                      <w:color w:val="auto"/>
                      <w:sz w:val="21"/>
                      <w:szCs w:val="21"/>
                      <w:highlight w:val="none"/>
                      <w:lang w:val="en-US" w:eastAsia="zh-CN"/>
                    </w:rPr>
                  </w:pPr>
                  <w:r>
                    <w:rPr>
                      <w:rFonts w:hint="eastAsia"/>
                      <w:b/>
                      <w:bCs/>
                      <w:color w:val="auto"/>
                      <w:sz w:val="21"/>
                      <w:szCs w:val="21"/>
                      <w:highlight w:val="none"/>
                      <w:lang w:val="en-US" w:eastAsia="zh-CN"/>
                    </w:rPr>
                    <w:t>排水量（m</w:t>
                  </w:r>
                  <w:r>
                    <w:rPr>
                      <w:rFonts w:hint="eastAsia"/>
                      <w:b/>
                      <w:bCs/>
                      <w:color w:val="auto"/>
                      <w:sz w:val="21"/>
                      <w:szCs w:val="21"/>
                      <w:highlight w:val="none"/>
                      <w:vertAlign w:val="superscript"/>
                      <w:lang w:val="en-US" w:eastAsia="zh-CN"/>
                    </w:rPr>
                    <w:t>3</w:t>
                  </w:r>
                  <w:r>
                    <w:rPr>
                      <w:rFonts w:hint="eastAsia"/>
                      <w:b/>
                      <w:bCs/>
                      <w:color w:val="auto"/>
                      <w:sz w:val="21"/>
                      <w:szCs w:val="21"/>
                      <w:highlight w:val="none"/>
                      <w:lang w:val="en-US" w:eastAsia="zh-CN"/>
                    </w:rPr>
                    <w:t>/a）</w:t>
                  </w:r>
                </w:p>
              </w:tc>
              <w:tc>
                <w:tcPr>
                  <w:tcW w:w="541" w:type="pct"/>
                  <w:tcBorders>
                    <w:tl2br w:val="nil"/>
                    <w:tr2bl w:val="nil"/>
                  </w:tcBorders>
                  <w:vAlign w:val="center"/>
                </w:tcPr>
                <w:p w14:paraId="620FA561">
                  <w:pPr>
                    <w:pStyle w:val="131"/>
                    <w:outlineLvl w:val="9"/>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pH</w:t>
                  </w:r>
                </w:p>
              </w:tc>
              <w:tc>
                <w:tcPr>
                  <w:tcW w:w="536" w:type="pct"/>
                  <w:tcBorders>
                    <w:tl2br w:val="nil"/>
                    <w:tr2bl w:val="nil"/>
                  </w:tcBorders>
                  <w:vAlign w:val="center"/>
                </w:tcPr>
                <w:p w14:paraId="425035DC">
                  <w:pPr>
                    <w:pStyle w:val="131"/>
                    <w:outlineLvl w:val="9"/>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COD</w:t>
                  </w:r>
                  <w:r>
                    <w:rPr>
                      <w:rFonts w:hint="eastAsia"/>
                      <w:b/>
                      <w:bCs/>
                      <w:color w:val="auto"/>
                      <w:sz w:val="21"/>
                      <w:szCs w:val="21"/>
                      <w:highlight w:val="none"/>
                      <w:vertAlign w:val="subscript"/>
                      <w:lang w:val="en-US" w:eastAsia="zh-CN"/>
                    </w:rPr>
                    <w:t>Cr</w:t>
                  </w:r>
                </w:p>
              </w:tc>
              <w:tc>
                <w:tcPr>
                  <w:tcW w:w="534" w:type="pct"/>
                  <w:tcBorders>
                    <w:tl2br w:val="nil"/>
                    <w:tr2bl w:val="nil"/>
                  </w:tcBorders>
                  <w:vAlign w:val="center"/>
                </w:tcPr>
                <w:p w14:paraId="6E98B67C">
                  <w:pPr>
                    <w:pStyle w:val="131"/>
                    <w:outlineLvl w:val="9"/>
                    <w:rPr>
                      <w:b/>
                      <w:bCs/>
                      <w:color w:val="auto"/>
                      <w:sz w:val="21"/>
                      <w:szCs w:val="21"/>
                      <w:highlight w:val="none"/>
                    </w:rPr>
                  </w:pPr>
                  <w:r>
                    <w:rPr>
                      <w:rFonts w:hint="eastAsia"/>
                      <w:b/>
                      <w:bCs/>
                      <w:color w:val="auto"/>
                      <w:sz w:val="21"/>
                      <w:szCs w:val="21"/>
                      <w:highlight w:val="none"/>
                      <w:lang w:val="en-US" w:eastAsia="zh-CN"/>
                    </w:rPr>
                    <w:t>SS</w:t>
                  </w:r>
                </w:p>
              </w:tc>
              <w:tc>
                <w:tcPr>
                  <w:tcW w:w="546" w:type="pct"/>
                  <w:tcBorders>
                    <w:tl2br w:val="nil"/>
                    <w:tr2bl w:val="nil"/>
                  </w:tcBorders>
                  <w:vAlign w:val="center"/>
                </w:tcPr>
                <w:p w14:paraId="66CB0507">
                  <w:pPr>
                    <w:pStyle w:val="131"/>
                    <w:outlineLvl w:val="9"/>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氨氮</w:t>
                  </w:r>
                </w:p>
              </w:tc>
              <w:tc>
                <w:tcPr>
                  <w:tcW w:w="560" w:type="pct"/>
                  <w:tcBorders>
                    <w:tl2br w:val="nil"/>
                    <w:tr2bl w:val="nil"/>
                  </w:tcBorders>
                  <w:vAlign w:val="center"/>
                </w:tcPr>
                <w:p w14:paraId="378AA060">
                  <w:pPr>
                    <w:pStyle w:val="131"/>
                    <w:outlineLvl w:val="9"/>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石油类</w:t>
                  </w:r>
                </w:p>
              </w:tc>
            </w:tr>
            <w:tr w14:paraId="230CC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pct"/>
                  <w:vMerge w:val="restart"/>
                  <w:tcBorders>
                    <w:tl2br w:val="nil"/>
                    <w:tr2bl w:val="nil"/>
                  </w:tcBorders>
                  <w:vAlign w:val="center"/>
                </w:tcPr>
                <w:p w14:paraId="48212FD0">
                  <w:pPr>
                    <w:spacing w:line="228"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隔油沉淀池</w:t>
                  </w:r>
                </w:p>
              </w:tc>
              <w:tc>
                <w:tcPr>
                  <w:tcW w:w="787" w:type="pct"/>
                  <w:tcBorders>
                    <w:tl2br w:val="nil"/>
                    <w:tr2bl w:val="nil"/>
                  </w:tcBorders>
                  <w:vAlign w:val="center"/>
                </w:tcPr>
                <w:p w14:paraId="4E980900">
                  <w:pPr>
                    <w:spacing w:line="228"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进水（</w:t>
                  </w:r>
                  <w:r>
                    <w:rPr>
                      <w:rFonts w:hint="eastAsia" w:ascii="Times New Roman" w:hAnsi="Times New Roman" w:eastAsia="宋体" w:cs="Times New Roman"/>
                      <w:color w:val="auto"/>
                      <w:sz w:val="21"/>
                      <w:szCs w:val="21"/>
                      <w:highlight w:val="none"/>
                      <w:lang w:val="en-US" w:eastAsia="zh-CN"/>
                    </w:rPr>
                    <w:t>mg/L</w:t>
                  </w:r>
                  <w:r>
                    <w:rPr>
                      <w:rFonts w:hint="eastAsia" w:cs="Times New Roman"/>
                      <w:color w:val="auto"/>
                      <w:sz w:val="21"/>
                      <w:szCs w:val="21"/>
                      <w:highlight w:val="none"/>
                      <w:lang w:val="en-US" w:eastAsia="zh-CN"/>
                    </w:rPr>
                    <w:t>）</w:t>
                  </w:r>
                </w:p>
              </w:tc>
              <w:tc>
                <w:tcPr>
                  <w:tcW w:w="706" w:type="pct"/>
                  <w:tcBorders>
                    <w:tl2br w:val="nil"/>
                    <w:tr2bl w:val="nil"/>
                  </w:tcBorders>
                  <w:vAlign w:val="center"/>
                </w:tcPr>
                <w:p w14:paraId="1E262C45">
                  <w:pPr>
                    <w:spacing w:line="228"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lang w:val="en-US" w:eastAsia="zh-CN"/>
                    </w:rPr>
                    <w:t>229.82</w:t>
                  </w:r>
                </w:p>
              </w:tc>
              <w:tc>
                <w:tcPr>
                  <w:tcW w:w="541" w:type="pct"/>
                  <w:tcBorders>
                    <w:tl2br w:val="nil"/>
                    <w:tr2bl w:val="nil"/>
                  </w:tcBorders>
                  <w:vAlign w:val="center"/>
                </w:tcPr>
                <w:p w14:paraId="132B6044">
                  <w:pPr>
                    <w:spacing w:before="65" w:line="307" w:lineRule="auto"/>
                    <w:ind w:left="204" w:leftChars="0" w:right="100" w:rightChars="0" w:hanging="104"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w:t>
                  </w:r>
                </w:p>
              </w:tc>
              <w:tc>
                <w:tcPr>
                  <w:tcW w:w="536" w:type="pct"/>
                  <w:tcBorders>
                    <w:tl2br w:val="nil"/>
                    <w:tr2bl w:val="nil"/>
                  </w:tcBorders>
                  <w:vAlign w:val="center"/>
                </w:tcPr>
                <w:p w14:paraId="1EC75149">
                  <w:pPr>
                    <w:pStyle w:val="131"/>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200</w:t>
                  </w:r>
                </w:p>
              </w:tc>
              <w:tc>
                <w:tcPr>
                  <w:tcW w:w="534" w:type="pct"/>
                  <w:tcBorders>
                    <w:tl2br w:val="nil"/>
                    <w:tr2bl w:val="nil"/>
                  </w:tcBorders>
                  <w:vAlign w:val="center"/>
                </w:tcPr>
                <w:p w14:paraId="7086CADB">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w:t>
                  </w:r>
                </w:p>
              </w:tc>
              <w:tc>
                <w:tcPr>
                  <w:tcW w:w="546" w:type="pct"/>
                  <w:tcBorders>
                    <w:tl2br w:val="nil"/>
                    <w:tr2bl w:val="nil"/>
                  </w:tcBorders>
                  <w:vAlign w:val="center"/>
                </w:tcPr>
                <w:p w14:paraId="284A030B">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560" w:type="pct"/>
                  <w:tcBorders>
                    <w:tl2br w:val="nil"/>
                    <w:tr2bl w:val="nil"/>
                  </w:tcBorders>
                  <w:vAlign w:val="center"/>
                </w:tcPr>
                <w:p w14:paraId="5D400523">
                  <w:pPr>
                    <w:pStyle w:val="131"/>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val="en-US" w:eastAsia="zh-CN"/>
                    </w:rPr>
                    <w:t>0</w:t>
                  </w:r>
                </w:p>
              </w:tc>
            </w:tr>
            <w:tr w14:paraId="02986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pct"/>
                  <w:vMerge w:val="continue"/>
                  <w:tcBorders>
                    <w:tl2br w:val="nil"/>
                    <w:tr2bl w:val="nil"/>
                  </w:tcBorders>
                  <w:vAlign w:val="center"/>
                </w:tcPr>
                <w:p w14:paraId="27F364E3">
                  <w:pPr>
                    <w:spacing w:line="228" w:lineRule="auto"/>
                    <w:jc w:val="center"/>
                    <w:outlineLvl w:val="9"/>
                    <w:rPr>
                      <w:rFonts w:hint="eastAsia" w:ascii="Times New Roman" w:hAnsi="Times New Roman" w:eastAsia="宋体" w:cs="Times New Roman"/>
                      <w:color w:val="auto"/>
                      <w:sz w:val="21"/>
                      <w:szCs w:val="21"/>
                      <w:highlight w:val="none"/>
                      <w:lang w:val="en-US" w:eastAsia="zh-CN"/>
                    </w:rPr>
                  </w:pPr>
                </w:p>
              </w:tc>
              <w:tc>
                <w:tcPr>
                  <w:tcW w:w="787" w:type="pct"/>
                  <w:tcBorders>
                    <w:tl2br w:val="nil"/>
                    <w:tr2bl w:val="nil"/>
                  </w:tcBorders>
                  <w:vAlign w:val="center"/>
                </w:tcPr>
                <w:p w14:paraId="3A866938">
                  <w:pPr>
                    <w:spacing w:line="228"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设计处理效率（%）</w:t>
                  </w:r>
                </w:p>
              </w:tc>
              <w:tc>
                <w:tcPr>
                  <w:tcW w:w="706" w:type="pct"/>
                  <w:tcBorders>
                    <w:tl2br w:val="nil"/>
                    <w:tr2bl w:val="nil"/>
                  </w:tcBorders>
                  <w:vAlign w:val="center"/>
                </w:tcPr>
                <w:p w14:paraId="2F6D64D4">
                  <w:pPr>
                    <w:spacing w:line="228"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41" w:type="pct"/>
                  <w:tcBorders>
                    <w:tl2br w:val="nil"/>
                    <w:tr2bl w:val="nil"/>
                  </w:tcBorders>
                  <w:shd w:val="clear" w:color="auto" w:fill="auto"/>
                  <w:vAlign w:val="center"/>
                </w:tcPr>
                <w:p w14:paraId="32B8A9B8">
                  <w:pPr>
                    <w:spacing w:before="65" w:line="307" w:lineRule="auto"/>
                    <w:ind w:left="204" w:leftChars="0" w:right="100" w:rightChars="0" w:hanging="104"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536" w:type="pct"/>
                  <w:tcBorders>
                    <w:tl2br w:val="nil"/>
                    <w:tr2bl w:val="nil"/>
                  </w:tcBorders>
                  <w:shd w:val="clear" w:color="auto" w:fill="auto"/>
                  <w:vAlign w:val="center"/>
                </w:tcPr>
                <w:p w14:paraId="6D76DDDE">
                  <w:pPr>
                    <w:pStyle w:val="131"/>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534" w:type="pct"/>
                  <w:tcBorders>
                    <w:tl2br w:val="nil"/>
                    <w:tr2bl w:val="nil"/>
                  </w:tcBorders>
                  <w:shd w:val="clear" w:color="auto" w:fill="auto"/>
                  <w:vAlign w:val="center"/>
                </w:tcPr>
                <w:p w14:paraId="0F86EBAA">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50</w:t>
                  </w:r>
                </w:p>
              </w:tc>
              <w:tc>
                <w:tcPr>
                  <w:tcW w:w="546" w:type="pct"/>
                  <w:tcBorders>
                    <w:tl2br w:val="nil"/>
                    <w:tr2bl w:val="nil"/>
                  </w:tcBorders>
                  <w:shd w:val="clear" w:color="auto" w:fill="auto"/>
                  <w:vAlign w:val="center"/>
                </w:tcPr>
                <w:p w14:paraId="0DEDA18F">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560" w:type="pct"/>
                  <w:tcBorders>
                    <w:tl2br w:val="nil"/>
                    <w:tr2bl w:val="nil"/>
                  </w:tcBorders>
                  <w:shd w:val="clear" w:color="auto" w:fill="auto"/>
                  <w:vAlign w:val="center"/>
                </w:tcPr>
                <w:p w14:paraId="2A3D6165">
                  <w:pPr>
                    <w:pStyle w:val="131"/>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50</w:t>
                  </w:r>
                </w:p>
              </w:tc>
            </w:tr>
            <w:tr w14:paraId="6CFA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87" w:type="pct"/>
                  <w:vMerge w:val="continue"/>
                  <w:tcBorders>
                    <w:tl2br w:val="nil"/>
                    <w:tr2bl w:val="nil"/>
                  </w:tcBorders>
                  <w:vAlign w:val="center"/>
                </w:tcPr>
                <w:p w14:paraId="4251F33F">
                  <w:pPr>
                    <w:spacing w:line="228" w:lineRule="auto"/>
                    <w:jc w:val="center"/>
                    <w:outlineLvl w:val="9"/>
                    <w:rPr>
                      <w:rFonts w:hint="eastAsia" w:ascii="Times New Roman" w:hAnsi="Times New Roman" w:eastAsia="宋体" w:cs="Times New Roman"/>
                      <w:color w:val="auto"/>
                      <w:sz w:val="21"/>
                      <w:szCs w:val="21"/>
                      <w:highlight w:val="none"/>
                      <w:lang w:val="en-US" w:eastAsia="zh-CN"/>
                    </w:rPr>
                  </w:pPr>
                </w:p>
              </w:tc>
              <w:tc>
                <w:tcPr>
                  <w:tcW w:w="787" w:type="pct"/>
                  <w:tcBorders>
                    <w:tl2br w:val="nil"/>
                    <w:tr2bl w:val="nil"/>
                  </w:tcBorders>
                  <w:shd w:val="clear" w:color="auto" w:fill="auto"/>
                  <w:vAlign w:val="center"/>
                </w:tcPr>
                <w:p w14:paraId="50B0CBD5">
                  <w:pPr>
                    <w:spacing w:line="228" w:lineRule="auto"/>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出</w:t>
                  </w:r>
                  <w:r>
                    <w:rPr>
                      <w:rFonts w:hint="eastAsia" w:cs="Times New Roman"/>
                      <w:color w:val="auto"/>
                      <w:sz w:val="21"/>
                      <w:szCs w:val="21"/>
                      <w:highlight w:val="none"/>
                      <w:lang w:val="en-US" w:eastAsia="zh-CN"/>
                    </w:rPr>
                    <w:t>水</w:t>
                  </w:r>
                  <w:r>
                    <w:rPr>
                      <w:rFonts w:hint="eastAsia" w:ascii="Times New Roman" w:hAnsi="Times New Roman" w:eastAsia="宋体" w:cs="Times New Roman"/>
                      <w:color w:val="auto"/>
                      <w:sz w:val="21"/>
                      <w:szCs w:val="21"/>
                      <w:highlight w:val="none"/>
                      <w:lang w:val="en-US" w:eastAsia="zh-CN"/>
                    </w:rPr>
                    <w:t>（mg/L）</w:t>
                  </w:r>
                </w:p>
              </w:tc>
              <w:tc>
                <w:tcPr>
                  <w:tcW w:w="706" w:type="pct"/>
                  <w:tcBorders>
                    <w:tl2br w:val="nil"/>
                    <w:tr2bl w:val="nil"/>
                  </w:tcBorders>
                  <w:shd w:val="clear" w:color="auto" w:fill="auto"/>
                  <w:vAlign w:val="center"/>
                </w:tcPr>
                <w:p w14:paraId="38971C26">
                  <w:pPr>
                    <w:spacing w:line="228" w:lineRule="auto"/>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lang w:val="en-US" w:eastAsia="zh-CN"/>
                    </w:rPr>
                    <w:t>229.82</w:t>
                  </w:r>
                </w:p>
              </w:tc>
              <w:tc>
                <w:tcPr>
                  <w:tcW w:w="541" w:type="pct"/>
                  <w:tcBorders>
                    <w:tl2br w:val="nil"/>
                    <w:tr2bl w:val="nil"/>
                  </w:tcBorders>
                  <w:shd w:val="clear" w:color="auto" w:fill="auto"/>
                  <w:vAlign w:val="center"/>
                </w:tcPr>
                <w:p w14:paraId="14E5A36F">
                  <w:pPr>
                    <w:spacing w:before="65" w:line="307" w:lineRule="auto"/>
                    <w:ind w:left="204" w:leftChars="0" w:right="100" w:rightChars="0" w:hanging="104" w:firstLineChars="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6~9</w:t>
                  </w:r>
                </w:p>
              </w:tc>
              <w:tc>
                <w:tcPr>
                  <w:tcW w:w="536" w:type="pct"/>
                  <w:tcBorders>
                    <w:tl2br w:val="nil"/>
                    <w:tr2bl w:val="nil"/>
                  </w:tcBorders>
                  <w:shd w:val="clear" w:color="auto" w:fill="auto"/>
                  <w:vAlign w:val="center"/>
                </w:tcPr>
                <w:p w14:paraId="33D9A0BD">
                  <w:pPr>
                    <w:pStyle w:val="131"/>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200</w:t>
                  </w:r>
                </w:p>
              </w:tc>
              <w:tc>
                <w:tcPr>
                  <w:tcW w:w="534" w:type="pct"/>
                  <w:tcBorders>
                    <w:tl2br w:val="nil"/>
                    <w:tr2bl w:val="nil"/>
                  </w:tcBorders>
                  <w:shd w:val="clear" w:color="auto" w:fill="auto"/>
                  <w:vAlign w:val="center"/>
                </w:tcPr>
                <w:p w14:paraId="7FA5B0CF">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150</w:t>
                  </w:r>
                </w:p>
              </w:tc>
              <w:tc>
                <w:tcPr>
                  <w:tcW w:w="546" w:type="pct"/>
                  <w:tcBorders>
                    <w:tl2br w:val="nil"/>
                    <w:tr2bl w:val="nil"/>
                  </w:tcBorders>
                  <w:shd w:val="clear" w:color="auto" w:fill="auto"/>
                  <w:vAlign w:val="center"/>
                </w:tcPr>
                <w:p w14:paraId="4178777E">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p>
              </w:tc>
              <w:tc>
                <w:tcPr>
                  <w:tcW w:w="560" w:type="pct"/>
                  <w:tcBorders>
                    <w:tl2br w:val="nil"/>
                    <w:tr2bl w:val="nil"/>
                  </w:tcBorders>
                  <w:shd w:val="clear" w:color="auto" w:fill="auto"/>
                  <w:vAlign w:val="center"/>
                </w:tcPr>
                <w:p w14:paraId="2E18B60E">
                  <w:pPr>
                    <w:pStyle w:val="131"/>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10</w:t>
                  </w:r>
                </w:p>
              </w:tc>
            </w:tr>
          </w:tbl>
          <w:p w14:paraId="1ABB0E8E">
            <w:pPr>
              <w:spacing w:line="360" w:lineRule="auto"/>
              <w:ind w:firstLine="480" w:firstLineChars="200"/>
              <w:outlineLvl w:val="9"/>
              <w:rPr>
                <w:rFonts w:hint="eastAsia" w:ascii="Times New Roman" w:hAnsi="Times New Roman"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根据《朝阳红山化工有限责任公司年产20000t乳化炸药生产线扩能升级改造项目环境影响评价报告》，</w:t>
            </w:r>
            <w:r>
              <w:rPr>
                <w:rFonts w:hint="eastAsia" w:cs="Times New Roman"/>
                <w:b w:val="0"/>
                <w:bCs w:val="0"/>
                <w:color w:val="auto"/>
                <w:sz w:val="24"/>
                <w:szCs w:val="24"/>
                <w:lang w:val="en-US" w:eastAsia="zh-CN"/>
              </w:rPr>
              <w:t>朝阳红山生产废水和生活污水排放量为2262.425t/a，辽宁红山生活污水排放量为</w:t>
            </w:r>
            <w:r>
              <w:rPr>
                <w:rFonts w:hint="eastAsia" w:ascii="Times New Roman" w:hAnsi="Times New Roman" w:cs="Times New Roman"/>
                <w:color w:val="auto"/>
                <w:sz w:val="24"/>
                <w:szCs w:val="24"/>
                <w:highlight w:val="none"/>
                <w:lang w:val="en-US" w:eastAsia="zh-CN"/>
              </w:rPr>
              <w:t>2781.625</w:t>
            </w:r>
            <w:r>
              <w:rPr>
                <w:rFonts w:hint="eastAsia" w:ascii="Times New Roman" w:hAnsi="Times New Roman" w:cs="Times New Roman"/>
                <w:color w:val="auto"/>
                <w:sz w:val="24"/>
                <w:szCs w:val="24"/>
                <w:lang w:val="en-US" w:eastAsia="zh-CN"/>
              </w:rPr>
              <w:t>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/a，则进入辽宁红山污水处理站的</w:t>
            </w:r>
            <w:r>
              <w:rPr>
                <w:rFonts w:hint="default" w:ascii="Times New Roman" w:hAnsi="Times New Roman" w:eastAsia="宋体" w:cs="Times New Roman"/>
                <w:b w:val="0"/>
                <w:bCs w:val="0"/>
                <w:color w:val="auto"/>
                <w:sz w:val="24"/>
                <w:szCs w:val="24"/>
                <w:lang w:val="en-US" w:eastAsia="zh-CN"/>
              </w:rPr>
              <w:t>废水量为</w:t>
            </w:r>
            <w:r>
              <w:rPr>
                <w:rFonts w:hint="default" w:ascii="Times New Roman" w:hAnsi="Times New Roman" w:eastAsia="宋体" w:cs="Times New Roman"/>
                <w:b w:val="0"/>
                <w:bCs w:val="0"/>
                <w:i w:val="0"/>
                <w:iCs w:val="0"/>
                <w:color w:val="auto"/>
                <w:kern w:val="0"/>
                <w:sz w:val="24"/>
                <w:szCs w:val="24"/>
                <w:u w:val="none"/>
                <w:lang w:val="en-US" w:eastAsia="zh-CN" w:bidi="ar"/>
              </w:rPr>
              <w:t>5044.05</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/a，水质为pH6~9、COD</w:t>
            </w:r>
            <w:r>
              <w:rPr>
                <w:rFonts w:hint="default" w:ascii="Times New Roman" w:hAnsi="Times New Roman" w:eastAsia="宋体" w:cs="Times New Roman"/>
                <w:b w:val="0"/>
                <w:bCs w:val="0"/>
                <w:color w:val="auto"/>
                <w:sz w:val="24"/>
                <w:szCs w:val="24"/>
                <w:highlight w:val="none"/>
                <w:vertAlign w:val="subscript"/>
                <w:lang w:val="en-US" w:eastAsia="zh-CN"/>
              </w:rPr>
              <w:t>Cr</w:t>
            </w:r>
            <w:r>
              <w:rPr>
                <w:rFonts w:hint="default" w:ascii="Times New Roman" w:hAnsi="Times New Roman" w:eastAsia="宋体" w:cs="Times New Roman"/>
                <w:b w:val="0"/>
                <w:bCs w:val="0"/>
                <w:i w:val="0"/>
                <w:iCs w:val="0"/>
                <w:color w:val="auto"/>
                <w:kern w:val="0"/>
                <w:sz w:val="24"/>
                <w:szCs w:val="24"/>
                <w:u w:val="none"/>
                <w:lang w:val="en-US" w:eastAsia="zh-CN" w:bidi="ar"/>
              </w:rPr>
              <w:t>279.94</w:t>
            </w:r>
            <w:r>
              <w:rPr>
                <w:rFonts w:hint="default" w:ascii="Times New Roman" w:hAnsi="Times New Roman" w:eastAsia="宋体" w:cs="Times New Roman"/>
                <w:b w:val="0"/>
                <w:bCs w:val="0"/>
                <w:color w:val="auto"/>
                <w:sz w:val="24"/>
                <w:szCs w:val="24"/>
                <w:lang w:val="en-US" w:eastAsia="zh-CN"/>
              </w:rPr>
              <w:t>mg/L</w:t>
            </w:r>
            <w:r>
              <w:rPr>
                <w:rFonts w:hint="default" w:ascii="Times New Roman" w:hAnsi="Times New Roman" w:eastAsia="宋体" w:cs="Times New Roman"/>
                <w:b w:val="0"/>
                <w:bCs w:val="0"/>
                <w:i w:val="0"/>
                <w:iCs w:val="0"/>
                <w:color w:val="auto"/>
                <w:kern w:val="0"/>
                <w:sz w:val="24"/>
                <w:szCs w:val="24"/>
                <w:u w:val="none"/>
                <w:lang w:val="en-US" w:eastAsia="zh-CN" w:bidi="ar"/>
              </w:rPr>
              <w:t>、</w:t>
            </w:r>
            <w:r>
              <w:rPr>
                <w:rFonts w:hint="default" w:ascii="Times New Roman" w:hAnsi="Times New Roman" w:eastAsia="宋体" w:cs="Times New Roman"/>
                <w:b w:val="0"/>
                <w:bCs w:val="0"/>
                <w:color w:val="auto"/>
                <w:sz w:val="24"/>
                <w:szCs w:val="24"/>
                <w:highlight w:val="none"/>
                <w:lang w:val="en-US" w:eastAsia="zh-CN"/>
              </w:rPr>
              <w:t>BOD</w:t>
            </w:r>
            <w:r>
              <w:rPr>
                <w:rFonts w:hint="default" w:ascii="Times New Roman" w:hAnsi="Times New Roman" w:eastAsia="宋体" w:cs="Times New Roman"/>
                <w:b w:val="0"/>
                <w:bCs w:val="0"/>
                <w:color w:val="auto"/>
                <w:sz w:val="24"/>
                <w:szCs w:val="24"/>
                <w:highlight w:val="none"/>
                <w:vertAlign w:val="subscript"/>
                <w:lang w:val="en-US" w:eastAsia="zh-CN"/>
              </w:rPr>
              <w:t>5</w:t>
            </w:r>
            <w:r>
              <w:rPr>
                <w:rFonts w:hint="default" w:ascii="Times New Roman" w:hAnsi="Times New Roman" w:eastAsia="宋体" w:cs="Times New Roman"/>
                <w:b w:val="0"/>
                <w:bCs w:val="0"/>
                <w:i w:val="0"/>
                <w:iCs w:val="0"/>
                <w:color w:val="auto"/>
                <w:kern w:val="0"/>
                <w:sz w:val="24"/>
                <w:szCs w:val="24"/>
                <w:u w:val="none"/>
                <w:lang w:val="en-US" w:eastAsia="zh-CN" w:bidi="ar"/>
              </w:rPr>
              <w:t>219.92</w:t>
            </w:r>
            <w:r>
              <w:rPr>
                <w:rFonts w:hint="default" w:ascii="Times New Roman" w:hAnsi="Times New Roman" w:eastAsia="宋体" w:cs="Times New Roman"/>
                <w:b w:val="0"/>
                <w:bCs w:val="0"/>
                <w:color w:val="auto"/>
                <w:sz w:val="24"/>
                <w:szCs w:val="24"/>
                <w:lang w:val="en-US" w:eastAsia="zh-CN"/>
              </w:rPr>
              <w:t>mg/L</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color w:val="auto"/>
                <w:sz w:val="24"/>
                <w:szCs w:val="24"/>
                <w:highlight w:val="none"/>
                <w:lang w:val="en-US" w:eastAsia="zh-CN"/>
              </w:rPr>
              <w:t>SS</w:t>
            </w:r>
            <w:r>
              <w:rPr>
                <w:rFonts w:hint="default" w:ascii="Times New Roman" w:hAnsi="Times New Roman" w:eastAsia="宋体" w:cs="Times New Roman"/>
                <w:b w:val="0"/>
                <w:bCs w:val="0"/>
                <w:i w:val="0"/>
                <w:iCs w:val="0"/>
                <w:color w:val="auto"/>
                <w:kern w:val="0"/>
                <w:sz w:val="24"/>
                <w:szCs w:val="24"/>
                <w:u w:val="none"/>
                <w:lang w:val="en-US" w:eastAsia="zh-CN" w:bidi="ar"/>
              </w:rPr>
              <w:t>179.98</w:t>
            </w:r>
            <w:r>
              <w:rPr>
                <w:rFonts w:hint="default" w:ascii="Times New Roman" w:hAnsi="Times New Roman" w:eastAsia="宋体" w:cs="Times New Roman"/>
                <w:b w:val="0"/>
                <w:bCs w:val="0"/>
                <w:color w:val="auto"/>
                <w:sz w:val="24"/>
                <w:szCs w:val="24"/>
                <w:lang w:val="en-US" w:eastAsia="zh-CN"/>
              </w:rPr>
              <w:t>mg/L</w:t>
            </w:r>
            <w:r>
              <w:rPr>
                <w:rFonts w:hint="default" w:ascii="Times New Roman" w:hAnsi="Times New Roman" w:eastAsia="宋体" w:cs="Times New Roman"/>
                <w:b w:val="0"/>
                <w:bCs w:val="0"/>
                <w:i w:val="0"/>
                <w:iCs w:val="0"/>
                <w:color w:val="auto"/>
                <w:kern w:val="0"/>
                <w:sz w:val="24"/>
                <w:szCs w:val="24"/>
                <w:u w:val="none"/>
                <w:lang w:val="en-US" w:eastAsia="zh-CN" w:bidi="ar"/>
              </w:rPr>
              <w:t>、</w:t>
            </w:r>
            <w:r>
              <w:rPr>
                <w:rFonts w:hint="default" w:ascii="Times New Roman" w:hAnsi="Times New Roman" w:eastAsia="宋体" w:cs="Times New Roman"/>
                <w:b w:val="0"/>
                <w:bCs w:val="0"/>
                <w:color w:val="auto"/>
                <w:sz w:val="24"/>
                <w:szCs w:val="24"/>
                <w:highlight w:val="none"/>
                <w:lang w:val="en-US" w:eastAsia="zh-CN"/>
              </w:rPr>
              <w:t>氨氮</w:t>
            </w:r>
            <w:r>
              <w:rPr>
                <w:rFonts w:hint="default" w:ascii="Times New Roman" w:hAnsi="Times New Roman" w:eastAsia="宋体" w:cs="Times New Roman"/>
                <w:b w:val="0"/>
                <w:bCs w:val="0"/>
                <w:i w:val="0"/>
                <w:iCs w:val="0"/>
                <w:color w:val="auto"/>
                <w:kern w:val="0"/>
                <w:sz w:val="24"/>
                <w:szCs w:val="24"/>
                <w:u w:val="none"/>
                <w:lang w:val="en-US" w:eastAsia="zh-CN" w:bidi="ar"/>
              </w:rPr>
              <w:t>15.00</w:t>
            </w:r>
            <w:r>
              <w:rPr>
                <w:rFonts w:hint="eastAsia" w:ascii="Times New Roman" w:hAnsi="Times New Roman" w:cs="Times New Roman"/>
                <w:b w:val="0"/>
                <w:bCs w:val="0"/>
                <w:color w:val="auto"/>
                <w:sz w:val="24"/>
                <w:szCs w:val="24"/>
                <w:lang w:val="en-US" w:eastAsia="zh-CN"/>
              </w:rPr>
              <w:t>mg/L</w:t>
            </w:r>
            <w:r>
              <w:rPr>
                <w:rFonts w:hint="default" w:ascii="Times New Roman" w:hAnsi="Times New Roman" w:eastAsia="宋体" w:cs="Times New Roman"/>
                <w:b w:val="0"/>
                <w:bCs w:val="0"/>
                <w:i w:val="0"/>
                <w:iCs w:val="0"/>
                <w:color w:val="auto"/>
                <w:kern w:val="0"/>
                <w:sz w:val="24"/>
                <w:szCs w:val="24"/>
                <w:u w:val="none"/>
                <w:lang w:val="en-US" w:eastAsia="zh-CN" w:bidi="ar"/>
              </w:rPr>
              <w:t>、</w:t>
            </w:r>
            <w:r>
              <w:rPr>
                <w:rFonts w:hint="default" w:ascii="Times New Roman" w:hAnsi="Times New Roman" w:eastAsia="宋体" w:cs="Times New Roman"/>
                <w:b w:val="0"/>
                <w:bCs w:val="0"/>
                <w:color w:val="auto"/>
                <w:sz w:val="24"/>
                <w:szCs w:val="24"/>
                <w:highlight w:val="none"/>
                <w:lang w:val="en-US" w:eastAsia="zh-CN"/>
              </w:rPr>
              <w:t>石油类</w:t>
            </w:r>
            <w:r>
              <w:rPr>
                <w:rFonts w:hint="default" w:ascii="Times New Roman" w:hAnsi="Times New Roman" w:eastAsia="宋体" w:cs="Times New Roman"/>
                <w:b w:val="0"/>
                <w:bCs w:val="0"/>
                <w:i w:val="0"/>
                <w:iCs w:val="0"/>
                <w:color w:val="auto"/>
                <w:kern w:val="0"/>
                <w:sz w:val="24"/>
                <w:szCs w:val="24"/>
                <w:u w:val="none"/>
                <w:lang w:val="en-US" w:eastAsia="zh-CN" w:bidi="ar"/>
              </w:rPr>
              <w:t>0.01</w:t>
            </w:r>
            <w:r>
              <w:rPr>
                <w:rFonts w:hint="eastAsia" w:ascii="Times New Roman" w:hAnsi="Times New Roman" w:cs="Times New Roman"/>
                <w:b w:val="0"/>
                <w:bCs w:val="0"/>
                <w:color w:val="auto"/>
                <w:sz w:val="24"/>
                <w:szCs w:val="24"/>
                <w:lang w:val="en-US" w:eastAsia="zh-CN"/>
              </w:rPr>
              <w:t>mg/L</w:t>
            </w:r>
            <w:r>
              <w:rPr>
                <w:rFonts w:hint="default" w:ascii="Times New Roman" w:hAnsi="Times New Roman" w:eastAsia="宋体" w:cs="Times New Roman"/>
                <w:b w:val="0"/>
                <w:bCs w:val="0"/>
                <w:i w:val="0"/>
                <w:iCs w:val="0"/>
                <w:color w:val="auto"/>
                <w:kern w:val="0"/>
                <w:sz w:val="24"/>
                <w:szCs w:val="24"/>
                <w:u w:val="none"/>
                <w:lang w:val="en-US" w:eastAsia="zh-CN" w:bidi="ar"/>
              </w:rPr>
              <w:t>、</w:t>
            </w:r>
            <w:r>
              <w:rPr>
                <w:rFonts w:hint="default" w:ascii="Times New Roman" w:hAnsi="Times New Roman" w:eastAsia="宋体" w:cs="Times New Roman"/>
                <w:b w:val="0"/>
                <w:bCs w:val="0"/>
                <w:color w:val="auto"/>
                <w:sz w:val="24"/>
                <w:szCs w:val="24"/>
                <w:highlight w:val="none"/>
                <w:lang w:val="en-US" w:eastAsia="zh-CN"/>
              </w:rPr>
              <w:t>动植物油</w:t>
            </w:r>
            <w:r>
              <w:rPr>
                <w:rFonts w:hint="default" w:ascii="Times New Roman" w:hAnsi="Times New Roman" w:eastAsia="宋体" w:cs="Times New Roman"/>
                <w:b w:val="0"/>
                <w:bCs w:val="0"/>
                <w:i w:val="0"/>
                <w:iCs w:val="0"/>
                <w:color w:val="auto"/>
                <w:kern w:val="0"/>
                <w:sz w:val="24"/>
                <w:szCs w:val="24"/>
                <w:u w:val="none"/>
                <w:lang w:val="en-US" w:eastAsia="zh-CN" w:bidi="ar"/>
              </w:rPr>
              <w:t>98.12</w:t>
            </w:r>
            <w:r>
              <w:rPr>
                <w:rFonts w:hint="eastAsia" w:ascii="Times New Roman" w:hAnsi="Times New Roman" w:cs="Times New Roman"/>
                <w:b w:val="0"/>
                <w:bCs w:val="0"/>
                <w:color w:val="auto"/>
                <w:sz w:val="24"/>
                <w:szCs w:val="24"/>
                <w:lang w:val="en-US" w:eastAsia="zh-CN"/>
              </w:rPr>
              <w:t>mg/L。</w:t>
            </w:r>
          </w:p>
          <w:p w14:paraId="05680EE0">
            <w:pPr>
              <w:spacing w:line="360" w:lineRule="auto"/>
              <w:ind w:firstLine="480" w:firstLineChars="200"/>
              <w:outlineLvl w:val="9"/>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根据现有工程调查和本项目工程分析核算，本项目实施后辽宁红山污水处理站总的进出水情况见表</w:t>
            </w:r>
            <w:r>
              <w:rPr>
                <w:rFonts w:hint="eastAsia" w:cs="Times New Roman"/>
                <w:color w:val="auto"/>
                <w:sz w:val="24"/>
                <w:szCs w:val="24"/>
                <w:lang w:val="en-US" w:eastAsia="zh-CN"/>
              </w:rPr>
              <w:t>4-6</w:t>
            </w:r>
            <w:r>
              <w:rPr>
                <w:rFonts w:hint="eastAsia" w:ascii="Times New Roman" w:hAnsi="Times New Roman" w:cs="Times New Roman"/>
                <w:color w:val="auto"/>
                <w:sz w:val="24"/>
                <w:szCs w:val="24"/>
                <w:lang w:val="en-US" w:eastAsia="zh-CN"/>
              </w:rPr>
              <w:t>。</w:t>
            </w:r>
          </w:p>
          <w:p w14:paraId="722609C3">
            <w:pPr>
              <w:pStyle w:val="130"/>
              <w:keepNext w:val="0"/>
              <w:keepLines w:val="0"/>
              <w:pageBreakBefore w:val="0"/>
              <w:widowControl/>
              <w:kinsoku/>
              <w:wordWrap/>
              <w:overflowPunct/>
              <w:topLinePunct w:val="0"/>
              <w:autoSpaceDE/>
              <w:autoSpaceDN/>
              <w:bidi w:val="0"/>
              <w:adjustRightInd/>
              <w:snapToGrid/>
              <w:spacing w:beforeLines="0" w:afterLines="0" w:line="360" w:lineRule="auto"/>
              <w:ind w:left="0" w:right="0" w:firstLine="0"/>
              <w:jc w:val="right"/>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表</w:t>
            </w:r>
            <w:r>
              <w:rPr>
                <w:rFonts w:hint="eastAsia" w:ascii="Times New Roman" w:hAnsi="Times New Roman" w:eastAsia="宋体" w:cs="Times New Roman"/>
                <w:color w:val="auto"/>
                <w:sz w:val="21"/>
                <w:szCs w:val="21"/>
                <w:highlight w:val="none"/>
                <w:lang w:val="en-US" w:eastAsia="zh-CN"/>
              </w:rPr>
              <w:t>4-6  污水处理站进出水情况                            单位：mg/L（pH无量纲）</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1438"/>
              <w:gridCol w:w="1305"/>
              <w:gridCol w:w="1349"/>
              <w:gridCol w:w="1244"/>
              <w:gridCol w:w="1265"/>
              <w:gridCol w:w="1258"/>
              <w:gridCol w:w="1295"/>
              <w:gridCol w:w="1295"/>
            </w:tblGrid>
            <w:tr w14:paraId="6F957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536" w:type="pct"/>
                  <w:tcBorders>
                    <w:tl2br w:val="nil"/>
                    <w:tr2bl w:val="nil"/>
                  </w:tcBorders>
                  <w:vAlign w:val="center"/>
                </w:tcPr>
                <w:p w14:paraId="4ECC71D0">
                  <w:pPr>
                    <w:pStyle w:val="131"/>
                    <w:outlineLvl w:val="9"/>
                    <w:rPr>
                      <w:rFonts w:hint="eastAsia" w:eastAsia="宋体"/>
                      <w:b/>
                      <w:bCs/>
                      <w:color w:val="auto"/>
                      <w:sz w:val="21"/>
                      <w:szCs w:val="21"/>
                      <w:highlight w:val="none"/>
                      <w:lang w:eastAsia="zh-CN"/>
                    </w:rPr>
                  </w:pPr>
                  <w:r>
                    <w:rPr>
                      <w:rFonts w:hint="eastAsia"/>
                      <w:b/>
                      <w:bCs/>
                      <w:color w:val="auto"/>
                      <w:sz w:val="21"/>
                      <w:szCs w:val="21"/>
                      <w:highlight w:val="none"/>
                      <w:lang w:val="en-US" w:eastAsia="zh-CN"/>
                    </w:rPr>
                    <w:t>项目</w:t>
                  </w:r>
                </w:p>
              </w:tc>
              <w:tc>
                <w:tcPr>
                  <w:tcW w:w="614" w:type="pct"/>
                  <w:tcBorders>
                    <w:tl2br w:val="nil"/>
                    <w:tr2bl w:val="nil"/>
                  </w:tcBorders>
                  <w:vAlign w:val="center"/>
                </w:tcPr>
                <w:p w14:paraId="5A7A667D">
                  <w:pPr>
                    <w:pStyle w:val="131"/>
                    <w:outlineLvl w:val="9"/>
                    <w:rPr>
                      <w:rFonts w:hint="default"/>
                      <w:b/>
                      <w:bCs/>
                      <w:color w:val="auto"/>
                      <w:sz w:val="21"/>
                      <w:szCs w:val="21"/>
                      <w:highlight w:val="none"/>
                      <w:lang w:val="en-US" w:eastAsia="zh-CN"/>
                    </w:rPr>
                  </w:pPr>
                  <w:r>
                    <w:rPr>
                      <w:rFonts w:hint="eastAsia"/>
                      <w:b/>
                      <w:bCs/>
                      <w:color w:val="auto"/>
                      <w:sz w:val="21"/>
                      <w:szCs w:val="21"/>
                      <w:highlight w:val="none"/>
                      <w:lang w:val="en-US" w:eastAsia="zh-CN"/>
                    </w:rPr>
                    <w:t>排水量（m</w:t>
                  </w:r>
                  <w:r>
                    <w:rPr>
                      <w:rFonts w:hint="eastAsia"/>
                      <w:b/>
                      <w:bCs/>
                      <w:color w:val="auto"/>
                      <w:sz w:val="21"/>
                      <w:szCs w:val="21"/>
                      <w:highlight w:val="none"/>
                      <w:vertAlign w:val="superscript"/>
                      <w:lang w:val="en-US" w:eastAsia="zh-CN"/>
                    </w:rPr>
                    <w:t>3</w:t>
                  </w:r>
                  <w:r>
                    <w:rPr>
                      <w:rFonts w:hint="eastAsia"/>
                      <w:b/>
                      <w:bCs/>
                      <w:color w:val="auto"/>
                      <w:sz w:val="21"/>
                      <w:szCs w:val="21"/>
                      <w:highlight w:val="none"/>
                      <w:lang w:val="en-US" w:eastAsia="zh-CN"/>
                    </w:rPr>
                    <w:t>/a）</w:t>
                  </w:r>
                </w:p>
              </w:tc>
              <w:tc>
                <w:tcPr>
                  <w:tcW w:w="557" w:type="pct"/>
                  <w:tcBorders>
                    <w:tl2br w:val="nil"/>
                    <w:tr2bl w:val="nil"/>
                  </w:tcBorders>
                  <w:vAlign w:val="center"/>
                </w:tcPr>
                <w:p w14:paraId="31216E87">
                  <w:pPr>
                    <w:pStyle w:val="131"/>
                    <w:outlineLvl w:val="9"/>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pH</w:t>
                  </w:r>
                </w:p>
              </w:tc>
              <w:tc>
                <w:tcPr>
                  <w:tcW w:w="576" w:type="pct"/>
                  <w:tcBorders>
                    <w:tl2br w:val="nil"/>
                    <w:tr2bl w:val="nil"/>
                  </w:tcBorders>
                  <w:vAlign w:val="center"/>
                </w:tcPr>
                <w:p w14:paraId="6C60F1B9">
                  <w:pPr>
                    <w:pStyle w:val="131"/>
                    <w:outlineLvl w:val="9"/>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COD</w:t>
                  </w:r>
                  <w:r>
                    <w:rPr>
                      <w:rFonts w:hint="eastAsia"/>
                      <w:b/>
                      <w:bCs/>
                      <w:color w:val="auto"/>
                      <w:sz w:val="21"/>
                      <w:szCs w:val="21"/>
                      <w:highlight w:val="none"/>
                      <w:vertAlign w:val="subscript"/>
                      <w:lang w:val="en-US" w:eastAsia="zh-CN"/>
                    </w:rPr>
                    <w:t>Cr</w:t>
                  </w:r>
                </w:p>
              </w:tc>
              <w:tc>
                <w:tcPr>
                  <w:tcW w:w="531" w:type="pct"/>
                  <w:tcBorders>
                    <w:tl2br w:val="nil"/>
                    <w:tr2bl w:val="nil"/>
                  </w:tcBorders>
                  <w:vAlign w:val="center"/>
                </w:tcPr>
                <w:p w14:paraId="3B56C7CA">
                  <w:pPr>
                    <w:pStyle w:val="131"/>
                    <w:outlineLvl w:val="9"/>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BOD</w:t>
                  </w:r>
                  <w:r>
                    <w:rPr>
                      <w:rFonts w:hint="eastAsia"/>
                      <w:b/>
                      <w:bCs/>
                      <w:color w:val="auto"/>
                      <w:sz w:val="21"/>
                      <w:szCs w:val="21"/>
                      <w:highlight w:val="none"/>
                      <w:vertAlign w:val="subscript"/>
                      <w:lang w:val="en-US" w:eastAsia="zh-CN"/>
                    </w:rPr>
                    <w:t>5</w:t>
                  </w:r>
                </w:p>
              </w:tc>
              <w:tc>
                <w:tcPr>
                  <w:tcW w:w="540" w:type="pct"/>
                  <w:tcBorders>
                    <w:tl2br w:val="nil"/>
                    <w:tr2bl w:val="nil"/>
                  </w:tcBorders>
                  <w:vAlign w:val="center"/>
                </w:tcPr>
                <w:p w14:paraId="1D40E416">
                  <w:pPr>
                    <w:pStyle w:val="131"/>
                    <w:outlineLvl w:val="9"/>
                    <w:rPr>
                      <w:b/>
                      <w:bCs/>
                      <w:color w:val="auto"/>
                      <w:sz w:val="21"/>
                      <w:szCs w:val="21"/>
                      <w:highlight w:val="none"/>
                    </w:rPr>
                  </w:pPr>
                  <w:r>
                    <w:rPr>
                      <w:rFonts w:hint="eastAsia"/>
                      <w:b/>
                      <w:bCs/>
                      <w:color w:val="auto"/>
                      <w:sz w:val="21"/>
                      <w:szCs w:val="21"/>
                      <w:highlight w:val="none"/>
                      <w:lang w:val="en-US" w:eastAsia="zh-CN"/>
                    </w:rPr>
                    <w:t>SS</w:t>
                  </w:r>
                </w:p>
              </w:tc>
              <w:tc>
                <w:tcPr>
                  <w:tcW w:w="537" w:type="pct"/>
                  <w:tcBorders>
                    <w:tl2br w:val="nil"/>
                    <w:tr2bl w:val="nil"/>
                  </w:tcBorders>
                  <w:vAlign w:val="center"/>
                </w:tcPr>
                <w:p w14:paraId="6B3294C5">
                  <w:pPr>
                    <w:pStyle w:val="131"/>
                    <w:outlineLvl w:val="9"/>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氨氮</w:t>
                  </w:r>
                </w:p>
              </w:tc>
              <w:tc>
                <w:tcPr>
                  <w:tcW w:w="553" w:type="pct"/>
                  <w:tcBorders>
                    <w:tl2br w:val="nil"/>
                    <w:tr2bl w:val="nil"/>
                  </w:tcBorders>
                  <w:vAlign w:val="center"/>
                </w:tcPr>
                <w:p w14:paraId="42691B3B">
                  <w:pPr>
                    <w:pStyle w:val="131"/>
                    <w:outlineLvl w:val="9"/>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石油类</w:t>
                  </w:r>
                </w:p>
              </w:tc>
              <w:tc>
                <w:tcPr>
                  <w:tcW w:w="553" w:type="pct"/>
                  <w:tcBorders>
                    <w:tl2br w:val="nil"/>
                    <w:tr2bl w:val="nil"/>
                  </w:tcBorders>
                  <w:vAlign w:val="center"/>
                </w:tcPr>
                <w:p w14:paraId="6C55DD62">
                  <w:pPr>
                    <w:pStyle w:val="131"/>
                    <w:outlineLvl w:val="9"/>
                    <w:rPr>
                      <w:rFonts w:hint="default"/>
                      <w:b/>
                      <w:bCs/>
                      <w:color w:val="auto"/>
                      <w:sz w:val="21"/>
                      <w:szCs w:val="21"/>
                      <w:highlight w:val="none"/>
                      <w:lang w:val="en-US" w:eastAsia="zh-CN"/>
                    </w:rPr>
                  </w:pPr>
                  <w:r>
                    <w:rPr>
                      <w:rFonts w:hint="eastAsia"/>
                      <w:b/>
                      <w:bCs/>
                      <w:color w:val="auto"/>
                      <w:sz w:val="21"/>
                      <w:szCs w:val="21"/>
                      <w:highlight w:val="none"/>
                      <w:lang w:val="en-US" w:eastAsia="zh-CN"/>
                    </w:rPr>
                    <w:t>动植物油</w:t>
                  </w:r>
                </w:p>
              </w:tc>
            </w:tr>
            <w:tr w14:paraId="0B196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6" w:type="pct"/>
                  <w:tcBorders>
                    <w:tl2br w:val="nil"/>
                    <w:tr2bl w:val="nil"/>
                  </w:tcBorders>
                  <w:vAlign w:val="center"/>
                </w:tcPr>
                <w:p w14:paraId="5C7695C5">
                  <w:pPr>
                    <w:spacing w:line="228" w:lineRule="auto"/>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废水</w:t>
                  </w:r>
                </w:p>
              </w:tc>
              <w:tc>
                <w:tcPr>
                  <w:tcW w:w="614" w:type="pct"/>
                  <w:tcBorders>
                    <w:tl2br w:val="nil"/>
                    <w:tr2bl w:val="nil"/>
                  </w:tcBorders>
                  <w:vAlign w:val="center"/>
                </w:tcPr>
                <w:p w14:paraId="4EA1647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lang w:val="en-US" w:eastAsia="zh-CN"/>
                    </w:rPr>
                    <w:t>229.82</w:t>
                  </w:r>
                </w:p>
              </w:tc>
              <w:tc>
                <w:tcPr>
                  <w:tcW w:w="557" w:type="pct"/>
                  <w:tcBorders>
                    <w:tl2br w:val="nil"/>
                    <w:tr2bl w:val="nil"/>
                  </w:tcBorders>
                  <w:vAlign w:val="center"/>
                </w:tcPr>
                <w:p w14:paraId="4406676F">
                  <w:pPr>
                    <w:spacing w:before="65" w:line="307" w:lineRule="auto"/>
                    <w:ind w:left="204" w:leftChars="0" w:right="100" w:rightChars="0" w:hanging="104" w:firstLineChars="0"/>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w:t>
                  </w:r>
                </w:p>
              </w:tc>
              <w:tc>
                <w:tcPr>
                  <w:tcW w:w="576" w:type="pct"/>
                  <w:tcBorders>
                    <w:tl2br w:val="nil"/>
                    <w:tr2bl w:val="nil"/>
                  </w:tcBorders>
                  <w:vAlign w:val="center"/>
                </w:tcPr>
                <w:p w14:paraId="6615261E">
                  <w:pPr>
                    <w:pStyle w:val="131"/>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200</w:t>
                  </w:r>
                </w:p>
              </w:tc>
              <w:tc>
                <w:tcPr>
                  <w:tcW w:w="531" w:type="pct"/>
                  <w:tcBorders>
                    <w:tl2br w:val="nil"/>
                    <w:tr2bl w:val="nil"/>
                  </w:tcBorders>
                  <w:vAlign w:val="center"/>
                </w:tcPr>
                <w:p w14:paraId="02A2B7D5">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0" w:type="pct"/>
                  <w:tcBorders>
                    <w:tl2br w:val="nil"/>
                    <w:tr2bl w:val="nil"/>
                  </w:tcBorders>
                  <w:vAlign w:val="center"/>
                </w:tcPr>
                <w:p w14:paraId="40B389B3">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150</w:t>
                  </w:r>
                </w:p>
              </w:tc>
              <w:tc>
                <w:tcPr>
                  <w:tcW w:w="537" w:type="pct"/>
                  <w:tcBorders>
                    <w:tl2br w:val="nil"/>
                    <w:tr2bl w:val="nil"/>
                  </w:tcBorders>
                  <w:vAlign w:val="center"/>
                </w:tcPr>
                <w:p w14:paraId="211BA1E2">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553" w:type="pct"/>
                  <w:tcBorders>
                    <w:tl2br w:val="nil"/>
                    <w:tr2bl w:val="nil"/>
                  </w:tcBorders>
                  <w:vAlign w:val="center"/>
                </w:tcPr>
                <w:p w14:paraId="6224C81A">
                  <w:pPr>
                    <w:pStyle w:val="131"/>
                    <w:jc w:val="center"/>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553" w:type="pct"/>
                  <w:tcBorders>
                    <w:tl2br w:val="nil"/>
                    <w:tr2bl w:val="nil"/>
                  </w:tcBorders>
                  <w:vAlign w:val="center"/>
                </w:tcPr>
                <w:p w14:paraId="67AF7FAE">
                  <w:pPr>
                    <w:pStyle w:val="131"/>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0B1A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6" w:type="pct"/>
                  <w:tcBorders>
                    <w:tl2br w:val="nil"/>
                    <w:tr2bl w:val="nil"/>
                  </w:tcBorders>
                  <w:vAlign w:val="center"/>
                </w:tcPr>
                <w:p w14:paraId="2FB9F1FE">
                  <w:pPr>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现有项目</w:t>
                  </w:r>
                  <w:r>
                    <w:rPr>
                      <w:rFonts w:hint="default" w:ascii="Times New Roman" w:hAnsi="Times New Roman" w:eastAsia="宋体" w:cs="Times New Roman"/>
                      <w:color w:val="auto"/>
                      <w:sz w:val="21"/>
                      <w:szCs w:val="21"/>
                      <w:highlight w:val="none"/>
                      <w:lang w:val="en-US" w:eastAsia="zh-CN"/>
                    </w:rPr>
                    <w:t>废水</w:t>
                  </w:r>
                  <w:r>
                    <w:rPr>
                      <w:rFonts w:hint="eastAsia" w:cs="Times New Roman"/>
                      <w:color w:val="auto"/>
                      <w:sz w:val="21"/>
                      <w:szCs w:val="21"/>
                      <w:highlight w:val="none"/>
                      <w:lang w:val="en-US" w:eastAsia="zh-CN"/>
                    </w:rPr>
                    <w:t>（</w:t>
                  </w:r>
                  <w:r>
                    <w:rPr>
                      <w:rFonts w:hint="eastAsia" w:cs="Times New Roman"/>
                      <w:b w:val="0"/>
                      <w:bCs w:val="0"/>
                      <w:color w:val="auto"/>
                      <w:sz w:val="21"/>
                      <w:szCs w:val="21"/>
                      <w:lang w:val="en-US" w:eastAsia="zh-CN"/>
                    </w:rPr>
                    <w:t>朝阳红山+辽宁红山</w:t>
                  </w:r>
                  <w:r>
                    <w:rPr>
                      <w:rFonts w:hint="eastAsia" w:cs="Times New Roman"/>
                      <w:color w:val="auto"/>
                      <w:sz w:val="21"/>
                      <w:szCs w:val="21"/>
                      <w:highlight w:val="none"/>
                      <w:lang w:val="en-US" w:eastAsia="zh-CN"/>
                    </w:rPr>
                    <w:t>）</w:t>
                  </w:r>
                </w:p>
              </w:tc>
              <w:tc>
                <w:tcPr>
                  <w:tcW w:w="614" w:type="pct"/>
                  <w:tcBorders>
                    <w:tl2br w:val="nil"/>
                    <w:tr2bl w:val="nil"/>
                  </w:tcBorders>
                  <w:vAlign w:val="center"/>
                </w:tcPr>
                <w:p w14:paraId="1414711E">
                  <w:pPr>
                    <w:keepNext w:val="0"/>
                    <w:keepLines w:val="0"/>
                    <w:widowControl/>
                    <w:suppressLineNumbers w:val="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5044.05</w:t>
                  </w:r>
                </w:p>
              </w:tc>
              <w:tc>
                <w:tcPr>
                  <w:tcW w:w="557" w:type="pct"/>
                  <w:tcBorders>
                    <w:tl2br w:val="nil"/>
                    <w:tr2bl w:val="nil"/>
                  </w:tcBorders>
                  <w:shd w:val="clear" w:color="auto" w:fill="auto"/>
                  <w:vAlign w:val="center"/>
                </w:tcPr>
                <w:p w14:paraId="0ED0CE0B">
                  <w:pPr>
                    <w:spacing w:before="65" w:line="307" w:lineRule="auto"/>
                    <w:ind w:left="204" w:leftChars="0" w:right="100" w:rightChars="0" w:hanging="104"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6~9</w:t>
                  </w:r>
                </w:p>
              </w:tc>
              <w:tc>
                <w:tcPr>
                  <w:tcW w:w="576" w:type="pct"/>
                  <w:tcBorders>
                    <w:tl2br w:val="nil"/>
                    <w:tr2bl w:val="nil"/>
                  </w:tcBorders>
                  <w:shd w:val="clear" w:color="auto" w:fill="auto"/>
                  <w:vAlign w:val="center"/>
                </w:tcPr>
                <w:p w14:paraId="09772A2D">
                  <w:pPr>
                    <w:keepNext w:val="0"/>
                    <w:keepLines w:val="0"/>
                    <w:widowControl/>
                    <w:suppressLineNumbers w:val="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279.94</w:t>
                  </w:r>
                </w:p>
              </w:tc>
              <w:tc>
                <w:tcPr>
                  <w:tcW w:w="531" w:type="pct"/>
                  <w:tcBorders>
                    <w:tl2br w:val="nil"/>
                    <w:tr2bl w:val="nil"/>
                  </w:tcBorders>
                  <w:shd w:val="clear" w:color="auto" w:fill="auto"/>
                  <w:vAlign w:val="center"/>
                </w:tcPr>
                <w:p w14:paraId="125AE948">
                  <w:pPr>
                    <w:keepNext w:val="0"/>
                    <w:keepLines w:val="0"/>
                    <w:widowControl/>
                    <w:suppressLineNumbers w:val="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219.92</w:t>
                  </w:r>
                </w:p>
              </w:tc>
              <w:tc>
                <w:tcPr>
                  <w:tcW w:w="540" w:type="pct"/>
                  <w:tcBorders>
                    <w:tl2br w:val="nil"/>
                    <w:tr2bl w:val="nil"/>
                  </w:tcBorders>
                  <w:shd w:val="clear" w:color="auto" w:fill="auto"/>
                  <w:vAlign w:val="center"/>
                </w:tcPr>
                <w:p w14:paraId="02C082B6">
                  <w:pPr>
                    <w:keepNext w:val="0"/>
                    <w:keepLines w:val="0"/>
                    <w:widowControl/>
                    <w:suppressLineNumbers w:val="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179.98</w:t>
                  </w:r>
                </w:p>
              </w:tc>
              <w:tc>
                <w:tcPr>
                  <w:tcW w:w="537" w:type="pct"/>
                  <w:tcBorders>
                    <w:tl2br w:val="nil"/>
                    <w:tr2bl w:val="nil"/>
                  </w:tcBorders>
                  <w:shd w:val="clear" w:color="auto" w:fill="auto"/>
                  <w:vAlign w:val="center"/>
                </w:tcPr>
                <w:p w14:paraId="262ED03C">
                  <w:pPr>
                    <w:keepNext w:val="0"/>
                    <w:keepLines w:val="0"/>
                    <w:widowControl/>
                    <w:suppressLineNumbers w:val="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15.00</w:t>
                  </w:r>
                </w:p>
              </w:tc>
              <w:tc>
                <w:tcPr>
                  <w:tcW w:w="553" w:type="pct"/>
                  <w:tcBorders>
                    <w:tl2br w:val="nil"/>
                    <w:tr2bl w:val="nil"/>
                  </w:tcBorders>
                  <w:shd w:val="clear" w:color="auto" w:fill="auto"/>
                  <w:vAlign w:val="center"/>
                </w:tcPr>
                <w:p w14:paraId="3E9D45E3">
                  <w:pPr>
                    <w:keepNext w:val="0"/>
                    <w:keepLines w:val="0"/>
                    <w:widowControl/>
                    <w:suppressLineNumbers w:val="0"/>
                    <w:jc w:val="center"/>
                    <w:textAlignment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553" w:type="pct"/>
                  <w:tcBorders>
                    <w:tl2br w:val="nil"/>
                    <w:tr2bl w:val="nil"/>
                  </w:tcBorders>
                  <w:shd w:val="clear" w:color="auto" w:fill="auto"/>
                  <w:vAlign w:val="center"/>
                </w:tcPr>
                <w:p w14:paraId="4FFF231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98.12</w:t>
                  </w:r>
                </w:p>
              </w:tc>
            </w:tr>
            <w:tr w14:paraId="16E31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6" w:type="pct"/>
                  <w:tcBorders>
                    <w:tl2br w:val="nil"/>
                    <w:tr2bl w:val="nil"/>
                  </w:tcBorders>
                  <w:vAlign w:val="center"/>
                </w:tcPr>
                <w:p w14:paraId="71F7497A">
                  <w:pPr>
                    <w:spacing w:line="240" w:lineRule="auto"/>
                    <w:ind w:left="0" w:leftChars="0" w:right="0" w:rightChars="0" w:firstLine="0" w:firstLineChars="0"/>
                    <w:jc w:val="center"/>
                    <w:outlineLvl w:val="9"/>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混合后水质</w:t>
                  </w:r>
                </w:p>
              </w:tc>
              <w:tc>
                <w:tcPr>
                  <w:tcW w:w="614" w:type="pct"/>
                  <w:tcBorders>
                    <w:tl2br w:val="nil"/>
                    <w:tr2bl w:val="nil"/>
                  </w:tcBorders>
                  <w:shd w:val="clear" w:color="auto" w:fill="auto"/>
                  <w:vAlign w:val="center"/>
                </w:tcPr>
                <w:p w14:paraId="77E017B8">
                  <w:pPr>
                    <w:keepNext w:val="0"/>
                    <w:keepLines w:val="0"/>
                    <w:widowControl/>
                    <w:suppressLineNumbers w:val="0"/>
                    <w:jc w:val="center"/>
                    <w:textAlignment w:val="center"/>
                    <w:outlineLvl w:val="9"/>
                    <w:rPr>
                      <w:rFonts w:hint="default" w:ascii="Times New Roman" w:hAnsi="Times New Roman" w:eastAsia="宋体" w:cs="Times New Roman"/>
                      <w:b w:val="0"/>
                      <w:bCs w:val="0"/>
                      <w:i w:val="0"/>
                      <w:iCs w:val="0"/>
                      <w:color w:val="auto"/>
                      <w:kern w:val="0"/>
                      <w:sz w:val="21"/>
                      <w:szCs w:val="21"/>
                      <w:u w:val="none"/>
                      <w:lang w:val="en-US" w:eastAsia="zh-CN" w:bidi="ar"/>
                    </w:rPr>
                  </w:pPr>
                  <w:r>
                    <w:rPr>
                      <w:rFonts w:hint="eastAsia" w:cs="Times New Roman"/>
                      <w:b w:val="0"/>
                      <w:bCs w:val="0"/>
                      <w:i w:val="0"/>
                      <w:iCs w:val="0"/>
                      <w:color w:val="auto"/>
                      <w:kern w:val="0"/>
                      <w:sz w:val="21"/>
                      <w:szCs w:val="21"/>
                      <w:u w:val="none"/>
                      <w:lang w:val="en-US" w:eastAsia="zh-CN" w:bidi="ar"/>
                    </w:rPr>
                    <w:t>5273.87</w:t>
                  </w:r>
                </w:p>
              </w:tc>
              <w:tc>
                <w:tcPr>
                  <w:tcW w:w="557" w:type="pct"/>
                  <w:tcBorders>
                    <w:tl2br w:val="nil"/>
                    <w:tr2bl w:val="nil"/>
                  </w:tcBorders>
                  <w:vAlign w:val="center"/>
                </w:tcPr>
                <w:p w14:paraId="6B8A8ABC">
                  <w:pPr>
                    <w:keepNext w:val="0"/>
                    <w:keepLines w:val="0"/>
                    <w:widowControl/>
                    <w:suppressLineNumbers w:val="0"/>
                    <w:jc w:val="center"/>
                    <w:textAlignment w:val="center"/>
                    <w:outlineLvl w:val="9"/>
                    <w:rPr>
                      <w:rFonts w:hint="default" w:ascii="Times New Roman" w:hAnsi="Times New Roman" w:eastAsia="宋体" w:cs="Times New Roman"/>
                      <w:b w:val="0"/>
                      <w:bCs w:val="0"/>
                      <w:i w:val="0"/>
                      <w:iCs w:val="0"/>
                      <w:color w:val="auto"/>
                      <w:kern w:val="0"/>
                      <w:sz w:val="21"/>
                      <w:szCs w:val="21"/>
                      <w:u w:val="none"/>
                      <w:lang w:val="en-US" w:eastAsia="zh-CN" w:bidi="ar"/>
                    </w:rPr>
                  </w:pPr>
                  <w:r>
                    <w:rPr>
                      <w:rFonts w:hint="eastAsia" w:ascii="Times New Roman" w:hAnsi="Times New Roman" w:eastAsia="宋体" w:cs="Times New Roman"/>
                      <w:b w:val="0"/>
                      <w:bCs w:val="0"/>
                      <w:i w:val="0"/>
                      <w:iCs w:val="0"/>
                      <w:color w:val="auto"/>
                      <w:kern w:val="0"/>
                      <w:sz w:val="21"/>
                      <w:szCs w:val="21"/>
                      <w:u w:val="none"/>
                      <w:lang w:val="en-US" w:eastAsia="zh-CN" w:bidi="ar"/>
                    </w:rPr>
                    <w:t>/</w:t>
                  </w:r>
                </w:p>
              </w:tc>
              <w:tc>
                <w:tcPr>
                  <w:tcW w:w="1349" w:type="dxa"/>
                  <w:tcBorders>
                    <w:tl2br w:val="nil"/>
                    <w:tr2bl w:val="nil"/>
                  </w:tcBorders>
                  <w:shd w:val="clear" w:color="auto" w:fill="auto"/>
                  <w:vAlign w:val="center"/>
                </w:tcPr>
                <w:p w14:paraId="11E6B0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276.46 </w:t>
                  </w:r>
                </w:p>
              </w:tc>
              <w:tc>
                <w:tcPr>
                  <w:tcW w:w="1244" w:type="dxa"/>
                  <w:tcBorders>
                    <w:tl2br w:val="nil"/>
                    <w:tr2bl w:val="nil"/>
                  </w:tcBorders>
                  <w:shd w:val="clear" w:color="auto" w:fill="auto"/>
                  <w:vAlign w:val="center"/>
                </w:tcPr>
                <w:p w14:paraId="4EB9438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210.34 </w:t>
                  </w:r>
                </w:p>
              </w:tc>
              <w:tc>
                <w:tcPr>
                  <w:tcW w:w="1265" w:type="dxa"/>
                  <w:tcBorders>
                    <w:tl2br w:val="nil"/>
                    <w:tr2bl w:val="nil"/>
                  </w:tcBorders>
                  <w:shd w:val="clear" w:color="auto" w:fill="auto"/>
                  <w:vAlign w:val="center"/>
                </w:tcPr>
                <w:p w14:paraId="793EF1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178.67 </w:t>
                  </w:r>
                </w:p>
              </w:tc>
              <w:tc>
                <w:tcPr>
                  <w:tcW w:w="1258" w:type="dxa"/>
                  <w:tcBorders>
                    <w:tl2br w:val="nil"/>
                    <w:tr2bl w:val="nil"/>
                  </w:tcBorders>
                  <w:shd w:val="clear" w:color="auto" w:fill="auto"/>
                  <w:vAlign w:val="center"/>
                </w:tcPr>
                <w:p w14:paraId="567DF6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15.22 </w:t>
                  </w:r>
                </w:p>
              </w:tc>
              <w:tc>
                <w:tcPr>
                  <w:tcW w:w="1295" w:type="dxa"/>
                  <w:tcBorders>
                    <w:tl2br w:val="nil"/>
                    <w:tr2bl w:val="nil"/>
                  </w:tcBorders>
                  <w:shd w:val="clear" w:color="auto" w:fill="auto"/>
                  <w:vAlign w:val="center"/>
                </w:tcPr>
                <w:p w14:paraId="3C02F8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0.45 </w:t>
                  </w:r>
                </w:p>
              </w:tc>
              <w:tc>
                <w:tcPr>
                  <w:tcW w:w="553" w:type="pct"/>
                  <w:tcBorders>
                    <w:tl2br w:val="nil"/>
                    <w:tr2bl w:val="nil"/>
                  </w:tcBorders>
                  <w:shd w:val="clear" w:color="auto" w:fill="auto"/>
                  <w:vAlign w:val="center"/>
                </w:tcPr>
                <w:p w14:paraId="13A4A76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93.84</w:t>
                  </w:r>
                </w:p>
              </w:tc>
            </w:tr>
            <w:tr w14:paraId="5CFF3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6" w:type="pct"/>
                  <w:tcBorders>
                    <w:tl2br w:val="nil"/>
                    <w:tr2bl w:val="nil"/>
                  </w:tcBorders>
                  <w:vAlign w:val="center"/>
                </w:tcPr>
                <w:p w14:paraId="647B7BD0">
                  <w:pPr>
                    <w:spacing w:line="240" w:lineRule="auto"/>
                    <w:ind w:left="0" w:leftChars="0" w:right="0" w:rightChars="0" w:firstLine="0" w:firstLineChars="0"/>
                    <w:jc w:val="center"/>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设计处理效率</w:t>
                  </w:r>
                </w:p>
              </w:tc>
              <w:tc>
                <w:tcPr>
                  <w:tcW w:w="614" w:type="pct"/>
                  <w:tcBorders>
                    <w:tl2br w:val="nil"/>
                    <w:tr2bl w:val="nil"/>
                  </w:tcBorders>
                  <w:vAlign w:val="center"/>
                </w:tcPr>
                <w:p w14:paraId="50062E38">
                  <w:pPr>
                    <w:spacing w:line="240" w:lineRule="auto"/>
                    <w:ind w:left="0" w:leftChars="0" w:right="0" w:rightChars="0" w:firstLine="0" w:firstLineChars="0"/>
                    <w:jc w:val="center"/>
                    <w:outlineLvl w:val="9"/>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557" w:type="pct"/>
                  <w:tcBorders>
                    <w:tl2br w:val="nil"/>
                    <w:tr2bl w:val="nil"/>
                  </w:tcBorders>
                  <w:shd w:val="clear" w:color="auto" w:fill="auto"/>
                  <w:vAlign w:val="center"/>
                </w:tcPr>
                <w:p w14:paraId="7A5AB8FE">
                  <w:pPr>
                    <w:spacing w:before="65" w:line="307" w:lineRule="auto"/>
                    <w:ind w:left="204" w:leftChars="0" w:right="100" w:rightChars="0" w:hanging="104" w:firstLineChars="0"/>
                    <w:jc w:val="center"/>
                    <w:outlineLvl w:val="9"/>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w:t>
                  </w:r>
                </w:p>
              </w:tc>
              <w:tc>
                <w:tcPr>
                  <w:tcW w:w="576" w:type="pct"/>
                  <w:tcBorders>
                    <w:tl2br w:val="nil"/>
                    <w:tr2bl w:val="nil"/>
                  </w:tcBorders>
                  <w:shd w:val="clear" w:color="auto" w:fill="auto"/>
                  <w:vAlign w:val="center"/>
                </w:tcPr>
                <w:p w14:paraId="10503CAF">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90%</w:t>
                  </w:r>
                </w:p>
              </w:tc>
              <w:tc>
                <w:tcPr>
                  <w:tcW w:w="531" w:type="pct"/>
                  <w:tcBorders>
                    <w:tl2br w:val="nil"/>
                    <w:tr2bl w:val="nil"/>
                  </w:tcBorders>
                  <w:shd w:val="clear" w:color="auto" w:fill="auto"/>
                  <w:vAlign w:val="center"/>
                </w:tcPr>
                <w:p w14:paraId="43A81257">
                  <w:pPr>
                    <w:pStyle w:val="131"/>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97</w:t>
                  </w:r>
                  <w:r>
                    <w:rPr>
                      <w:rFonts w:hint="eastAsia" w:ascii="Times New Roman" w:hAnsi="Times New Roman" w:eastAsia="宋体" w:cs="Times New Roman"/>
                      <w:color w:val="auto"/>
                      <w:sz w:val="21"/>
                      <w:szCs w:val="21"/>
                      <w:highlight w:val="none"/>
                      <w:lang w:val="en-US" w:eastAsia="zh-CN"/>
                    </w:rPr>
                    <w:t>%</w:t>
                  </w:r>
                </w:p>
              </w:tc>
              <w:tc>
                <w:tcPr>
                  <w:tcW w:w="540" w:type="pct"/>
                  <w:tcBorders>
                    <w:tl2br w:val="nil"/>
                    <w:tr2bl w:val="nil"/>
                  </w:tcBorders>
                  <w:shd w:val="clear" w:color="auto" w:fill="auto"/>
                  <w:vAlign w:val="center"/>
                </w:tcPr>
                <w:p w14:paraId="7376327A">
                  <w:pPr>
                    <w:pStyle w:val="131"/>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9</w:t>
                  </w:r>
                  <w:r>
                    <w:rPr>
                      <w:rFonts w:hint="eastAsia" w:cs="Times New Roman"/>
                      <w:color w:val="auto"/>
                      <w:sz w:val="21"/>
                      <w:szCs w:val="21"/>
                      <w:highlight w:val="none"/>
                      <w:lang w:val="en-US" w:eastAsia="zh-CN"/>
                    </w:rPr>
                    <w:t>7</w:t>
                  </w:r>
                  <w:r>
                    <w:rPr>
                      <w:rFonts w:hint="eastAsia" w:ascii="Times New Roman" w:hAnsi="Times New Roman" w:eastAsia="宋体" w:cs="Times New Roman"/>
                      <w:color w:val="auto"/>
                      <w:sz w:val="21"/>
                      <w:szCs w:val="21"/>
                      <w:highlight w:val="none"/>
                      <w:lang w:val="en-US" w:eastAsia="zh-CN"/>
                    </w:rPr>
                    <w:t>%</w:t>
                  </w:r>
                </w:p>
              </w:tc>
              <w:tc>
                <w:tcPr>
                  <w:tcW w:w="537" w:type="pct"/>
                  <w:tcBorders>
                    <w:tl2br w:val="nil"/>
                    <w:tr2bl w:val="nil"/>
                  </w:tcBorders>
                  <w:shd w:val="clear" w:color="auto" w:fill="auto"/>
                  <w:vAlign w:val="center"/>
                </w:tcPr>
                <w:p w14:paraId="5D2F50FE">
                  <w:pPr>
                    <w:pStyle w:val="131"/>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70</w:t>
                  </w:r>
                  <w:r>
                    <w:rPr>
                      <w:rFonts w:hint="eastAsia" w:ascii="Times New Roman" w:hAnsi="Times New Roman" w:eastAsia="宋体" w:cs="Times New Roman"/>
                      <w:color w:val="auto"/>
                      <w:sz w:val="21"/>
                      <w:szCs w:val="21"/>
                      <w:highlight w:val="none"/>
                      <w:lang w:val="en-US" w:eastAsia="zh-CN"/>
                    </w:rPr>
                    <w:t>%</w:t>
                  </w:r>
                </w:p>
              </w:tc>
              <w:tc>
                <w:tcPr>
                  <w:tcW w:w="553" w:type="pct"/>
                  <w:tcBorders>
                    <w:tl2br w:val="nil"/>
                    <w:tr2bl w:val="nil"/>
                  </w:tcBorders>
                  <w:shd w:val="clear" w:color="auto" w:fill="auto"/>
                  <w:vAlign w:val="center"/>
                </w:tcPr>
                <w:p w14:paraId="445F5E4C">
                  <w:pPr>
                    <w:pStyle w:val="131"/>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70</w:t>
                  </w:r>
                  <w:r>
                    <w:rPr>
                      <w:rFonts w:hint="eastAsia" w:ascii="Times New Roman" w:hAnsi="Times New Roman" w:eastAsia="宋体" w:cs="Times New Roman"/>
                      <w:color w:val="auto"/>
                      <w:sz w:val="21"/>
                      <w:szCs w:val="21"/>
                      <w:highlight w:val="none"/>
                      <w:lang w:val="en-US" w:eastAsia="zh-CN"/>
                    </w:rPr>
                    <w:t>%</w:t>
                  </w:r>
                </w:p>
              </w:tc>
              <w:tc>
                <w:tcPr>
                  <w:tcW w:w="553" w:type="pct"/>
                  <w:tcBorders>
                    <w:tl2br w:val="nil"/>
                    <w:tr2bl w:val="nil"/>
                  </w:tcBorders>
                  <w:shd w:val="clear" w:color="auto" w:fill="auto"/>
                  <w:vAlign w:val="center"/>
                </w:tcPr>
                <w:p w14:paraId="3487FDD6">
                  <w:pPr>
                    <w:pStyle w:val="131"/>
                    <w:outlineLvl w:val="9"/>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90%</w:t>
                  </w:r>
                </w:p>
              </w:tc>
            </w:tr>
            <w:tr w14:paraId="3DB49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6" w:type="pct"/>
                  <w:tcBorders>
                    <w:tl2br w:val="nil"/>
                    <w:tr2bl w:val="nil"/>
                  </w:tcBorders>
                  <w:vAlign w:val="center"/>
                </w:tcPr>
                <w:p w14:paraId="63D4DF32">
                  <w:pPr>
                    <w:spacing w:line="240" w:lineRule="auto"/>
                    <w:ind w:left="0" w:leftChars="0" w:right="0" w:rightChars="0" w:firstLine="0" w:firstLineChars="0"/>
                    <w:jc w:val="center"/>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出水</w:t>
                  </w:r>
                </w:p>
              </w:tc>
              <w:tc>
                <w:tcPr>
                  <w:tcW w:w="614" w:type="pct"/>
                  <w:tcBorders>
                    <w:tl2br w:val="nil"/>
                    <w:tr2bl w:val="nil"/>
                  </w:tcBorders>
                  <w:vAlign w:val="center"/>
                </w:tcPr>
                <w:p w14:paraId="510F92C9">
                  <w:pPr>
                    <w:keepNext w:val="0"/>
                    <w:keepLines w:val="0"/>
                    <w:widowControl/>
                    <w:suppressLineNumbers w:val="0"/>
                    <w:jc w:val="center"/>
                    <w:textAlignment w:val="center"/>
                    <w:outlineLvl w:val="9"/>
                    <w:rPr>
                      <w:rFonts w:hint="eastAsia" w:ascii="Times New Roman" w:hAnsi="Times New Roman" w:cs="Times New Roman"/>
                      <w:color w:val="auto"/>
                      <w:sz w:val="21"/>
                      <w:szCs w:val="21"/>
                      <w:highlight w:val="none"/>
                      <w:lang w:val="en-US" w:eastAsia="zh-CN"/>
                    </w:rPr>
                  </w:pPr>
                  <w:r>
                    <w:rPr>
                      <w:rFonts w:hint="eastAsia" w:cs="Times New Roman"/>
                      <w:b w:val="0"/>
                      <w:bCs w:val="0"/>
                      <w:i w:val="0"/>
                      <w:iCs w:val="0"/>
                      <w:color w:val="auto"/>
                      <w:kern w:val="0"/>
                      <w:sz w:val="21"/>
                      <w:szCs w:val="21"/>
                      <w:u w:val="none"/>
                      <w:lang w:val="en-US" w:eastAsia="zh-CN" w:bidi="ar"/>
                    </w:rPr>
                    <w:t>5273.87</w:t>
                  </w:r>
                </w:p>
              </w:tc>
              <w:tc>
                <w:tcPr>
                  <w:tcW w:w="557" w:type="pct"/>
                  <w:tcBorders>
                    <w:tl2br w:val="nil"/>
                    <w:tr2bl w:val="nil"/>
                  </w:tcBorders>
                  <w:vAlign w:val="center"/>
                </w:tcPr>
                <w:p w14:paraId="0B7E5540">
                  <w:pPr>
                    <w:spacing w:before="65" w:line="307" w:lineRule="auto"/>
                    <w:ind w:left="204" w:leftChars="0" w:right="100" w:rightChars="0" w:hanging="104" w:firstLineChars="0"/>
                    <w:jc w:val="center"/>
                    <w:outlineLvl w:val="9"/>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w:t>
                  </w:r>
                </w:p>
              </w:tc>
              <w:tc>
                <w:tcPr>
                  <w:tcW w:w="1349" w:type="dxa"/>
                  <w:tcBorders>
                    <w:tl2br w:val="nil"/>
                    <w:tr2bl w:val="nil"/>
                  </w:tcBorders>
                  <w:vAlign w:val="center"/>
                </w:tcPr>
                <w:p w14:paraId="275B95B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27.65 </w:t>
                  </w:r>
                </w:p>
              </w:tc>
              <w:tc>
                <w:tcPr>
                  <w:tcW w:w="1244" w:type="dxa"/>
                  <w:tcBorders>
                    <w:tl2br w:val="nil"/>
                    <w:tr2bl w:val="nil"/>
                  </w:tcBorders>
                  <w:vAlign w:val="center"/>
                </w:tcPr>
                <w:p w14:paraId="5D8BD4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6.31 </w:t>
                  </w:r>
                </w:p>
              </w:tc>
              <w:tc>
                <w:tcPr>
                  <w:tcW w:w="1265" w:type="dxa"/>
                  <w:tcBorders>
                    <w:tl2br w:val="nil"/>
                    <w:tr2bl w:val="nil"/>
                  </w:tcBorders>
                  <w:vAlign w:val="center"/>
                </w:tcPr>
                <w:p w14:paraId="309D26A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5.36 </w:t>
                  </w:r>
                </w:p>
              </w:tc>
              <w:tc>
                <w:tcPr>
                  <w:tcW w:w="1258" w:type="dxa"/>
                  <w:tcBorders>
                    <w:tl2br w:val="nil"/>
                    <w:tr2bl w:val="nil"/>
                  </w:tcBorders>
                  <w:vAlign w:val="center"/>
                </w:tcPr>
                <w:p w14:paraId="1EBD559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4.57 </w:t>
                  </w:r>
                </w:p>
              </w:tc>
              <w:tc>
                <w:tcPr>
                  <w:tcW w:w="1295" w:type="dxa"/>
                  <w:tcBorders>
                    <w:tl2br w:val="nil"/>
                    <w:tr2bl w:val="nil"/>
                  </w:tcBorders>
                  <w:vAlign w:val="center"/>
                </w:tcPr>
                <w:p w14:paraId="2E98303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 xml:space="preserve">0.134 </w:t>
                  </w:r>
                </w:p>
              </w:tc>
              <w:tc>
                <w:tcPr>
                  <w:tcW w:w="1295" w:type="dxa"/>
                  <w:tcBorders>
                    <w:tl2br w:val="nil"/>
                    <w:tr2bl w:val="nil"/>
                  </w:tcBorders>
                  <w:shd w:val="clear" w:color="auto" w:fill="auto"/>
                  <w:vAlign w:val="center"/>
                </w:tcPr>
                <w:p w14:paraId="7C18EDC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9.38</w:t>
                  </w:r>
                </w:p>
              </w:tc>
            </w:tr>
            <w:tr w14:paraId="04BC1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6" w:type="pct"/>
                  <w:tcBorders>
                    <w:tl2br w:val="nil"/>
                    <w:tr2bl w:val="nil"/>
                  </w:tcBorders>
                  <w:vAlign w:val="center"/>
                </w:tcPr>
                <w:p w14:paraId="673FD68C">
                  <w:pPr>
                    <w:spacing w:line="240" w:lineRule="auto"/>
                    <w:ind w:left="0" w:leftChars="0" w:right="0" w:rightChars="0" w:firstLine="0" w:firstLineChars="0"/>
                    <w:jc w:val="center"/>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标准</w:t>
                  </w:r>
                </w:p>
              </w:tc>
              <w:tc>
                <w:tcPr>
                  <w:tcW w:w="614" w:type="pct"/>
                  <w:tcBorders>
                    <w:tl2br w:val="nil"/>
                    <w:tr2bl w:val="nil"/>
                  </w:tcBorders>
                  <w:vAlign w:val="center"/>
                </w:tcPr>
                <w:p w14:paraId="4E7818DE">
                  <w:pPr>
                    <w:keepNext w:val="0"/>
                    <w:keepLines w:val="0"/>
                    <w:widowControl/>
                    <w:suppressLineNumbers w:val="0"/>
                    <w:jc w:val="center"/>
                    <w:textAlignment w:val="center"/>
                    <w:outlineLvl w:val="9"/>
                    <w:rPr>
                      <w:rFonts w:hint="default" w:ascii="Times New Roman" w:hAnsi="Times New Roman" w:cs="Times New Roman"/>
                      <w:color w:val="auto"/>
                      <w:sz w:val="21"/>
                      <w:szCs w:val="21"/>
                      <w:highlight w:val="none"/>
                    </w:rPr>
                  </w:pPr>
                  <w:r>
                    <w:rPr>
                      <w:rFonts w:hint="eastAsia" w:cs="Times New Roman"/>
                      <w:b w:val="0"/>
                      <w:bCs w:val="0"/>
                      <w:i w:val="0"/>
                      <w:iCs w:val="0"/>
                      <w:color w:val="auto"/>
                      <w:kern w:val="0"/>
                      <w:sz w:val="21"/>
                      <w:szCs w:val="21"/>
                      <w:u w:val="none"/>
                      <w:lang w:val="en-US" w:eastAsia="zh-CN" w:bidi="ar"/>
                    </w:rPr>
                    <w:t>5273.87</w:t>
                  </w:r>
                </w:p>
              </w:tc>
              <w:tc>
                <w:tcPr>
                  <w:tcW w:w="557" w:type="pct"/>
                  <w:tcBorders>
                    <w:tl2br w:val="nil"/>
                    <w:tr2bl w:val="nil"/>
                  </w:tcBorders>
                  <w:vAlign w:val="center"/>
                </w:tcPr>
                <w:p w14:paraId="3485F52B">
                  <w:pPr>
                    <w:spacing w:before="65" w:line="307" w:lineRule="auto"/>
                    <w:ind w:left="204" w:leftChars="0" w:right="100" w:rightChars="0" w:hanging="104" w:firstLineChars="0"/>
                    <w:jc w:val="center"/>
                    <w:outlineLvl w:val="9"/>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6~9</w:t>
                  </w:r>
                </w:p>
              </w:tc>
              <w:tc>
                <w:tcPr>
                  <w:tcW w:w="576" w:type="pct"/>
                  <w:tcBorders>
                    <w:tl2br w:val="nil"/>
                    <w:tr2bl w:val="nil"/>
                  </w:tcBorders>
                  <w:vAlign w:val="center"/>
                </w:tcPr>
                <w:p w14:paraId="24C1BE44">
                  <w:pPr>
                    <w:pStyle w:val="17"/>
                    <w:keepNext w:val="0"/>
                    <w:keepLines w:val="0"/>
                    <w:pageBreakBefore w:val="0"/>
                    <w:widowControl/>
                    <w:shd w:val="clear" w:color="auto" w:fill="auto"/>
                    <w:kinsoku/>
                    <w:wordWrap/>
                    <w:overflowPunct/>
                    <w:topLinePunct w:val="0"/>
                    <w:autoSpaceDE/>
                    <w:autoSpaceDN/>
                    <w:bidi w:val="0"/>
                    <w:adjustRightInd/>
                    <w:snapToGrid/>
                    <w:spacing w:after="0" w:line="300" w:lineRule="exact"/>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31" w:type="pct"/>
                  <w:tcBorders>
                    <w:tl2br w:val="nil"/>
                    <w:tr2bl w:val="nil"/>
                  </w:tcBorders>
                  <w:vAlign w:val="center"/>
                </w:tcPr>
                <w:p w14:paraId="0A45DEBE">
                  <w:pPr>
                    <w:pStyle w:val="131"/>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540" w:type="pct"/>
                  <w:tcBorders>
                    <w:tl2br w:val="nil"/>
                    <w:tr2bl w:val="nil"/>
                  </w:tcBorders>
                  <w:vAlign w:val="center"/>
                </w:tcPr>
                <w:p w14:paraId="14FC4373">
                  <w:pPr>
                    <w:pStyle w:val="131"/>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537" w:type="pct"/>
                  <w:tcBorders>
                    <w:tl2br w:val="nil"/>
                    <w:tr2bl w:val="nil"/>
                  </w:tcBorders>
                  <w:vAlign w:val="center"/>
                </w:tcPr>
                <w:p w14:paraId="4ED301D1">
                  <w:pPr>
                    <w:pStyle w:val="131"/>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c>
                <w:tcPr>
                  <w:tcW w:w="553" w:type="pct"/>
                  <w:tcBorders>
                    <w:tl2br w:val="nil"/>
                    <w:tr2bl w:val="nil"/>
                  </w:tcBorders>
                  <w:vAlign w:val="center"/>
                </w:tcPr>
                <w:p w14:paraId="06B7037F">
                  <w:pPr>
                    <w:pStyle w:val="131"/>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553" w:type="pct"/>
                  <w:tcBorders>
                    <w:tl2br w:val="nil"/>
                    <w:tr2bl w:val="nil"/>
                  </w:tcBorders>
                  <w:vAlign w:val="center"/>
                </w:tcPr>
                <w:p w14:paraId="1B3BD666">
                  <w:pPr>
                    <w:pStyle w:val="131"/>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6A356C2A">
            <w:pPr>
              <w:spacing w:line="360" w:lineRule="auto"/>
              <w:ind w:firstLine="480" w:firstLineChars="20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根据核算，</w:t>
            </w:r>
            <w:r>
              <w:rPr>
                <w:rFonts w:hint="eastAsia" w:cs="Times New Roman"/>
                <w:color w:val="auto"/>
                <w:sz w:val="24"/>
                <w:szCs w:val="24"/>
                <w:lang w:val="en-US" w:eastAsia="zh-CN"/>
              </w:rPr>
              <w:t>本项目建成后全厂</w:t>
            </w:r>
            <w:r>
              <w:rPr>
                <w:rFonts w:hint="eastAsia" w:ascii="Times New Roman" w:hAnsi="Times New Roman" w:cs="Times New Roman"/>
                <w:color w:val="auto"/>
                <w:sz w:val="24"/>
                <w:szCs w:val="24"/>
                <w:lang w:val="en-US" w:eastAsia="zh-CN"/>
              </w:rPr>
              <w:t>废水进入污水处理站处理后满足</w:t>
            </w:r>
            <w:r>
              <w:rPr>
                <w:rFonts w:hint="default" w:ascii="Times New Roman" w:hAnsi="Times New Roman" w:cs="Times New Roman"/>
                <w:color w:val="auto"/>
                <w:sz w:val="24"/>
                <w:szCs w:val="24"/>
                <w:lang w:val="en-US" w:eastAsia="zh-CN"/>
              </w:rPr>
              <w:t>《城市污水再生利用 城市杂用水水质》（GB</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T 18920-2020）</w:t>
            </w:r>
            <w:r>
              <w:rPr>
                <w:rFonts w:hint="eastAsia" w:ascii="Times New Roman" w:hAnsi="Times New Roman" w:cs="Times New Roman"/>
                <w:color w:val="auto"/>
                <w:sz w:val="24"/>
                <w:szCs w:val="24"/>
                <w:lang w:val="en-US" w:eastAsia="zh-CN"/>
              </w:rPr>
              <w:t>表1城市绿化道路洒扫标准限值，可用于道路洒扫。</w:t>
            </w:r>
          </w:p>
          <w:p w14:paraId="690C43EB">
            <w:pPr>
              <w:adjustRightInd w:val="0"/>
              <w:snapToGrid w:val="0"/>
              <w:spacing w:line="360" w:lineRule="auto"/>
              <w:ind w:firstLine="482" w:firstLineChars="200"/>
              <w:outlineLvl w:val="9"/>
              <w:rPr>
                <w:rFonts w:hint="default" w:ascii="Times New Roman" w:hAnsi="Times New Roman" w:eastAsia="宋体" w:cs="Times New Roman"/>
                <w:color w:val="auto"/>
                <w:kern w:val="0"/>
                <w:sz w:val="24"/>
                <w:szCs w:val="24"/>
                <w:highlight w:val="none"/>
                <w:lang w:val="en-US" w:eastAsia="zh-CN" w:bidi="ar-SA"/>
              </w:rPr>
            </w:pPr>
            <w:r>
              <w:rPr>
                <w:rFonts w:hint="eastAsia"/>
                <w:b/>
                <w:color w:val="auto"/>
                <w:kern w:val="21"/>
                <w:sz w:val="24"/>
                <w:lang w:val="en-US" w:eastAsia="zh-CN"/>
              </w:rPr>
              <w:t>3、废水不外排可行性分析</w:t>
            </w:r>
          </w:p>
          <w:p w14:paraId="2CA3A8DF">
            <w:pPr>
              <w:spacing w:line="360" w:lineRule="auto"/>
              <w:ind w:firstLine="480" w:firstLineChars="200"/>
              <w:outlineLvl w:val="9"/>
              <w:rPr>
                <w:rFonts w:hint="default" w:ascii="Times New Roman" w:hAnsi="Times New Roman" w:cs="Times New Roman"/>
                <w:color w:val="auto"/>
                <w:sz w:val="24"/>
                <w:szCs w:val="24"/>
                <w:lang w:val="en-US" w:eastAsia="zh-CN"/>
              </w:rPr>
            </w:pPr>
            <w:r>
              <w:rPr>
                <w:rFonts w:hint="eastAsia" w:ascii="Times New Roman" w:hAnsi="Times New Roman" w:eastAsia="宋体" w:cs="Times New Roman"/>
                <w:color w:val="auto"/>
                <w:kern w:val="0"/>
                <w:sz w:val="24"/>
                <w:szCs w:val="24"/>
                <w:highlight w:val="none"/>
                <w:lang w:val="en-US" w:eastAsia="zh-CN" w:bidi="ar-SA"/>
              </w:rPr>
              <w:t>根据《辽宁省行业用水定额》（DB21/T 1237-2020）中</w:t>
            </w:r>
            <w:r>
              <w:rPr>
                <w:rFonts w:hint="eastAsia" w:ascii="Times New Roman" w:hAnsi="Times New Roman" w:cs="Times New Roman"/>
                <w:color w:val="auto"/>
                <w:sz w:val="24"/>
                <w:szCs w:val="24"/>
                <w:lang w:val="en-US" w:eastAsia="zh-CN"/>
              </w:rPr>
              <w:t>N7820环境卫生管理用水定额：道路场地浇洒通用值为1.4L/m</w:t>
            </w:r>
            <w:r>
              <w:rPr>
                <w:rFonts w:hint="eastAsia" w:ascii="Times New Roman" w:hAnsi="Times New Roman" w:cs="Times New Roman"/>
                <w:color w:val="auto"/>
                <w:sz w:val="24"/>
                <w:szCs w:val="24"/>
                <w:vertAlign w:val="superscript"/>
                <w:lang w:val="en-US" w:eastAsia="zh-CN"/>
              </w:rPr>
              <w:t>2</w:t>
            </w:r>
            <w:r>
              <w:rPr>
                <w:rFonts w:hint="eastAsia" w:ascii="宋体" w:hAnsi="宋体" w:eastAsia="宋体" w:cs="宋体"/>
                <w:color w:val="auto"/>
                <w:kern w:val="0"/>
                <w:sz w:val="24"/>
                <w:szCs w:val="24"/>
                <w:highlight w:val="none"/>
                <w:vertAlign w:val="baseline"/>
                <w:lang w:val="en-US" w:eastAsia="zh-CN" w:bidi="ar-SA"/>
              </w:rPr>
              <w:t>·</w:t>
            </w:r>
            <w:r>
              <w:rPr>
                <w:rFonts w:hint="eastAsia" w:ascii="Times New Roman" w:hAnsi="Times New Roman" w:cs="Times New Roman"/>
                <w:color w:val="auto"/>
                <w:sz w:val="24"/>
                <w:szCs w:val="24"/>
                <w:lang w:val="en-US" w:eastAsia="zh-CN"/>
              </w:rPr>
              <w:t>d，</w:t>
            </w:r>
            <w:r>
              <w:rPr>
                <w:rFonts w:hint="eastAsia" w:cs="Times New Roman"/>
                <w:color w:val="auto"/>
                <w:sz w:val="24"/>
                <w:szCs w:val="24"/>
                <w:lang w:val="en-US" w:eastAsia="zh-CN"/>
              </w:rPr>
              <w:t>根据设计文件</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本</w:t>
            </w:r>
            <w:r>
              <w:rPr>
                <w:rFonts w:hint="eastAsia" w:cs="Times New Roman"/>
                <w:color w:val="auto"/>
                <w:sz w:val="24"/>
                <w:szCs w:val="24"/>
                <w:highlight w:val="none"/>
                <w:lang w:val="en-US" w:eastAsia="zh-CN"/>
              </w:rPr>
              <w:t>次扩建项</w:t>
            </w:r>
            <w:r>
              <w:rPr>
                <w:rFonts w:hint="eastAsia" w:ascii="Times New Roman" w:hAnsi="Times New Roman" w:cs="Times New Roman"/>
                <w:color w:val="auto"/>
                <w:sz w:val="24"/>
                <w:szCs w:val="24"/>
                <w:highlight w:val="none"/>
                <w:lang w:val="en-US" w:eastAsia="zh-CN"/>
              </w:rPr>
              <w:t>目道路洒扫面积</w:t>
            </w:r>
            <w:r>
              <w:rPr>
                <w:rFonts w:hint="eastAsia" w:cs="Times New Roman"/>
                <w:color w:val="auto"/>
                <w:sz w:val="24"/>
                <w:szCs w:val="24"/>
                <w:highlight w:val="none"/>
                <w:lang w:val="en-US" w:eastAsia="zh-CN"/>
              </w:rPr>
              <w:t>新增7830</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，则</w:t>
            </w:r>
            <w:r>
              <w:rPr>
                <w:rFonts w:hint="eastAsia" w:cs="Times New Roman"/>
                <w:color w:val="auto"/>
                <w:sz w:val="24"/>
                <w:szCs w:val="24"/>
                <w:highlight w:val="none"/>
                <w:lang w:val="en-US" w:eastAsia="zh-CN"/>
              </w:rPr>
              <w:t>新增</w:t>
            </w:r>
            <w:r>
              <w:rPr>
                <w:rFonts w:hint="eastAsia" w:ascii="Times New Roman" w:hAnsi="Times New Roman" w:cs="Times New Roman"/>
                <w:color w:val="auto"/>
                <w:sz w:val="24"/>
                <w:szCs w:val="24"/>
                <w:highlight w:val="none"/>
                <w:lang w:val="en-US" w:eastAsia="zh-CN"/>
              </w:rPr>
              <w:t>道路洒扫用水量以8个月计为</w:t>
            </w:r>
            <w:r>
              <w:rPr>
                <w:rFonts w:hint="eastAsia" w:cs="Times New Roman"/>
                <w:color w:val="auto"/>
                <w:sz w:val="24"/>
                <w:szCs w:val="24"/>
                <w:highlight w:val="none"/>
                <w:lang w:val="en-US" w:eastAsia="zh-CN"/>
              </w:rPr>
              <w:t>2630.88</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/a，大于本项目废水产生量</w:t>
            </w:r>
            <w:r>
              <w:rPr>
                <w:rFonts w:hint="eastAsia" w:cs="Times New Roman"/>
                <w:color w:val="auto"/>
                <w:sz w:val="24"/>
                <w:szCs w:val="24"/>
                <w:highlight w:val="none"/>
                <w:lang w:val="en-US" w:eastAsia="zh-CN"/>
              </w:rPr>
              <w:t>229.82</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/a，同时</w:t>
            </w:r>
            <w:r>
              <w:rPr>
                <w:rFonts w:hint="eastAsia" w:cs="Times New Roman"/>
                <w:color w:val="auto"/>
                <w:sz w:val="24"/>
                <w:szCs w:val="24"/>
                <w:highlight w:val="none"/>
                <w:lang w:val="en-US" w:eastAsia="zh-CN"/>
              </w:rPr>
              <w:t>项目建成后全厂洒扫用水量为7942.56</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也大于</w:t>
            </w:r>
            <w:r>
              <w:rPr>
                <w:rFonts w:hint="eastAsia" w:cs="Times New Roman"/>
                <w:color w:val="auto"/>
                <w:sz w:val="24"/>
                <w:szCs w:val="24"/>
                <w:highlight w:val="none"/>
                <w:lang w:val="en-US" w:eastAsia="zh-CN"/>
              </w:rPr>
              <w:t>本项目建成后</w:t>
            </w:r>
            <w:r>
              <w:rPr>
                <w:rFonts w:hint="eastAsia" w:ascii="Times New Roman" w:hAnsi="Times New Roman" w:cs="Times New Roman"/>
                <w:color w:val="auto"/>
                <w:sz w:val="24"/>
                <w:szCs w:val="24"/>
                <w:highlight w:val="none"/>
                <w:lang w:val="en-US" w:eastAsia="zh-CN"/>
              </w:rPr>
              <w:t>辽宁红山污水处理站废水排放量</w:t>
            </w:r>
            <w:r>
              <w:rPr>
                <w:rFonts w:hint="eastAsia" w:cs="Times New Roman"/>
                <w:color w:val="auto"/>
                <w:sz w:val="24"/>
                <w:szCs w:val="24"/>
                <w:highlight w:val="none"/>
                <w:lang w:val="en-US" w:eastAsia="zh-CN"/>
              </w:rPr>
              <w:t>5273.87</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/a。因此，废水综</w:t>
            </w:r>
            <w:r>
              <w:rPr>
                <w:rFonts w:hint="eastAsia" w:ascii="Times New Roman" w:hAnsi="Times New Roman" w:cs="Times New Roman"/>
                <w:color w:val="auto"/>
                <w:sz w:val="24"/>
                <w:szCs w:val="24"/>
                <w:lang w:val="en-US" w:eastAsia="zh-CN"/>
              </w:rPr>
              <w:t>合利用方案可行。</w:t>
            </w:r>
          </w:p>
          <w:p w14:paraId="1A4D6C7C">
            <w:pPr>
              <w:spacing w:line="360" w:lineRule="auto"/>
              <w:ind w:firstLine="480" w:firstLineChars="200"/>
              <w:outlineLvl w:val="9"/>
              <w:rPr>
                <w:rFonts w:hint="eastAsia" w:cs="Times New Roman"/>
                <w:color w:val="auto"/>
                <w:sz w:val="24"/>
                <w:szCs w:val="24"/>
                <w:highlight w:val="none"/>
                <w:lang w:val="en-US" w:eastAsia="zh-CN"/>
              </w:rPr>
            </w:pPr>
            <w:r>
              <w:rPr>
                <w:rFonts w:hint="eastAsia" w:ascii="Times New Roman" w:hAnsi="Times New Roman" w:cs="Times New Roman"/>
                <w:color w:val="auto"/>
                <w:sz w:val="24"/>
                <w:szCs w:val="24"/>
                <w:lang w:val="en-US" w:eastAsia="zh-CN"/>
              </w:rPr>
              <w:t>综上，本项目生产生活废</w:t>
            </w:r>
            <w:r>
              <w:rPr>
                <w:rFonts w:hint="eastAsia" w:ascii="Times New Roman" w:hAnsi="Times New Roman" w:cs="Times New Roman"/>
                <w:color w:val="auto"/>
                <w:sz w:val="24"/>
                <w:szCs w:val="24"/>
                <w:highlight w:val="none"/>
                <w:lang w:val="en-US" w:eastAsia="zh-CN"/>
              </w:rPr>
              <w:t>水处理达标后可全部回用，不外排，对地表水环境影响较小</w:t>
            </w:r>
            <w:r>
              <w:rPr>
                <w:rFonts w:hint="eastAsia" w:cs="Times New Roman"/>
                <w:color w:val="auto"/>
                <w:sz w:val="24"/>
                <w:szCs w:val="24"/>
                <w:highlight w:val="none"/>
                <w:lang w:val="en-US" w:eastAsia="zh-CN"/>
              </w:rPr>
              <w:t>。</w:t>
            </w:r>
          </w:p>
          <w:p w14:paraId="0076EFB5">
            <w:pPr>
              <w:adjustRightInd w:val="0"/>
              <w:snapToGrid w:val="0"/>
              <w:spacing w:line="360" w:lineRule="auto"/>
              <w:ind w:firstLine="482" w:firstLineChars="200"/>
              <w:outlineLvl w:val="9"/>
              <w:rPr>
                <w:rFonts w:hint="eastAsia"/>
                <w:b/>
                <w:color w:val="auto"/>
                <w:kern w:val="21"/>
                <w:sz w:val="24"/>
                <w:lang w:val="en-US" w:eastAsia="zh-CN"/>
              </w:rPr>
            </w:pPr>
            <w:r>
              <w:rPr>
                <w:rFonts w:hint="eastAsia"/>
                <w:b/>
                <w:color w:val="auto"/>
                <w:kern w:val="21"/>
                <w:sz w:val="24"/>
                <w:lang w:val="en-US" w:eastAsia="zh-CN"/>
              </w:rPr>
              <w:t>4、废水冬季不外排可行性分析</w:t>
            </w:r>
          </w:p>
          <w:p w14:paraId="2E43CA5D">
            <w:pPr>
              <w:widowControl w:val="0"/>
              <w:numPr>
                <w:ilvl w:val="0"/>
                <w:numId w:val="0"/>
              </w:numPr>
              <w:spacing w:line="360" w:lineRule="auto"/>
              <w:ind w:firstLine="480" w:firstLineChars="200"/>
              <w:jc w:val="both"/>
              <w:outlineLvl w:val="9"/>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本项目建成后，</w:t>
            </w:r>
            <w:r>
              <w:rPr>
                <w:rFonts w:hint="eastAsia" w:ascii="Times New Roman" w:hAnsi="Times New Roman" w:cs="Times New Roman"/>
                <w:color w:val="auto"/>
                <w:sz w:val="24"/>
                <w:szCs w:val="24"/>
                <w:highlight w:val="none"/>
                <w:lang w:val="en-US" w:eastAsia="zh-CN"/>
              </w:rPr>
              <w:t>辽宁红山污水处理站废水排放量</w:t>
            </w:r>
            <w:r>
              <w:rPr>
                <w:rFonts w:hint="eastAsia" w:cs="Times New Roman"/>
                <w:color w:val="auto"/>
                <w:sz w:val="24"/>
                <w:szCs w:val="24"/>
                <w:highlight w:val="none"/>
                <w:lang w:val="en-US" w:eastAsia="zh-CN"/>
              </w:rPr>
              <w:t>为5273.87</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highlight w:val="none"/>
                <w:lang w:val="en-US" w:eastAsia="zh-CN"/>
              </w:rPr>
              <w:t>，</w:t>
            </w:r>
            <w:r>
              <w:rPr>
                <w:rFonts w:hint="eastAsia" w:cs="Times New Roman"/>
                <w:color w:val="auto"/>
                <w:sz w:val="24"/>
                <w:szCs w:val="24"/>
                <w:lang w:val="en-US" w:eastAsia="zh-CN"/>
              </w:rPr>
              <w:t>项目年运行250天，冬季按4个月计为83天，冬季废水排放量为1750.92</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highlight w:val="none"/>
                <w:lang w:val="en-US" w:eastAsia="zh-CN"/>
              </w:rPr>
              <w:t>，储存于2个蓄水池和1个库区雨水收集池中，</w:t>
            </w:r>
            <w:r>
              <w:rPr>
                <w:rFonts w:hint="eastAsia" w:cs="Times New Roman"/>
                <w:color w:val="auto"/>
                <w:sz w:val="24"/>
                <w:szCs w:val="24"/>
                <w:lang w:val="en-US" w:eastAsia="zh-CN"/>
              </w:rPr>
              <w:t>容积分别为200m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、400m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和1200m</w:t>
            </w:r>
            <w:r>
              <w:rPr>
                <w:rFonts w:hint="eastAsia" w:cs="Times New Roman"/>
                <w:color w:val="auto"/>
                <w:sz w:val="24"/>
                <w:szCs w:val="24"/>
                <w:vertAlign w:val="superscript"/>
                <w:lang w:val="en-US" w:eastAsia="zh-CN"/>
              </w:rPr>
              <w:t>3</w:t>
            </w:r>
            <w:r>
              <w:rPr>
                <w:rFonts w:hint="eastAsia" w:cs="Times New Roman"/>
                <w:color w:val="auto"/>
                <w:sz w:val="24"/>
                <w:szCs w:val="24"/>
                <w:vertAlign w:val="baseline"/>
                <w:lang w:val="en-US" w:eastAsia="zh-CN"/>
              </w:rPr>
              <w:t>，总容积为1800</w:t>
            </w:r>
            <w:r>
              <w:rPr>
                <w:rFonts w:hint="eastAsia" w:cs="Times New Roman"/>
                <w:color w:val="auto"/>
                <w:sz w:val="24"/>
                <w:szCs w:val="24"/>
                <w:lang w:val="en-US" w:eastAsia="zh-CN"/>
              </w:rPr>
              <w:t>m</w:t>
            </w:r>
            <w:r>
              <w:rPr>
                <w:rFonts w:hint="eastAsia" w:cs="Times New Roman"/>
                <w:color w:val="auto"/>
                <w:sz w:val="24"/>
                <w:szCs w:val="24"/>
                <w:vertAlign w:val="superscript"/>
                <w:lang w:val="en-US" w:eastAsia="zh-CN"/>
              </w:rPr>
              <w:t>3</w:t>
            </w:r>
            <w:r>
              <w:rPr>
                <w:rFonts w:hint="eastAsia" w:cs="Times New Roman"/>
                <w:color w:val="auto"/>
                <w:sz w:val="24"/>
                <w:szCs w:val="24"/>
                <w:vertAlign w:val="baseline"/>
                <w:lang w:val="en-US" w:eastAsia="zh-CN"/>
              </w:rPr>
              <w:t>，大于冬季废水排放量175</w:t>
            </w:r>
            <w:r>
              <w:rPr>
                <w:rFonts w:hint="eastAsia" w:cs="Times New Roman"/>
                <w:color w:val="auto"/>
                <w:sz w:val="24"/>
                <w:szCs w:val="24"/>
                <w:lang w:val="en-US" w:eastAsia="zh-CN"/>
              </w:rPr>
              <w:t>0.92</w:t>
            </w:r>
            <w:r>
              <w:rPr>
                <w:rFonts w:hint="eastAsia" w:ascii="Times New Roman" w:hAnsi="Times New Roman" w:cs="Times New Roman"/>
                <w:color w:val="auto"/>
                <w:sz w:val="24"/>
                <w:szCs w:val="24"/>
                <w:highlight w:val="none"/>
                <w:lang w:val="en-US" w:eastAsia="zh-CN"/>
              </w:rPr>
              <w:t>m</w:t>
            </w:r>
            <w:r>
              <w:rPr>
                <w:rFonts w:hint="eastAsia" w:ascii="Times New Roman" w:hAnsi="Times New Roman"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/a</w:t>
            </w:r>
            <w:r>
              <w:rPr>
                <w:rFonts w:hint="eastAsia" w:cs="Times New Roman"/>
                <w:color w:val="auto"/>
                <w:sz w:val="24"/>
                <w:szCs w:val="24"/>
                <w:highlight w:val="none"/>
                <w:lang w:val="en-US" w:eastAsia="zh-CN"/>
              </w:rPr>
              <w:t>，故废水冬季不外排可行。</w:t>
            </w:r>
          </w:p>
          <w:p w14:paraId="124FDD76">
            <w:pPr>
              <w:adjustRightInd w:val="0"/>
              <w:snapToGrid w:val="0"/>
              <w:spacing w:line="360" w:lineRule="auto"/>
              <w:ind w:firstLine="482" w:firstLineChars="200"/>
              <w:outlineLvl w:val="9"/>
              <w:rPr>
                <w:b/>
                <w:color w:val="auto"/>
                <w:kern w:val="21"/>
                <w:sz w:val="24"/>
              </w:rPr>
            </w:pPr>
            <w:r>
              <w:rPr>
                <w:rFonts w:hint="eastAsia"/>
                <w:b/>
                <w:color w:val="auto"/>
                <w:kern w:val="21"/>
                <w:sz w:val="24"/>
                <w:lang w:val="en-US" w:eastAsia="zh-CN"/>
              </w:rPr>
              <w:t>5、</w:t>
            </w:r>
            <w:r>
              <w:rPr>
                <w:b/>
                <w:color w:val="auto"/>
                <w:kern w:val="21"/>
                <w:sz w:val="24"/>
              </w:rPr>
              <w:t>废水处理措施可行性分析</w:t>
            </w:r>
          </w:p>
          <w:p w14:paraId="7F76F174">
            <w:pPr>
              <w:pStyle w:val="41"/>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本项目营运期不新增生活污水</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冷却水循环使用不外排，水相制备用水全部进入产品或蒸发，不外排。</w:t>
            </w:r>
            <w:r>
              <w:rPr>
                <w:rFonts w:hint="eastAsia" w:ascii="Times New Roman" w:hAnsi="Times New Roman" w:eastAsia="宋体" w:cs="Times New Roman"/>
                <w:color w:val="auto"/>
                <w:lang w:val="en-US" w:eastAsia="zh-CN"/>
              </w:rPr>
              <w:t>生产废水主要为车间地面清洗废水、过滤器冲洗废水</w:t>
            </w:r>
            <w:r>
              <w:rPr>
                <w:rFonts w:hint="default" w:ascii="Times New Roman" w:hAnsi="Times New Roman" w:eastAsia="宋体" w:cs="Times New Roman"/>
                <w:color w:val="auto"/>
                <w:lang w:val="en-US" w:eastAsia="zh-CN"/>
              </w:rPr>
              <w:t>经隔油沉淀池预处理后排入辽宁红山污水处理站处理达标后用于</w:t>
            </w:r>
            <w:r>
              <w:rPr>
                <w:rFonts w:hint="eastAsia" w:ascii="Times New Roman" w:hAnsi="Times New Roman" w:eastAsia="宋体" w:cs="Times New Roman"/>
                <w:color w:val="auto"/>
                <w:lang w:val="en-US" w:eastAsia="zh-CN"/>
              </w:rPr>
              <w:t>厂区</w:t>
            </w:r>
            <w:r>
              <w:rPr>
                <w:rFonts w:hint="default" w:ascii="Times New Roman" w:hAnsi="Times New Roman" w:eastAsia="宋体" w:cs="Times New Roman"/>
                <w:color w:val="auto"/>
                <w:lang w:val="en-US" w:eastAsia="zh-CN"/>
              </w:rPr>
              <w:t>道路洒扫。</w:t>
            </w:r>
          </w:p>
          <w:p w14:paraId="3C8157DF">
            <w:pPr>
              <w:pStyle w:val="41"/>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因此本项目无废水外排，对环境影响较小。</w:t>
            </w:r>
          </w:p>
          <w:p w14:paraId="02F98CDF">
            <w:pPr>
              <w:pStyle w:val="41"/>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（1）隔油沉淀池</w:t>
            </w:r>
          </w:p>
          <w:p w14:paraId="0C29035B">
            <w:pPr>
              <w:pStyle w:val="41"/>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outlineLvl w:val="9"/>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ascii="Times New Roman" w:hAnsi="Times New Roman" w:eastAsia="宋体" w:cs="Times New Roman"/>
                <w:color w:val="auto"/>
                <w:lang w:val="en-US" w:eastAsia="zh-CN"/>
              </w:rPr>
              <w:t>新建</w:t>
            </w:r>
            <w:r>
              <w:rPr>
                <w:rFonts w:hint="default" w:ascii="Times New Roman" w:hAnsi="Times New Roman" w:eastAsia="宋体" w:cs="Times New Roman"/>
                <w:color w:val="auto"/>
                <w:lang w:val="en-US" w:eastAsia="zh-CN"/>
              </w:rPr>
              <w:t>2个隔油沉淀池，容积均为</w:t>
            </w:r>
            <w:r>
              <w:rPr>
                <w:rFonts w:hint="eastAsia" w:ascii="Times New Roman" w:hAnsi="Times New Roman" w:eastAsia="宋体" w:cs="Times New Roman"/>
                <w:color w:val="auto"/>
                <w:lang w:val="en-US" w:eastAsia="zh-CN"/>
              </w:rPr>
              <w:t>10.8</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隔油池工作原理是利用油和水的密度不同，含油废水进入池体内，经过阻流板降低流速，油脂得以慢慢上浮到水表面，以达到油水分离的目的，同时密度较大的杂质下沉分离的含油废水处理构筑物。水力停留时间一般为60min。本项目</w:t>
            </w:r>
            <w:r>
              <w:rPr>
                <w:rFonts w:hint="eastAsia" w:ascii="Times New Roman" w:hAnsi="Times New Roman" w:eastAsia="宋体" w:cs="Times New Roman"/>
                <w:color w:val="auto"/>
                <w:lang w:val="en-US" w:eastAsia="zh-CN"/>
              </w:rPr>
              <w:t>车间地面清洗废水、过滤器冲洗废水产生量为</w:t>
            </w:r>
            <w:r>
              <w:rPr>
                <w:rFonts w:hint="default" w:ascii="Times New Roman" w:hAnsi="Times New Roman" w:cs="Times New Roman"/>
                <w:color w:val="auto"/>
                <w:sz w:val="24"/>
                <w:szCs w:val="24"/>
                <w:lang w:val="en-US" w:eastAsia="zh-CN"/>
              </w:rPr>
              <w:t>1066.65</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/a，0.57m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/h，故隔油沉淀池处理能力满足废水处理要求。</w:t>
            </w:r>
          </w:p>
          <w:p w14:paraId="42E47E09">
            <w:pPr>
              <w:pStyle w:val="41"/>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outlineLvl w:val="9"/>
              <w:rPr>
                <w:rFonts w:hint="default"/>
                <w:b/>
                <w:color w:val="auto"/>
                <w:kern w:val="21"/>
                <w:sz w:val="24"/>
                <w:lang w:val="en-US" w:eastAsia="zh-CN"/>
              </w:rPr>
            </w:pPr>
            <w:r>
              <w:rPr>
                <w:rFonts w:hint="eastAsia" w:ascii="Times New Roman" w:hAnsi="Times New Roman" w:eastAsia="宋体" w:cs="Times New Roman"/>
                <w:color w:val="auto"/>
                <w:lang w:val="en-US" w:eastAsia="zh-CN"/>
              </w:rPr>
              <w:t>（2）辽宁红山污水处理站依托可行性</w:t>
            </w:r>
          </w:p>
          <w:p w14:paraId="4835EE2D">
            <w:pPr>
              <w:pStyle w:val="41"/>
              <w:spacing w:after="0" w:line="360" w:lineRule="auto"/>
              <w:ind w:left="0" w:leftChars="0" w:firstLine="560" w:firstLineChars="0"/>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辽宁红山现有地埋式一体化污水处理设备（A/O法），设计处理能力为1.5t/h</w:t>
            </w:r>
            <w:r>
              <w:rPr>
                <w:rFonts w:hint="eastAsia" w:ascii="Times New Roman" w:hAnsi="Times New Roman" w:eastAsia="宋体" w:cs="Times New Roman"/>
                <w:color w:val="auto"/>
                <w:sz w:val="24"/>
                <w:szCs w:val="24"/>
                <w:lang w:val="en-US" w:eastAsia="zh-CN"/>
              </w:rPr>
              <w:t>，运行时间为24h/d</w:t>
            </w:r>
            <w:r>
              <w:rPr>
                <w:rFonts w:hint="default" w:ascii="Times New Roman" w:hAnsi="Times New Roman" w:eastAsia="宋体" w:cs="Times New Roman"/>
                <w:color w:val="auto"/>
                <w:sz w:val="24"/>
                <w:szCs w:val="24"/>
                <w:lang w:val="en-US" w:eastAsia="zh-CN"/>
              </w:rPr>
              <w:t>。</w:t>
            </w:r>
          </w:p>
          <w:p w14:paraId="32CE6ABE">
            <w:pPr>
              <w:pStyle w:val="41"/>
              <w:spacing w:after="0" w:line="360" w:lineRule="auto"/>
              <w:ind w:left="0" w:leftChars="0" w:firstLine="560" w:firstLineChars="0"/>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污水经格栅去除大颗粒状和纤维状杂质后流入调节池，调节池内设置预曝气，充氧搅拌，使污水充分地均质均量，并有效地降解有机物和防止淤泥沉积。然后由泵将其提升入污水处理系统。该系统由缺氧池、好氧池、沉淀池、消毒池、污泥池等组成。污水首先进入厌氧池与回流污泥混合，在兼性厌氧发酵菌的作用下部分易生物降解大分子有机物被转化为小分子的挥发性脂肪酸（VFA），聚磷菌吸收这些小分子有机物合成PHB 并储存在细胞内，同时将细胞内的聚磷水解成正磷酸，释放的能量可供专性好氧的聚磷菌在厌氧的压抑环境下维持生存，随后污水进入缺氧池，反硝化菌利用污水中的有机物和回流混合液中的硝酸盐进行反硝化，可同时去碳脱氮，当污水进入好氧池时，有机物浓度已很低，聚磷菌主要是靠分解体内储存的 PHB 来获得能量供自身生长繁殖，同时超量吸收水中的溶解性磷以聚磷酸盐的形式储存在体内，经过沉淀，将含磷高的污泥从水中分离出来，达到除磷的效果。由于好氧池中</w:t>
            </w:r>
            <w:r>
              <w:rPr>
                <w:rFonts w:hint="eastAsia" w:ascii="Times New Roman" w:hAnsi="Times New Roman" w:eastAsia="宋体" w:cs="Times New Roman"/>
                <w:color w:val="auto"/>
                <w:sz w:val="24"/>
                <w:szCs w:val="24"/>
                <w:lang w:val="en-US" w:eastAsia="zh-CN"/>
              </w:rPr>
              <w:t>的有</w:t>
            </w:r>
            <w:r>
              <w:rPr>
                <w:rFonts w:hint="default" w:ascii="Times New Roman" w:hAnsi="Times New Roman" w:eastAsia="宋体" w:cs="Times New Roman"/>
                <w:color w:val="auto"/>
                <w:sz w:val="24"/>
                <w:szCs w:val="24"/>
                <w:lang w:val="en-US" w:eastAsia="zh-CN"/>
              </w:rPr>
              <w:t>机物浓度很低，十分有利于自养型硝化细菌的生长繁殖。厌氧池内设机械搅拌器，防止污泥沉淀，缺氧池内设空气搅拌，控制 DO≤0.5 ㎎/L，经缺氧后的污水流入好氧池。好氧池是一种以生物膜法为主，兼有活性污泥法的生物处理装置，通过回转式鼓风机提供氧源，在该装置中的有机物被</w:t>
            </w:r>
            <w:r>
              <w:rPr>
                <w:rFonts w:hint="eastAsia" w:ascii="Times New Roman" w:hAnsi="Times New Roman" w:eastAsia="宋体" w:cs="Times New Roman"/>
                <w:color w:val="auto"/>
                <w:sz w:val="24"/>
                <w:szCs w:val="24"/>
                <w:lang w:val="en-US" w:eastAsia="zh-CN"/>
              </w:rPr>
              <w:t>微生物</w:t>
            </w:r>
            <w:r>
              <w:rPr>
                <w:rFonts w:hint="default" w:ascii="Times New Roman" w:hAnsi="Times New Roman" w:eastAsia="宋体" w:cs="Times New Roman"/>
                <w:color w:val="auto"/>
                <w:sz w:val="24"/>
                <w:szCs w:val="24"/>
                <w:lang w:val="en-US" w:eastAsia="zh-CN"/>
              </w:rPr>
              <w:t>吸附、降解，使水质得到净化。好氧池采用聚乙烯弹性填料，该填料比表面积大，不易使生物膜结成球团。好氧池的布气采用膜片式微孔布气管布气，该装置具有气泡细、氧利用率高、不堵塞、不易破裂、布气均匀等特点。接触氧化处理后的混合液回流缺氧池进一步脱氮，在缺氧菌作用下，使污水中的硝酸盐和亚硝酸盐还原成N</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↑和H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O。污水经往复循环后流入沉淀池，固液分离后，上清液流入消毒池，消毒后的水外排。沉淀池的污泥经气提至污泥池好氧消化，稳定处理，好氧消化后的污泥量很少，可定期外运用于堆肥。</w:t>
            </w:r>
          </w:p>
          <w:p w14:paraId="45070526">
            <w:pPr>
              <w:pStyle w:val="22"/>
              <w:jc w:val="center"/>
              <w:outlineLvl w:val="9"/>
              <w:rPr>
                <w:rFonts w:hint="default" w:ascii="Times New Roman" w:hAnsi="Times New Roman" w:cs="Times New Roman" w:eastAsiaTheme="minorEastAsia"/>
                <w:b/>
                <w:bCs w:val="0"/>
                <w:color w:val="auto"/>
                <w:sz w:val="24"/>
                <w:szCs w:val="24"/>
                <w:lang w:val="en-US" w:eastAsia="zh-CN"/>
              </w:rPr>
            </w:pPr>
            <w:r>
              <w:rPr>
                <w:color w:val="auto"/>
              </w:rPr>
              <w:drawing>
                <wp:inline distT="0" distB="0" distL="114300" distR="114300">
                  <wp:extent cx="5158740" cy="1939290"/>
                  <wp:effectExtent l="0" t="0" r="3810" b="3810"/>
                  <wp:docPr id="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
                          <pic:cNvPicPr>
                            <a:picLocks noChangeAspect="1"/>
                          </pic:cNvPicPr>
                        </pic:nvPicPr>
                        <pic:blipFill>
                          <a:blip r:embed="rId39"/>
                          <a:stretch>
                            <a:fillRect/>
                          </a:stretch>
                        </pic:blipFill>
                        <pic:spPr>
                          <a:xfrm>
                            <a:off x="0" y="0"/>
                            <a:ext cx="5158740" cy="1939290"/>
                          </a:xfrm>
                          <a:prstGeom prst="rect">
                            <a:avLst/>
                          </a:prstGeom>
                          <a:noFill/>
                          <a:ln>
                            <a:noFill/>
                          </a:ln>
                        </pic:spPr>
                      </pic:pic>
                    </a:graphicData>
                  </a:graphic>
                </wp:inline>
              </w:drawing>
            </w:r>
          </w:p>
          <w:p w14:paraId="0F14C7C3">
            <w:pPr>
              <w:pStyle w:val="22"/>
              <w:jc w:val="center"/>
              <w:outlineLvl w:val="9"/>
              <w:rPr>
                <w:rFonts w:hint="default" w:ascii="Times New Roman" w:hAnsi="Times New Roman" w:cs="Times New Roman" w:eastAsiaTheme="minorEastAsia"/>
                <w:b/>
                <w:bCs w:val="0"/>
                <w:color w:val="auto"/>
                <w:sz w:val="24"/>
                <w:szCs w:val="24"/>
                <w:lang w:val="en-US" w:eastAsia="zh-CN"/>
              </w:rPr>
            </w:pPr>
            <w:r>
              <w:rPr>
                <w:rFonts w:hint="default" w:ascii="Times New Roman" w:hAnsi="Times New Roman" w:cs="Times New Roman" w:eastAsiaTheme="minorEastAsia"/>
                <w:b/>
                <w:bCs w:val="0"/>
                <w:color w:val="auto"/>
                <w:sz w:val="24"/>
                <w:szCs w:val="24"/>
                <w:lang w:val="en-US" w:eastAsia="zh-CN"/>
              </w:rPr>
              <w:t>图</w:t>
            </w:r>
            <w:r>
              <w:rPr>
                <w:rFonts w:hint="eastAsia" w:ascii="Times New Roman" w:hAnsi="Times New Roman" w:cs="Times New Roman" w:eastAsiaTheme="minorEastAsia"/>
                <w:b/>
                <w:bCs w:val="0"/>
                <w:color w:val="auto"/>
                <w:sz w:val="24"/>
                <w:szCs w:val="24"/>
                <w:lang w:val="en-US" w:eastAsia="zh-CN"/>
              </w:rPr>
              <w:t>4</w:t>
            </w:r>
            <w:r>
              <w:rPr>
                <w:rFonts w:hint="default" w:ascii="Times New Roman" w:hAnsi="Times New Roman" w:cs="Times New Roman" w:eastAsiaTheme="minorEastAsia"/>
                <w:b/>
                <w:bCs w:val="0"/>
                <w:color w:val="auto"/>
                <w:sz w:val="24"/>
                <w:szCs w:val="24"/>
                <w:lang w:val="en-US" w:eastAsia="zh-CN"/>
              </w:rPr>
              <w:t>-1  A/O法工艺流程</w:t>
            </w:r>
          </w:p>
          <w:p w14:paraId="0BFD6187">
            <w:pPr>
              <w:pStyle w:val="22"/>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baseline"/>
              <w:outlineLvl w:val="9"/>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本项目实</w:t>
            </w:r>
            <w:r>
              <w:rPr>
                <w:rFonts w:hint="default" w:ascii="Times New Roman" w:hAnsi="Times New Roman" w:eastAsia="宋体" w:cs="Times New Roman"/>
                <w:color w:val="auto"/>
                <w:kern w:val="0"/>
                <w:sz w:val="24"/>
                <w:szCs w:val="24"/>
                <w:highlight w:val="none"/>
                <w:lang w:val="en-US" w:eastAsia="zh-CN" w:bidi="ar-SA"/>
              </w:rPr>
              <w:t>施后</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辽宁红山污水处理站接纳污水</w:t>
            </w:r>
            <w:r>
              <w:rPr>
                <w:rFonts w:hint="eastAsia" w:ascii="Times New Roman" w:hAnsi="Times New Roman" w:eastAsia="宋体" w:cs="Times New Roman"/>
                <w:color w:val="auto"/>
                <w:kern w:val="0"/>
                <w:sz w:val="24"/>
                <w:szCs w:val="24"/>
                <w:highlight w:val="none"/>
                <w:lang w:val="en-US" w:eastAsia="zh-CN" w:bidi="ar-SA"/>
              </w:rPr>
              <w:t>最大</w:t>
            </w:r>
            <w:r>
              <w:rPr>
                <w:rFonts w:hint="default" w:ascii="Times New Roman" w:hAnsi="Times New Roman" w:eastAsia="宋体" w:cs="Times New Roman"/>
                <w:color w:val="auto"/>
                <w:kern w:val="0"/>
                <w:sz w:val="24"/>
                <w:szCs w:val="24"/>
                <w:highlight w:val="none"/>
                <w:lang w:val="en-US" w:eastAsia="zh-CN" w:bidi="ar-SA"/>
              </w:rPr>
              <w:t>负荷约为</w:t>
            </w:r>
            <w:r>
              <w:rPr>
                <w:rFonts w:hint="eastAsia" w:ascii="Times New Roman" w:hAnsi="Times New Roman" w:eastAsia="宋体" w:cs="Times New Roman"/>
                <w:color w:val="auto"/>
                <w:kern w:val="0"/>
                <w:sz w:val="24"/>
                <w:szCs w:val="24"/>
                <w:highlight w:val="none"/>
                <w:lang w:val="en-US" w:eastAsia="zh-CN" w:bidi="ar-SA"/>
              </w:rPr>
              <w:t>21.10t</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d(0.88t/h）</w:t>
            </w:r>
            <w:r>
              <w:rPr>
                <w:rFonts w:hint="default" w:ascii="Times New Roman" w:hAnsi="Times New Roman" w:eastAsia="宋体" w:cs="Times New Roman"/>
                <w:color w:val="auto"/>
                <w:kern w:val="0"/>
                <w:sz w:val="24"/>
                <w:szCs w:val="24"/>
                <w:highlight w:val="none"/>
                <w:lang w:val="en-US" w:eastAsia="zh-CN" w:bidi="ar-SA"/>
              </w:rPr>
              <w:t>，未超过设计处理能力</w:t>
            </w:r>
            <w:r>
              <w:rPr>
                <w:rFonts w:hint="eastAsia" w:ascii="Times New Roman" w:hAnsi="Times New Roman" w:eastAsia="宋体" w:cs="Times New Roman"/>
                <w:color w:val="auto"/>
                <w:kern w:val="0"/>
                <w:sz w:val="24"/>
                <w:szCs w:val="24"/>
                <w:highlight w:val="none"/>
                <w:lang w:val="en-US" w:eastAsia="zh-CN" w:bidi="ar-SA"/>
              </w:rPr>
              <w:t>36t/d（1.5t/h）。根据工程分析，本项目废水处理后可满足</w:t>
            </w:r>
            <w:r>
              <w:rPr>
                <w:rFonts w:hint="default" w:ascii="Times New Roman" w:hAnsi="Times New Roman" w:eastAsia="宋体" w:cs="Times New Roman"/>
                <w:color w:val="auto"/>
                <w:kern w:val="0"/>
                <w:sz w:val="24"/>
                <w:szCs w:val="24"/>
                <w:highlight w:val="none"/>
                <w:lang w:val="en-US" w:eastAsia="zh-CN" w:bidi="ar-SA"/>
              </w:rPr>
              <w:t>《城市污水再生利用 城市杂用水水质》（GB</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T 18920-2020）</w:t>
            </w:r>
            <w:r>
              <w:rPr>
                <w:rFonts w:hint="eastAsia" w:ascii="Times New Roman" w:hAnsi="Times New Roman" w:eastAsia="宋体" w:cs="Times New Roman"/>
                <w:color w:val="auto"/>
                <w:kern w:val="0"/>
                <w:sz w:val="24"/>
                <w:szCs w:val="24"/>
                <w:highlight w:val="none"/>
                <w:lang w:val="en-US" w:eastAsia="zh-CN" w:bidi="ar-SA"/>
              </w:rPr>
              <w:t>表1城市绿化道路洒扫标准限值。</w:t>
            </w:r>
            <w:r>
              <w:rPr>
                <w:rFonts w:hint="default" w:ascii="Times New Roman" w:hAnsi="Times New Roman" w:eastAsia="宋体" w:cs="Times New Roman"/>
                <w:color w:val="auto"/>
                <w:kern w:val="0"/>
                <w:sz w:val="24"/>
                <w:szCs w:val="24"/>
                <w:highlight w:val="none"/>
                <w:lang w:val="en-US" w:eastAsia="zh-CN" w:bidi="ar-SA"/>
              </w:rPr>
              <w:t>因此从水质水量角度分析依托可行。</w:t>
            </w:r>
          </w:p>
          <w:p w14:paraId="2EF72722">
            <w:pPr>
              <w:pStyle w:val="22"/>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baseline"/>
              <w:outlineLvl w:val="9"/>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综上，本项目废水治理措施合理可行。</w:t>
            </w:r>
          </w:p>
          <w:p w14:paraId="7B59E5CE">
            <w:pPr>
              <w:adjustRightInd w:val="0"/>
              <w:snapToGrid w:val="0"/>
              <w:spacing w:line="360" w:lineRule="auto"/>
              <w:ind w:firstLine="482" w:firstLineChars="200"/>
              <w:outlineLvl w:val="9"/>
              <w:rPr>
                <w:b/>
                <w:color w:val="auto"/>
                <w:kern w:val="21"/>
                <w:sz w:val="24"/>
              </w:rPr>
            </w:pPr>
            <w:r>
              <w:rPr>
                <w:rFonts w:hint="eastAsia"/>
                <w:b/>
                <w:color w:val="auto"/>
                <w:kern w:val="21"/>
                <w:sz w:val="24"/>
                <w:lang w:val="en-US" w:eastAsia="zh-CN"/>
              </w:rPr>
              <w:t>6、</w:t>
            </w:r>
            <w:r>
              <w:rPr>
                <w:rFonts w:hint="eastAsia"/>
                <w:b/>
                <w:color w:val="auto"/>
                <w:kern w:val="21"/>
                <w:sz w:val="24"/>
              </w:rPr>
              <w:t>废水监测计划</w:t>
            </w:r>
          </w:p>
          <w:p w14:paraId="1345DF9D">
            <w:pPr>
              <w:pStyle w:val="115"/>
              <w:spacing w:before="212" w:line="373" w:lineRule="auto"/>
              <w:ind w:left="112" w:right="108" w:firstLine="479"/>
              <w:outlineLvl w:val="9"/>
              <w:rPr>
                <w:color w:val="auto"/>
                <w:spacing w:val="-2"/>
                <w:sz w:val="24"/>
                <w:szCs w:val="24"/>
                <w:lang w:eastAsia="zh-CN"/>
              </w:rPr>
            </w:pPr>
            <w:r>
              <w:rPr>
                <w:color w:val="auto"/>
                <w:spacing w:val="-1"/>
                <w:sz w:val="24"/>
                <w:szCs w:val="24"/>
                <w:lang w:eastAsia="zh-CN"/>
              </w:rPr>
              <w:t>根据《排污单位自行监测技术指南 总则》（</w:t>
            </w:r>
            <w:r>
              <w:rPr>
                <w:rFonts w:ascii="Times New Roman" w:hAnsi="Times New Roman" w:eastAsia="Times New Roman" w:cs="Times New Roman"/>
                <w:color w:val="auto"/>
                <w:spacing w:val="-1"/>
                <w:sz w:val="24"/>
                <w:szCs w:val="24"/>
                <w:lang w:eastAsia="zh-CN"/>
              </w:rPr>
              <w:t>HJ819-2017</w:t>
            </w:r>
            <w:r>
              <w:rPr>
                <w:color w:val="auto"/>
                <w:spacing w:val="11"/>
                <w:sz w:val="24"/>
                <w:szCs w:val="24"/>
                <w:lang w:eastAsia="zh-CN"/>
              </w:rPr>
              <w:t>），</w:t>
            </w:r>
            <w:r>
              <w:rPr>
                <w:color w:val="auto"/>
                <w:spacing w:val="-1"/>
                <w:sz w:val="24"/>
                <w:szCs w:val="24"/>
                <w:lang w:eastAsia="zh-CN"/>
              </w:rPr>
              <w:t>本项目监测</w:t>
            </w:r>
            <w:r>
              <w:rPr>
                <w:color w:val="auto"/>
                <w:spacing w:val="-2"/>
                <w:sz w:val="24"/>
                <w:szCs w:val="24"/>
                <w:lang w:eastAsia="zh-CN"/>
              </w:rPr>
              <w:t>计划见下表。</w:t>
            </w:r>
          </w:p>
          <w:p w14:paraId="2F7628AF">
            <w:pPr>
              <w:jc w:val="center"/>
              <w:outlineLvl w:val="9"/>
              <w:rPr>
                <w:bCs/>
                <w:color w:val="auto"/>
                <w:szCs w:val="21"/>
              </w:rPr>
            </w:pPr>
            <w:r>
              <w:rPr>
                <w:b/>
                <w:color w:val="auto"/>
                <w:szCs w:val="21"/>
              </w:rPr>
              <w:t>表</w:t>
            </w:r>
            <w:r>
              <w:rPr>
                <w:rFonts w:hint="eastAsia"/>
                <w:b/>
                <w:color w:val="auto"/>
                <w:szCs w:val="21"/>
                <w:lang w:val="en-US" w:eastAsia="zh-CN"/>
              </w:rPr>
              <w:t>4-7</w:t>
            </w:r>
            <w:r>
              <w:rPr>
                <w:b/>
                <w:color w:val="auto"/>
                <w:szCs w:val="21"/>
              </w:rPr>
              <w:t xml:space="preserve">  废水污染源监测计划表</w:t>
            </w:r>
          </w:p>
          <w:tbl>
            <w:tblPr>
              <w:tblStyle w:val="32"/>
              <w:tblW w:w="4995"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3193"/>
              <w:gridCol w:w="2153"/>
              <w:gridCol w:w="1701"/>
              <w:gridCol w:w="4647"/>
            </w:tblGrid>
            <w:tr w14:paraId="447D9B5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365" w:type="pct"/>
                  <w:tcBorders>
                    <w:tl2br w:val="nil"/>
                    <w:tr2bl w:val="nil"/>
                  </w:tcBorders>
                  <w:vAlign w:val="center"/>
                </w:tcPr>
                <w:p w14:paraId="0F6313A4">
                  <w:pPr>
                    <w:widowControl/>
                    <w:adjustRightInd w:val="0"/>
                    <w:snapToGrid w:val="0"/>
                    <w:spacing w:before="31" w:after="31"/>
                    <w:jc w:val="center"/>
                    <w:outlineLvl w:val="9"/>
                    <w:rPr>
                      <w:rFonts w:hint="default" w:ascii="Times New Roman" w:hAnsi="Times New Roman" w:eastAsia="宋体" w:cs="Times New Roman"/>
                      <w:b/>
                      <w:bCs/>
                      <w:color w:val="auto"/>
                      <w:kern w:val="44"/>
                      <w:sz w:val="21"/>
                      <w:szCs w:val="21"/>
                    </w:rPr>
                  </w:pPr>
                  <w:r>
                    <w:rPr>
                      <w:rFonts w:hint="default" w:ascii="Times New Roman" w:hAnsi="Times New Roman" w:eastAsia="宋体" w:cs="Times New Roman"/>
                      <w:b/>
                      <w:bCs/>
                      <w:color w:val="auto"/>
                      <w:kern w:val="44"/>
                      <w:sz w:val="21"/>
                      <w:szCs w:val="21"/>
                    </w:rPr>
                    <w:t>监测点位</w:t>
                  </w:r>
                </w:p>
              </w:tc>
              <w:tc>
                <w:tcPr>
                  <w:tcW w:w="920" w:type="pct"/>
                  <w:tcBorders>
                    <w:tl2br w:val="nil"/>
                    <w:tr2bl w:val="nil"/>
                  </w:tcBorders>
                  <w:vAlign w:val="center"/>
                </w:tcPr>
                <w:p w14:paraId="026CBFB9">
                  <w:pPr>
                    <w:widowControl/>
                    <w:adjustRightInd w:val="0"/>
                    <w:snapToGrid w:val="0"/>
                    <w:spacing w:before="31" w:after="31"/>
                    <w:jc w:val="center"/>
                    <w:outlineLvl w:val="9"/>
                    <w:rPr>
                      <w:rFonts w:hint="default" w:ascii="Times New Roman" w:hAnsi="Times New Roman" w:eastAsia="宋体" w:cs="Times New Roman"/>
                      <w:b/>
                      <w:bCs/>
                      <w:color w:val="auto"/>
                      <w:kern w:val="44"/>
                      <w:sz w:val="21"/>
                      <w:szCs w:val="21"/>
                    </w:rPr>
                  </w:pPr>
                  <w:r>
                    <w:rPr>
                      <w:rFonts w:hint="default" w:ascii="Times New Roman" w:hAnsi="Times New Roman" w:eastAsia="宋体" w:cs="Times New Roman"/>
                      <w:b/>
                      <w:bCs/>
                      <w:color w:val="auto"/>
                      <w:kern w:val="44"/>
                      <w:sz w:val="21"/>
                      <w:szCs w:val="21"/>
                    </w:rPr>
                    <w:t>监测指标</w:t>
                  </w:r>
                </w:p>
              </w:tc>
              <w:tc>
                <w:tcPr>
                  <w:tcW w:w="727" w:type="pct"/>
                  <w:tcBorders>
                    <w:tl2br w:val="nil"/>
                    <w:tr2bl w:val="nil"/>
                  </w:tcBorders>
                  <w:vAlign w:val="center"/>
                </w:tcPr>
                <w:p w14:paraId="0C0B97BA">
                  <w:pPr>
                    <w:widowControl/>
                    <w:adjustRightInd w:val="0"/>
                    <w:snapToGrid w:val="0"/>
                    <w:spacing w:before="31" w:after="31"/>
                    <w:jc w:val="center"/>
                    <w:outlineLvl w:val="9"/>
                    <w:rPr>
                      <w:rFonts w:hint="default" w:ascii="Times New Roman" w:hAnsi="Times New Roman" w:eastAsia="宋体" w:cs="Times New Roman"/>
                      <w:b/>
                      <w:bCs/>
                      <w:color w:val="auto"/>
                      <w:kern w:val="44"/>
                      <w:sz w:val="21"/>
                      <w:szCs w:val="21"/>
                    </w:rPr>
                  </w:pPr>
                  <w:r>
                    <w:rPr>
                      <w:rFonts w:hint="default" w:ascii="Times New Roman" w:hAnsi="Times New Roman" w:eastAsia="宋体" w:cs="Times New Roman"/>
                      <w:b/>
                      <w:bCs/>
                      <w:color w:val="auto"/>
                      <w:kern w:val="44"/>
                      <w:sz w:val="21"/>
                      <w:szCs w:val="21"/>
                    </w:rPr>
                    <w:t>监测频次</w:t>
                  </w:r>
                </w:p>
              </w:tc>
              <w:tc>
                <w:tcPr>
                  <w:tcW w:w="1986" w:type="pct"/>
                  <w:tcBorders>
                    <w:tl2br w:val="nil"/>
                    <w:tr2bl w:val="nil"/>
                  </w:tcBorders>
                  <w:vAlign w:val="center"/>
                </w:tcPr>
                <w:p w14:paraId="790AD51F">
                  <w:pPr>
                    <w:widowControl/>
                    <w:adjustRightInd w:val="0"/>
                    <w:snapToGrid w:val="0"/>
                    <w:spacing w:before="31" w:after="31"/>
                    <w:jc w:val="center"/>
                    <w:outlineLvl w:val="9"/>
                    <w:rPr>
                      <w:rFonts w:hint="default" w:ascii="Times New Roman" w:hAnsi="Times New Roman" w:eastAsia="宋体" w:cs="Times New Roman"/>
                      <w:b/>
                      <w:bCs/>
                      <w:color w:val="auto"/>
                      <w:kern w:val="44"/>
                      <w:sz w:val="21"/>
                      <w:szCs w:val="21"/>
                    </w:rPr>
                  </w:pPr>
                  <w:r>
                    <w:rPr>
                      <w:rFonts w:hint="default" w:ascii="Times New Roman" w:hAnsi="Times New Roman" w:eastAsia="宋体" w:cs="Times New Roman"/>
                      <w:b/>
                      <w:bCs/>
                      <w:color w:val="auto"/>
                      <w:kern w:val="44"/>
                      <w:sz w:val="21"/>
                      <w:szCs w:val="21"/>
                    </w:rPr>
                    <w:t>执行标准</w:t>
                  </w:r>
                </w:p>
              </w:tc>
            </w:tr>
            <w:tr w14:paraId="6F45F2F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1365" w:type="pct"/>
                  <w:tcBorders>
                    <w:tl2br w:val="nil"/>
                    <w:tr2bl w:val="nil"/>
                  </w:tcBorders>
                  <w:vAlign w:val="center"/>
                </w:tcPr>
                <w:p w14:paraId="330150AE">
                  <w:pPr>
                    <w:pStyle w:val="20"/>
                    <w:tabs>
                      <w:tab w:val="center" w:pos="4153"/>
                      <w:tab w:val="right" w:pos="8306"/>
                    </w:tabs>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lang w:val="en-US" w:eastAsia="zh-CN"/>
                    </w:rPr>
                    <w:t>辽宁红山污水处理站出口（消毒池）</w:t>
                  </w:r>
                </w:p>
              </w:tc>
              <w:tc>
                <w:tcPr>
                  <w:tcW w:w="920" w:type="pct"/>
                  <w:tcBorders>
                    <w:tl2br w:val="nil"/>
                    <w:tr2bl w:val="nil"/>
                  </w:tcBorders>
                  <w:vAlign w:val="center"/>
                </w:tcPr>
                <w:p w14:paraId="1F5926AD">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pH</w:t>
                  </w:r>
                </w:p>
                <w:p w14:paraId="46A5C5A0">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BOD</w:t>
                  </w:r>
                  <w:r>
                    <w:rPr>
                      <w:rFonts w:hint="default" w:ascii="Times New Roman" w:hAnsi="Times New Roman" w:eastAsia="宋体" w:cs="Times New Roman"/>
                      <w:color w:val="auto"/>
                      <w:spacing w:val="13"/>
                      <w:sz w:val="21"/>
                      <w:szCs w:val="21"/>
                      <w:vertAlign w:val="subscript"/>
                      <w:lang w:val="en-US" w:eastAsia="zh-CN"/>
                    </w:rPr>
                    <w:t>5</w:t>
                  </w:r>
                </w:p>
                <w:p w14:paraId="51CB6C64">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SS/浊度</w:t>
                  </w:r>
                </w:p>
                <w:p w14:paraId="59B3D64A">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氨氮</w:t>
                  </w:r>
                </w:p>
                <w:p w14:paraId="1173C3CF">
                  <w:pPr>
                    <w:spacing w:line="240" w:lineRule="auto"/>
                    <w:ind w:left="0"/>
                    <w:jc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spacing w:val="13"/>
                      <w:sz w:val="21"/>
                      <w:szCs w:val="21"/>
                      <w:lang w:val="en-US" w:eastAsia="zh-CN"/>
                    </w:rPr>
                    <w:t>总氯</w:t>
                  </w:r>
                </w:p>
              </w:tc>
              <w:tc>
                <w:tcPr>
                  <w:tcW w:w="727" w:type="pct"/>
                  <w:tcBorders>
                    <w:tl2br w:val="nil"/>
                    <w:tr2bl w:val="nil"/>
                  </w:tcBorders>
                  <w:vAlign w:val="center"/>
                </w:tcPr>
                <w:p w14:paraId="37B53378">
                  <w:pPr>
                    <w:widowControl/>
                    <w:adjustRightInd w:val="0"/>
                    <w:snapToGrid w:val="0"/>
                    <w:spacing w:before="31" w:after="31"/>
                    <w:jc w:val="center"/>
                    <w:outlineLvl w:val="9"/>
                    <w:rPr>
                      <w:rFonts w:hint="default" w:ascii="Times New Roman" w:hAnsi="Times New Roman" w:eastAsia="宋体" w:cs="Times New Roman"/>
                      <w:color w:val="auto"/>
                      <w:kern w:val="44"/>
                      <w:sz w:val="21"/>
                      <w:szCs w:val="21"/>
                    </w:rPr>
                  </w:pPr>
                  <w:r>
                    <w:rPr>
                      <w:rFonts w:hint="default" w:ascii="Times New Roman" w:hAnsi="Times New Roman" w:eastAsia="宋体" w:cs="Times New Roman"/>
                      <w:color w:val="auto"/>
                      <w:kern w:val="44"/>
                      <w:sz w:val="21"/>
                      <w:szCs w:val="21"/>
                    </w:rPr>
                    <w:t>1次/年</w:t>
                  </w:r>
                </w:p>
              </w:tc>
              <w:tc>
                <w:tcPr>
                  <w:tcW w:w="1986" w:type="pct"/>
                  <w:tcBorders>
                    <w:tl2br w:val="nil"/>
                    <w:tr2bl w:val="nil"/>
                  </w:tcBorders>
                  <w:vAlign w:val="center"/>
                </w:tcPr>
                <w:p w14:paraId="3224F47C">
                  <w:pPr>
                    <w:pStyle w:val="100"/>
                    <w:shd w:val="clear" w:color="auto" w:fill="auto"/>
                    <w:bidi w:val="0"/>
                    <w:ind w:firstLine="0" w:firstLineChars="0"/>
                    <w:outlineLvl w:val="9"/>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highlight w:val="none"/>
                      <w:lang w:val="en-US" w:eastAsia="zh-CN"/>
                    </w:rPr>
                    <w:t>《城市污水再生利用 城市杂用水水质》（GB/T 18920-2020）城市绿化、道路洒扫标准</w:t>
                  </w:r>
                </w:p>
              </w:tc>
            </w:tr>
          </w:tbl>
          <w:p w14:paraId="342AC20E">
            <w:pPr>
              <w:tabs>
                <w:tab w:val="left" w:pos="411"/>
              </w:tabs>
              <w:spacing w:line="360" w:lineRule="auto"/>
              <w:outlineLvl w:val="9"/>
              <w:rPr>
                <w:b/>
                <w:bCs/>
                <w:color w:val="auto"/>
                <w:sz w:val="24"/>
              </w:rPr>
            </w:pPr>
            <w:r>
              <w:rPr>
                <w:rFonts w:hint="eastAsia"/>
                <w:b/>
                <w:bCs/>
                <w:color w:val="auto"/>
                <w:sz w:val="24"/>
              </w:rPr>
              <w:t>三</w:t>
            </w:r>
            <w:r>
              <w:rPr>
                <w:b/>
                <w:bCs/>
                <w:color w:val="auto"/>
                <w:sz w:val="24"/>
              </w:rPr>
              <w:t>、噪声</w:t>
            </w:r>
          </w:p>
          <w:p w14:paraId="0F5D16AB">
            <w:pPr>
              <w:tabs>
                <w:tab w:val="left" w:pos="411"/>
              </w:tabs>
              <w:spacing w:line="360" w:lineRule="auto"/>
              <w:ind w:firstLine="482" w:firstLineChars="200"/>
              <w:outlineLvl w:val="9"/>
              <w:rPr>
                <w:b/>
                <w:bCs/>
                <w:color w:val="auto"/>
                <w:sz w:val="24"/>
              </w:rPr>
            </w:pPr>
            <w:r>
              <w:rPr>
                <w:rFonts w:hint="eastAsia"/>
                <w:b/>
                <w:bCs/>
                <w:color w:val="auto"/>
                <w:sz w:val="24"/>
              </w:rPr>
              <w:t>1、</w:t>
            </w:r>
            <w:r>
              <w:rPr>
                <w:b/>
                <w:bCs/>
                <w:color w:val="auto"/>
                <w:sz w:val="24"/>
              </w:rPr>
              <w:t>噪声源强</w:t>
            </w:r>
          </w:p>
          <w:p w14:paraId="03E0544F">
            <w:pPr>
              <w:widowControl/>
              <w:tabs>
                <w:tab w:val="left" w:pos="2100"/>
              </w:tabs>
              <w:snapToGrid w:val="0"/>
              <w:spacing w:line="360" w:lineRule="auto"/>
              <w:ind w:firstLine="480" w:firstLineChars="200"/>
              <w:outlineLvl w:val="9"/>
              <w:rPr>
                <w:color w:val="auto"/>
                <w:sz w:val="24"/>
              </w:rPr>
            </w:pPr>
            <w:r>
              <w:rPr>
                <w:rFonts w:hint="eastAsia"/>
                <w:color w:val="auto"/>
                <w:sz w:val="24"/>
              </w:rPr>
              <w:t>本项目新增</w:t>
            </w:r>
            <w:r>
              <w:rPr>
                <w:color w:val="auto"/>
                <w:sz w:val="24"/>
              </w:rPr>
              <w:t>噪声</w:t>
            </w:r>
            <w:r>
              <w:rPr>
                <w:rFonts w:hint="eastAsia"/>
                <w:color w:val="auto"/>
                <w:sz w:val="24"/>
              </w:rPr>
              <w:t>主要为</w:t>
            </w:r>
            <w:r>
              <w:rPr>
                <w:color w:val="auto"/>
                <w:sz w:val="24"/>
              </w:rPr>
              <w:t>各类设备及</w:t>
            </w:r>
            <w:r>
              <w:rPr>
                <w:rFonts w:hint="eastAsia"/>
                <w:color w:val="auto"/>
                <w:sz w:val="24"/>
                <w:lang w:val="en-US" w:eastAsia="zh-CN"/>
              </w:rPr>
              <w:t>泵类</w:t>
            </w:r>
            <w:r>
              <w:rPr>
                <w:color w:val="auto"/>
                <w:sz w:val="24"/>
              </w:rPr>
              <w:t>运行产生的噪声</w:t>
            </w:r>
            <w:r>
              <w:rPr>
                <w:rFonts w:hint="eastAsia"/>
                <w:color w:val="auto"/>
                <w:sz w:val="24"/>
              </w:rPr>
              <w:t>，本项目建成后，全厂</w:t>
            </w:r>
            <w:r>
              <w:rPr>
                <w:color w:val="auto"/>
                <w:sz w:val="24"/>
              </w:rPr>
              <w:t>主要设备噪声源强详见表4-</w:t>
            </w:r>
            <w:r>
              <w:rPr>
                <w:rFonts w:hint="eastAsia"/>
                <w:color w:val="auto"/>
                <w:sz w:val="24"/>
                <w:lang w:val="en-US" w:eastAsia="zh-CN"/>
              </w:rPr>
              <w:t>8</w:t>
            </w:r>
            <w:r>
              <w:rPr>
                <w:color w:val="auto"/>
                <w:sz w:val="24"/>
              </w:rPr>
              <w:t>。</w:t>
            </w:r>
          </w:p>
          <w:p w14:paraId="5B86B3E3">
            <w:pPr>
              <w:adjustRightInd w:val="0"/>
              <w:snapToGrid w:val="0"/>
              <w:jc w:val="center"/>
              <w:outlineLvl w:val="9"/>
              <w:rPr>
                <w:b/>
                <w:color w:val="auto"/>
                <w:spacing w:val="-10"/>
                <w:szCs w:val="21"/>
              </w:rPr>
            </w:pPr>
            <w:r>
              <w:rPr>
                <w:b/>
                <w:color w:val="auto"/>
                <w:spacing w:val="-10"/>
                <w:szCs w:val="21"/>
              </w:rPr>
              <w:t>表4-</w:t>
            </w:r>
            <w:r>
              <w:rPr>
                <w:rFonts w:hint="eastAsia"/>
                <w:b/>
                <w:color w:val="auto"/>
                <w:spacing w:val="-10"/>
                <w:szCs w:val="21"/>
                <w:lang w:val="en-US" w:eastAsia="zh-CN"/>
              </w:rPr>
              <w:t>8</w:t>
            </w:r>
            <w:r>
              <w:rPr>
                <w:b/>
                <w:color w:val="auto"/>
                <w:spacing w:val="-10"/>
                <w:szCs w:val="21"/>
              </w:rPr>
              <w:t xml:space="preserve">  </w:t>
            </w:r>
            <w:r>
              <w:rPr>
                <w:rFonts w:hint="eastAsia"/>
                <w:b/>
                <w:color w:val="auto"/>
                <w:spacing w:val="-10"/>
                <w:szCs w:val="21"/>
              </w:rPr>
              <w:t>工业企业噪声源调查清单（室内声源）</w:t>
            </w:r>
          </w:p>
          <w:tbl>
            <w:tblPr>
              <w:tblStyle w:val="32"/>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31"/>
              <w:gridCol w:w="649"/>
              <w:gridCol w:w="1778"/>
              <w:gridCol w:w="1018"/>
              <w:gridCol w:w="936"/>
              <w:gridCol w:w="553"/>
              <w:gridCol w:w="553"/>
              <w:gridCol w:w="278"/>
              <w:gridCol w:w="407"/>
              <w:gridCol w:w="412"/>
              <w:gridCol w:w="363"/>
              <w:gridCol w:w="460"/>
              <w:gridCol w:w="932"/>
              <w:gridCol w:w="765"/>
              <w:gridCol w:w="313"/>
              <w:gridCol w:w="529"/>
              <w:gridCol w:w="632"/>
              <w:gridCol w:w="12"/>
            </w:tblGrid>
            <w:tr w14:paraId="143C4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exact"/>
                <w:jc w:val="center"/>
              </w:trPr>
              <w:tc>
                <w:tcPr>
                  <w:tcW w:w="182" w:type="pct"/>
                  <w:vMerge w:val="restart"/>
                  <w:vAlign w:val="center"/>
                </w:tcPr>
                <w:p w14:paraId="5420FF7E">
                  <w:pPr>
                    <w:jc w:val="center"/>
                    <w:outlineLvl w:val="9"/>
                    <w:rPr>
                      <w:rFonts w:hint="default" w:ascii="Times New Roman" w:hAnsi="Times New Roman" w:eastAsia="宋体" w:cs="Times New Roman"/>
                      <w:b/>
                      <w:bCs w:val="0"/>
                      <w:color w:val="auto"/>
                      <w:sz w:val="21"/>
                      <w:szCs w:val="21"/>
                    </w:rPr>
                  </w:pPr>
                  <w:bookmarkStart w:id="210" w:name="PT_6"/>
                  <w:r>
                    <w:rPr>
                      <w:rFonts w:hint="default" w:ascii="Times New Roman" w:hAnsi="Times New Roman" w:eastAsia="宋体" w:cs="Times New Roman"/>
                      <w:b/>
                      <w:bCs w:val="0"/>
                      <w:color w:val="auto"/>
                      <w:sz w:val="21"/>
                      <w:szCs w:val="21"/>
                    </w:rPr>
                    <w:t>序号</w:t>
                  </w:r>
                </w:p>
              </w:tc>
              <w:tc>
                <w:tcPr>
                  <w:tcW w:w="284" w:type="pct"/>
                  <w:vMerge w:val="restart"/>
                  <w:vAlign w:val="center"/>
                </w:tcPr>
                <w:p w14:paraId="53B341CF">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建筑物名称</w:t>
                  </w:r>
                </w:p>
              </w:tc>
              <w:tc>
                <w:tcPr>
                  <w:tcW w:w="292" w:type="pct"/>
                  <w:vMerge w:val="restart"/>
                  <w:vAlign w:val="center"/>
                </w:tcPr>
                <w:p w14:paraId="19BE2221">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声源名称</w:t>
                  </w:r>
                </w:p>
              </w:tc>
              <w:tc>
                <w:tcPr>
                  <w:tcW w:w="561" w:type="pct"/>
                  <w:vMerge w:val="restart"/>
                  <w:vAlign w:val="center"/>
                </w:tcPr>
                <w:p w14:paraId="1D76CAC8">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型号</w:t>
                  </w:r>
                </w:p>
              </w:tc>
              <w:tc>
                <w:tcPr>
                  <w:tcW w:w="450" w:type="pct"/>
                  <w:vAlign w:val="center"/>
                </w:tcPr>
                <w:p w14:paraId="00E58A94">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声源源强</w:t>
                  </w:r>
                </w:p>
              </w:tc>
              <w:tc>
                <w:tcPr>
                  <w:tcW w:w="415" w:type="pct"/>
                  <w:vMerge w:val="restart"/>
                  <w:vAlign w:val="center"/>
                </w:tcPr>
                <w:p w14:paraId="309B362D">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声源控制措施</w:t>
                  </w:r>
                </w:p>
              </w:tc>
              <w:tc>
                <w:tcPr>
                  <w:tcW w:w="632" w:type="pct"/>
                  <w:gridSpan w:val="3"/>
                  <w:vAlign w:val="center"/>
                </w:tcPr>
                <w:p w14:paraId="4C9E7EBB">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空间相对位置/m</w:t>
                  </w:r>
                </w:p>
              </w:tc>
              <w:tc>
                <w:tcPr>
                  <w:tcW w:w="378" w:type="pct"/>
                  <w:gridSpan w:val="2"/>
                  <w:vMerge w:val="restart"/>
                  <w:vAlign w:val="center"/>
                </w:tcPr>
                <w:p w14:paraId="729276FB">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距室内边界距离/m</w:t>
                  </w:r>
                </w:p>
              </w:tc>
              <w:tc>
                <w:tcPr>
                  <w:tcW w:w="354" w:type="pct"/>
                  <w:gridSpan w:val="2"/>
                  <w:vMerge w:val="restart"/>
                  <w:vAlign w:val="center"/>
                </w:tcPr>
                <w:p w14:paraId="7F5866E3">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室内边界声级/dB(A)</w:t>
                  </w:r>
                </w:p>
              </w:tc>
              <w:tc>
                <w:tcPr>
                  <w:tcW w:w="400" w:type="pct"/>
                  <w:vMerge w:val="restart"/>
                  <w:vAlign w:val="center"/>
                </w:tcPr>
                <w:p w14:paraId="1D4485ED">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运行时段</w:t>
                  </w:r>
                </w:p>
              </w:tc>
              <w:tc>
                <w:tcPr>
                  <w:tcW w:w="328" w:type="pct"/>
                  <w:vMerge w:val="restart"/>
                  <w:vAlign w:val="center"/>
                </w:tcPr>
                <w:p w14:paraId="3BAF2161">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建筑物插入损失 / dB(A)</w:t>
                  </w:r>
                  <w:bookmarkStart w:id="211" w:name="PT_10"/>
                  <w:bookmarkEnd w:id="211"/>
                </w:p>
              </w:tc>
              <w:tc>
                <w:tcPr>
                  <w:tcW w:w="717" w:type="pct"/>
                  <w:gridSpan w:val="4"/>
                  <w:vAlign w:val="center"/>
                </w:tcPr>
                <w:p w14:paraId="6125B15D">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建筑物外噪声声压级/dB(A)</w:t>
                  </w:r>
                </w:p>
              </w:tc>
            </w:tr>
            <w:tr w14:paraId="08AE3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182" w:type="pct"/>
                  <w:vMerge w:val="continue"/>
                  <w:shd w:val="clear" w:color="auto" w:fill="FFFFFF"/>
                  <w:tcMar>
                    <w:top w:w="0" w:type="dxa"/>
                    <w:left w:w="0" w:type="dxa"/>
                    <w:bottom w:w="0" w:type="dxa"/>
                    <w:right w:w="0" w:type="dxa"/>
                  </w:tcMar>
                  <w:vAlign w:val="center"/>
                </w:tcPr>
                <w:p w14:paraId="362FD746">
                  <w:pPr>
                    <w:jc w:val="center"/>
                    <w:outlineLvl w:val="9"/>
                    <w:rPr>
                      <w:rFonts w:hint="default" w:ascii="Times New Roman" w:hAnsi="Times New Roman" w:eastAsia="宋体" w:cs="Times New Roman"/>
                      <w:b/>
                      <w:bCs w:val="0"/>
                      <w:color w:val="auto"/>
                      <w:sz w:val="21"/>
                      <w:szCs w:val="21"/>
                    </w:rPr>
                  </w:pPr>
                </w:p>
              </w:tc>
              <w:tc>
                <w:tcPr>
                  <w:tcW w:w="284" w:type="pct"/>
                  <w:vMerge w:val="continue"/>
                  <w:shd w:val="clear" w:color="auto" w:fill="FFFFFF"/>
                  <w:tcMar>
                    <w:top w:w="0" w:type="dxa"/>
                    <w:left w:w="0" w:type="dxa"/>
                    <w:bottom w:w="0" w:type="dxa"/>
                    <w:right w:w="0" w:type="dxa"/>
                  </w:tcMar>
                  <w:vAlign w:val="center"/>
                </w:tcPr>
                <w:p w14:paraId="1CBF4029">
                  <w:pPr>
                    <w:jc w:val="center"/>
                    <w:outlineLvl w:val="9"/>
                    <w:rPr>
                      <w:rFonts w:hint="default" w:ascii="Times New Roman" w:hAnsi="Times New Roman" w:eastAsia="宋体" w:cs="Times New Roman"/>
                      <w:b/>
                      <w:bCs w:val="0"/>
                      <w:color w:val="auto"/>
                      <w:sz w:val="21"/>
                      <w:szCs w:val="21"/>
                    </w:rPr>
                  </w:pPr>
                </w:p>
              </w:tc>
              <w:tc>
                <w:tcPr>
                  <w:tcW w:w="292" w:type="pct"/>
                  <w:vMerge w:val="continue"/>
                  <w:shd w:val="clear" w:color="auto" w:fill="FFFFFF"/>
                  <w:tcMar>
                    <w:top w:w="0" w:type="dxa"/>
                    <w:left w:w="0" w:type="dxa"/>
                    <w:bottom w:w="0" w:type="dxa"/>
                    <w:right w:w="0" w:type="dxa"/>
                  </w:tcMar>
                  <w:vAlign w:val="center"/>
                </w:tcPr>
                <w:p w14:paraId="6E0FE6F6">
                  <w:pPr>
                    <w:jc w:val="center"/>
                    <w:outlineLvl w:val="9"/>
                    <w:rPr>
                      <w:rFonts w:hint="default" w:ascii="Times New Roman" w:hAnsi="Times New Roman" w:eastAsia="宋体" w:cs="Times New Roman"/>
                      <w:b/>
                      <w:bCs w:val="0"/>
                      <w:color w:val="auto"/>
                      <w:sz w:val="21"/>
                      <w:szCs w:val="21"/>
                    </w:rPr>
                  </w:pPr>
                </w:p>
              </w:tc>
              <w:tc>
                <w:tcPr>
                  <w:tcW w:w="561" w:type="pct"/>
                  <w:vMerge w:val="continue"/>
                  <w:shd w:val="clear" w:color="auto" w:fill="FFFFFF"/>
                  <w:tcMar>
                    <w:top w:w="0" w:type="dxa"/>
                    <w:left w:w="0" w:type="dxa"/>
                    <w:bottom w:w="0" w:type="dxa"/>
                    <w:right w:w="0" w:type="dxa"/>
                  </w:tcMar>
                  <w:vAlign w:val="center"/>
                </w:tcPr>
                <w:p w14:paraId="4980A0ED">
                  <w:pPr>
                    <w:jc w:val="center"/>
                    <w:outlineLvl w:val="9"/>
                    <w:rPr>
                      <w:rFonts w:hint="default" w:ascii="Times New Roman" w:hAnsi="Times New Roman" w:eastAsia="宋体" w:cs="Times New Roman"/>
                      <w:b/>
                      <w:bCs w:val="0"/>
                      <w:color w:val="auto"/>
                      <w:sz w:val="21"/>
                      <w:szCs w:val="21"/>
                    </w:rPr>
                  </w:pPr>
                </w:p>
              </w:tc>
              <w:tc>
                <w:tcPr>
                  <w:tcW w:w="450" w:type="pct"/>
                  <w:shd w:val="clear" w:color="auto" w:fill="FFFFFF"/>
                  <w:tcMar>
                    <w:top w:w="0" w:type="dxa"/>
                    <w:left w:w="0" w:type="dxa"/>
                    <w:bottom w:w="0" w:type="dxa"/>
                    <w:right w:w="0" w:type="dxa"/>
                  </w:tcMar>
                  <w:vAlign w:val="center"/>
                </w:tcPr>
                <w:p w14:paraId="1C263DA1">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声功率级/dB(A)</w:t>
                  </w:r>
                </w:p>
              </w:tc>
              <w:tc>
                <w:tcPr>
                  <w:tcW w:w="415" w:type="pct"/>
                  <w:vMerge w:val="continue"/>
                  <w:shd w:val="clear" w:color="auto" w:fill="FFFFFF"/>
                  <w:tcMar>
                    <w:top w:w="0" w:type="dxa"/>
                    <w:left w:w="0" w:type="dxa"/>
                    <w:bottom w:w="0" w:type="dxa"/>
                    <w:right w:w="0" w:type="dxa"/>
                  </w:tcMar>
                  <w:vAlign w:val="center"/>
                </w:tcPr>
                <w:p w14:paraId="24D781E8">
                  <w:pPr>
                    <w:jc w:val="center"/>
                    <w:outlineLvl w:val="9"/>
                    <w:rPr>
                      <w:rFonts w:hint="default" w:ascii="Times New Roman" w:hAnsi="Times New Roman" w:eastAsia="宋体" w:cs="Times New Roman"/>
                      <w:b/>
                      <w:bCs w:val="0"/>
                      <w:color w:val="auto"/>
                      <w:sz w:val="21"/>
                      <w:szCs w:val="21"/>
                    </w:rPr>
                  </w:pPr>
                </w:p>
              </w:tc>
              <w:tc>
                <w:tcPr>
                  <w:tcW w:w="247" w:type="pct"/>
                  <w:shd w:val="clear" w:color="auto" w:fill="FFFFFF"/>
                  <w:tcMar>
                    <w:top w:w="0" w:type="dxa"/>
                    <w:left w:w="0" w:type="dxa"/>
                    <w:bottom w:w="0" w:type="dxa"/>
                    <w:right w:w="0" w:type="dxa"/>
                  </w:tcMar>
                  <w:vAlign w:val="center"/>
                </w:tcPr>
                <w:p w14:paraId="68E48910">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X</w:t>
                  </w:r>
                </w:p>
              </w:tc>
              <w:tc>
                <w:tcPr>
                  <w:tcW w:w="247" w:type="pct"/>
                  <w:shd w:val="clear" w:color="auto" w:fill="FFFFFF"/>
                  <w:tcMar>
                    <w:top w:w="0" w:type="dxa"/>
                    <w:left w:w="0" w:type="dxa"/>
                    <w:bottom w:w="0" w:type="dxa"/>
                    <w:right w:w="0" w:type="dxa"/>
                  </w:tcMar>
                  <w:vAlign w:val="center"/>
                </w:tcPr>
                <w:p w14:paraId="27A94EAA">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Y</w:t>
                  </w:r>
                </w:p>
              </w:tc>
              <w:tc>
                <w:tcPr>
                  <w:tcW w:w="138" w:type="pct"/>
                  <w:shd w:val="clear" w:color="auto" w:fill="FFFFFF"/>
                  <w:tcMar>
                    <w:top w:w="0" w:type="dxa"/>
                    <w:left w:w="0" w:type="dxa"/>
                    <w:bottom w:w="0" w:type="dxa"/>
                    <w:right w:w="0" w:type="dxa"/>
                  </w:tcMar>
                  <w:vAlign w:val="center"/>
                </w:tcPr>
                <w:p w14:paraId="1127B8BA">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Z</w:t>
                  </w:r>
                </w:p>
              </w:tc>
              <w:tc>
                <w:tcPr>
                  <w:tcW w:w="378" w:type="pct"/>
                  <w:gridSpan w:val="2"/>
                  <w:vMerge w:val="continue"/>
                  <w:shd w:val="clear" w:color="auto" w:fill="FFFFFF"/>
                  <w:tcMar>
                    <w:top w:w="0" w:type="dxa"/>
                    <w:left w:w="0" w:type="dxa"/>
                    <w:bottom w:w="0" w:type="dxa"/>
                    <w:right w:w="0" w:type="dxa"/>
                  </w:tcMar>
                  <w:vAlign w:val="center"/>
                </w:tcPr>
                <w:p w14:paraId="70058A7F">
                  <w:pPr>
                    <w:jc w:val="center"/>
                    <w:outlineLvl w:val="9"/>
                    <w:rPr>
                      <w:rFonts w:hint="default" w:ascii="Times New Roman" w:hAnsi="Times New Roman" w:eastAsia="宋体" w:cs="Times New Roman"/>
                      <w:b/>
                      <w:bCs w:val="0"/>
                      <w:color w:val="auto"/>
                      <w:sz w:val="21"/>
                      <w:szCs w:val="21"/>
                    </w:rPr>
                  </w:pPr>
                </w:p>
              </w:tc>
              <w:tc>
                <w:tcPr>
                  <w:tcW w:w="354" w:type="pct"/>
                  <w:gridSpan w:val="2"/>
                  <w:vMerge w:val="continue"/>
                  <w:shd w:val="clear" w:color="auto" w:fill="FFFFFF"/>
                  <w:tcMar>
                    <w:top w:w="0" w:type="dxa"/>
                    <w:left w:w="0" w:type="dxa"/>
                    <w:bottom w:w="0" w:type="dxa"/>
                    <w:right w:w="0" w:type="dxa"/>
                  </w:tcMar>
                  <w:vAlign w:val="center"/>
                </w:tcPr>
                <w:p w14:paraId="720EBA31">
                  <w:pPr>
                    <w:jc w:val="center"/>
                    <w:outlineLvl w:val="9"/>
                    <w:rPr>
                      <w:rFonts w:hint="default" w:ascii="Times New Roman" w:hAnsi="Times New Roman" w:eastAsia="宋体" w:cs="Times New Roman"/>
                      <w:b/>
                      <w:bCs w:val="0"/>
                      <w:color w:val="auto"/>
                      <w:sz w:val="21"/>
                      <w:szCs w:val="21"/>
                    </w:rPr>
                  </w:pPr>
                </w:p>
              </w:tc>
              <w:tc>
                <w:tcPr>
                  <w:tcW w:w="400" w:type="pct"/>
                  <w:vMerge w:val="continue"/>
                  <w:shd w:val="clear" w:color="auto" w:fill="FFFFFF"/>
                  <w:tcMar>
                    <w:top w:w="0" w:type="dxa"/>
                    <w:left w:w="0" w:type="dxa"/>
                    <w:bottom w:w="0" w:type="dxa"/>
                    <w:right w:w="0" w:type="dxa"/>
                  </w:tcMar>
                  <w:vAlign w:val="center"/>
                </w:tcPr>
                <w:p w14:paraId="23BA097E">
                  <w:pPr>
                    <w:jc w:val="center"/>
                    <w:outlineLvl w:val="9"/>
                    <w:rPr>
                      <w:rFonts w:hint="default" w:ascii="Times New Roman" w:hAnsi="Times New Roman" w:eastAsia="宋体" w:cs="Times New Roman"/>
                      <w:b/>
                      <w:bCs w:val="0"/>
                      <w:color w:val="auto"/>
                      <w:sz w:val="21"/>
                      <w:szCs w:val="21"/>
                    </w:rPr>
                  </w:pPr>
                </w:p>
              </w:tc>
              <w:tc>
                <w:tcPr>
                  <w:tcW w:w="328" w:type="pct"/>
                  <w:vMerge w:val="continue"/>
                  <w:shd w:val="clear" w:color="auto" w:fill="FFFFFF"/>
                  <w:tcMar>
                    <w:top w:w="0" w:type="dxa"/>
                    <w:left w:w="0" w:type="dxa"/>
                    <w:bottom w:w="0" w:type="dxa"/>
                    <w:right w:w="0" w:type="dxa"/>
                  </w:tcMar>
                  <w:vAlign w:val="center"/>
                </w:tcPr>
                <w:p w14:paraId="09B9FC1C">
                  <w:pPr>
                    <w:jc w:val="center"/>
                    <w:outlineLvl w:val="9"/>
                    <w:rPr>
                      <w:rFonts w:hint="default" w:ascii="Times New Roman" w:hAnsi="Times New Roman" w:eastAsia="宋体" w:cs="Times New Roman"/>
                      <w:b/>
                      <w:bCs w:val="0"/>
                      <w:color w:val="auto"/>
                      <w:sz w:val="21"/>
                      <w:szCs w:val="21"/>
                    </w:rPr>
                  </w:pPr>
                </w:p>
              </w:tc>
              <w:tc>
                <w:tcPr>
                  <w:tcW w:w="423" w:type="pct"/>
                  <w:gridSpan w:val="2"/>
                  <w:shd w:val="clear" w:color="auto" w:fill="FFFFFF"/>
                  <w:tcMar>
                    <w:top w:w="0" w:type="dxa"/>
                    <w:left w:w="0" w:type="dxa"/>
                    <w:bottom w:w="0" w:type="dxa"/>
                    <w:right w:w="0" w:type="dxa"/>
                  </w:tcMar>
                  <w:vAlign w:val="center"/>
                </w:tcPr>
                <w:p w14:paraId="191AE6F0">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pacing w:val="4"/>
                      <w:sz w:val="21"/>
                      <w:szCs w:val="21"/>
                    </w:rPr>
                    <w:t>声压级</w:t>
                  </w:r>
                  <w:r>
                    <w:rPr>
                      <w:rFonts w:hint="default" w:ascii="Times New Roman" w:hAnsi="Times New Roman" w:eastAsia="宋体" w:cs="Times New Roman"/>
                      <w:b/>
                      <w:bCs w:val="0"/>
                      <w:color w:val="auto"/>
                      <w:sz w:val="21"/>
                      <w:szCs w:val="21"/>
                    </w:rPr>
                    <w:t xml:space="preserve">  </w:t>
                  </w:r>
                  <w:r>
                    <w:rPr>
                      <w:rFonts w:hint="default" w:ascii="Times New Roman" w:hAnsi="Times New Roman" w:eastAsia="宋体" w:cs="Times New Roman"/>
                      <w:b/>
                      <w:bCs w:val="0"/>
                      <w:color w:val="auto"/>
                      <w:spacing w:val="4"/>
                      <w:sz w:val="21"/>
                      <w:szCs w:val="21"/>
                    </w:rPr>
                    <w:t>/</w:t>
                  </w:r>
                  <w:r>
                    <w:rPr>
                      <w:rFonts w:hint="default" w:ascii="Times New Roman" w:hAnsi="Times New Roman" w:eastAsia="宋体" w:cs="Times New Roman"/>
                      <w:b/>
                      <w:bCs w:val="0"/>
                      <w:color w:val="auto"/>
                      <w:sz w:val="21"/>
                      <w:szCs w:val="21"/>
                    </w:rPr>
                    <w:t>dB</w:t>
                  </w:r>
                  <w:r>
                    <w:rPr>
                      <w:rFonts w:hint="default" w:ascii="Times New Roman" w:hAnsi="Times New Roman" w:eastAsia="宋体" w:cs="Times New Roman"/>
                      <w:b/>
                      <w:bCs w:val="0"/>
                      <w:color w:val="auto"/>
                      <w:spacing w:val="4"/>
                      <w:sz w:val="21"/>
                      <w:szCs w:val="21"/>
                    </w:rPr>
                    <w:t>（A）</w:t>
                  </w:r>
                </w:p>
              </w:tc>
              <w:tc>
                <w:tcPr>
                  <w:tcW w:w="294" w:type="pct"/>
                  <w:gridSpan w:val="2"/>
                  <w:shd w:val="clear" w:color="auto" w:fill="FFFFFF"/>
                  <w:tcMar>
                    <w:top w:w="0" w:type="dxa"/>
                    <w:left w:w="0" w:type="dxa"/>
                    <w:bottom w:w="0" w:type="dxa"/>
                    <w:right w:w="0" w:type="dxa"/>
                  </w:tcMar>
                  <w:vAlign w:val="center"/>
                </w:tcPr>
                <w:p w14:paraId="2F08DCD0">
                  <w:pPr>
                    <w:jc w:val="center"/>
                    <w:outlineLvl w:val="9"/>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建筑物外距离</w:t>
                  </w:r>
                </w:p>
              </w:tc>
            </w:tr>
            <w:tr w14:paraId="1C71A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330" w:hRule="atLeast"/>
                <w:jc w:val="center"/>
              </w:trPr>
              <w:tc>
                <w:tcPr>
                  <w:tcW w:w="182" w:type="pct"/>
                  <w:vMerge w:val="restart"/>
                  <w:shd w:val="clear" w:color="auto" w:fill="FFFFFF"/>
                  <w:tcMar>
                    <w:top w:w="0" w:type="dxa"/>
                    <w:left w:w="0" w:type="dxa"/>
                    <w:bottom w:w="0" w:type="dxa"/>
                    <w:right w:w="0" w:type="dxa"/>
                  </w:tcMar>
                  <w:vAlign w:val="center"/>
                </w:tcPr>
                <w:p w14:paraId="78ABDDD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w:t>
                  </w:r>
                </w:p>
              </w:tc>
              <w:tc>
                <w:tcPr>
                  <w:tcW w:w="284" w:type="pct"/>
                  <w:vMerge w:val="restart"/>
                  <w:shd w:val="clear" w:color="auto" w:fill="FFFFFF"/>
                  <w:tcMar>
                    <w:top w:w="0" w:type="dxa"/>
                    <w:left w:w="0" w:type="dxa"/>
                    <w:bottom w:w="0" w:type="dxa"/>
                    <w:right w:w="0" w:type="dxa"/>
                  </w:tcMar>
                  <w:vAlign w:val="center"/>
                </w:tcPr>
                <w:p w14:paraId="4CBD001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水油相液体工房</w:t>
                  </w:r>
                </w:p>
              </w:tc>
              <w:tc>
                <w:tcPr>
                  <w:tcW w:w="292" w:type="pct"/>
                  <w:vMerge w:val="restart"/>
                  <w:shd w:val="clear" w:color="auto" w:fill="FFFFFF"/>
                  <w:tcMar>
                    <w:top w:w="0" w:type="dxa"/>
                    <w:left w:w="0" w:type="dxa"/>
                    <w:bottom w:w="0" w:type="dxa"/>
                    <w:right w:w="0" w:type="dxa"/>
                  </w:tcMar>
                  <w:vAlign w:val="center"/>
                </w:tcPr>
                <w:p w14:paraId="1EF3FD0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螺旋输送机</w:t>
                  </w:r>
                </w:p>
              </w:tc>
              <w:tc>
                <w:tcPr>
                  <w:tcW w:w="561" w:type="pct"/>
                  <w:vMerge w:val="restart"/>
                  <w:shd w:val="clear" w:color="auto" w:fill="FFFFFF"/>
                  <w:tcMar>
                    <w:top w:w="0" w:type="dxa"/>
                    <w:left w:w="0" w:type="dxa"/>
                    <w:bottom w:w="0" w:type="dxa"/>
                    <w:right w:w="0" w:type="dxa"/>
                  </w:tcMar>
                  <w:vAlign w:val="center"/>
                </w:tcPr>
                <w:p w14:paraId="4A92CC7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10t/h</w:t>
                  </w:r>
                </w:p>
              </w:tc>
              <w:tc>
                <w:tcPr>
                  <w:tcW w:w="450" w:type="pct"/>
                  <w:vMerge w:val="restart"/>
                  <w:shd w:val="clear" w:color="auto" w:fill="FFFFFF"/>
                  <w:tcMar>
                    <w:top w:w="0" w:type="dxa"/>
                    <w:left w:w="0" w:type="dxa"/>
                    <w:bottom w:w="0" w:type="dxa"/>
                    <w:right w:w="0" w:type="dxa"/>
                  </w:tcMar>
                  <w:vAlign w:val="center"/>
                </w:tcPr>
                <w:p w14:paraId="5E358D5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restart"/>
                  <w:shd w:val="clear" w:color="auto" w:fill="FFFFFF"/>
                  <w:tcMar>
                    <w:top w:w="0" w:type="dxa"/>
                    <w:left w:w="0" w:type="dxa"/>
                    <w:bottom w:w="0" w:type="dxa"/>
                    <w:right w:w="0" w:type="dxa"/>
                  </w:tcMar>
                  <w:vAlign w:val="center"/>
                </w:tcPr>
                <w:p w14:paraId="712D616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噪声设备、减震、</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p>
              </w:tc>
              <w:tc>
                <w:tcPr>
                  <w:tcW w:w="247" w:type="pct"/>
                  <w:vMerge w:val="restart"/>
                  <w:shd w:val="clear" w:color="auto" w:fill="FFFFFF"/>
                  <w:tcMar>
                    <w:top w:w="0" w:type="dxa"/>
                    <w:left w:w="0" w:type="dxa"/>
                    <w:bottom w:w="0" w:type="dxa"/>
                    <w:right w:w="0" w:type="dxa"/>
                  </w:tcMar>
                  <w:vAlign w:val="center"/>
                </w:tcPr>
                <w:p w14:paraId="3CCFCCD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-304.7</w:t>
                  </w:r>
                </w:p>
              </w:tc>
              <w:tc>
                <w:tcPr>
                  <w:tcW w:w="247" w:type="pct"/>
                  <w:vMerge w:val="restart"/>
                  <w:shd w:val="clear" w:color="auto" w:fill="FFFFFF"/>
                  <w:tcMar>
                    <w:top w:w="0" w:type="dxa"/>
                    <w:left w:w="0" w:type="dxa"/>
                    <w:bottom w:w="0" w:type="dxa"/>
                    <w:right w:w="0" w:type="dxa"/>
                  </w:tcMar>
                  <w:vAlign w:val="center"/>
                </w:tcPr>
                <w:p w14:paraId="7315F9B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105.4</w:t>
                  </w:r>
                </w:p>
              </w:tc>
              <w:tc>
                <w:tcPr>
                  <w:tcW w:w="138" w:type="pct"/>
                  <w:vMerge w:val="restart"/>
                  <w:shd w:val="clear" w:color="auto" w:fill="FFFFFF"/>
                  <w:tcMar>
                    <w:top w:w="0" w:type="dxa"/>
                    <w:left w:w="0" w:type="dxa"/>
                    <w:bottom w:w="0" w:type="dxa"/>
                    <w:right w:w="0" w:type="dxa"/>
                  </w:tcMar>
                  <w:vAlign w:val="center"/>
                </w:tcPr>
                <w:p w14:paraId="71455F6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AF6E3CC">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4614117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56" w:type="pct"/>
                  <w:shd w:val="clear" w:color="auto" w:fill="FFFFFF"/>
                  <w:tcMar>
                    <w:top w:w="0" w:type="dxa"/>
                    <w:left w:w="0" w:type="dxa"/>
                    <w:bottom w:w="0" w:type="dxa"/>
                    <w:right w:w="0" w:type="dxa"/>
                  </w:tcMar>
                  <w:vAlign w:val="center"/>
                </w:tcPr>
                <w:p w14:paraId="34D33CB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CB1B52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72.3</w:t>
                  </w:r>
                </w:p>
              </w:tc>
              <w:tc>
                <w:tcPr>
                  <w:tcW w:w="400" w:type="pct"/>
                  <w:vMerge w:val="restart"/>
                  <w:shd w:val="clear" w:color="auto" w:fill="FFFFFF"/>
                  <w:tcMar>
                    <w:top w:w="0" w:type="dxa"/>
                    <w:left w:w="0" w:type="dxa"/>
                    <w:bottom w:w="0" w:type="dxa"/>
                    <w:right w:w="0" w:type="dxa"/>
                  </w:tcMar>
                  <w:vAlign w:val="center"/>
                </w:tcPr>
                <w:p w14:paraId="6403E97E">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7A9A7504">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2711719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428B989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46.3</w:t>
                  </w:r>
                </w:p>
              </w:tc>
              <w:tc>
                <w:tcPr>
                  <w:tcW w:w="284" w:type="pct"/>
                  <w:shd w:val="clear" w:color="auto" w:fill="FFFFFF"/>
                  <w:tcMar>
                    <w:top w:w="0" w:type="dxa"/>
                    <w:left w:w="0" w:type="dxa"/>
                    <w:bottom w:w="0" w:type="dxa"/>
                    <w:right w:w="0" w:type="dxa"/>
                  </w:tcMar>
                  <w:vAlign w:val="center"/>
                </w:tcPr>
                <w:p w14:paraId="5509757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B310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2A74FAB0">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6393F99C">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A53B1A3">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18F0587F">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6601DA13">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065A5E36">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1AC956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C2C5E43">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6BB6EC83">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040E5747">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22F0AB0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156" w:type="pct"/>
                  <w:shd w:val="clear" w:color="auto" w:fill="FFFFFF"/>
                  <w:tcMar>
                    <w:top w:w="0" w:type="dxa"/>
                    <w:left w:w="0" w:type="dxa"/>
                    <w:bottom w:w="0" w:type="dxa"/>
                    <w:right w:w="0" w:type="dxa"/>
                  </w:tcMar>
                  <w:vAlign w:val="center"/>
                </w:tcPr>
                <w:p w14:paraId="1AD6F7B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69377FA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400" w:type="pct"/>
                  <w:vMerge w:val="continue"/>
                  <w:shd w:val="clear" w:color="auto" w:fill="FFFFFF"/>
                  <w:tcMar>
                    <w:top w:w="0" w:type="dxa"/>
                    <w:left w:w="0" w:type="dxa"/>
                    <w:bottom w:w="0" w:type="dxa"/>
                    <w:right w:w="0" w:type="dxa"/>
                  </w:tcMar>
                  <w:vAlign w:val="center"/>
                </w:tcPr>
                <w:p w14:paraId="1397E507">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185622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D551D8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4479077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46.1</w:t>
                  </w:r>
                </w:p>
              </w:tc>
              <w:tc>
                <w:tcPr>
                  <w:tcW w:w="284" w:type="pct"/>
                  <w:shd w:val="clear" w:color="auto" w:fill="FFFFFF"/>
                  <w:tcMar>
                    <w:top w:w="0" w:type="dxa"/>
                    <w:left w:w="0" w:type="dxa"/>
                    <w:bottom w:w="0" w:type="dxa"/>
                    <w:right w:w="0" w:type="dxa"/>
                  </w:tcMar>
                  <w:vAlign w:val="center"/>
                </w:tcPr>
                <w:p w14:paraId="64A4A7E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376B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AAB61F2">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7A69071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C24A195">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F6CD9D3">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01E24701">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2BD9C8F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9B0818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BD8D62F">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0932AE2B">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76A02263">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13EC6DE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8.7</w:t>
                  </w:r>
                </w:p>
              </w:tc>
              <w:tc>
                <w:tcPr>
                  <w:tcW w:w="156" w:type="pct"/>
                  <w:shd w:val="clear" w:color="auto" w:fill="FFFFFF"/>
                  <w:tcMar>
                    <w:top w:w="0" w:type="dxa"/>
                    <w:left w:w="0" w:type="dxa"/>
                    <w:bottom w:w="0" w:type="dxa"/>
                    <w:right w:w="0" w:type="dxa"/>
                  </w:tcMar>
                  <w:vAlign w:val="center"/>
                </w:tcPr>
                <w:p w14:paraId="7090D73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1F3D845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400" w:type="pct"/>
                  <w:vMerge w:val="continue"/>
                  <w:shd w:val="clear" w:color="auto" w:fill="FFFFFF"/>
                  <w:tcMar>
                    <w:top w:w="0" w:type="dxa"/>
                    <w:left w:w="0" w:type="dxa"/>
                    <w:bottom w:w="0" w:type="dxa"/>
                    <w:right w:w="0" w:type="dxa"/>
                  </w:tcMar>
                  <w:vAlign w:val="center"/>
                </w:tcPr>
                <w:p w14:paraId="6206E20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5BD8B7F">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51636C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4E8B80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46.1</w:t>
                  </w:r>
                </w:p>
              </w:tc>
              <w:tc>
                <w:tcPr>
                  <w:tcW w:w="284" w:type="pct"/>
                  <w:shd w:val="clear" w:color="auto" w:fill="FFFFFF"/>
                  <w:tcMar>
                    <w:top w:w="0" w:type="dxa"/>
                    <w:left w:w="0" w:type="dxa"/>
                    <w:bottom w:w="0" w:type="dxa"/>
                    <w:right w:w="0" w:type="dxa"/>
                  </w:tcMar>
                  <w:vAlign w:val="center"/>
                </w:tcPr>
                <w:p w14:paraId="3AE2BF0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4FA8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A328F5F">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0511C16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722041B">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59607A3D">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04759B5C">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5534D9C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AABCBA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A91E6DD">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16ADEB9A">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6AADDBA3">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0D906B8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56" w:type="pct"/>
                  <w:shd w:val="clear" w:color="auto" w:fill="FFFFFF"/>
                  <w:tcMar>
                    <w:top w:w="0" w:type="dxa"/>
                    <w:left w:w="0" w:type="dxa"/>
                    <w:bottom w:w="0" w:type="dxa"/>
                    <w:right w:w="0" w:type="dxa"/>
                  </w:tcMar>
                  <w:vAlign w:val="center"/>
                </w:tcPr>
                <w:p w14:paraId="6A4DF6C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EC94C3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72.2</w:t>
                  </w:r>
                </w:p>
              </w:tc>
              <w:tc>
                <w:tcPr>
                  <w:tcW w:w="400" w:type="pct"/>
                  <w:vMerge w:val="continue"/>
                  <w:shd w:val="clear" w:color="auto" w:fill="FFFFFF"/>
                  <w:tcMar>
                    <w:top w:w="0" w:type="dxa"/>
                    <w:left w:w="0" w:type="dxa"/>
                    <w:bottom w:w="0" w:type="dxa"/>
                    <w:right w:w="0" w:type="dxa"/>
                  </w:tcMar>
                  <w:vAlign w:val="center"/>
                </w:tcPr>
                <w:p w14:paraId="6F36B20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C8080BE">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8A3037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1B42D73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46.2</w:t>
                  </w:r>
                </w:p>
              </w:tc>
              <w:tc>
                <w:tcPr>
                  <w:tcW w:w="284" w:type="pct"/>
                  <w:shd w:val="clear" w:color="auto" w:fill="FFFFFF"/>
                  <w:tcMar>
                    <w:top w:w="0" w:type="dxa"/>
                    <w:left w:w="0" w:type="dxa"/>
                    <w:bottom w:w="0" w:type="dxa"/>
                    <w:right w:w="0" w:type="dxa"/>
                  </w:tcMar>
                  <w:vAlign w:val="center"/>
                </w:tcPr>
                <w:p w14:paraId="465AB6F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4258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09DBBA6E">
                  <w:pPr>
                    <w:keepNext w:val="0"/>
                    <w:keepLines w:val="0"/>
                    <w:widowControl/>
                    <w:suppressLineNumbers w:val="0"/>
                    <w:jc w:val="center"/>
                    <w:textAlignment w:val="center"/>
                    <w:outlineLvl w:val="9"/>
                    <w:rPr>
                      <w:rFonts w:hint="eastAsia"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2</w:t>
                  </w:r>
                </w:p>
              </w:tc>
              <w:tc>
                <w:tcPr>
                  <w:tcW w:w="284" w:type="pct"/>
                  <w:vMerge w:val="continue"/>
                  <w:shd w:val="clear" w:color="auto" w:fill="FFFFFF"/>
                  <w:tcMar>
                    <w:top w:w="0" w:type="dxa"/>
                    <w:left w:w="0" w:type="dxa"/>
                    <w:bottom w:w="0" w:type="dxa"/>
                    <w:right w:w="0" w:type="dxa"/>
                  </w:tcMar>
                  <w:vAlign w:val="center"/>
                </w:tcPr>
                <w:p w14:paraId="773E32BE">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6A3EE16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水相输送泵</w:t>
                  </w:r>
                </w:p>
              </w:tc>
              <w:tc>
                <w:tcPr>
                  <w:tcW w:w="561" w:type="pct"/>
                  <w:vMerge w:val="restart"/>
                  <w:shd w:val="clear" w:color="auto" w:fill="FFFFFF"/>
                  <w:tcMar>
                    <w:top w:w="0" w:type="dxa"/>
                    <w:left w:w="0" w:type="dxa"/>
                    <w:bottom w:w="0" w:type="dxa"/>
                    <w:right w:w="0" w:type="dxa"/>
                  </w:tcMar>
                  <w:vAlign w:val="center"/>
                </w:tcPr>
                <w:p w14:paraId="38B04DB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20t/h</w:t>
                  </w:r>
                </w:p>
              </w:tc>
              <w:tc>
                <w:tcPr>
                  <w:tcW w:w="450" w:type="pct"/>
                  <w:vMerge w:val="restart"/>
                  <w:shd w:val="clear" w:color="auto" w:fill="FFFFFF"/>
                  <w:tcMar>
                    <w:top w:w="0" w:type="dxa"/>
                    <w:left w:w="0" w:type="dxa"/>
                    <w:bottom w:w="0" w:type="dxa"/>
                    <w:right w:w="0" w:type="dxa"/>
                  </w:tcMar>
                  <w:vAlign w:val="center"/>
                </w:tcPr>
                <w:p w14:paraId="678CF5F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restart"/>
                  <w:shd w:val="clear" w:color="auto" w:fill="FFFFFF"/>
                  <w:tcMar>
                    <w:top w:w="0" w:type="dxa"/>
                    <w:left w:w="0" w:type="dxa"/>
                    <w:bottom w:w="0" w:type="dxa"/>
                    <w:right w:w="0" w:type="dxa"/>
                  </w:tcMar>
                  <w:vAlign w:val="center"/>
                </w:tcPr>
                <w:p w14:paraId="6E0B6B1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w:t>
                  </w:r>
                  <w:r>
                    <w:rPr>
                      <w:rFonts w:hint="eastAsia" w:cs="Times New Roman"/>
                      <w:color w:val="auto"/>
                      <w:kern w:val="0"/>
                      <w:sz w:val="21"/>
                      <w:szCs w:val="21"/>
                      <w:lang w:eastAsia="zh-CN" w:bidi="ar"/>
                    </w:rPr>
                    <w:t>减振</w:t>
                  </w:r>
                  <w:r>
                    <w:rPr>
                      <w:rFonts w:hint="default" w:ascii="Times New Roman" w:hAnsi="Times New Roman" w:eastAsia="宋体" w:cs="Times New Roman"/>
                      <w:color w:val="auto"/>
                      <w:kern w:val="0"/>
                      <w:sz w:val="21"/>
                      <w:szCs w:val="21"/>
                      <w:lang w:bidi="ar"/>
                    </w:rPr>
                    <w:t>、</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r>
                    <w:rPr>
                      <w:rFonts w:hint="eastAsia" w:ascii="Times New Roman" w:hAnsi="Times New Roman" w:eastAsia="宋体" w:cs="Times New Roman"/>
                      <w:color w:val="auto"/>
                      <w:kern w:val="0"/>
                      <w:sz w:val="21"/>
                      <w:szCs w:val="21"/>
                      <w:lang w:eastAsia="zh-CN" w:bidi="ar"/>
                    </w:rPr>
                    <w:t>、</w:t>
                  </w:r>
                  <w:r>
                    <w:rPr>
                      <w:rFonts w:hint="default" w:ascii="Times New Roman" w:hAnsi="Times New Roman" w:eastAsia="宋体" w:cs="Times New Roman"/>
                      <w:i w:val="0"/>
                      <w:iCs w:val="0"/>
                      <w:color w:val="auto"/>
                      <w:kern w:val="0"/>
                      <w:sz w:val="21"/>
                      <w:szCs w:val="21"/>
                      <w:u w:val="none"/>
                      <w:lang w:val="en-US" w:eastAsia="zh-CN" w:bidi="ar"/>
                    </w:rPr>
                    <w:t>隔声罩</w:t>
                  </w:r>
                </w:p>
              </w:tc>
              <w:tc>
                <w:tcPr>
                  <w:tcW w:w="247" w:type="pct"/>
                  <w:vMerge w:val="restart"/>
                  <w:shd w:val="clear" w:color="auto" w:fill="FFFFFF"/>
                  <w:tcMar>
                    <w:top w:w="0" w:type="dxa"/>
                    <w:left w:w="0" w:type="dxa"/>
                    <w:bottom w:w="0" w:type="dxa"/>
                    <w:right w:w="0" w:type="dxa"/>
                  </w:tcMar>
                  <w:vAlign w:val="center"/>
                </w:tcPr>
                <w:p w14:paraId="0224EED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-304.1</w:t>
                  </w:r>
                </w:p>
              </w:tc>
              <w:tc>
                <w:tcPr>
                  <w:tcW w:w="247" w:type="pct"/>
                  <w:vMerge w:val="restart"/>
                  <w:shd w:val="clear" w:color="auto" w:fill="FFFFFF"/>
                  <w:tcMar>
                    <w:top w:w="0" w:type="dxa"/>
                    <w:left w:w="0" w:type="dxa"/>
                    <w:bottom w:w="0" w:type="dxa"/>
                    <w:right w:w="0" w:type="dxa"/>
                  </w:tcMar>
                  <w:vAlign w:val="center"/>
                </w:tcPr>
                <w:p w14:paraId="29BCBC9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98.8</w:t>
                  </w:r>
                </w:p>
              </w:tc>
              <w:tc>
                <w:tcPr>
                  <w:tcW w:w="138" w:type="pct"/>
                  <w:vMerge w:val="restart"/>
                  <w:shd w:val="clear" w:color="auto" w:fill="FFFFFF"/>
                  <w:tcMar>
                    <w:top w:w="0" w:type="dxa"/>
                    <w:left w:w="0" w:type="dxa"/>
                    <w:bottom w:w="0" w:type="dxa"/>
                    <w:right w:w="0" w:type="dxa"/>
                  </w:tcMar>
                  <w:vAlign w:val="center"/>
                </w:tcPr>
                <w:p w14:paraId="7F0571C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6978A501">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E6985B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w:t>
                  </w:r>
                </w:p>
              </w:tc>
              <w:tc>
                <w:tcPr>
                  <w:tcW w:w="156" w:type="pct"/>
                  <w:shd w:val="clear" w:color="auto" w:fill="FFFFFF"/>
                  <w:tcMar>
                    <w:top w:w="0" w:type="dxa"/>
                    <w:left w:w="0" w:type="dxa"/>
                    <w:bottom w:w="0" w:type="dxa"/>
                    <w:right w:w="0" w:type="dxa"/>
                  </w:tcMar>
                  <w:vAlign w:val="center"/>
                </w:tcPr>
                <w:p w14:paraId="501E9A9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4353B9B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72.3</w:t>
                  </w:r>
                </w:p>
              </w:tc>
              <w:tc>
                <w:tcPr>
                  <w:tcW w:w="400" w:type="pct"/>
                  <w:vMerge w:val="restart"/>
                  <w:shd w:val="clear" w:color="auto" w:fill="FFFFFF"/>
                  <w:tcMar>
                    <w:top w:w="0" w:type="dxa"/>
                    <w:left w:w="0" w:type="dxa"/>
                    <w:bottom w:w="0" w:type="dxa"/>
                    <w:right w:w="0" w:type="dxa"/>
                  </w:tcMar>
                  <w:vAlign w:val="center"/>
                </w:tcPr>
                <w:p w14:paraId="2C29647B">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w:t>
                  </w:r>
                  <w:r>
                    <w:rPr>
                      <w:rFonts w:hint="eastAsia" w:cs="Times New Roman"/>
                      <w:color w:val="auto"/>
                      <w:sz w:val="21"/>
                      <w:szCs w:val="21"/>
                      <w:lang w:val="en-US" w:eastAsia="zh-CN"/>
                    </w:rPr>
                    <w:t>0</w:t>
                  </w:r>
                </w:p>
              </w:tc>
              <w:tc>
                <w:tcPr>
                  <w:tcW w:w="328" w:type="pct"/>
                  <w:vMerge w:val="restart"/>
                  <w:shd w:val="clear" w:color="auto" w:fill="FFFFFF"/>
                  <w:tcMar>
                    <w:top w:w="0" w:type="dxa"/>
                    <w:left w:w="0" w:type="dxa"/>
                    <w:bottom w:w="0" w:type="dxa"/>
                    <w:right w:w="0" w:type="dxa"/>
                  </w:tcMar>
                  <w:vAlign w:val="center"/>
                </w:tcPr>
                <w:p w14:paraId="73A0AD8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F11CE1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23CDE1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46.3</w:t>
                  </w:r>
                </w:p>
              </w:tc>
              <w:tc>
                <w:tcPr>
                  <w:tcW w:w="284" w:type="pct"/>
                  <w:shd w:val="clear" w:color="auto" w:fill="FFFFFF"/>
                  <w:tcMar>
                    <w:top w:w="0" w:type="dxa"/>
                    <w:left w:w="0" w:type="dxa"/>
                    <w:bottom w:w="0" w:type="dxa"/>
                    <w:right w:w="0" w:type="dxa"/>
                  </w:tcMar>
                  <w:vAlign w:val="center"/>
                </w:tcPr>
                <w:p w14:paraId="3C39C9A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2D90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C8A456F">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068A5698">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DA6EA99">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068C3053">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E79672B">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34DD973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9ACAD5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78654C6">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7984A89">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3D3D7F6F">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E73984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56" w:type="pct"/>
                  <w:shd w:val="clear" w:color="auto" w:fill="FFFFFF"/>
                  <w:tcMar>
                    <w:top w:w="0" w:type="dxa"/>
                    <w:left w:w="0" w:type="dxa"/>
                    <w:bottom w:w="0" w:type="dxa"/>
                    <w:right w:w="0" w:type="dxa"/>
                  </w:tcMar>
                  <w:vAlign w:val="center"/>
                </w:tcPr>
                <w:p w14:paraId="3FAC51A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601DFBE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72.3</w:t>
                  </w:r>
                </w:p>
              </w:tc>
              <w:tc>
                <w:tcPr>
                  <w:tcW w:w="400" w:type="pct"/>
                  <w:vMerge w:val="continue"/>
                  <w:shd w:val="clear" w:color="auto" w:fill="FFFFFF"/>
                  <w:tcMar>
                    <w:top w:w="0" w:type="dxa"/>
                    <w:left w:w="0" w:type="dxa"/>
                    <w:bottom w:w="0" w:type="dxa"/>
                    <w:right w:w="0" w:type="dxa"/>
                  </w:tcMar>
                  <w:vAlign w:val="center"/>
                </w:tcPr>
                <w:p w14:paraId="2EAA5F85">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384ECD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7A3F6C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4700776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46.3</w:t>
                  </w:r>
                </w:p>
              </w:tc>
              <w:tc>
                <w:tcPr>
                  <w:tcW w:w="284" w:type="pct"/>
                  <w:shd w:val="clear" w:color="auto" w:fill="FFFFFF"/>
                  <w:tcMar>
                    <w:top w:w="0" w:type="dxa"/>
                    <w:left w:w="0" w:type="dxa"/>
                    <w:bottom w:w="0" w:type="dxa"/>
                    <w:right w:w="0" w:type="dxa"/>
                  </w:tcMar>
                  <w:vAlign w:val="center"/>
                </w:tcPr>
                <w:p w14:paraId="33E3BA0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6FF5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D2E362E">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82D5AFA">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D167AE6">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6D0C985B">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7DCF5975">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40AF35E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7A1246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8F5D4C6">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053D4CFA">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4F49EC8A">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E38049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8.7</w:t>
                  </w:r>
                </w:p>
              </w:tc>
              <w:tc>
                <w:tcPr>
                  <w:tcW w:w="156" w:type="pct"/>
                  <w:shd w:val="clear" w:color="auto" w:fill="FFFFFF"/>
                  <w:tcMar>
                    <w:top w:w="0" w:type="dxa"/>
                    <w:left w:w="0" w:type="dxa"/>
                    <w:bottom w:w="0" w:type="dxa"/>
                    <w:right w:w="0" w:type="dxa"/>
                  </w:tcMar>
                  <w:vAlign w:val="center"/>
                </w:tcPr>
                <w:p w14:paraId="163B2E6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974C87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400" w:type="pct"/>
                  <w:vMerge w:val="continue"/>
                  <w:shd w:val="clear" w:color="auto" w:fill="FFFFFF"/>
                  <w:tcMar>
                    <w:top w:w="0" w:type="dxa"/>
                    <w:left w:w="0" w:type="dxa"/>
                    <w:bottom w:w="0" w:type="dxa"/>
                    <w:right w:w="0" w:type="dxa"/>
                  </w:tcMar>
                  <w:vAlign w:val="center"/>
                </w:tcPr>
                <w:p w14:paraId="426E797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38CD8A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B4FDDC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07B438E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46.1</w:t>
                  </w:r>
                </w:p>
              </w:tc>
              <w:tc>
                <w:tcPr>
                  <w:tcW w:w="284" w:type="pct"/>
                  <w:shd w:val="clear" w:color="auto" w:fill="FFFFFF"/>
                  <w:tcMar>
                    <w:top w:w="0" w:type="dxa"/>
                    <w:left w:w="0" w:type="dxa"/>
                    <w:bottom w:w="0" w:type="dxa"/>
                    <w:right w:w="0" w:type="dxa"/>
                  </w:tcMar>
                  <w:vAlign w:val="center"/>
                </w:tcPr>
                <w:p w14:paraId="0BA6080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A6C0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1C9BFA1">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3B20AF0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434D46B">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33ECF09F">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3F3394BC">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17E255E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C3C0DA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6163E54">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12459DD7">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1749D8F9">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D376DC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11.2</w:t>
                  </w:r>
                </w:p>
              </w:tc>
              <w:tc>
                <w:tcPr>
                  <w:tcW w:w="156" w:type="pct"/>
                  <w:shd w:val="clear" w:color="auto" w:fill="FFFFFF"/>
                  <w:tcMar>
                    <w:top w:w="0" w:type="dxa"/>
                    <w:left w:w="0" w:type="dxa"/>
                    <w:bottom w:w="0" w:type="dxa"/>
                    <w:right w:w="0" w:type="dxa"/>
                  </w:tcMar>
                  <w:vAlign w:val="center"/>
                </w:tcPr>
                <w:p w14:paraId="12D33C6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073D96D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400" w:type="pct"/>
                  <w:vMerge w:val="continue"/>
                  <w:shd w:val="clear" w:color="auto" w:fill="FFFFFF"/>
                  <w:tcMar>
                    <w:top w:w="0" w:type="dxa"/>
                    <w:left w:w="0" w:type="dxa"/>
                    <w:bottom w:w="0" w:type="dxa"/>
                    <w:right w:w="0" w:type="dxa"/>
                  </w:tcMar>
                  <w:vAlign w:val="center"/>
                </w:tcPr>
                <w:p w14:paraId="28E648A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AF3A5C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173D9E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5935F20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46.1</w:t>
                  </w:r>
                </w:p>
              </w:tc>
              <w:tc>
                <w:tcPr>
                  <w:tcW w:w="284" w:type="pct"/>
                  <w:shd w:val="clear" w:color="auto" w:fill="FFFFFF"/>
                  <w:tcMar>
                    <w:top w:w="0" w:type="dxa"/>
                    <w:left w:w="0" w:type="dxa"/>
                    <w:bottom w:w="0" w:type="dxa"/>
                    <w:right w:w="0" w:type="dxa"/>
                  </w:tcMar>
                  <w:vAlign w:val="center"/>
                </w:tcPr>
                <w:p w14:paraId="109FF41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3A47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5F4D036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w:t>
                  </w:r>
                </w:p>
              </w:tc>
              <w:tc>
                <w:tcPr>
                  <w:tcW w:w="284" w:type="pct"/>
                  <w:vMerge w:val="continue"/>
                  <w:shd w:val="clear" w:color="auto" w:fill="FFFFFF"/>
                  <w:tcMar>
                    <w:top w:w="0" w:type="dxa"/>
                    <w:left w:w="0" w:type="dxa"/>
                    <w:bottom w:w="0" w:type="dxa"/>
                    <w:right w:w="0" w:type="dxa"/>
                  </w:tcMar>
                  <w:vAlign w:val="center"/>
                </w:tcPr>
                <w:p w14:paraId="69093108">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16BD1B6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油相输送泵</w:t>
                  </w:r>
                </w:p>
              </w:tc>
              <w:tc>
                <w:tcPr>
                  <w:tcW w:w="561" w:type="pct"/>
                  <w:vMerge w:val="restart"/>
                  <w:shd w:val="clear" w:color="auto" w:fill="FFFFFF"/>
                  <w:tcMar>
                    <w:top w:w="0" w:type="dxa"/>
                    <w:left w:w="0" w:type="dxa"/>
                    <w:bottom w:w="0" w:type="dxa"/>
                    <w:right w:w="0" w:type="dxa"/>
                  </w:tcMar>
                  <w:vAlign w:val="center"/>
                </w:tcPr>
                <w:p w14:paraId="712691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10t/h</w:t>
                  </w:r>
                </w:p>
              </w:tc>
              <w:tc>
                <w:tcPr>
                  <w:tcW w:w="450" w:type="pct"/>
                  <w:vMerge w:val="restart"/>
                  <w:shd w:val="clear" w:color="auto" w:fill="FFFFFF"/>
                  <w:tcMar>
                    <w:top w:w="0" w:type="dxa"/>
                    <w:left w:w="0" w:type="dxa"/>
                    <w:bottom w:w="0" w:type="dxa"/>
                    <w:right w:w="0" w:type="dxa"/>
                  </w:tcMar>
                  <w:vAlign w:val="center"/>
                </w:tcPr>
                <w:p w14:paraId="71E9956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1395806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018FEFA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-309.1</w:t>
                  </w:r>
                </w:p>
              </w:tc>
              <w:tc>
                <w:tcPr>
                  <w:tcW w:w="247" w:type="pct"/>
                  <w:vMerge w:val="restart"/>
                  <w:shd w:val="clear" w:color="auto" w:fill="FFFFFF"/>
                  <w:tcMar>
                    <w:top w:w="0" w:type="dxa"/>
                    <w:left w:w="0" w:type="dxa"/>
                    <w:bottom w:w="0" w:type="dxa"/>
                    <w:right w:w="0" w:type="dxa"/>
                  </w:tcMar>
                  <w:vAlign w:val="center"/>
                </w:tcPr>
                <w:p w14:paraId="7546C05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98.6</w:t>
                  </w:r>
                </w:p>
              </w:tc>
              <w:tc>
                <w:tcPr>
                  <w:tcW w:w="138" w:type="pct"/>
                  <w:vMerge w:val="restart"/>
                  <w:shd w:val="clear" w:color="auto" w:fill="FFFFFF"/>
                  <w:tcMar>
                    <w:top w:w="0" w:type="dxa"/>
                    <w:left w:w="0" w:type="dxa"/>
                    <w:bottom w:w="0" w:type="dxa"/>
                    <w:right w:w="0" w:type="dxa"/>
                  </w:tcMar>
                  <w:vAlign w:val="center"/>
                </w:tcPr>
                <w:p w14:paraId="4B09092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5316DF9E">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5ADFECE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w:t>
                  </w:r>
                </w:p>
              </w:tc>
              <w:tc>
                <w:tcPr>
                  <w:tcW w:w="156" w:type="pct"/>
                  <w:shd w:val="clear" w:color="auto" w:fill="FFFFFF"/>
                  <w:tcMar>
                    <w:top w:w="0" w:type="dxa"/>
                    <w:left w:w="0" w:type="dxa"/>
                    <w:bottom w:w="0" w:type="dxa"/>
                    <w:right w:w="0" w:type="dxa"/>
                  </w:tcMar>
                  <w:vAlign w:val="center"/>
                </w:tcPr>
                <w:p w14:paraId="50007CD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5E7F13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72.2</w:t>
                  </w:r>
                </w:p>
              </w:tc>
              <w:tc>
                <w:tcPr>
                  <w:tcW w:w="400" w:type="pct"/>
                  <w:vMerge w:val="restart"/>
                  <w:shd w:val="clear" w:color="auto" w:fill="FFFFFF"/>
                  <w:tcMar>
                    <w:top w:w="0" w:type="dxa"/>
                    <w:left w:w="0" w:type="dxa"/>
                    <w:bottom w:w="0" w:type="dxa"/>
                    <w:right w:w="0" w:type="dxa"/>
                  </w:tcMar>
                  <w:vAlign w:val="center"/>
                </w:tcPr>
                <w:p w14:paraId="0E73FE4A">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5A8AA1A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D0BEA6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9AB007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46.2</w:t>
                  </w:r>
                </w:p>
              </w:tc>
              <w:tc>
                <w:tcPr>
                  <w:tcW w:w="284" w:type="pct"/>
                  <w:shd w:val="clear" w:color="auto" w:fill="FFFFFF"/>
                  <w:tcMar>
                    <w:top w:w="0" w:type="dxa"/>
                    <w:left w:w="0" w:type="dxa"/>
                    <w:bottom w:w="0" w:type="dxa"/>
                    <w:right w:w="0" w:type="dxa"/>
                  </w:tcMar>
                  <w:vAlign w:val="center"/>
                </w:tcPr>
                <w:p w14:paraId="563C7CC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2E8E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ABDA2B4">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48ED2D7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3701FDC">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3AF7D959">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0692F1BF">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639048D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FFA51B6">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31D8F3C">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20E2D88">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45D4FEAA">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2A28229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w:t>
                  </w:r>
                </w:p>
              </w:tc>
              <w:tc>
                <w:tcPr>
                  <w:tcW w:w="156" w:type="pct"/>
                  <w:shd w:val="clear" w:color="auto" w:fill="FFFFFF"/>
                  <w:tcMar>
                    <w:top w:w="0" w:type="dxa"/>
                    <w:left w:w="0" w:type="dxa"/>
                    <w:bottom w:w="0" w:type="dxa"/>
                    <w:right w:w="0" w:type="dxa"/>
                  </w:tcMar>
                  <w:vAlign w:val="center"/>
                </w:tcPr>
                <w:p w14:paraId="0695712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3F9E5F4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72.3</w:t>
                  </w:r>
                </w:p>
              </w:tc>
              <w:tc>
                <w:tcPr>
                  <w:tcW w:w="400" w:type="pct"/>
                  <w:vMerge w:val="continue"/>
                  <w:shd w:val="clear" w:color="auto" w:fill="FFFFFF"/>
                  <w:tcMar>
                    <w:top w:w="0" w:type="dxa"/>
                    <w:left w:w="0" w:type="dxa"/>
                    <w:bottom w:w="0" w:type="dxa"/>
                    <w:right w:w="0" w:type="dxa"/>
                  </w:tcMar>
                  <w:vAlign w:val="center"/>
                </w:tcPr>
                <w:p w14:paraId="24E295B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067364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C433B7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CC9B2D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46.3</w:t>
                  </w:r>
                </w:p>
              </w:tc>
              <w:tc>
                <w:tcPr>
                  <w:tcW w:w="284" w:type="pct"/>
                  <w:shd w:val="clear" w:color="auto" w:fill="FFFFFF"/>
                  <w:tcMar>
                    <w:top w:w="0" w:type="dxa"/>
                    <w:left w:w="0" w:type="dxa"/>
                    <w:bottom w:w="0" w:type="dxa"/>
                    <w:right w:w="0" w:type="dxa"/>
                  </w:tcMar>
                  <w:vAlign w:val="center"/>
                </w:tcPr>
                <w:p w14:paraId="1E8BDE4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9439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ABEBB92">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5BF8F8F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50FBBA0">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5F291C52">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970AD7D">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4724DB5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AB9C1A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A23D470">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6416CBB4">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7E4F2B25">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354E606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w:t>
                  </w:r>
                </w:p>
              </w:tc>
              <w:tc>
                <w:tcPr>
                  <w:tcW w:w="156" w:type="pct"/>
                  <w:shd w:val="clear" w:color="auto" w:fill="FFFFFF"/>
                  <w:tcMar>
                    <w:top w:w="0" w:type="dxa"/>
                    <w:left w:w="0" w:type="dxa"/>
                    <w:bottom w:w="0" w:type="dxa"/>
                    <w:right w:w="0" w:type="dxa"/>
                  </w:tcMar>
                  <w:vAlign w:val="center"/>
                </w:tcPr>
                <w:p w14:paraId="18904ED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75BA59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72.3</w:t>
                  </w:r>
                </w:p>
              </w:tc>
              <w:tc>
                <w:tcPr>
                  <w:tcW w:w="400" w:type="pct"/>
                  <w:vMerge w:val="continue"/>
                  <w:shd w:val="clear" w:color="auto" w:fill="FFFFFF"/>
                  <w:tcMar>
                    <w:top w:w="0" w:type="dxa"/>
                    <w:left w:w="0" w:type="dxa"/>
                    <w:bottom w:w="0" w:type="dxa"/>
                    <w:right w:w="0" w:type="dxa"/>
                  </w:tcMar>
                  <w:vAlign w:val="center"/>
                </w:tcPr>
                <w:p w14:paraId="1B808CD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ACEC3D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C7DF77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5681DCB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46.3</w:t>
                  </w:r>
                </w:p>
              </w:tc>
              <w:tc>
                <w:tcPr>
                  <w:tcW w:w="284" w:type="pct"/>
                  <w:shd w:val="clear" w:color="auto" w:fill="FFFFFF"/>
                  <w:tcMar>
                    <w:top w:w="0" w:type="dxa"/>
                    <w:left w:w="0" w:type="dxa"/>
                    <w:bottom w:w="0" w:type="dxa"/>
                    <w:right w:w="0" w:type="dxa"/>
                  </w:tcMar>
                  <w:vAlign w:val="center"/>
                </w:tcPr>
                <w:p w14:paraId="0111331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30A7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F5D2FC4">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7232FE04">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CAAEC89">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193061A2">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18190FB3">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3F328C8B">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620289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61081E0">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1BB2B020">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4C717205">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30950D9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11.3</w:t>
                  </w:r>
                </w:p>
              </w:tc>
              <w:tc>
                <w:tcPr>
                  <w:tcW w:w="156" w:type="pct"/>
                  <w:shd w:val="clear" w:color="auto" w:fill="FFFFFF"/>
                  <w:tcMar>
                    <w:top w:w="0" w:type="dxa"/>
                    <w:left w:w="0" w:type="dxa"/>
                    <w:bottom w:w="0" w:type="dxa"/>
                    <w:right w:w="0" w:type="dxa"/>
                  </w:tcMar>
                  <w:vAlign w:val="center"/>
                </w:tcPr>
                <w:p w14:paraId="1E31C1B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0925253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400" w:type="pct"/>
                  <w:vMerge w:val="continue"/>
                  <w:shd w:val="clear" w:color="auto" w:fill="FFFFFF"/>
                  <w:tcMar>
                    <w:top w:w="0" w:type="dxa"/>
                    <w:left w:w="0" w:type="dxa"/>
                    <w:bottom w:w="0" w:type="dxa"/>
                    <w:right w:w="0" w:type="dxa"/>
                  </w:tcMar>
                  <w:vAlign w:val="center"/>
                </w:tcPr>
                <w:p w14:paraId="33D4257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FE7EDF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17B245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0C346FC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46.1</w:t>
                  </w:r>
                </w:p>
              </w:tc>
              <w:tc>
                <w:tcPr>
                  <w:tcW w:w="284" w:type="pct"/>
                  <w:shd w:val="clear" w:color="auto" w:fill="FFFFFF"/>
                  <w:tcMar>
                    <w:top w:w="0" w:type="dxa"/>
                    <w:left w:w="0" w:type="dxa"/>
                    <w:bottom w:w="0" w:type="dxa"/>
                    <w:right w:w="0" w:type="dxa"/>
                  </w:tcMar>
                  <w:vAlign w:val="center"/>
                </w:tcPr>
                <w:p w14:paraId="76B700E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E982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restart"/>
                  <w:shd w:val="clear" w:color="auto" w:fill="FFFFFF"/>
                  <w:tcMar>
                    <w:top w:w="0" w:type="dxa"/>
                    <w:left w:w="0" w:type="dxa"/>
                    <w:bottom w:w="0" w:type="dxa"/>
                    <w:right w:w="0" w:type="dxa"/>
                  </w:tcMar>
                  <w:vAlign w:val="center"/>
                </w:tcPr>
                <w:p w14:paraId="3FFDA20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w:t>
                  </w:r>
                </w:p>
              </w:tc>
              <w:tc>
                <w:tcPr>
                  <w:tcW w:w="284" w:type="pct"/>
                  <w:vMerge w:val="continue"/>
                  <w:shd w:val="clear" w:color="auto" w:fill="FFFFFF"/>
                  <w:tcMar>
                    <w:top w:w="0" w:type="dxa"/>
                    <w:left w:w="0" w:type="dxa"/>
                    <w:bottom w:w="0" w:type="dxa"/>
                    <w:right w:w="0" w:type="dxa"/>
                  </w:tcMar>
                  <w:vAlign w:val="center"/>
                </w:tcPr>
                <w:p w14:paraId="01A8960B">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204EF9F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热水泵</w:t>
                  </w:r>
                </w:p>
              </w:tc>
              <w:tc>
                <w:tcPr>
                  <w:tcW w:w="561" w:type="pct"/>
                  <w:vMerge w:val="restart"/>
                  <w:shd w:val="clear" w:color="auto" w:fill="FFFFFF"/>
                  <w:tcMar>
                    <w:top w:w="0" w:type="dxa"/>
                    <w:left w:w="0" w:type="dxa"/>
                    <w:bottom w:w="0" w:type="dxa"/>
                    <w:right w:w="0" w:type="dxa"/>
                  </w:tcMar>
                  <w:vAlign w:val="center"/>
                </w:tcPr>
                <w:p w14:paraId="15C24AA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10t/h</w:t>
                  </w:r>
                </w:p>
              </w:tc>
              <w:tc>
                <w:tcPr>
                  <w:tcW w:w="450" w:type="pct"/>
                  <w:vMerge w:val="restart"/>
                  <w:shd w:val="clear" w:color="auto" w:fill="FFFFFF"/>
                  <w:tcMar>
                    <w:top w:w="0" w:type="dxa"/>
                    <w:left w:w="0" w:type="dxa"/>
                    <w:bottom w:w="0" w:type="dxa"/>
                    <w:right w:w="0" w:type="dxa"/>
                  </w:tcMar>
                  <w:vAlign w:val="center"/>
                </w:tcPr>
                <w:p w14:paraId="77BC10F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6023FE5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7FE5210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-310.9</w:t>
                  </w:r>
                </w:p>
              </w:tc>
              <w:tc>
                <w:tcPr>
                  <w:tcW w:w="247" w:type="pct"/>
                  <w:vMerge w:val="restart"/>
                  <w:shd w:val="clear" w:color="auto" w:fill="FFFFFF"/>
                  <w:tcMar>
                    <w:top w:w="0" w:type="dxa"/>
                    <w:left w:w="0" w:type="dxa"/>
                    <w:bottom w:w="0" w:type="dxa"/>
                    <w:right w:w="0" w:type="dxa"/>
                  </w:tcMar>
                  <w:vAlign w:val="center"/>
                </w:tcPr>
                <w:p w14:paraId="0F3ED1C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105.8</w:t>
                  </w:r>
                </w:p>
              </w:tc>
              <w:tc>
                <w:tcPr>
                  <w:tcW w:w="138" w:type="pct"/>
                  <w:vMerge w:val="restart"/>
                  <w:shd w:val="clear" w:color="auto" w:fill="FFFFFF"/>
                  <w:tcMar>
                    <w:top w:w="0" w:type="dxa"/>
                    <w:left w:w="0" w:type="dxa"/>
                    <w:bottom w:w="0" w:type="dxa"/>
                    <w:right w:w="0" w:type="dxa"/>
                  </w:tcMar>
                  <w:vAlign w:val="center"/>
                </w:tcPr>
                <w:p w14:paraId="29795BD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2B810F1A">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1D5871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9.4</w:t>
                  </w:r>
                </w:p>
              </w:tc>
              <w:tc>
                <w:tcPr>
                  <w:tcW w:w="156" w:type="pct"/>
                  <w:shd w:val="clear" w:color="auto" w:fill="FFFFFF"/>
                  <w:tcMar>
                    <w:top w:w="0" w:type="dxa"/>
                    <w:left w:w="0" w:type="dxa"/>
                    <w:bottom w:w="0" w:type="dxa"/>
                    <w:right w:w="0" w:type="dxa"/>
                  </w:tcMar>
                  <w:vAlign w:val="center"/>
                </w:tcPr>
                <w:p w14:paraId="1BB269F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213666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400" w:type="pct"/>
                  <w:vMerge w:val="restart"/>
                  <w:shd w:val="clear" w:color="auto" w:fill="FFFFFF"/>
                  <w:tcMar>
                    <w:top w:w="0" w:type="dxa"/>
                    <w:left w:w="0" w:type="dxa"/>
                    <w:bottom w:w="0" w:type="dxa"/>
                    <w:right w:w="0" w:type="dxa"/>
                  </w:tcMar>
                  <w:vAlign w:val="center"/>
                </w:tcPr>
                <w:p w14:paraId="1A5C9A16">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0BBEBEC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6BDDCDD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72EDDF3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46.1</w:t>
                  </w:r>
                </w:p>
              </w:tc>
              <w:tc>
                <w:tcPr>
                  <w:tcW w:w="284" w:type="pct"/>
                  <w:shd w:val="clear" w:color="auto" w:fill="FFFFFF"/>
                  <w:tcMar>
                    <w:top w:w="0" w:type="dxa"/>
                    <w:left w:w="0" w:type="dxa"/>
                    <w:bottom w:w="0" w:type="dxa"/>
                    <w:right w:w="0" w:type="dxa"/>
                  </w:tcMar>
                  <w:vAlign w:val="center"/>
                </w:tcPr>
                <w:p w14:paraId="6CAB7FE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3457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C32F282">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035B3468">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47862D3">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5054A9E7">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1E52F9DC">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79F3803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215380B">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09C4B57">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2A7281C8">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2137AB81">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9B501A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w:t>
                  </w:r>
                </w:p>
              </w:tc>
              <w:tc>
                <w:tcPr>
                  <w:tcW w:w="156" w:type="pct"/>
                  <w:shd w:val="clear" w:color="auto" w:fill="FFFFFF"/>
                  <w:tcMar>
                    <w:top w:w="0" w:type="dxa"/>
                    <w:left w:w="0" w:type="dxa"/>
                    <w:bottom w:w="0" w:type="dxa"/>
                    <w:right w:w="0" w:type="dxa"/>
                  </w:tcMar>
                  <w:vAlign w:val="center"/>
                </w:tcPr>
                <w:p w14:paraId="69A3C38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5F32F60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400" w:type="pct"/>
                  <w:vMerge w:val="continue"/>
                  <w:shd w:val="clear" w:color="auto" w:fill="FFFFFF"/>
                  <w:tcMar>
                    <w:top w:w="0" w:type="dxa"/>
                    <w:left w:w="0" w:type="dxa"/>
                    <w:bottom w:w="0" w:type="dxa"/>
                    <w:right w:w="0" w:type="dxa"/>
                  </w:tcMar>
                  <w:vAlign w:val="center"/>
                </w:tcPr>
                <w:p w14:paraId="2AFD7C4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1839EA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B3AE5E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9BD772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46.1</w:t>
                  </w:r>
                </w:p>
              </w:tc>
              <w:tc>
                <w:tcPr>
                  <w:tcW w:w="284" w:type="pct"/>
                  <w:shd w:val="clear" w:color="auto" w:fill="FFFFFF"/>
                  <w:tcMar>
                    <w:top w:w="0" w:type="dxa"/>
                    <w:left w:w="0" w:type="dxa"/>
                    <w:bottom w:w="0" w:type="dxa"/>
                    <w:right w:w="0" w:type="dxa"/>
                  </w:tcMar>
                  <w:vAlign w:val="center"/>
                </w:tcPr>
                <w:p w14:paraId="4031A63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9553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1973F7D">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99F95D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ACE8959">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650ED236">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618300EF">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725B3EB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BC820D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26D8969">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12FD0B0">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4D08CD94">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7E4E4BC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56" w:type="pct"/>
                  <w:shd w:val="clear" w:color="auto" w:fill="FFFFFF"/>
                  <w:tcMar>
                    <w:top w:w="0" w:type="dxa"/>
                    <w:left w:w="0" w:type="dxa"/>
                    <w:bottom w:w="0" w:type="dxa"/>
                    <w:right w:w="0" w:type="dxa"/>
                  </w:tcMar>
                  <w:vAlign w:val="center"/>
                </w:tcPr>
                <w:p w14:paraId="06BA1B0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78FAEE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72.4</w:t>
                  </w:r>
                </w:p>
              </w:tc>
              <w:tc>
                <w:tcPr>
                  <w:tcW w:w="400" w:type="pct"/>
                  <w:vMerge w:val="continue"/>
                  <w:shd w:val="clear" w:color="auto" w:fill="FFFFFF"/>
                  <w:tcMar>
                    <w:top w:w="0" w:type="dxa"/>
                    <w:left w:w="0" w:type="dxa"/>
                    <w:bottom w:w="0" w:type="dxa"/>
                    <w:right w:w="0" w:type="dxa"/>
                  </w:tcMar>
                  <w:vAlign w:val="center"/>
                </w:tcPr>
                <w:p w14:paraId="7B6836E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4B8C21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FE5224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028FBBD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46.4</w:t>
                  </w:r>
                </w:p>
              </w:tc>
              <w:tc>
                <w:tcPr>
                  <w:tcW w:w="284" w:type="pct"/>
                  <w:shd w:val="clear" w:color="auto" w:fill="FFFFFF"/>
                  <w:tcMar>
                    <w:top w:w="0" w:type="dxa"/>
                    <w:left w:w="0" w:type="dxa"/>
                    <w:bottom w:w="0" w:type="dxa"/>
                    <w:right w:w="0" w:type="dxa"/>
                  </w:tcMar>
                  <w:vAlign w:val="center"/>
                </w:tcPr>
                <w:p w14:paraId="1297F94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F2ED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9279CF4">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3BCE275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5E23363">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4E88716">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125BCECB">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1D4E35C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1AAFFB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5FDD269">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4D829D50">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503F4611">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7FEAB7F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w:t>
                  </w:r>
                </w:p>
              </w:tc>
              <w:tc>
                <w:tcPr>
                  <w:tcW w:w="156" w:type="pct"/>
                  <w:shd w:val="clear" w:color="auto" w:fill="FFFFFF"/>
                  <w:tcMar>
                    <w:top w:w="0" w:type="dxa"/>
                    <w:left w:w="0" w:type="dxa"/>
                    <w:bottom w:w="0" w:type="dxa"/>
                    <w:right w:w="0" w:type="dxa"/>
                  </w:tcMar>
                  <w:vAlign w:val="center"/>
                </w:tcPr>
                <w:p w14:paraId="7D8DD85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3989635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72.3</w:t>
                  </w:r>
                </w:p>
              </w:tc>
              <w:tc>
                <w:tcPr>
                  <w:tcW w:w="400" w:type="pct"/>
                  <w:vMerge w:val="continue"/>
                  <w:shd w:val="clear" w:color="auto" w:fill="FFFFFF"/>
                  <w:tcMar>
                    <w:top w:w="0" w:type="dxa"/>
                    <w:left w:w="0" w:type="dxa"/>
                    <w:bottom w:w="0" w:type="dxa"/>
                    <w:right w:w="0" w:type="dxa"/>
                  </w:tcMar>
                  <w:vAlign w:val="center"/>
                </w:tcPr>
                <w:p w14:paraId="31B82F8C">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CEABBC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F125A2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F5F85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46.3</w:t>
                  </w:r>
                </w:p>
              </w:tc>
              <w:tc>
                <w:tcPr>
                  <w:tcW w:w="284" w:type="pct"/>
                  <w:shd w:val="clear" w:color="auto" w:fill="FFFFFF"/>
                  <w:tcMar>
                    <w:top w:w="0" w:type="dxa"/>
                    <w:left w:w="0" w:type="dxa"/>
                    <w:bottom w:w="0" w:type="dxa"/>
                    <w:right w:w="0" w:type="dxa"/>
                  </w:tcMar>
                  <w:vAlign w:val="center"/>
                </w:tcPr>
                <w:p w14:paraId="4236774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9FF6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restart"/>
                  <w:shd w:val="clear" w:color="auto" w:fill="FFFFFF"/>
                  <w:tcMar>
                    <w:top w:w="0" w:type="dxa"/>
                    <w:left w:w="0" w:type="dxa"/>
                    <w:bottom w:w="0" w:type="dxa"/>
                    <w:right w:w="0" w:type="dxa"/>
                  </w:tcMar>
                  <w:vAlign w:val="center"/>
                </w:tcPr>
                <w:p w14:paraId="6A08573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5</w:t>
                  </w:r>
                </w:p>
              </w:tc>
              <w:tc>
                <w:tcPr>
                  <w:tcW w:w="284" w:type="pct"/>
                  <w:vMerge w:val="restart"/>
                  <w:shd w:val="clear" w:color="auto" w:fill="FFFFFF"/>
                  <w:tcMar>
                    <w:top w:w="0" w:type="dxa"/>
                    <w:left w:w="0" w:type="dxa"/>
                    <w:bottom w:w="0" w:type="dxa"/>
                    <w:right w:w="0" w:type="dxa"/>
                  </w:tcMar>
                  <w:vAlign w:val="center"/>
                </w:tcPr>
                <w:p w14:paraId="3F283BF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乳化炸药震源药柱生产工房</w:t>
                  </w:r>
                </w:p>
              </w:tc>
              <w:tc>
                <w:tcPr>
                  <w:tcW w:w="292" w:type="pct"/>
                  <w:vMerge w:val="restart"/>
                  <w:shd w:val="clear" w:color="auto" w:fill="FFFFFF"/>
                  <w:tcMar>
                    <w:top w:w="0" w:type="dxa"/>
                    <w:left w:w="0" w:type="dxa"/>
                    <w:bottom w:w="0" w:type="dxa"/>
                    <w:right w:w="0" w:type="dxa"/>
                  </w:tcMar>
                  <w:vAlign w:val="center"/>
                </w:tcPr>
                <w:p w14:paraId="18746E1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水相输送泵</w:t>
                  </w:r>
                </w:p>
              </w:tc>
              <w:tc>
                <w:tcPr>
                  <w:tcW w:w="561" w:type="pct"/>
                  <w:vMerge w:val="restart"/>
                  <w:shd w:val="clear" w:color="auto" w:fill="FFFFFF"/>
                  <w:tcMar>
                    <w:top w:w="0" w:type="dxa"/>
                    <w:left w:w="0" w:type="dxa"/>
                    <w:bottom w:w="0" w:type="dxa"/>
                    <w:right w:w="0" w:type="dxa"/>
                  </w:tcMar>
                  <w:vAlign w:val="center"/>
                </w:tcPr>
                <w:p w14:paraId="1EDA4B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非标，6t/h</w:t>
                  </w:r>
                </w:p>
              </w:tc>
              <w:tc>
                <w:tcPr>
                  <w:tcW w:w="450" w:type="pct"/>
                  <w:vMerge w:val="restart"/>
                  <w:shd w:val="clear" w:color="auto" w:fill="FFFFFF"/>
                  <w:tcMar>
                    <w:top w:w="0" w:type="dxa"/>
                    <w:left w:w="0" w:type="dxa"/>
                    <w:bottom w:w="0" w:type="dxa"/>
                    <w:right w:w="0" w:type="dxa"/>
                  </w:tcMar>
                  <w:vAlign w:val="center"/>
                </w:tcPr>
                <w:p w14:paraId="035C156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2CBB130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7F55618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-196.7</w:t>
                  </w:r>
                </w:p>
              </w:tc>
              <w:tc>
                <w:tcPr>
                  <w:tcW w:w="247" w:type="pct"/>
                  <w:vMerge w:val="restart"/>
                  <w:shd w:val="clear" w:color="auto" w:fill="FFFFFF"/>
                  <w:tcMar>
                    <w:top w:w="0" w:type="dxa"/>
                    <w:left w:w="0" w:type="dxa"/>
                    <w:bottom w:w="0" w:type="dxa"/>
                    <w:right w:w="0" w:type="dxa"/>
                  </w:tcMar>
                  <w:vAlign w:val="center"/>
                </w:tcPr>
                <w:p w14:paraId="1463139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64.2</w:t>
                  </w:r>
                </w:p>
              </w:tc>
              <w:tc>
                <w:tcPr>
                  <w:tcW w:w="138" w:type="pct"/>
                  <w:vMerge w:val="restart"/>
                  <w:shd w:val="clear" w:color="auto" w:fill="FFFFFF"/>
                  <w:tcMar>
                    <w:top w:w="0" w:type="dxa"/>
                    <w:left w:w="0" w:type="dxa"/>
                    <w:bottom w:w="0" w:type="dxa"/>
                    <w:right w:w="0" w:type="dxa"/>
                  </w:tcMar>
                  <w:vAlign w:val="center"/>
                </w:tcPr>
                <w:p w14:paraId="3BDB5D5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1D65EA03">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A3E1ED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w:t>
                  </w:r>
                </w:p>
              </w:tc>
              <w:tc>
                <w:tcPr>
                  <w:tcW w:w="156" w:type="pct"/>
                  <w:shd w:val="clear" w:color="auto" w:fill="FFFFFF"/>
                  <w:tcMar>
                    <w:top w:w="0" w:type="dxa"/>
                    <w:left w:w="0" w:type="dxa"/>
                    <w:bottom w:w="0" w:type="dxa"/>
                    <w:right w:w="0" w:type="dxa"/>
                  </w:tcMar>
                  <w:vAlign w:val="center"/>
                </w:tcPr>
                <w:p w14:paraId="45727C1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D8BEC0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66.2</w:t>
                  </w:r>
                </w:p>
              </w:tc>
              <w:tc>
                <w:tcPr>
                  <w:tcW w:w="400" w:type="pct"/>
                  <w:vMerge w:val="restart"/>
                  <w:shd w:val="clear" w:color="auto" w:fill="FFFFFF"/>
                  <w:tcMar>
                    <w:top w:w="0" w:type="dxa"/>
                    <w:left w:w="0" w:type="dxa"/>
                    <w:bottom w:w="0" w:type="dxa"/>
                    <w:right w:w="0" w:type="dxa"/>
                  </w:tcMar>
                  <w:vAlign w:val="center"/>
                </w:tcPr>
                <w:p w14:paraId="30FFA547">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5AB0EDB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5579E8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58EA046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284" w:type="pct"/>
                  <w:shd w:val="clear" w:color="auto" w:fill="FFFFFF"/>
                  <w:tcMar>
                    <w:top w:w="0" w:type="dxa"/>
                    <w:left w:w="0" w:type="dxa"/>
                    <w:bottom w:w="0" w:type="dxa"/>
                    <w:right w:w="0" w:type="dxa"/>
                  </w:tcMar>
                  <w:vAlign w:val="center"/>
                </w:tcPr>
                <w:p w14:paraId="6FF9E15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9D59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E7BEAA3">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044BA42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BFFB9B8">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3F496068">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418FD27E">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3D50DBB0">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FEDA410">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137D015">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771F98F">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72F1FC3E">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751C28D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80.8</w:t>
                  </w:r>
                </w:p>
              </w:tc>
              <w:tc>
                <w:tcPr>
                  <w:tcW w:w="156" w:type="pct"/>
                  <w:shd w:val="clear" w:color="auto" w:fill="FFFFFF"/>
                  <w:tcMar>
                    <w:top w:w="0" w:type="dxa"/>
                    <w:left w:w="0" w:type="dxa"/>
                    <w:bottom w:w="0" w:type="dxa"/>
                    <w:right w:w="0" w:type="dxa"/>
                  </w:tcMar>
                  <w:vAlign w:val="center"/>
                </w:tcPr>
                <w:p w14:paraId="2D4E01C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D5E62C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65.5</w:t>
                  </w:r>
                </w:p>
              </w:tc>
              <w:tc>
                <w:tcPr>
                  <w:tcW w:w="400" w:type="pct"/>
                  <w:vMerge w:val="continue"/>
                  <w:shd w:val="clear" w:color="auto" w:fill="FFFFFF"/>
                  <w:tcMar>
                    <w:top w:w="0" w:type="dxa"/>
                    <w:left w:w="0" w:type="dxa"/>
                    <w:bottom w:w="0" w:type="dxa"/>
                    <w:right w:w="0" w:type="dxa"/>
                  </w:tcMar>
                  <w:vAlign w:val="center"/>
                </w:tcPr>
                <w:p w14:paraId="6E3CD9D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AB106C3">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99D5EB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4A3FFD7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39.5</w:t>
                  </w:r>
                </w:p>
              </w:tc>
              <w:tc>
                <w:tcPr>
                  <w:tcW w:w="284" w:type="pct"/>
                  <w:shd w:val="clear" w:color="auto" w:fill="FFFFFF"/>
                  <w:tcMar>
                    <w:top w:w="0" w:type="dxa"/>
                    <w:left w:w="0" w:type="dxa"/>
                    <w:bottom w:w="0" w:type="dxa"/>
                    <w:right w:w="0" w:type="dxa"/>
                  </w:tcMar>
                  <w:vAlign w:val="center"/>
                </w:tcPr>
                <w:p w14:paraId="45BFB0C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787C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757D1260">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3382A3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695911A">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6BEB3C6D">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027F0AE7">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34D91BB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38D6A4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6C6A162">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09A16E2C">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5CE1259C">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8E2DC1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14.7</w:t>
                  </w:r>
                </w:p>
              </w:tc>
              <w:tc>
                <w:tcPr>
                  <w:tcW w:w="156" w:type="pct"/>
                  <w:shd w:val="clear" w:color="auto" w:fill="FFFFFF"/>
                  <w:tcMar>
                    <w:top w:w="0" w:type="dxa"/>
                    <w:left w:w="0" w:type="dxa"/>
                    <w:bottom w:w="0" w:type="dxa"/>
                    <w:right w:w="0" w:type="dxa"/>
                  </w:tcMar>
                  <w:vAlign w:val="center"/>
                </w:tcPr>
                <w:p w14:paraId="13C6EB5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4C7E75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65.6</w:t>
                  </w:r>
                </w:p>
              </w:tc>
              <w:tc>
                <w:tcPr>
                  <w:tcW w:w="400" w:type="pct"/>
                  <w:vMerge w:val="continue"/>
                  <w:shd w:val="clear" w:color="auto" w:fill="FFFFFF"/>
                  <w:tcMar>
                    <w:top w:w="0" w:type="dxa"/>
                    <w:left w:w="0" w:type="dxa"/>
                    <w:bottom w:w="0" w:type="dxa"/>
                    <w:right w:w="0" w:type="dxa"/>
                  </w:tcMar>
                  <w:vAlign w:val="center"/>
                </w:tcPr>
                <w:p w14:paraId="304774B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E16BF9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E2F5AA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36F5A58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39.6</w:t>
                  </w:r>
                </w:p>
              </w:tc>
              <w:tc>
                <w:tcPr>
                  <w:tcW w:w="284" w:type="pct"/>
                  <w:shd w:val="clear" w:color="auto" w:fill="FFFFFF"/>
                  <w:tcMar>
                    <w:top w:w="0" w:type="dxa"/>
                    <w:left w:w="0" w:type="dxa"/>
                    <w:bottom w:w="0" w:type="dxa"/>
                    <w:right w:w="0" w:type="dxa"/>
                  </w:tcMar>
                  <w:vAlign w:val="center"/>
                </w:tcPr>
                <w:p w14:paraId="3449084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5760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FE98402">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4905429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A8CB4B3">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246BFB3F">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0C2C8D2">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67ACDC7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35F825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A59757B">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660DE2E8">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52EF6D54">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F3C240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56" w:type="pct"/>
                  <w:shd w:val="clear" w:color="auto" w:fill="FFFFFF"/>
                  <w:tcMar>
                    <w:top w:w="0" w:type="dxa"/>
                    <w:left w:w="0" w:type="dxa"/>
                    <w:bottom w:w="0" w:type="dxa"/>
                    <w:right w:w="0" w:type="dxa"/>
                  </w:tcMar>
                  <w:vAlign w:val="center"/>
                </w:tcPr>
                <w:p w14:paraId="2E170BF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6043CA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65.7</w:t>
                  </w:r>
                </w:p>
              </w:tc>
              <w:tc>
                <w:tcPr>
                  <w:tcW w:w="400" w:type="pct"/>
                  <w:vMerge w:val="continue"/>
                  <w:shd w:val="clear" w:color="auto" w:fill="FFFFFF"/>
                  <w:tcMar>
                    <w:top w:w="0" w:type="dxa"/>
                    <w:left w:w="0" w:type="dxa"/>
                    <w:bottom w:w="0" w:type="dxa"/>
                    <w:right w:w="0" w:type="dxa"/>
                  </w:tcMar>
                  <w:vAlign w:val="center"/>
                </w:tcPr>
                <w:p w14:paraId="1EDFBC0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D27EDB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7CD766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199A67E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39.7</w:t>
                  </w:r>
                </w:p>
              </w:tc>
              <w:tc>
                <w:tcPr>
                  <w:tcW w:w="284" w:type="pct"/>
                  <w:shd w:val="clear" w:color="auto" w:fill="FFFFFF"/>
                  <w:tcMar>
                    <w:top w:w="0" w:type="dxa"/>
                    <w:left w:w="0" w:type="dxa"/>
                    <w:bottom w:w="0" w:type="dxa"/>
                    <w:right w:w="0" w:type="dxa"/>
                  </w:tcMar>
                  <w:vAlign w:val="center"/>
                </w:tcPr>
                <w:p w14:paraId="157A143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7524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197" w:hRule="atLeast"/>
                <w:jc w:val="center"/>
              </w:trPr>
              <w:tc>
                <w:tcPr>
                  <w:tcW w:w="182" w:type="pct"/>
                  <w:vMerge w:val="restart"/>
                  <w:shd w:val="clear" w:color="auto" w:fill="FFFFFF"/>
                  <w:tcMar>
                    <w:top w:w="0" w:type="dxa"/>
                    <w:left w:w="0" w:type="dxa"/>
                    <w:bottom w:w="0" w:type="dxa"/>
                    <w:right w:w="0" w:type="dxa"/>
                  </w:tcMar>
                  <w:vAlign w:val="center"/>
                </w:tcPr>
                <w:p w14:paraId="6E315A3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6</w:t>
                  </w:r>
                </w:p>
              </w:tc>
              <w:tc>
                <w:tcPr>
                  <w:tcW w:w="284" w:type="pct"/>
                  <w:vMerge w:val="continue"/>
                  <w:shd w:val="clear" w:color="auto" w:fill="FFFFFF"/>
                  <w:tcMar>
                    <w:top w:w="0" w:type="dxa"/>
                    <w:left w:w="0" w:type="dxa"/>
                    <w:bottom w:w="0" w:type="dxa"/>
                    <w:right w:w="0" w:type="dxa"/>
                  </w:tcMar>
                  <w:vAlign w:val="center"/>
                </w:tcPr>
                <w:p w14:paraId="637F3160">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6C11017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油相输送泵</w:t>
                  </w:r>
                </w:p>
              </w:tc>
              <w:tc>
                <w:tcPr>
                  <w:tcW w:w="561" w:type="pct"/>
                  <w:vMerge w:val="restart"/>
                  <w:shd w:val="clear" w:color="auto" w:fill="FFFFFF"/>
                  <w:tcMar>
                    <w:top w:w="0" w:type="dxa"/>
                    <w:left w:w="0" w:type="dxa"/>
                    <w:bottom w:w="0" w:type="dxa"/>
                    <w:right w:w="0" w:type="dxa"/>
                  </w:tcMar>
                  <w:vAlign w:val="center"/>
                </w:tcPr>
                <w:p w14:paraId="27C5426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非标，1t/h</w:t>
                  </w:r>
                </w:p>
              </w:tc>
              <w:tc>
                <w:tcPr>
                  <w:tcW w:w="450" w:type="pct"/>
                  <w:vMerge w:val="restart"/>
                  <w:shd w:val="clear" w:color="auto" w:fill="FFFFFF"/>
                  <w:tcMar>
                    <w:top w:w="0" w:type="dxa"/>
                    <w:left w:w="0" w:type="dxa"/>
                    <w:bottom w:w="0" w:type="dxa"/>
                    <w:right w:w="0" w:type="dxa"/>
                  </w:tcMar>
                  <w:vAlign w:val="center"/>
                </w:tcPr>
                <w:p w14:paraId="1ADD5B2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27E2A6B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1DD3FC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-205.6</w:t>
                  </w:r>
                </w:p>
              </w:tc>
              <w:tc>
                <w:tcPr>
                  <w:tcW w:w="247" w:type="pct"/>
                  <w:vMerge w:val="restart"/>
                  <w:shd w:val="clear" w:color="auto" w:fill="FFFFFF"/>
                  <w:tcMar>
                    <w:top w:w="0" w:type="dxa"/>
                    <w:left w:w="0" w:type="dxa"/>
                    <w:bottom w:w="0" w:type="dxa"/>
                    <w:right w:w="0" w:type="dxa"/>
                  </w:tcMar>
                  <w:vAlign w:val="center"/>
                </w:tcPr>
                <w:p w14:paraId="7502B04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61.6</w:t>
                  </w:r>
                </w:p>
              </w:tc>
              <w:tc>
                <w:tcPr>
                  <w:tcW w:w="138" w:type="pct"/>
                  <w:vMerge w:val="restart"/>
                  <w:shd w:val="clear" w:color="auto" w:fill="FFFFFF"/>
                  <w:tcMar>
                    <w:top w:w="0" w:type="dxa"/>
                    <w:left w:w="0" w:type="dxa"/>
                    <w:bottom w:w="0" w:type="dxa"/>
                    <w:right w:w="0" w:type="dxa"/>
                  </w:tcMar>
                  <w:vAlign w:val="center"/>
                </w:tcPr>
                <w:p w14:paraId="08FC291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6D129512">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C77B3B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56" w:type="pct"/>
                  <w:shd w:val="clear" w:color="auto" w:fill="FFFFFF"/>
                  <w:tcMar>
                    <w:top w:w="0" w:type="dxa"/>
                    <w:left w:w="0" w:type="dxa"/>
                    <w:bottom w:w="0" w:type="dxa"/>
                    <w:right w:w="0" w:type="dxa"/>
                  </w:tcMar>
                  <w:vAlign w:val="center"/>
                </w:tcPr>
                <w:p w14:paraId="7B9CADF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4C7162B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65.6</w:t>
                  </w:r>
                </w:p>
              </w:tc>
              <w:tc>
                <w:tcPr>
                  <w:tcW w:w="400" w:type="pct"/>
                  <w:vMerge w:val="restart"/>
                  <w:shd w:val="clear" w:color="auto" w:fill="FFFFFF"/>
                  <w:tcMar>
                    <w:top w:w="0" w:type="dxa"/>
                    <w:left w:w="0" w:type="dxa"/>
                    <w:bottom w:w="0" w:type="dxa"/>
                    <w:right w:w="0" w:type="dxa"/>
                  </w:tcMar>
                  <w:vAlign w:val="center"/>
                </w:tcPr>
                <w:p w14:paraId="58EFA315">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EA6008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DF1A24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91D9BE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39.6</w:t>
                  </w:r>
                </w:p>
              </w:tc>
              <w:tc>
                <w:tcPr>
                  <w:tcW w:w="284" w:type="pct"/>
                  <w:shd w:val="clear" w:color="auto" w:fill="FFFFFF"/>
                  <w:tcMar>
                    <w:top w:w="0" w:type="dxa"/>
                    <w:left w:w="0" w:type="dxa"/>
                    <w:bottom w:w="0" w:type="dxa"/>
                    <w:right w:w="0" w:type="dxa"/>
                  </w:tcMar>
                  <w:vAlign w:val="center"/>
                </w:tcPr>
                <w:p w14:paraId="2A21B37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E711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303D00D">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738C30B8">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B264F80">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0DA00E24">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F0184A7">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6179F01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1D97C5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F6191E9">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6A2BD8D">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3478BAB9">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304BA29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80.9</w:t>
                  </w:r>
                </w:p>
              </w:tc>
              <w:tc>
                <w:tcPr>
                  <w:tcW w:w="156" w:type="pct"/>
                  <w:shd w:val="clear" w:color="auto" w:fill="FFFFFF"/>
                  <w:tcMar>
                    <w:top w:w="0" w:type="dxa"/>
                    <w:left w:w="0" w:type="dxa"/>
                    <w:bottom w:w="0" w:type="dxa"/>
                    <w:right w:w="0" w:type="dxa"/>
                  </w:tcMar>
                  <w:vAlign w:val="center"/>
                </w:tcPr>
                <w:p w14:paraId="47D64E6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63BDB39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65.5</w:t>
                  </w:r>
                </w:p>
              </w:tc>
              <w:tc>
                <w:tcPr>
                  <w:tcW w:w="400" w:type="pct"/>
                  <w:vMerge w:val="continue"/>
                  <w:shd w:val="clear" w:color="auto" w:fill="FFFFFF"/>
                  <w:tcMar>
                    <w:top w:w="0" w:type="dxa"/>
                    <w:left w:w="0" w:type="dxa"/>
                    <w:bottom w:w="0" w:type="dxa"/>
                    <w:right w:w="0" w:type="dxa"/>
                  </w:tcMar>
                  <w:vAlign w:val="center"/>
                </w:tcPr>
                <w:p w14:paraId="042084AD">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8FE2F9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07DC1C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FD0190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39.5</w:t>
                  </w:r>
                </w:p>
              </w:tc>
              <w:tc>
                <w:tcPr>
                  <w:tcW w:w="284" w:type="pct"/>
                  <w:shd w:val="clear" w:color="auto" w:fill="FFFFFF"/>
                  <w:tcMar>
                    <w:top w:w="0" w:type="dxa"/>
                    <w:left w:w="0" w:type="dxa"/>
                    <w:bottom w:w="0" w:type="dxa"/>
                    <w:right w:w="0" w:type="dxa"/>
                  </w:tcMar>
                  <w:vAlign w:val="center"/>
                </w:tcPr>
                <w:p w14:paraId="7B2BCE0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1192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780D306F">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36CBFF9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17DA945">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8A9E77F">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4D80AFF5">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4AD5E93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174ACE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6ADCD99">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34DD6E48">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78DE54B9">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260BAA8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w:t>
                  </w:r>
                </w:p>
              </w:tc>
              <w:tc>
                <w:tcPr>
                  <w:tcW w:w="156" w:type="pct"/>
                  <w:shd w:val="clear" w:color="auto" w:fill="FFFFFF"/>
                  <w:tcMar>
                    <w:top w:w="0" w:type="dxa"/>
                    <w:left w:w="0" w:type="dxa"/>
                    <w:bottom w:w="0" w:type="dxa"/>
                    <w:right w:w="0" w:type="dxa"/>
                  </w:tcMar>
                  <w:vAlign w:val="center"/>
                </w:tcPr>
                <w:p w14:paraId="4069D5A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5E973C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65.8</w:t>
                  </w:r>
                </w:p>
              </w:tc>
              <w:tc>
                <w:tcPr>
                  <w:tcW w:w="400" w:type="pct"/>
                  <w:vMerge w:val="continue"/>
                  <w:shd w:val="clear" w:color="auto" w:fill="FFFFFF"/>
                  <w:tcMar>
                    <w:top w:w="0" w:type="dxa"/>
                    <w:left w:w="0" w:type="dxa"/>
                    <w:bottom w:w="0" w:type="dxa"/>
                    <w:right w:w="0" w:type="dxa"/>
                  </w:tcMar>
                  <w:vAlign w:val="center"/>
                </w:tcPr>
                <w:p w14:paraId="152D6D3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78DF0BB">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9AF56A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3F31AE9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39.8</w:t>
                  </w:r>
                </w:p>
              </w:tc>
              <w:tc>
                <w:tcPr>
                  <w:tcW w:w="284" w:type="pct"/>
                  <w:shd w:val="clear" w:color="auto" w:fill="FFFFFF"/>
                  <w:tcMar>
                    <w:top w:w="0" w:type="dxa"/>
                    <w:left w:w="0" w:type="dxa"/>
                    <w:bottom w:w="0" w:type="dxa"/>
                    <w:right w:w="0" w:type="dxa"/>
                  </w:tcMar>
                  <w:vAlign w:val="center"/>
                </w:tcPr>
                <w:p w14:paraId="69E5DCE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81AD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FFA55AB">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65DC3CE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8977878">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07296580">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69BF6A9E">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6F089084">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B74E7F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AF26DD0">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7CB9BEB4">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0D371370">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2BCFFFE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7.9</w:t>
                  </w:r>
                </w:p>
              </w:tc>
              <w:tc>
                <w:tcPr>
                  <w:tcW w:w="156" w:type="pct"/>
                  <w:shd w:val="clear" w:color="auto" w:fill="FFFFFF"/>
                  <w:tcMar>
                    <w:top w:w="0" w:type="dxa"/>
                    <w:left w:w="0" w:type="dxa"/>
                    <w:bottom w:w="0" w:type="dxa"/>
                    <w:right w:w="0" w:type="dxa"/>
                  </w:tcMar>
                  <w:vAlign w:val="center"/>
                </w:tcPr>
                <w:p w14:paraId="67493AB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6B5CBA6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65.7</w:t>
                  </w:r>
                </w:p>
              </w:tc>
              <w:tc>
                <w:tcPr>
                  <w:tcW w:w="400" w:type="pct"/>
                  <w:vMerge w:val="continue"/>
                  <w:shd w:val="clear" w:color="auto" w:fill="FFFFFF"/>
                  <w:tcMar>
                    <w:top w:w="0" w:type="dxa"/>
                    <w:left w:w="0" w:type="dxa"/>
                    <w:bottom w:w="0" w:type="dxa"/>
                    <w:right w:w="0" w:type="dxa"/>
                  </w:tcMar>
                  <w:vAlign w:val="center"/>
                </w:tcPr>
                <w:p w14:paraId="0F098CF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5B3F63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121CFA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060EB58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39.7</w:t>
                  </w:r>
                </w:p>
              </w:tc>
              <w:tc>
                <w:tcPr>
                  <w:tcW w:w="284" w:type="pct"/>
                  <w:shd w:val="clear" w:color="auto" w:fill="FFFFFF"/>
                  <w:tcMar>
                    <w:top w:w="0" w:type="dxa"/>
                    <w:left w:w="0" w:type="dxa"/>
                    <w:bottom w:w="0" w:type="dxa"/>
                    <w:right w:w="0" w:type="dxa"/>
                  </w:tcMar>
                  <w:vAlign w:val="center"/>
                </w:tcPr>
                <w:p w14:paraId="2B86929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EA69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0594F45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7</w:t>
                  </w:r>
                </w:p>
              </w:tc>
              <w:tc>
                <w:tcPr>
                  <w:tcW w:w="284" w:type="pct"/>
                  <w:vMerge w:val="continue"/>
                  <w:shd w:val="clear" w:color="auto" w:fill="FFFFFF"/>
                  <w:tcMar>
                    <w:top w:w="0" w:type="dxa"/>
                    <w:left w:w="0" w:type="dxa"/>
                    <w:bottom w:w="0" w:type="dxa"/>
                    <w:right w:w="0" w:type="dxa"/>
                  </w:tcMar>
                  <w:vAlign w:val="center"/>
                </w:tcPr>
                <w:p w14:paraId="44D92E2F">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1D772FD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热水泵</w:t>
                  </w:r>
                </w:p>
              </w:tc>
              <w:tc>
                <w:tcPr>
                  <w:tcW w:w="561" w:type="pct"/>
                  <w:vMerge w:val="restart"/>
                  <w:shd w:val="clear" w:color="auto" w:fill="FFFFFF"/>
                  <w:tcMar>
                    <w:top w:w="0" w:type="dxa"/>
                    <w:left w:w="0" w:type="dxa"/>
                    <w:bottom w:w="0" w:type="dxa"/>
                    <w:right w:w="0" w:type="dxa"/>
                  </w:tcMar>
                  <w:vAlign w:val="center"/>
                </w:tcPr>
                <w:p w14:paraId="64DDCC9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非标，10m³h</w:t>
                  </w:r>
                </w:p>
              </w:tc>
              <w:tc>
                <w:tcPr>
                  <w:tcW w:w="450" w:type="pct"/>
                  <w:vMerge w:val="restart"/>
                  <w:shd w:val="clear" w:color="auto" w:fill="FFFFFF"/>
                  <w:tcMar>
                    <w:top w:w="0" w:type="dxa"/>
                    <w:left w:w="0" w:type="dxa"/>
                    <w:bottom w:w="0" w:type="dxa"/>
                    <w:right w:w="0" w:type="dxa"/>
                  </w:tcMar>
                  <w:vAlign w:val="center"/>
                </w:tcPr>
                <w:p w14:paraId="41B08E7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1406AE2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311619B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-208.4</w:t>
                  </w:r>
                </w:p>
              </w:tc>
              <w:tc>
                <w:tcPr>
                  <w:tcW w:w="247" w:type="pct"/>
                  <w:vMerge w:val="restart"/>
                  <w:shd w:val="clear" w:color="auto" w:fill="FFFFFF"/>
                  <w:tcMar>
                    <w:top w:w="0" w:type="dxa"/>
                    <w:left w:w="0" w:type="dxa"/>
                    <w:bottom w:w="0" w:type="dxa"/>
                    <w:right w:w="0" w:type="dxa"/>
                  </w:tcMar>
                  <w:vAlign w:val="center"/>
                </w:tcPr>
                <w:p w14:paraId="60A9DD3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64.6</w:t>
                  </w:r>
                </w:p>
              </w:tc>
              <w:tc>
                <w:tcPr>
                  <w:tcW w:w="138" w:type="pct"/>
                  <w:vMerge w:val="restart"/>
                  <w:shd w:val="clear" w:color="auto" w:fill="FFFFFF"/>
                  <w:tcMar>
                    <w:top w:w="0" w:type="dxa"/>
                    <w:left w:w="0" w:type="dxa"/>
                    <w:bottom w:w="0" w:type="dxa"/>
                    <w:right w:w="0" w:type="dxa"/>
                  </w:tcMar>
                  <w:vAlign w:val="center"/>
                </w:tcPr>
                <w:p w14:paraId="68854F8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4F3CBF34">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344D9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14.7</w:t>
                  </w:r>
                </w:p>
              </w:tc>
              <w:tc>
                <w:tcPr>
                  <w:tcW w:w="156" w:type="pct"/>
                  <w:shd w:val="clear" w:color="auto" w:fill="FFFFFF"/>
                  <w:tcMar>
                    <w:top w:w="0" w:type="dxa"/>
                    <w:left w:w="0" w:type="dxa"/>
                    <w:bottom w:w="0" w:type="dxa"/>
                    <w:right w:w="0" w:type="dxa"/>
                  </w:tcMar>
                  <w:vAlign w:val="center"/>
                </w:tcPr>
                <w:p w14:paraId="12EC2E3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318B14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65.6</w:t>
                  </w:r>
                </w:p>
              </w:tc>
              <w:tc>
                <w:tcPr>
                  <w:tcW w:w="400" w:type="pct"/>
                  <w:vMerge w:val="restart"/>
                  <w:shd w:val="clear" w:color="auto" w:fill="FFFFFF"/>
                  <w:tcMar>
                    <w:top w:w="0" w:type="dxa"/>
                    <w:left w:w="0" w:type="dxa"/>
                    <w:bottom w:w="0" w:type="dxa"/>
                    <w:right w:w="0" w:type="dxa"/>
                  </w:tcMar>
                  <w:vAlign w:val="center"/>
                </w:tcPr>
                <w:p w14:paraId="06C6CE69">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5DDD7D8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F0635E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646528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39.6</w:t>
                  </w:r>
                </w:p>
              </w:tc>
              <w:tc>
                <w:tcPr>
                  <w:tcW w:w="284" w:type="pct"/>
                  <w:shd w:val="clear" w:color="auto" w:fill="FFFFFF"/>
                  <w:tcMar>
                    <w:top w:w="0" w:type="dxa"/>
                    <w:left w:w="0" w:type="dxa"/>
                    <w:bottom w:w="0" w:type="dxa"/>
                    <w:right w:w="0" w:type="dxa"/>
                  </w:tcMar>
                  <w:vAlign w:val="center"/>
                </w:tcPr>
                <w:p w14:paraId="263561B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9983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50ACB6A">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880958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FC5F725">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1386FB9C">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5781EF0">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11FFCE2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B9C3FE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F05FA64">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620ABD46">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6A83E621">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73BEE7F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84.6</w:t>
                  </w:r>
                </w:p>
              </w:tc>
              <w:tc>
                <w:tcPr>
                  <w:tcW w:w="156" w:type="pct"/>
                  <w:shd w:val="clear" w:color="auto" w:fill="FFFFFF"/>
                  <w:tcMar>
                    <w:top w:w="0" w:type="dxa"/>
                    <w:left w:w="0" w:type="dxa"/>
                    <w:bottom w:w="0" w:type="dxa"/>
                    <w:right w:w="0" w:type="dxa"/>
                  </w:tcMar>
                  <w:vAlign w:val="center"/>
                </w:tcPr>
                <w:p w14:paraId="77DC3D8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08F8314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65.5</w:t>
                  </w:r>
                </w:p>
              </w:tc>
              <w:tc>
                <w:tcPr>
                  <w:tcW w:w="400" w:type="pct"/>
                  <w:vMerge w:val="continue"/>
                  <w:shd w:val="clear" w:color="auto" w:fill="FFFFFF"/>
                  <w:tcMar>
                    <w:top w:w="0" w:type="dxa"/>
                    <w:left w:w="0" w:type="dxa"/>
                    <w:bottom w:w="0" w:type="dxa"/>
                    <w:right w:w="0" w:type="dxa"/>
                  </w:tcMar>
                  <w:vAlign w:val="center"/>
                </w:tcPr>
                <w:p w14:paraId="1A7D195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9FBFEB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224940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9E57EF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39.5</w:t>
                  </w:r>
                </w:p>
              </w:tc>
              <w:tc>
                <w:tcPr>
                  <w:tcW w:w="284" w:type="pct"/>
                  <w:shd w:val="clear" w:color="auto" w:fill="FFFFFF"/>
                  <w:tcMar>
                    <w:top w:w="0" w:type="dxa"/>
                    <w:left w:w="0" w:type="dxa"/>
                    <w:bottom w:w="0" w:type="dxa"/>
                    <w:right w:w="0" w:type="dxa"/>
                  </w:tcMar>
                  <w:vAlign w:val="center"/>
                </w:tcPr>
                <w:p w14:paraId="6852660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5FDA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AB70143">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5E5F77F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214043A">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992B9CC">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6871390">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7643B11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FDF663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EF71A3B">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78DC7458">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090B75EE">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3540C20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w:t>
                  </w:r>
                </w:p>
              </w:tc>
              <w:tc>
                <w:tcPr>
                  <w:tcW w:w="156" w:type="pct"/>
                  <w:shd w:val="clear" w:color="auto" w:fill="FFFFFF"/>
                  <w:tcMar>
                    <w:top w:w="0" w:type="dxa"/>
                    <w:left w:w="0" w:type="dxa"/>
                    <w:bottom w:w="0" w:type="dxa"/>
                    <w:right w:w="0" w:type="dxa"/>
                  </w:tcMar>
                  <w:vAlign w:val="center"/>
                </w:tcPr>
                <w:p w14:paraId="06F0669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8DA4A2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66.2</w:t>
                  </w:r>
                </w:p>
              </w:tc>
              <w:tc>
                <w:tcPr>
                  <w:tcW w:w="400" w:type="pct"/>
                  <w:vMerge w:val="continue"/>
                  <w:shd w:val="clear" w:color="auto" w:fill="FFFFFF"/>
                  <w:tcMar>
                    <w:top w:w="0" w:type="dxa"/>
                    <w:left w:w="0" w:type="dxa"/>
                    <w:bottom w:w="0" w:type="dxa"/>
                    <w:right w:w="0" w:type="dxa"/>
                  </w:tcMar>
                  <w:vAlign w:val="center"/>
                </w:tcPr>
                <w:p w14:paraId="3E73491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CB8C5E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582364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C5CB69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284" w:type="pct"/>
                  <w:shd w:val="clear" w:color="auto" w:fill="FFFFFF"/>
                  <w:tcMar>
                    <w:top w:w="0" w:type="dxa"/>
                    <w:left w:w="0" w:type="dxa"/>
                    <w:bottom w:w="0" w:type="dxa"/>
                    <w:right w:w="0" w:type="dxa"/>
                  </w:tcMar>
                  <w:vAlign w:val="center"/>
                </w:tcPr>
                <w:p w14:paraId="7233014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E705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9132C04">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66CE64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2EC28B3">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18FA2B8C">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6E1BE4CA">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0D5F1CBB">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672D9B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8730FF2">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694B1FA7">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107F060F">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0A23ABD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56" w:type="pct"/>
                  <w:shd w:val="clear" w:color="auto" w:fill="FFFFFF"/>
                  <w:tcMar>
                    <w:top w:w="0" w:type="dxa"/>
                    <w:left w:w="0" w:type="dxa"/>
                    <w:bottom w:w="0" w:type="dxa"/>
                    <w:right w:w="0" w:type="dxa"/>
                  </w:tcMar>
                  <w:vAlign w:val="center"/>
                </w:tcPr>
                <w:p w14:paraId="01B3339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5B54C51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w:t>
                  </w:r>
                </w:p>
              </w:tc>
              <w:tc>
                <w:tcPr>
                  <w:tcW w:w="400" w:type="pct"/>
                  <w:vMerge w:val="continue"/>
                  <w:shd w:val="clear" w:color="auto" w:fill="FFFFFF"/>
                  <w:tcMar>
                    <w:top w:w="0" w:type="dxa"/>
                    <w:left w:w="0" w:type="dxa"/>
                    <w:bottom w:w="0" w:type="dxa"/>
                    <w:right w:w="0" w:type="dxa"/>
                  </w:tcMar>
                  <w:vAlign w:val="center"/>
                </w:tcPr>
                <w:p w14:paraId="25B3C85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A0158E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66B477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6D52D0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w:t>
                  </w:r>
                </w:p>
              </w:tc>
              <w:tc>
                <w:tcPr>
                  <w:tcW w:w="284" w:type="pct"/>
                  <w:shd w:val="clear" w:color="auto" w:fill="FFFFFF"/>
                  <w:tcMar>
                    <w:top w:w="0" w:type="dxa"/>
                    <w:left w:w="0" w:type="dxa"/>
                    <w:bottom w:w="0" w:type="dxa"/>
                    <w:right w:w="0" w:type="dxa"/>
                  </w:tcMar>
                  <w:vAlign w:val="center"/>
                </w:tcPr>
                <w:p w14:paraId="420CF4A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4678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1F84B00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8</w:t>
                  </w:r>
                </w:p>
              </w:tc>
              <w:tc>
                <w:tcPr>
                  <w:tcW w:w="284" w:type="pct"/>
                  <w:vMerge w:val="continue"/>
                  <w:shd w:val="clear" w:color="auto" w:fill="FFFFFF"/>
                  <w:tcMar>
                    <w:top w:w="0" w:type="dxa"/>
                    <w:left w:w="0" w:type="dxa"/>
                    <w:bottom w:w="0" w:type="dxa"/>
                    <w:right w:w="0" w:type="dxa"/>
                  </w:tcMar>
                  <w:vAlign w:val="center"/>
                </w:tcPr>
                <w:p w14:paraId="20019251">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3A939E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静态乳化系统</w:t>
                  </w:r>
                </w:p>
              </w:tc>
              <w:tc>
                <w:tcPr>
                  <w:tcW w:w="561" w:type="pct"/>
                  <w:vMerge w:val="restart"/>
                  <w:shd w:val="clear" w:color="auto" w:fill="FFFFFF"/>
                  <w:tcMar>
                    <w:top w:w="0" w:type="dxa"/>
                    <w:left w:w="0" w:type="dxa"/>
                    <w:bottom w:w="0" w:type="dxa"/>
                    <w:right w:w="0" w:type="dxa"/>
                  </w:tcMar>
                  <w:vAlign w:val="center"/>
                </w:tcPr>
                <w:p w14:paraId="10A3546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KNJR 型</w:t>
                  </w:r>
                </w:p>
              </w:tc>
              <w:tc>
                <w:tcPr>
                  <w:tcW w:w="450" w:type="pct"/>
                  <w:vMerge w:val="restart"/>
                  <w:shd w:val="clear" w:color="auto" w:fill="FFFFFF"/>
                  <w:tcMar>
                    <w:top w:w="0" w:type="dxa"/>
                    <w:left w:w="0" w:type="dxa"/>
                    <w:bottom w:w="0" w:type="dxa"/>
                    <w:right w:w="0" w:type="dxa"/>
                  </w:tcMar>
                  <w:vAlign w:val="center"/>
                </w:tcPr>
                <w:p w14:paraId="190EAA5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restart"/>
                  <w:shd w:val="clear" w:color="auto" w:fill="FFFFFF"/>
                  <w:tcMar>
                    <w:top w:w="0" w:type="dxa"/>
                    <w:left w:w="0" w:type="dxa"/>
                    <w:bottom w:w="0" w:type="dxa"/>
                    <w:right w:w="0" w:type="dxa"/>
                  </w:tcMar>
                  <w:vAlign w:val="center"/>
                </w:tcPr>
                <w:p w14:paraId="35BF2A8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噪声设备、减震、</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p>
              </w:tc>
              <w:tc>
                <w:tcPr>
                  <w:tcW w:w="247" w:type="pct"/>
                  <w:vMerge w:val="restart"/>
                  <w:shd w:val="clear" w:color="auto" w:fill="FFFFFF"/>
                  <w:tcMar>
                    <w:top w:w="0" w:type="dxa"/>
                    <w:left w:w="0" w:type="dxa"/>
                    <w:bottom w:w="0" w:type="dxa"/>
                    <w:right w:w="0" w:type="dxa"/>
                  </w:tcMar>
                  <w:vAlign w:val="center"/>
                </w:tcPr>
                <w:p w14:paraId="3FDD3EC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-199.3</w:t>
                  </w:r>
                </w:p>
              </w:tc>
              <w:tc>
                <w:tcPr>
                  <w:tcW w:w="247" w:type="pct"/>
                  <w:vMerge w:val="restart"/>
                  <w:shd w:val="clear" w:color="auto" w:fill="FFFFFF"/>
                  <w:tcMar>
                    <w:top w:w="0" w:type="dxa"/>
                    <w:left w:w="0" w:type="dxa"/>
                    <w:bottom w:w="0" w:type="dxa"/>
                    <w:right w:w="0" w:type="dxa"/>
                  </w:tcMar>
                  <w:vAlign w:val="center"/>
                </w:tcPr>
                <w:p w14:paraId="0954D59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57.7</w:t>
                  </w:r>
                </w:p>
              </w:tc>
              <w:tc>
                <w:tcPr>
                  <w:tcW w:w="138" w:type="pct"/>
                  <w:vMerge w:val="restart"/>
                  <w:shd w:val="clear" w:color="auto" w:fill="FFFFFF"/>
                  <w:tcMar>
                    <w:top w:w="0" w:type="dxa"/>
                    <w:left w:w="0" w:type="dxa"/>
                    <w:bottom w:w="0" w:type="dxa"/>
                    <w:right w:w="0" w:type="dxa"/>
                  </w:tcMar>
                  <w:vAlign w:val="center"/>
                </w:tcPr>
                <w:p w14:paraId="6E4AC08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0E6E5449">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1E30A3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56" w:type="pct"/>
                  <w:shd w:val="clear" w:color="auto" w:fill="FFFFFF"/>
                  <w:tcMar>
                    <w:top w:w="0" w:type="dxa"/>
                    <w:left w:w="0" w:type="dxa"/>
                    <w:bottom w:w="0" w:type="dxa"/>
                    <w:right w:w="0" w:type="dxa"/>
                  </w:tcMar>
                  <w:vAlign w:val="center"/>
                </w:tcPr>
                <w:p w14:paraId="358ECC1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8FB808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restart"/>
                  <w:shd w:val="clear" w:color="auto" w:fill="FFFFFF"/>
                  <w:tcMar>
                    <w:top w:w="0" w:type="dxa"/>
                    <w:left w:w="0" w:type="dxa"/>
                    <w:bottom w:w="0" w:type="dxa"/>
                    <w:right w:w="0" w:type="dxa"/>
                  </w:tcMar>
                  <w:vAlign w:val="center"/>
                </w:tcPr>
                <w:p w14:paraId="3A472C0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16BFC36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5B42F17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66AFD9C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7749CCF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4E23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1DDFA52">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E3BA66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3452E12">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5B9CEF85">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0FD074F2">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40D8C19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B64327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FDDE113">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273F8139">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483A35CB">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3E2ADF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75.4</w:t>
                  </w:r>
                </w:p>
              </w:tc>
              <w:tc>
                <w:tcPr>
                  <w:tcW w:w="156" w:type="pct"/>
                  <w:shd w:val="clear" w:color="auto" w:fill="FFFFFF"/>
                  <w:tcMar>
                    <w:top w:w="0" w:type="dxa"/>
                    <w:left w:w="0" w:type="dxa"/>
                    <w:bottom w:w="0" w:type="dxa"/>
                    <w:right w:w="0" w:type="dxa"/>
                  </w:tcMar>
                  <w:vAlign w:val="center"/>
                </w:tcPr>
                <w:p w14:paraId="674CA19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6D14E55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353870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EECD94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119CC9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2D7B8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3447A17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E53B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B927370">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6867C03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221496C">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0D591B98">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0A270359">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2267311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4A8569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3D18260">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3BF561F1">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4EED3B4A">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19775DF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156" w:type="pct"/>
                  <w:shd w:val="clear" w:color="auto" w:fill="FFFFFF"/>
                  <w:tcMar>
                    <w:top w:w="0" w:type="dxa"/>
                    <w:left w:w="0" w:type="dxa"/>
                    <w:bottom w:w="0" w:type="dxa"/>
                    <w:right w:w="0" w:type="dxa"/>
                  </w:tcMar>
                  <w:vAlign w:val="center"/>
                </w:tcPr>
                <w:p w14:paraId="638269E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F250DE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3B41D9E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A2EAFF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FC2ACB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635747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6D12CC9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18B9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783B998">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E9FD57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C195AA5">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CBBEBC1">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30B471CE">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038F3EF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0D4E7B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5185CFE">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B488F3F">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35AFC6B5">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32A5D5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13.6</w:t>
                  </w:r>
                </w:p>
              </w:tc>
              <w:tc>
                <w:tcPr>
                  <w:tcW w:w="156" w:type="pct"/>
                  <w:shd w:val="clear" w:color="auto" w:fill="FFFFFF"/>
                  <w:tcMar>
                    <w:top w:w="0" w:type="dxa"/>
                    <w:left w:w="0" w:type="dxa"/>
                    <w:bottom w:w="0" w:type="dxa"/>
                    <w:right w:w="0" w:type="dxa"/>
                  </w:tcMar>
                  <w:vAlign w:val="center"/>
                </w:tcPr>
                <w:p w14:paraId="64C578E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66D9A4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1AC7743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558671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D87AF8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902E4A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2CC91C3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2E79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97" w:hRule="atLeast"/>
                <w:jc w:val="center"/>
              </w:trPr>
              <w:tc>
                <w:tcPr>
                  <w:tcW w:w="182" w:type="pct"/>
                  <w:vMerge w:val="restart"/>
                  <w:shd w:val="clear" w:color="auto" w:fill="FFFFFF"/>
                  <w:tcMar>
                    <w:top w:w="0" w:type="dxa"/>
                    <w:left w:w="0" w:type="dxa"/>
                    <w:bottom w:w="0" w:type="dxa"/>
                    <w:right w:w="0" w:type="dxa"/>
                  </w:tcMar>
                  <w:vAlign w:val="center"/>
                </w:tcPr>
                <w:p w14:paraId="6374265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9</w:t>
                  </w:r>
                </w:p>
              </w:tc>
              <w:tc>
                <w:tcPr>
                  <w:tcW w:w="284" w:type="pct"/>
                  <w:vMerge w:val="continue"/>
                  <w:shd w:val="clear" w:color="auto" w:fill="FFFFFF"/>
                  <w:tcMar>
                    <w:top w:w="0" w:type="dxa"/>
                    <w:left w:w="0" w:type="dxa"/>
                    <w:bottom w:w="0" w:type="dxa"/>
                    <w:right w:w="0" w:type="dxa"/>
                  </w:tcMar>
                  <w:vAlign w:val="center"/>
                </w:tcPr>
                <w:p w14:paraId="393CD9D3">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DDC16E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冷却器（钢带）</w:t>
                  </w:r>
                </w:p>
              </w:tc>
              <w:tc>
                <w:tcPr>
                  <w:tcW w:w="561" w:type="pct"/>
                  <w:vMerge w:val="restart"/>
                  <w:shd w:val="clear" w:color="auto" w:fill="FFFFFF"/>
                  <w:tcMar>
                    <w:top w:w="0" w:type="dxa"/>
                    <w:left w:w="0" w:type="dxa"/>
                    <w:bottom w:w="0" w:type="dxa"/>
                    <w:right w:w="0" w:type="dxa"/>
                  </w:tcMar>
                  <w:vAlign w:val="center"/>
                </w:tcPr>
                <w:p w14:paraId="50236D1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4P-1.5</w:t>
                  </w:r>
                </w:p>
              </w:tc>
              <w:tc>
                <w:tcPr>
                  <w:tcW w:w="450" w:type="pct"/>
                  <w:vMerge w:val="restart"/>
                  <w:shd w:val="clear" w:color="auto" w:fill="FFFFFF"/>
                  <w:tcMar>
                    <w:top w:w="0" w:type="dxa"/>
                    <w:left w:w="0" w:type="dxa"/>
                    <w:bottom w:w="0" w:type="dxa"/>
                    <w:right w:w="0" w:type="dxa"/>
                  </w:tcMar>
                  <w:vAlign w:val="center"/>
                </w:tcPr>
                <w:p w14:paraId="3D6E125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3297CD66">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5F19F26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-197.4</w:t>
                  </w:r>
                </w:p>
              </w:tc>
              <w:tc>
                <w:tcPr>
                  <w:tcW w:w="247" w:type="pct"/>
                  <w:vMerge w:val="restart"/>
                  <w:shd w:val="clear" w:color="auto" w:fill="FFFFFF"/>
                  <w:tcMar>
                    <w:top w:w="0" w:type="dxa"/>
                    <w:left w:w="0" w:type="dxa"/>
                    <w:bottom w:w="0" w:type="dxa"/>
                    <w:right w:w="0" w:type="dxa"/>
                  </w:tcMar>
                  <w:vAlign w:val="center"/>
                </w:tcPr>
                <w:p w14:paraId="7128D1E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51.9</w:t>
                  </w:r>
                </w:p>
              </w:tc>
              <w:tc>
                <w:tcPr>
                  <w:tcW w:w="138" w:type="pct"/>
                  <w:vMerge w:val="restart"/>
                  <w:shd w:val="clear" w:color="auto" w:fill="FFFFFF"/>
                  <w:tcMar>
                    <w:top w:w="0" w:type="dxa"/>
                    <w:left w:w="0" w:type="dxa"/>
                    <w:bottom w:w="0" w:type="dxa"/>
                    <w:right w:w="0" w:type="dxa"/>
                  </w:tcMar>
                  <w:vAlign w:val="center"/>
                </w:tcPr>
                <w:p w14:paraId="0C9EF8E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739FEB1D">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B78D1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w:t>
                  </w:r>
                </w:p>
              </w:tc>
              <w:tc>
                <w:tcPr>
                  <w:tcW w:w="156" w:type="pct"/>
                  <w:shd w:val="clear" w:color="auto" w:fill="FFFFFF"/>
                  <w:tcMar>
                    <w:top w:w="0" w:type="dxa"/>
                    <w:left w:w="0" w:type="dxa"/>
                    <w:bottom w:w="0" w:type="dxa"/>
                    <w:right w:w="0" w:type="dxa"/>
                  </w:tcMar>
                  <w:vAlign w:val="center"/>
                </w:tcPr>
                <w:p w14:paraId="2CD5D67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5E53541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restart"/>
                  <w:shd w:val="clear" w:color="auto" w:fill="FFFFFF"/>
                  <w:tcMar>
                    <w:top w:w="0" w:type="dxa"/>
                    <w:left w:w="0" w:type="dxa"/>
                    <w:bottom w:w="0" w:type="dxa"/>
                    <w:right w:w="0" w:type="dxa"/>
                  </w:tcMar>
                  <w:vAlign w:val="center"/>
                </w:tcPr>
                <w:p w14:paraId="0885A6B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4694C0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5CC9A80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656C7F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4F760D2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B227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44" w:hRule="atLeast"/>
                <w:jc w:val="center"/>
              </w:trPr>
              <w:tc>
                <w:tcPr>
                  <w:tcW w:w="182" w:type="pct"/>
                  <w:vMerge w:val="continue"/>
                  <w:shd w:val="clear" w:color="auto" w:fill="FFFFFF"/>
                  <w:tcMar>
                    <w:top w:w="0" w:type="dxa"/>
                    <w:left w:w="0" w:type="dxa"/>
                    <w:bottom w:w="0" w:type="dxa"/>
                    <w:right w:w="0" w:type="dxa"/>
                  </w:tcMar>
                  <w:vAlign w:val="center"/>
                </w:tcPr>
                <w:p w14:paraId="64AB9724">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725888C5">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1670AA8">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BF3F1F4">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292AA26F">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699A354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A3D6766">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CB0D291">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0639065E">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6BCBDA84">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73F690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69.2</w:t>
                  </w:r>
                </w:p>
              </w:tc>
              <w:tc>
                <w:tcPr>
                  <w:tcW w:w="156" w:type="pct"/>
                  <w:shd w:val="clear" w:color="auto" w:fill="FFFFFF"/>
                  <w:tcMar>
                    <w:top w:w="0" w:type="dxa"/>
                    <w:left w:w="0" w:type="dxa"/>
                    <w:bottom w:w="0" w:type="dxa"/>
                    <w:right w:w="0" w:type="dxa"/>
                  </w:tcMar>
                  <w:vAlign w:val="center"/>
                </w:tcPr>
                <w:p w14:paraId="542CCC1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5916BC3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F6C723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4A3B93B">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9B41FC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6EA603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463F18F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80A8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CD4284B">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0685E2F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0E5D765">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58D15C6C">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1F6BF88">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30E1717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AAB67EF">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04FAE14">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6C3A7BD0">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739AA6DE">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6C77A6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10.3</w:t>
                  </w:r>
                </w:p>
              </w:tc>
              <w:tc>
                <w:tcPr>
                  <w:tcW w:w="156" w:type="pct"/>
                  <w:shd w:val="clear" w:color="auto" w:fill="FFFFFF"/>
                  <w:tcMar>
                    <w:top w:w="0" w:type="dxa"/>
                    <w:left w:w="0" w:type="dxa"/>
                    <w:bottom w:w="0" w:type="dxa"/>
                    <w:right w:w="0" w:type="dxa"/>
                  </w:tcMar>
                  <w:vAlign w:val="center"/>
                </w:tcPr>
                <w:p w14:paraId="5905620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238A487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19407D7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AF4EB4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8F2558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1E719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5031E64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DE16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DDBCEC2">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3F2B2D31">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BD0AA56">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7EDD068F">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11AF901F">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1FD8373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AE358B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61A4C5E">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6655B712">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2DAE79FF">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2175BC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19.6</w:t>
                  </w:r>
                </w:p>
              </w:tc>
              <w:tc>
                <w:tcPr>
                  <w:tcW w:w="156" w:type="pct"/>
                  <w:shd w:val="clear" w:color="auto" w:fill="FFFFFF"/>
                  <w:tcMar>
                    <w:top w:w="0" w:type="dxa"/>
                    <w:left w:w="0" w:type="dxa"/>
                    <w:bottom w:w="0" w:type="dxa"/>
                    <w:right w:w="0" w:type="dxa"/>
                  </w:tcMar>
                  <w:vAlign w:val="center"/>
                </w:tcPr>
                <w:p w14:paraId="1C36F5C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14F1EF9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C50F7F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E05D80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887C4F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0678F3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6FD2244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2FEF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726CD73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10</w:t>
                  </w:r>
                </w:p>
              </w:tc>
              <w:tc>
                <w:tcPr>
                  <w:tcW w:w="284" w:type="pct"/>
                  <w:vMerge w:val="continue"/>
                  <w:shd w:val="clear" w:color="auto" w:fill="FFFFFF"/>
                  <w:tcMar>
                    <w:top w:w="0" w:type="dxa"/>
                    <w:left w:w="0" w:type="dxa"/>
                    <w:bottom w:w="0" w:type="dxa"/>
                    <w:right w:w="0" w:type="dxa"/>
                  </w:tcMar>
                  <w:vAlign w:val="center"/>
                </w:tcPr>
                <w:p w14:paraId="32AB7467">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A5B281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敏化器</w:t>
                  </w:r>
                </w:p>
              </w:tc>
              <w:tc>
                <w:tcPr>
                  <w:tcW w:w="561" w:type="pct"/>
                  <w:vMerge w:val="restart"/>
                  <w:shd w:val="clear" w:color="auto" w:fill="FFFFFF"/>
                  <w:tcMar>
                    <w:top w:w="0" w:type="dxa"/>
                    <w:left w:w="0" w:type="dxa"/>
                    <w:bottom w:w="0" w:type="dxa"/>
                    <w:right w:w="0" w:type="dxa"/>
                  </w:tcMar>
                  <w:vAlign w:val="center"/>
                </w:tcPr>
                <w:p w14:paraId="187775A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AE-HLC-6.0型</w:t>
                  </w:r>
                </w:p>
              </w:tc>
              <w:tc>
                <w:tcPr>
                  <w:tcW w:w="450" w:type="pct"/>
                  <w:vMerge w:val="restart"/>
                  <w:shd w:val="clear" w:color="auto" w:fill="FFFFFF"/>
                  <w:tcMar>
                    <w:top w:w="0" w:type="dxa"/>
                    <w:left w:w="0" w:type="dxa"/>
                    <w:bottom w:w="0" w:type="dxa"/>
                    <w:right w:w="0" w:type="dxa"/>
                  </w:tcMar>
                  <w:vAlign w:val="center"/>
                </w:tcPr>
                <w:p w14:paraId="026863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473D037D">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4FD32E6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-194.8</w:t>
                  </w:r>
                </w:p>
              </w:tc>
              <w:tc>
                <w:tcPr>
                  <w:tcW w:w="247" w:type="pct"/>
                  <w:vMerge w:val="restart"/>
                  <w:shd w:val="clear" w:color="auto" w:fill="FFFFFF"/>
                  <w:tcMar>
                    <w:top w:w="0" w:type="dxa"/>
                    <w:left w:w="0" w:type="dxa"/>
                    <w:bottom w:w="0" w:type="dxa"/>
                    <w:right w:w="0" w:type="dxa"/>
                  </w:tcMar>
                  <w:vAlign w:val="center"/>
                </w:tcPr>
                <w:p w14:paraId="7035DC4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43.3</w:t>
                  </w:r>
                </w:p>
              </w:tc>
              <w:tc>
                <w:tcPr>
                  <w:tcW w:w="138" w:type="pct"/>
                  <w:vMerge w:val="restart"/>
                  <w:shd w:val="clear" w:color="auto" w:fill="FFFFFF"/>
                  <w:tcMar>
                    <w:top w:w="0" w:type="dxa"/>
                    <w:left w:w="0" w:type="dxa"/>
                    <w:bottom w:w="0" w:type="dxa"/>
                    <w:right w:w="0" w:type="dxa"/>
                  </w:tcMar>
                  <w:vAlign w:val="center"/>
                </w:tcPr>
                <w:p w14:paraId="1F95287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580129C3">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C5080F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8.3</w:t>
                  </w:r>
                </w:p>
              </w:tc>
              <w:tc>
                <w:tcPr>
                  <w:tcW w:w="156" w:type="pct"/>
                  <w:shd w:val="clear" w:color="auto" w:fill="FFFFFF"/>
                  <w:tcMar>
                    <w:top w:w="0" w:type="dxa"/>
                    <w:left w:w="0" w:type="dxa"/>
                    <w:bottom w:w="0" w:type="dxa"/>
                    <w:right w:w="0" w:type="dxa"/>
                  </w:tcMar>
                  <w:vAlign w:val="center"/>
                </w:tcPr>
                <w:p w14:paraId="4318C5A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B449E8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60.7</w:t>
                  </w:r>
                </w:p>
              </w:tc>
              <w:tc>
                <w:tcPr>
                  <w:tcW w:w="400" w:type="pct"/>
                  <w:vMerge w:val="restart"/>
                  <w:shd w:val="clear" w:color="auto" w:fill="FFFFFF"/>
                  <w:tcMar>
                    <w:top w:w="0" w:type="dxa"/>
                    <w:left w:w="0" w:type="dxa"/>
                    <w:bottom w:w="0" w:type="dxa"/>
                    <w:right w:w="0" w:type="dxa"/>
                  </w:tcMar>
                  <w:vAlign w:val="center"/>
                </w:tcPr>
                <w:p w14:paraId="2A8AD2A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1CC6CED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62D0C5D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50816C9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34.7</w:t>
                  </w:r>
                </w:p>
              </w:tc>
              <w:tc>
                <w:tcPr>
                  <w:tcW w:w="284" w:type="pct"/>
                  <w:shd w:val="clear" w:color="auto" w:fill="FFFFFF"/>
                  <w:tcMar>
                    <w:top w:w="0" w:type="dxa"/>
                    <w:left w:w="0" w:type="dxa"/>
                    <w:bottom w:w="0" w:type="dxa"/>
                    <w:right w:w="0" w:type="dxa"/>
                  </w:tcMar>
                  <w:vAlign w:val="center"/>
                </w:tcPr>
                <w:p w14:paraId="19CE0CB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3372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1A4070E">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DDD97A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D1EC98E">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6EF0D7F6">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06F644A">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08F3D17F">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8DAA88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52A5B15">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7F845487">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6E9EB260">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08622F0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60.3</w:t>
                  </w:r>
                </w:p>
              </w:tc>
              <w:tc>
                <w:tcPr>
                  <w:tcW w:w="156" w:type="pct"/>
                  <w:shd w:val="clear" w:color="auto" w:fill="FFFFFF"/>
                  <w:tcMar>
                    <w:top w:w="0" w:type="dxa"/>
                    <w:left w:w="0" w:type="dxa"/>
                    <w:bottom w:w="0" w:type="dxa"/>
                    <w:right w:w="0" w:type="dxa"/>
                  </w:tcMar>
                  <w:vAlign w:val="center"/>
                </w:tcPr>
                <w:p w14:paraId="4AB361C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3937FE1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60.5</w:t>
                  </w:r>
                </w:p>
              </w:tc>
              <w:tc>
                <w:tcPr>
                  <w:tcW w:w="400" w:type="pct"/>
                  <w:vMerge w:val="continue"/>
                  <w:shd w:val="clear" w:color="auto" w:fill="FFFFFF"/>
                  <w:tcMar>
                    <w:top w:w="0" w:type="dxa"/>
                    <w:left w:w="0" w:type="dxa"/>
                    <w:bottom w:w="0" w:type="dxa"/>
                    <w:right w:w="0" w:type="dxa"/>
                  </w:tcMar>
                  <w:vAlign w:val="center"/>
                </w:tcPr>
                <w:p w14:paraId="6EEC1E55">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F580CF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A2C11F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24D2AEC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34.5</w:t>
                  </w:r>
                </w:p>
              </w:tc>
              <w:tc>
                <w:tcPr>
                  <w:tcW w:w="284" w:type="pct"/>
                  <w:shd w:val="clear" w:color="auto" w:fill="FFFFFF"/>
                  <w:tcMar>
                    <w:top w:w="0" w:type="dxa"/>
                    <w:left w:w="0" w:type="dxa"/>
                    <w:bottom w:w="0" w:type="dxa"/>
                    <w:right w:w="0" w:type="dxa"/>
                  </w:tcMar>
                  <w:vAlign w:val="center"/>
                </w:tcPr>
                <w:p w14:paraId="7D323CD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E331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5A5952B">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4F23F0C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0816B12">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61C460CB">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118706C9">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2A7D2B15">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B7B84B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B8E3B92">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07F53909">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64011B90">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068AEEF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10.1</w:t>
                  </w:r>
                </w:p>
              </w:tc>
              <w:tc>
                <w:tcPr>
                  <w:tcW w:w="156" w:type="pct"/>
                  <w:shd w:val="clear" w:color="auto" w:fill="FFFFFF"/>
                  <w:tcMar>
                    <w:top w:w="0" w:type="dxa"/>
                    <w:left w:w="0" w:type="dxa"/>
                    <w:bottom w:w="0" w:type="dxa"/>
                    <w:right w:w="0" w:type="dxa"/>
                  </w:tcMar>
                  <w:vAlign w:val="center"/>
                </w:tcPr>
                <w:p w14:paraId="3CDBE27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AE518D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60.6</w:t>
                  </w:r>
                </w:p>
              </w:tc>
              <w:tc>
                <w:tcPr>
                  <w:tcW w:w="400" w:type="pct"/>
                  <w:vMerge w:val="continue"/>
                  <w:shd w:val="clear" w:color="auto" w:fill="FFFFFF"/>
                  <w:tcMar>
                    <w:top w:w="0" w:type="dxa"/>
                    <w:left w:w="0" w:type="dxa"/>
                    <w:bottom w:w="0" w:type="dxa"/>
                    <w:right w:w="0" w:type="dxa"/>
                  </w:tcMar>
                  <w:vAlign w:val="center"/>
                </w:tcPr>
                <w:p w14:paraId="599B6BE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C48623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F3A5C1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9251EB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34.6</w:t>
                  </w:r>
                </w:p>
              </w:tc>
              <w:tc>
                <w:tcPr>
                  <w:tcW w:w="284" w:type="pct"/>
                  <w:shd w:val="clear" w:color="auto" w:fill="FFFFFF"/>
                  <w:tcMar>
                    <w:top w:w="0" w:type="dxa"/>
                    <w:left w:w="0" w:type="dxa"/>
                    <w:bottom w:w="0" w:type="dxa"/>
                    <w:right w:w="0" w:type="dxa"/>
                  </w:tcMar>
                  <w:vAlign w:val="center"/>
                </w:tcPr>
                <w:p w14:paraId="2FD1AE0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6B2B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D38902A">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109E943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E8BE3E7">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A5390DF">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41736297">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122A2FE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20D637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A71DC3C">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843402D">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0DA8E919">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365A0B6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28.6</w:t>
                  </w:r>
                </w:p>
              </w:tc>
              <w:tc>
                <w:tcPr>
                  <w:tcW w:w="156" w:type="pct"/>
                  <w:shd w:val="clear" w:color="auto" w:fill="FFFFFF"/>
                  <w:tcMar>
                    <w:top w:w="0" w:type="dxa"/>
                    <w:left w:w="0" w:type="dxa"/>
                    <w:bottom w:w="0" w:type="dxa"/>
                    <w:right w:w="0" w:type="dxa"/>
                  </w:tcMar>
                  <w:vAlign w:val="center"/>
                </w:tcPr>
                <w:p w14:paraId="44E9929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6AB01C6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60.5</w:t>
                  </w:r>
                </w:p>
              </w:tc>
              <w:tc>
                <w:tcPr>
                  <w:tcW w:w="400" w:type="pct"/>
                  <w:vMerge w:val="continue"/>
                  <w:shd w:val="clear" w:color="auto" w:fill="FFFFFF"/>
                  <w:tcMar>
                    <w:top w:w="0" w:type="dxa"/>
                    <w:left w:w="0" w:type="dxa"/>
                    <w:bottom w:w="0" w:type="dxa"/>
                    <w:right w:w="0" w:type="dxa"/>
                  </w:tcMar>
                  <w:vAlign w:val="center"/>
                </w:tcPr>
                <w:p w14:paraId="6FC9C44D">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EAF931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512D68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16AB5F9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34.5</w:t>
                  </w:r>
                </w:p>
              </w:tc>
              <w:tc>
                <w:tcPr>
                  <w:tcW w:w="284" w:type="pct"/>
                  <w:shd w:val="clear" w:color="auto" w:fill="FFFFFF"/>
                  <w:tcMar>
                    <w:top w:w="0" w:type="dxa"/>
                    <w:left w:w="0" w:type="dxa"/>
                    <w:bottom w:w="0" w:type="dxa"/>
                    <w:right w:w="0" w:type="dxa"/>
                  </w:tcMar>
                  <w:vAlign w:val="center"/>
                </w:tcPr>
                <w:p w14:paraId="796EB6B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8BE0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7C51FC0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11</w:t>
                  </w:r>
                </w:p>
              </w:tc>
              <w:tc>
                <w:tcPr>
                  <w:tcW w:w="284" w:type="pct"/>
                  <w:vMerge w:val="continue"/>
                  <w:shd w:val="clear" w:color="auto" w:fill="FFFFFF"/>
                  <w:tcMar>
                    <w:top w:w="0" w:type="dxa"/>
                    <w:left w:w="0" w:type="dxa"/>
                    <w:bottom w:w="0" w:type="dxa"/>
                    <w:right w:w="0" w:type="dxa"/>
                  </w:tcMar>
                  <w:vAlign w:val="center"/>
                </w:tcPr>
                <w:p w14:paraId="0EA686C3">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7739DF6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珍珠岩输送系统</w:t>
                  </w:r>
                </w:p>
              </w:tc>
              <w:tc>
                <w:tcPr>
                  <w:tcW w:w="561" w:type="pct"/>
                  <w:vMerge w:val="restart"/>
                  <w:shd w:val="clear" w:color="auto" w:fill="FFFFFF"/>
                  <w:tcMar>
                    <w:top w:w="0" w:type="dxa"/>
                    <w:left w:w="0" w:type="dxa"/>
                    <w:bottom w:w="0" w:type="dxa"/>
                    <w:right w:w="0" w:type="dxa"/>
                  </w:tcMar>
                  <w:vAlign w:val="center"/>
                </w:tcPr>
                <w:p w14:paraId="75D972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KL-3000</w:t>
                  </w:r>
                </w:p>
              </w:tc>
              <w:tc>
                <w:tcPr>
                  <w:tcW w:w="450" w:type="pct"/>
                  <w:vMerge w:val="restart"/>
                  <w:shd w:val="clear" w:color="auto" w:fill="FFFFFF"/>
                  <w:tcMar>
                    <w:top w:w="0" w:type="dxa"/>
                    <w:left w:w="0" w:type="dxa"/>
                    <w:bottom w:w="0" w:type="dxa"/>
                    <w:right w:w="0" w:type="dxa"/>
                  </w:tcMar>
                  <w:vAlign w:val="center"/>
                </w:tcPr>
                <w:p w14:paraId="140DCCD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697A19F8">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34EBAA1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-193.1</w:t>
                  </w:r>
                </w:p>
              </w:tc>
              <w:tc>
                <w:tcPr>
                  <w:tcW w:w="247" w:type="pct"/>
                  <w:vMerge w:val="restart"/>
                  <w:shd w:val="clear" w:color="auto" w:fill="FFFFFF"/>
                  <w:tcMar>
                    <w:top w:w="0" w:type="dxa"/>
                    <w:left w:w="0" w:type="dxa"/>
                    <w:bottom w:w="0" w:type="dxa"/>
                    <w:right w:w="0" w:type="dxa"/>
                  </w:tcMar>
                  <w:vAlign w:val="center"/>
                </w:tcPr>
                <w:p w14:paraId="0987F8B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38.4</w:t>
                  </w:r>
                </w:p>
              </w:tc>
              <w:tc>
                <w:tcPr>
                  <w:tcW w:w="138" w:type="pct"/>
                  <w:vMerge w:val="restart"/>
                  <w:shd w:val="clear" w:color="auto" w:fill="FFFFFF"/>
                  <w:tcMar>
                    <w:top w:w="0" w:type="dxa"/>
                    <w:left w:w="0" w:type="dxa"/>
                    <w:bottom w:w="0" w:type="dxa"/>
                    <w:right w:w="0" w:type="dxa"/>
                  </w:tcMar>
                  <w:vAlign w:val="center"/>
                </w:tcPr>
                <w:p w14:paraId="7861585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00E4BE9A">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95004D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56" w:type="pct"/>
                  <w:shd w:val="clear" w:color="auto" w:fill="FFFFFF"/>
                  <w:tcMar>
                    <w:top w:w="0" w:type="dxa"/>
                    <w:left w:w="0" w:type="dxa"/>
                    <w:bottom w:w="0" w:type="dxa"/>
                    <w:right w:w="0" w:type="dxa"/>
                  </w:tcMar>
                  <w:vAlign w:val="center"/>
                </w:tcPr>
                <w:p w14:paraId="7D8E2A0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644CB1D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60.7</w:t>
                  </w:r>
                </w:p>
              </w:tc>
              <w:tc>
                <w:tcPr>
                  <w:tcW w:w="400" w:type="pct"/>
                  <w:vMerge w:val="restart"/>
                  <w:shd w:val="clear" w:color="auto" w:fill="FFFFFF"/>
                  <w:tcMar>
                    <w:top w:w="0" w:type="dxa"/>
                    <w:left w:w="0" w:type="dxa"/>
                    <w:bottom w:w="0" w:type="dxa"/>
                    <w:right w:w="0" w:type="dxa"/>
                  </w:tcMar>
                  <w:vAlign w:val="center"/>
                </w:tcPr>
                <w:p w14:paraId="358B458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D2D6E1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DE07B0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232CB41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34.7</w:t>
                  </w:r>
                </w:p>
              </w:tc>
              <w:tc>
                <w:tcPr>
                  <w:tcW w:w="284" w:type="pct"/>
                  <w:shd w:val="clear" w:color="auto" w:fill="FFFFFF"/>
                  <w:tcMar>
                    <w:top w:w="0" w:type="dxa"/>
                    <w:left w:w="0" w:type="dxa"/>
                    <w:bottom w:w="0" w:type="dxa"/>
                    <w:right w:w="0" w:type="dxa"/>
                  </w:tcMar>
                  <w:vAlign w:val="center"/>
                </w:tcPr>
                <w:p w14:paraId="475B7C7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1242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8EA429D">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3687107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1D315DE">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0E979924">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62835796">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5013AF4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D96FA7F">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6084BDF">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03EEA554">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2C75CD7E">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2220580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55.1</w:t>
                  </w:r>
                </w:p>
              </w:tc>
              <w:tc>
                <w:tcPr>
                  <w:tcW w:w="156" w:type="pct"/>
                  <w:shd w:val="clear" w:color="auto" w:fill="FFFFFF"/>
                  <w:tcMar>
                    <w:top w:w="0" w:type="dxa"/>
                    <w:left w:w="0" w:type="dxa"/>
                    <w:bottom w:w="0" w:type="dxa"/>
                    <w:right w:w="0" w:type="dxa"/>
                  </w:tcMar>
                  <w:vAlign w:val="center"/>
                </w:tcPr>
                <w:p w14:paraId="29E43A8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0A7AA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60.5</w:t>
                  </w:r>
                </w:p>
              </w:tc>
              <w:tc>
                <w:tcPr>
                  <w:tcW w:w="400" w:type="pct"/>
                  <w:vMerge w:val="continue"/>
                  <w:shd w:val="clear" w:color="auto" w:fill="FFFFFF"/>
                  <w:tcMar>
                    <w:top w:w="0" w:type="dxa"/>
                    <w:left w:w="0" w:type="dxa"/>
                    <w:bottom w:w="0" w:type="dxa"/>
                    <w:right w:w="0" w:type="dxa"/>
                  </w:tcMar>
                  <w:vAlign w:val="center"/>
                </w:tcPr>
                <w:p w14:paraId="3AD8465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021C7F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0CA8A8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8A7A81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34.5</w:t>
                  </w:r>
                </w:p>
              </w:tc>
              <w:tc>
                <w:tcPr>
                  <w:tcW w:w="284" w:type="pct"/>
                  <w:shd w:val="clear" w:color="auto" w:fill="FFFFFF"/>
                  <w:tcMar>
                    <w:top w:w="0" w:type="dxa"/>
                    <w:left w:w="0" w:type="dxa"/>
                    <w:bottom w:w="0" w:type="dxa"/>
                    <w:right w:w="0" w:type="dxa"/>
                  </w:tcMar>
                  <w:vAlign w:val="center"/>
                </w:tcPr>
                <w:p w14:paraId="23E7309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997E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F2A0759">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4407504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09D1677">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3C574146">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0C1779A4">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03A419B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0E27C7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2B07B36">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2A2DC971">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3AD38AE2">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24266F3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156" w:type="pct"/>
                  <w:shd w:val="clear" w:color="auto" w:fill="FFFFFF"/>
                  <w:tcMar>
                    <w:top w:w="0" w:type="dxa"/>
                    <w:left w:w="0" w:type="dxa"/>
                    <w:bottom w:w="0" w:type="dxa"/>
                    <w:right w:w="0" w:type="dxa"/>
                  </w:tcMar>
                  <w:vAlign w:val="center"/>
                </w:tcPr>
                <w:p w14:paraId="3746E0D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FF501F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60.6</w:t>
                  </w:r>
                </w:p>
              </w:tc>
              <w:tc>
                <w:tcPr>
                  <w:tcW w:w="400" w:type="pct"/>
                  <w:vMerge w:val="continue"/>
                  <w:shd w:val="clear" w:color="auto" w:fill="FFFFFF"/>
                  <w:tcMar>
                    <w:top w:w="0" w:type="dxa"/>
                    <w:left w:w="0" w:type="dxa"/>
                    <w:bottom w:w="0" w:type="dxa"/>
                    <w:right w:w="0" w:type="dxa"/>
                  </w:tcMar>
                  <w:vAlign w:val="center"/>
                </w:tcPr>
                <w:p w14:paraId="0D91BF0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9B27E2F">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C972DF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79E42AD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34.6</w:t>
                  </w:r>
                </w:p>
              </w:tc>
              <w:tc>
                <w:tcPr>
                  <w:tcW w:w="284" w:type="pct"/>
                  <w:shd w:val="clear" w:color="auto" w:fill="FFFFFF"/>
                  <w:tcMar>
                    <w:top w:w="0" w:type="dxa"/>
                    <w:left w:w="0" w:type="dxa"/>
                    <w:bottom w:w="0" w:type="dxa"/>
                    <w:right w:w="0" w:type="dxa"/>
                  </w:tcMar>
                  <w:vAlign w:val="center"/>
                </w:tcPr>
                <w:p w14:paraId="0AC3D2D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2989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0541BE0">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3856E52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D0C4E5B">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3D302F82">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5A10D6BC">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1E3045C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ECE117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5817B82">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9438D7C">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561298B8">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6B2A3B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33.8</w:t>
                  </w:r>
                </w:p>
              </w:tc>
              <w:tc>
                <w:tcPr>
                  <w:tcW w:w="156" w:type="pct"/>
                  <w:shd w:val="clear" w:color="auto" w:fill="FFFFFF"/>
                  <w:tcMar>
                    <w:top w:w="0" w:type="dxa"/>
                    <w:left w:w="0" w:type="dxa"/>
                    <w:bottom w:w="0" w:type="dxa"/>
                    <w:right w:w="0" w:type="dxa"/>
                  </w:tcMar>
                  <w:vAlign w:val="center"/>
                </w:tcPr>
                <w:p w14:paraId="0BC4C7F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CA6B46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60.5</w:t>
                  </w:r>
                </w:p>
              </w:tc>
              <w:tc>
                <w:tcPr>
                  <w:tcW w:w="400" w:type="pct"/>
                  <w:vMerge w:val="continue"/>
                  <w:shd w:val="clear" w:color="auto" w:fill="FFFFFF"/>
                  <w:tcMar>
                    <w:top w:w="0" w:type="dxa"/>
                    <w:left w:w="0" w:type="dxa"/>
                    <w:bottom w:w="0" w:type="dxa"/>
                    <w:right w:w="0" w:type="dxa"/>
                  </w:tcMar>
                  <w:vAlign w:val="center"/>
                </w:tcPr>
                <w:p w14:paraId="568B5BB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E728BB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CAF7C3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85FCD8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34.5</w:t>
                  </w:r>
                </w:p>
              </w:tc>
              <w:tc>
                <w:tcPr>
                  <w:tcW w:w="284" w:type="pct"/>
                  <w:shd w:val="clear" w:color="auto" w:fill="FFFFFF"/>
                  <w:tcMar>
                    <w:top w:w="0" w:type="dxa"/>
                    <w:left w:w="0" w:type="dxa"/>
                    <w:bottom w:w="0" w:type="dxa"/>
                    <w:right w:w="0" w:type="dxa"/>
                  </w:tcMar>
                  <w:vAlign w:val="center"/>
                </w:tcPr>
                <w:p w14:paraId="5CEF073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FF5F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44" w:hRule="atLeast"/>
                <w:jc w:val="center"/>
              </w:trPr>
              <w:tc>
                <w:tcPr>
                  <w:tcW w:w="182" w:type="pct"/>
                  <w:vMerge w:val="restart"/>
                  <w:shd w:val="clear" w:color="auto" w:fill="FFFFFF"/>
                  <w:tcMar>
                    <w:top w:w="0" w:type="dxa"/>
                    <w:left w:w="0" w:type="dxa"/>
                    <w:bottom w:w="0" w:type="dxa"/>
                    <w:right w:w="0" w:type="dxa"/>
                  </w:tcMar>
                  <w:vAlign w:val="center"/>
                </w:tcPr>
                <w:p w14:paraId="11D9BBF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12</w:t>
                  </w:r>
                </w:p>
              </w:tc>
              <w:tc>
                <w:tcPr>
                  <w:tcW w:w="284" w:type="pct"/>
                  <w:vMerge w:val="continue"/>
                  <w:shd w:val="clear" w:color="auto" w:fill="FFFFFF"/>
                  <w:tcMar>
                    <w:top w:w="0" w:type="dxa"/>
                    <w:left w:w="0" w:type="dxa"/>
                    <w:bottom w:w="0" w:type="dxa"/>
                    <w:right w:w="0" w:type="dxa"/>
                  </w:tcMar>
                  <w:vAlign w:val="center"/>
                </w:tcPr>
                <w:p w14:paraId="4ED20205">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3EF89A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散药皮带输送机</w:t>
                  </w:r>
                </w:p>
              </w:tc>
              <w:tc>
                <w:tcPr>
                  <w:tcW w:w="561" w:type="pct"/>
                  <w:vMerge w:val="restart"/>
                  <w:shd w:val="clear" w:color="auto" w:fill="FFFFFF"/>
                  <w:tcMar>
                    <w:top w:w="0" w:type="dxa"/>
                    <w:left w:w="0" w:type="dxa"/>
                    <w:bottom w:w="0" w:type="dxa"/>
                    <w:right w:w="0" w:type="dxa"/>
                  </w:tcMar>
                  <w:vAlign w:val="center"/>
                </w:tcPr>
                <w:p w14:paraId="2E9A8DD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CF1.5-31.6-6(P)8t/h</w:t>
                  </w:r>
                </w:p>
              </w:tc>
              <w:tc>
                <w:tcPr>
                  <w:tcW w:w="450" w:type="pct"/>
                  <w:vMerge w:val="restart"/>
                  <w:shd w:val="clear" w:color="auto" w:fill="FFFFFF"/>
                  <w:tcMar>
                    <w:top w:w="0" w:type="dxa"/>
                    <w:left w:w="0" w:type="dxa"/>
                    <w:bottom w:w="0" w:type="dxa"/>
                    <w:right w:w="0" w:type="dxa"/>
                  </w:tcMar>
                  <w:vAlign w:val="center"/>
                </w:tcPr>
                <w:p w14:paraId="510D403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6DC1E995">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4AE8D18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-190.1</w:t>
                  </w:r>
                </w:p>
              </w:tc>
              <w:tc>
                <w:tcPr>
                  <w:tcW w:w="247" w:type="pct"/>
                  <w:vMerge w:val="restart"/>
                  <w:shd w:val="clear" w:color="auto" w:fill="FFFFFF"/>
                  <w:tcMar>
                    <w:top w:w="0" w:type="dxa"/>
                    <w:left w:w="0" w:type="dxa"/>
                    <w:bottom w:w="0" w:type="dxa"/>
                    <w:right w:w="0" w:type="dxa"/>
                  </w:tcMar>
                  <w:vAlign w:val="center"/>
                </w:tcPr>
                <w:p w14:paraId="15123E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27.5</w:t>
                  </w:r>
                </w:p>
              </w:tc>
              <w:tc>
                <w:tcPr>
                  <w:tcW w:w="138" w:type="pct"/>
                  <w:vMerge w:val="restart"/>
                  <w:shd w:val="clear" w:color="auto" w:fill="FFFFFF"/>
                  <w:tcMar>
                    <w:top w:w="0" w:type="dxa"/>
                    <w:left w:w="0" w:type="dxa"/>
                    <w:bottom w:w="0" w:type="dxa"/>
                    <w:right w:w="0" w:type="dxa"/>
                  </w:tcMar>
                  <w:vAlign w:val="center"/>
                </w:tcPr>
                <w:p w14:paraId="54E78C3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0FF05DEE">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53BBFD38">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8.7</w:t>
                  </w:r>
                </w:p>
              </w:tc>
              <w:tc>
                <w:tcPr>
                  <w:tcW w:w="156" w:type="pct"/>
                  <w:shd w:val="clear" w:color="auto" w:fill="FFFFFF"/>
                  <w:tcMar>
                    <w:top w:w="0" w:type="dxa"/>
                    <w:left w:w="0" w:type="dxa"/>
                    <w:bottom w:w="0" w:type="dxa"/>
                    <w:right w:w="0" w:type="dxa"/>
                  </w:tcMar>
                  <w:vAlign w:val="center"/>
                </w:tcPr>
                <w:p w14:paraId="7385EBD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5F3B6C8F">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restart"/>
                  <w:shd w:val="clear" w:color="auto" w:fill="FFFFFF"/>
                  <w:tcMar>
                    <w:top w:w="0" w:type="dxa"/>
                    <w:left w:w="0" w:type="dxa"/>
                    <w:bottom w:w="0" w:type="dxa"/>
                    <w:right w:w="0" w:type="dxa"/>
                  </w:tcMar>
                  <w:vAlign w:val="center"/>
                </w:tcPr>
                <w:p w14:paraId="03458BD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037BAF3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82DEB4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23B876E4">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0B8D7C4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6F27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8DA70B3">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2EA78EA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58D8C43">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014CABB1">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6E0B7355">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5F1CA5E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B304A6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7F770D0">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55CEB205">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5C8AE997">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1763D291">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43.8</w:t>
                  </w:r>
                </w:p>
              </w:tc>
              <w:tc>
                <w:tcPr>
                  <w:tcW w:w="156" w:type="pct"/>
                  <w:shd w:val="clear" w:color="auto" w:fill="FFFFFF"/>
                  <w:tcMar>
                    <w:top w:w="0" w:type="dxa"/>
                    <w:left w:w="0" w:type="dxa"/>
                    <w:bottom w:w="0" w:type="dxa"/>
                    <w:right w:w="0" w:type="dxa"/>
                  </w:tcMar>
                  <w:vAlign w:val="center"/>
                </w:tcPr>
                <w:p w14:paraId="013DD50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1D592F0D">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C80D49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13EDCE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6B5123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408D08D">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2122C3D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EA70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1121A9F">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0BC380A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685338F">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4BACCF36">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74D9A423">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5E6912E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02CCDA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09BCB79">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0A706D11">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04BB187E">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769B5199">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9.7</w:t>
                  </w:r>
                </w:p>
              </w:tc>
              <w:tc>
                <w:tcPr>
                  <w:tcW w:w="156" w:type="pct"/>
                  <w:shd w:val="clear" w:color="auto" w:fill="FFFFFF"/>
                  <w:tcMar>
                    <w:top w:w="0" w:type="dxa"/>
                    <w:left w:w="0" w:type="dxa"/>
                    <w:bottom w:w="0" w:type="dxa"/>
                    <w:right w:w="0" w:type="dxa"/>
                  </w:tcMar>
                  <w:vAlign w:val="center"/>
                </w:tcPr>
                <w:p w14:paraId="14FC658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0B23A114">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624A1E7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64A24B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6DD95D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2EEC730">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579A41C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A6D6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0B6EB4B">
                  <w:pPr>
                    <w:jc w:val="center"/>
                    <w:outlineLvl w:val="9"/>
                    <w:rPr>
                      <w:rFonts w:hint="default" w:ascii="Times New Roman" w:hAnsi="Times New Roman" w:eastAsia="宋体" w:cs="Times New Roman"/>
                      <w:color w:val="auto"/>
                      <w:sz w:val="21"/>
                      <w:szCs w:val="21"/>
                      <w:highlight w:val="yellow"/>
                    </w:rPr>
                  </w:pPr>
                </w:p>
              </w:tc>
              <w:tc>
                <w:tcPr>
                  <w:tcW w:w="284" w:type="pct"/>
                  <w:vMerge w:val="continue"/>
                  <w:shd w:val="clear" w:color="auto" w:fill="FFFFFF"/>
                  <w:tcMar>
                    <w:top w:w="0" w:type="dxa"/>
                    <w:left w:w="0" w:type="dxa"/>
                    <w:bottom w:w="0" w:type="dxa"/>
                    <w:right w:w="0" w:type="dxa"/>
                  </w:tcMar>
                  <w:vAlign w:val="center"/>
                </w:tcPr>
                <w:p w14:paraId="320DA7C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50FFEA0">
                  <w:pPr>
                    <w:jc w:val="center"/>
                    <w:outlineLvl w:val="9"/>
                    <w:rPr>
                      <w:rFonts w:hint="default" w:ascii="Times New Roman" w:hAnsi="Times New Roman" w:eastAsia="宋体" w:cs="Times New Roman"/>
                      <w:color w:val="auto"/>
                      <w:sz w:val="21"/>
                      <w:szCs w:val="21"/>
                    </w:rPr>
                  </w:pPr>
                </w:p>
              </w:tc>
              <w:tc>
                <w:tcPr>
                  <w:tcW w:w="561" w:type="pct"/>
                  <w:vMerge w:val="continue"/>
                  <w:shd w:val="clear" w:color="auto" w:fill="FFFFFF"/>
                  <w:tcMar>
                    <w:top w:w="0" w:type="dxa"/>
                    <w:left w:w="0" w:type="dxa"/>
                    <w:bottom w:w="0" w:type="dxa"/>
                    <w:right w:w="0" w:type="dxa"/>
                  </w:tcMar>
                  <w:vAlign w:val="center"/>
                </w:tcPr>
                <w:p w14:paraId="52853E45">
                  <w:pPr>
                    <w:jc w:val="center"/>
                    <w:outlineLvl w:val="9"/>
                    <w:rPr>
                      <w:rFonts w:hint="default" w:ascii="Times New Roman" w:hAnsi="Times New Roman" w:eastAsia="宋体" w:cs="Times New Roman"/>
                      <w:color w:val="auto"/>
                      <w:sz w:val="21"/>
                      <w:szCs w:val="21"/>
                    </w:rPr>
                  </w:pPr>
                </w:p>
              </w:tc>
              <w:tc>
                <w:tcPr>
                  <w:tcW w:w="450" w:type="pct"/>
                  <w:vMerge w:val="continue"/>
                  <w:shd w:val="clear" w:color="auto" w:fill="FFFFFF"/>
                  <w:tcMar>
                    <w:top w:w="0" w:type="dxa"/>
                    <w:left w:w="0" w:type="dxa"/>
                    <w:bottom w:w="0" w:type="dxa"/>
                    <w:right w:w="0" w:type="dxa"/>
                  </w:tcMar>
                  <w:vAlign w:val="center"/>
                </w:tcPr>
                <w:p w14:paraId="26897718">
                  <w:pPr>
                    <w:jc w:val="center"/>
                    <w:outlineLvl w:val="9"/>
                    <w:rPr>
                      <w:rFonts w:hint="default" w:ascii="Times New Roman" w:hAnsi="Times New Roman" w:eastAsia="宋体" w:cs="Times New Roman"/>
                      <w:color w:val="auto"/>
                      <w:sz w:val="21"/>
                      <w:szCs w:val="21"/>
                    </w:rPr>
                  </w:pPr>
                </w:p>
              </w:tc>
              <w:tc>
                <w:tcPr>
                  <w:tcW w:w="415" w:type="pct"/>
                  <w:vMerge w:val="continue"/>
                  <w:shd w:val="clear" w:color="auto" w:fill="FFFFFF"/>
                  <w:tcMar>
                    <w:top w:w="0" w:type="dxa"/>
                    <w:left w:w="0" w:type="dxa"/>
                    <w:bottom w:w="0" w:type="dxa"/>
                    <w:right w:w="0" w:type="dxa"/>
                  </w:tcMar>
                  <w:vAlign w:val="center"/>
                </w:tcPr>
                <w:p w14:paraId="28AE3F94">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FC1DF6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8CF7341">
                  <w:pPr>
                    <w:jc w:val="center"/>
                    <w:outlineLvl w:val="9"/>
                    <w:rPr>
                      <w:rFonts w:hint="default" w:ascii="Times New Roman" w:hAnsi="Times New Roman" w:eastAsia="宋体" w:cs="Times New Roman"/>
                      <w:color w:val="auto"/>
                      <w:sz w:val="21"/>
                      <w:szCs w:val="21"/>
                    </w:rPr>
                  </w:pPr>
                </w:p>
              </w:tc>
              <w:tc>
                <w:tcPr>
                  <w:tcW w:w="138" w:type="pct"/>
                  <w:vMerge w:val="continue"/>
                  <w:shd w:val="clear" w:color="auto" w:fill="FFFFFF"/>
                  <w:tcMar>
                    <w:top w:w="0" w:type="dxa"/>
                    <w:left w:w="0" w:type="dxa"/>
                    <w:bottom w:w="0" w:type="dxa"/>
                    <w:right w:w="0" w:type="dxa"/>
                  </w:tcMar>
                  <w:vAlign w:val="center"/>
                </w:tcPr>
                <w:p w14:paraId="12CEE0BE">
                  <w:pPr>
                    <w:jc w:val="center"/>
                    <w:outlineLvl w:val="9"/>
                    <w:rPr>
                      <w:rFonts w:hint="default" w:ascii="Times New Roman" w:hAnsi="Times New Roman" w:eastAsia="宋体" w:cs="Times New Roman"/>
                      <w:color w:val="auto"/>
                      <w:sz w:val="21"/>
                      <w:szCs w:val="21"/>
                    </w:rPr>
                  </w:pPr>
                </w:p>
              </w:tc>
              <w:tc>
                <w:tcPr>
                  <w:tcW w:w="188" w:type="pct"/>
                  <w:shd w:val="clear" w:color="auto" w:fill="FFFFFF"/>
                  <w:tcMar>
                    <w:top w:w="0" w:type="dxa"/>
                    <w:left w:w="0" w:type="dxa"/>
                    <w:bottom w:w="0" w:type="dxa"/>
                    <w:right w:w="0" w:type="dxa"/>
                  </w:tcMar>
                  <w:vAlign w:val="center"/>
                </w:tcPr>
                <w:p w14:paraId="31FB4D40">
                  <w:pPr>
                    <w:keepNext w:val="0"/>
                    <w:keepLines w:val="0"/>
                    <w:widowControl/>
                    <w:suppressLineNumbers w:val="0"/>
                    <w:spacing w:before="0" w:beforeAutospacing="0" w:after="0" w:afterAutospacing="0"/>
                    <w:ind w:left="0" w:leftChars="0" w:right="0" w:rightChars="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288C31E9">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45.1</w:t>
                  </w:r>
                </w:p>
              </w:tc>
              <w:tc>
                <w:tcPr>
                  <w:tcW w:w="156" w:type="pct"/>
                  <w:shd w:val="clear" w:color="auto" w:fill="FFFFFF"/>
                  <w:tcMar>
                    <w:top w:w="0" w:type="dxa"/>
                    <w:left w:w="0" w:type="dxa"/>
                    <w:bottom w:w="0" w:type="dxa"/>
                    <w:right w:w="0" w:type="dxa"/>
                  </w:tcMar>
                  <w:vAlign w:val="center"/>
                </w:tcPr>
                <w:p w14:paraId="3F1D482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6B05EFE1">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68F2088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C02F61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EC47C0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56821838">
                  <w:pPr>
                    <w:keepNext w:val="0"/>
                    <w:keepLines w:val="0"/>
                    <w:widowControl/>
                    <w:suppressLineNumbers w:val="0"/>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724117C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6F09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90" w:hRule="atLeast"/>
                <w:jc w:val="center"/>
              </w:trPr>
              <w:tc>
                <w:tcPr>
                  <w:tcW w:w="182" w:type="pct"/>
                  <w:vMerge w:val="restart"/>
                  <w:shd w:val="clear" w:color="auto" w:fill="FFFFFF"/>
                  <w:tcMar>
                    <w:top w:w="0" w:type="dxa"/>
                    <w:left w:w="0" w:type="dxa"/>
                    <w:bottom w:w="0" w:type="dxa"/>
                    <w:right w:w="0" w:type="dxa"/>
                  </w:tcMar>
                  <w:vAlign w:val="center"/>
                </w:tcPr>
                <w:p w14:paraId="5AA4D28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13</w:t>
                  </w:r>
                </w:p>
              </w:tc>
              <w:tc>
                <w:tcPr>
                  <w:tcW w:w="284" w:type="pct"/>
                  <w:vMerge w:val="continue"/>
                  <w:shd w:val="clear" w:color="auto" w:fill="FFFFFF"/>
                  <w:tcMar>
                    <w:top w:w="0" w:type="dxa"/>
                    <w:left w:w="0" w:type="dxa"/>
                    <w:bottom w:w="0" w:type="dxa"/>
                    <w:right w:w="0" w:type="dxa"/>
                  </w:tcMar>
                  <w:vAlign w:val="center"/>
                </w:tcPr>
                <w:p w14:paraId="2D7B12C4">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35FF509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乳化炸药装药机</w:t>
                  </w:r>
                </w:p>
              </w:tc>
              <w:tc>
                <w:tcPr>
                  <w:tcW w:w="561" w:type="pct"/>
                  <w:vMerge w:val="restart"/>
                  <w:shd w:val="clear" w:color="auto" w:fill="FFFFFF"/>
                  <w:tcMar>
                    <w:top w:w="0" w:type="dxa"/>
                    <w:left w:w="0" w:type="dxa"/>
                    <w:bottom w:w="0" w:type="dxa"/>
                    <w:right w:w="0" w:type="dxa"/>
                  </w:tcMar>
                  <w:vAlign w:val="center"/>
                </w:tcPr>
                <w:p w14:paraId="4210C0F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LRD</w:t>
                  </w:r>
                </w:p>
              </w:tc>
              <w:tc>
                <w:tcPr>
                  <w:tcW w:w="450" w:type="pct"/>
                  <w:vMerge w:val="restart"/>
                  <w:shd w:val="clear" w:color="auto" w:fill="FFFFFF"/>
                  <w:tcMar>
                    <w:top w:w="0" w:type="dxa"/>
                    <w:left w:w="0" w:type="dxa"/>
                    <w:bottom w:w="0" w:type="dxa"/>
                    <w:right w:w="0" w:type="dxa"/>
                  </w:tcMar>
                  <w:vAlign w:val="center"/>
                </w:tcPr>
                <w:p w14:paraId="43414BF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1D7A67BC">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5E34E7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-189.7</w:t>
                  </w:r>
                </w:p>
              </w:tc>
              <w:tc>
                <w:tcPr>
                  <w:tcW w:w="247" w:type="pct"/>
                  <w:vMerge w:val="restart"/>
                  <w:shd w:val="clear" w:color="auto" w:fill="FFFFFF"/>
                  <w:tcMar>
                    <w:top w:w="0" w:type="dxa"/>
                    <w:left w:w="0" w:type="dxa"/>
                    <w:bottom w:w="0" w:type="dxa"/>
                    <w:right w:w="0" w:type="dxa"/>
                  </w:tcMar>
                  <w:vAlign w:val="center"/>
                </w:tcPr>
                <w:p w14:paraId="07576C3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20.2</w:t>
                  </w:r>
                </w:p>
              </w:tc>
              <w:tc>
                <w:tcPr>
                  <w:tcW w:w="138" w:type="pct"/>
                  <w:vMerge w:val="restart"/>
                  <w:shd w:val="clear" w:color="auto" w:fill="FFFFFF"/>
                  <w:tcMar>
                    <w:top w:w="0" w:type="dxa"/>
                    <w:left w:w="0" w:type="dxa"/>
                    <w:bottom w:w="0" w:type="dxa"/>
                    <w:right w:w="0" w:type="dxa"/>
                  </w:tcMar>
                  <w:vAlign w:val="center"/>
                </w:tcPr>
                <w:p w14:paraId="70D6B0F3">
                  <w:pPr>
                    <w:pStyle w:val="6"/>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p>
              </w:tc>
              <w:tc>
                <w:tcPr>
                  <w:tcW w:w="188" w:type="pct"/>
                  <w:shd w:val="clear" w:color="auto" w:fill="FFFFFF"/>
                  <w:tcMar>
                    <w:top w:w="0" w:type="dxa"/>
                    <w:left w:w="0" w:type="dxa"/>
                    <w:bottom w:w="0" w:type="dxa"/>
                    <w:right w:w="0" w:type="dxa"/>
                  </w:tcMar>
                  <w:vAlign w:val="center"/>
                </w:tcPr>
                <w:p w14:paraId="358F8F2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5129628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156" w:type="pct"/>
                  <w:shd w:val="clear" w:color="auto" w:fill="FFFFFF"/>
                  <w:tcMar>
                    <w:top w:w="0" w:type="dxa"/>
                    <w:left w:w="0" w:type="dxa"/>
                    <w:bottom w:w="0" w:type="dxa"/>
                    <w:right w:w="0" w:type="dxa"/>
                  </w:tcMar>
                  <w:vAlign w:val="center"/>
                </w:tcPr>
                <w:p w14:paraId="5C9F5BE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0AA132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restart"/>
                  <w:shd w:val="clear" w:color="auto" w:fill="FFFFFF"/>
                  <w:tcMar>
                    <w:top w:w="0" w:type="dxa"/>
                    <w:left w:w="0" w:type="dxa"/>
                    <w:bottom w:w="0" w:type="dxa"/>
                    <w:right w:w="0" w:type="dxa"/>
                  </w:tcMar>
                  <w:vAlign w:val="center"/>
                </w:tcPr>
                <w:p w14:paraId="03F17BA9">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30FAD73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1E68DA1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8AAD1B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5B1F2B3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3647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65C83D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0F8DDA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C439C5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901811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0D066E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8BA7E8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FFCE63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4E39B3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B017E3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8245B5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14FE174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36.7</w:t>
                  </w:r>
                </w:p>
              </w:tc>
              <w:tc>
                <w:tcPr>
                  <w:tcW w:w="156" w:type="pct"/>
                  <w:shd w:val="clear" w:color="auto" w:fill="FFFFFF"/>
                  <w:tcMar>
                    <w:top w:w="0" w:type="dxa"/>
                    <w:left w:w="0" w:type="dxa"/>
                    <w:bottom w:w="0" w:type="dxa"/>
                    <w:right w:w="0" w:type="dxa"/>
                  </w:tcMar>
                  <w:vAlign w:val="center"/>
                </w:tcPr>
                <w:p w14:paraId="062BCFA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39311AB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BC6895C">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9AA5FB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74EE78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D1F15D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69D3E3F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526D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63412D6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B64D7F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405AA8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A57038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3DC373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049342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5D4958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9F67A4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6B8D62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668959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193C498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7.9</w:t>
                  </w:r>
                </w:p>
              </w:tc>
              <w:tc>
                <w:tcPr>
                  <w:tcW w:w="156" w:type="pct"/>
                  <w:shd w:val="clear" w:color="auto" w:fill="FFFFFF"/>
                  <w:tcMar>
                    <w:top w:w="0" w:type="dxa"/>
                    <w:left w:w="0" w:type="dxa"/>
                    <w:bottom w:w="0" w:type="dxa"/>
                    <w:right w:w="0" w:type="dxa"/>
                  </w:tcMar>
                  <w:vAlign w:val="center"/>
                </w:tcPr>
                <w:p w14:paraId="43DC309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B97276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continue"/>
                  <w:shd w:val="clear" w:color="auto" w:fill="FFFFFF"/>
                  <w:tcMar>
                    <w:top w:w="0" w:type="dxa"/>
                    <w:left w:w="0" w:type="dxa"/>
                    <w:bottom w:w="0" w:type="dxa"/>
                    <w:right w:w="0" w:type="dxa"/>
                  </w:tcMar>
                  <w:vAlign w:val="center"/>
                </w:tcPr>
                <w:p w14:paraId="7942972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BEEE40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2E4235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DE63AE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69460B7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C85C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89F421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FB878A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755F87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D2D824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4BCEA9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0F96B95">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9C38F0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00ACCA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16DB4B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F23764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7DAF3C0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52.1</w:t>
                  </w:r>
                </w:p>
              </w:tc>
              <w:tc>
                <w:tcPr>
                  <w:tcW w:w="156" w:type="pct"/>
                  <w:shd w:val="clear" w:color="auto" w:fill="FFFFFF"/>
                  <w:tcMar>
                    <w:top w:w="0" w:type="dxa"/>
                    <w:left w:w="0" w:type="dxa"/>
                    <w:bottom w:w="0" w:type="dxa"/>
                    <w:right w:w="0" w:type="dxa"/>
                  </w:tcMar>
                  <w:vAlign w:val="center"/>
                </w:tcPr>
                <w:p w14:paraId="1B392ED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1C361D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36FBD867">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4576FFE">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3F8E7E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39DF67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01185AB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FB13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restart"/>
                  <w:shd w:val="clear" w:color="auto" w:fill="FFFFFF"/>
                  <w:tcMar>
                    <w:top w:w="0" w:type="dxa"/>
                    <w:left w:w="0" w:type="dxa"/>
                    <w:bottom w:w="0" w:type="dxa"/>
                    <w:right w:w="0" w:type="dxa"/>
                  </w:tcMar>
                  <w:vAlign w:val="center"/>
                </w:tcPr>
                <w:p w14:paraId="686ABE2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14</w:t>
                  </w:r>
                </w:p>
              </w:tc>
              <w:tc>
                <w:tcPr>
                  <w:tcW w:w="284" w:type="pct"/>
                  <w:vMerge w:val="continue"/>
                  <w:shd w:val="clear" w:color="auto" w:fill="FFFFFF"/>
                  <w:tcMar>
                    <w:top w:w="0" w:type="dxa"/>
                    <w:left w:w="0" w:type="dxa"/>
                    <w:bottom w:w="0" w:type="dxa"/>
                    <w:right w:w="0" w:type="dxa"/>
                  </w:tcMar>
                  <w:vAlign w:val="center"/>
                </w:tcPr>
                <w:p w14:paraId="673A4783">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4F4EDBB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乳化炸药装药机</w:t>
                  </w:r>
                </w:p>
              </w:tc>
              <w:tc>
                <w:tcPr>
                  <w:tcW w:w="561" w:type="pct"/>
                  <w:vMerge w:val="restart"/>
                  <w:shd w:val="clear" w:color="auto" w:fill="FFFFFF"/>
                  <w:tcMar>
                    <w:top w:w="0" w:type="dxa"/>
                    <w:left w:w="0" w:type="dxa"/>
                    <w:bottom w:w="0" w:type="dxa"/>
                    <w:right w:w="0" w:type="dxa"/>
                  </w:tcMar>
                  <w:vAlign w:val="center"/>
                </w:tcPr>
                <w:p w14:paraId="3EA1BE2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LRD</w:t>
                  </w:r>
                </w:p>
              </w:tc>
              <w:tc>
                <w:tcPr>
                  <w:tcW w:w="450" w:type="pct"/>
                  <w:vMerge w:val="restart"/>
                  <w:shd w:val="clear" w:color="auto" w:fill="FFFFFF"/>
                  <w:tcMar>
                    <w:top w:w="0" w:type="dxa"/>
                    <w:left w:w="0" w:type="dxa"/>
                    <w:bottom w:w="0" w:type="dxa"/>
                    <w:right w:w="0" w:type="dxa"/>
                  </w:tcMar>
                  <w:vAlign w:val="center"/>
                </w:tcPr>
                <w:p w14:paraId="6491947C">
                  <w:pPr>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w:t>
                  </w:r>
                </w:p>
              </w:tc>
              <w:tc>
                <w:tcPr>
                  <w:tcW w:w="415" w:type="pct"/>
                  <w:vMerge w:val="continue"/>
                  <w:shd w:val="clear" w:color="auto" w:fill="FFFFFF"/>
                  <w:tcMar>
                    <w:top w:w="0" w:type="dxa"/>
                    <w:left w:w="0" w:type="dxa"/>
                    <w:bottom w:w="0" w:type="dxa"/>
                    <w:right w:w="0" w:type="dxa"/>
                  </w:tcMar>
                  <w:vAlign w:val="center"/>
                </w:tcPr>
                <w:p w14:paraId="4E28EB88">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42E0C35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-190.5</w:t>
                  </w:r>
                </w:p>
              </w:tc>
              <w:tc>
                <w:tcPr>
                  <w:tcW w:w="247" w:type="pct"/>
                  <w:vMerge w:val="restart"/>
                  <w:shd w:val="clear" w:color="auto" w:fill="FFFFFF"/>
                  <w:tcMar>
                    <w:top w:w="0" w:type="dxa"/>
                    <w:left w:w="0" w:type="dxa"/>
                    <w:bottom w:w="0" w:type="dxa"/>
                    <w:right w:w="0" w:type="dxa"/>
                  </w:tcMar>
                  <w:vAlign w:val="center"/>
                </w:tcPr>
                <w:p w14:paraId="72E138E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22.4</w:t>
                  </w:r>
                </w:p>
              </w:tc>
              <w:tc>
                <w:tcPr>
                  <w:tcW w:w="138" w:type="pct"/>
                  <w:vMerge w:val="restart"/>
                  <w:shd w:val="clear" w:color="auto" w:fill="FFFFFF"/>
                  <w:tcMar>
                    <w:top w:w="0" w:type="dxa"/>
                    <w:left w:w="0" w:type="dxa"/>
                    <w:bottom w:w="0" w:type="dxa"/>
                    <w:right w:w="0" w:type="dxa"/>
                  </w:tcMar>
                  <w:vAlign w:val="center"/>
                </w:tcPr>
                <w:p w14:paraId="104A56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19A2337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63E4E4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10.7</w:t>
                  </w:r>
                </w:p>
              </w:tc>
              <w:tc>
                <w:tcPr>
                  <w:tcW w:w="156" w:type="pct"/>
                  <w:shd w:val="clear" w:color="auto" w:fill="FFFFFF"/>
                  <w:tcMar>
                    <w:top w:w="0" w:type="dxa"/>
                    <w:left w:w="0" w:type="dxa"/>
                    <w:bottom w:w="0" w:type="dxa"/>
                    <w:right w:w="0" w:type="dxa"/>
                  </w:tcMar>
                  <w:vAlign w:val="center"/>
                </w:tcPr>
                <w:p w14:paraId="39D4CAF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9DFBCB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restart"/>
                  <w:shd w:val="clear" w:color="auto" w:fill="FFFFFF"/>
                  <w:tcMar>
                    <w:top w:w="0" w:type="dxa"/>
                    <w:left w:w="0" w:type="dxa"/>
                    <w:bottom w:w="0" w:type="dxa"/>
                    <w:right w:w="0" w:type="dxa"/>
                  </w:tcMar>
                  <w:vAlign w:val="center"/>
                </w:tcPr>
                <w:p w14:paraId="35C3C30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0963E2D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C6CB66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FACB3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2C8AE8E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5764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09E636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4F2741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92D66B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AA9E2B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A8DA85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84618A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79B89C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B8C79C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DBFEEB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ABB089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9E904E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w:t>
                  </w:r>
                </w:p>
              </w:tc>
              <w:tc>
                <w:tcPr>
                  <w:tcW w:w="156" w:type="pct"/>
                  <w:shd w:val="clear" w:color="auto" w:fill="FFFFFF"/>
                  <w:tcMar>
                    <w:top w:w="0" w:type="dxa"/>
                    <w:left w:w="0" w:type="dxa"/>
                    <w:bottom w:w="0" w:type="dxa"/>
                    <w:right w:w="0" w:type="dxa"/>
                  </w:tcMar>
                  <w:vAlign w:val="center"/>
                </w:tcPr>
                <w:p w14:paraId="5F2E988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3AA3AB2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06A9263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055D14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7E4DD9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1C458DE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3B8AAF5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C387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80980E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D05FB8C">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59FBD2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C2D0D1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97C3E3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F2A96F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F5A2DB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E95CED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CD9298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88498B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2479C0F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7.8</w:t>
                  </w:r>
                </w:p>
              </w:tc>
              <w:tc>
                <w:tcPr>
                  <w:tcW w:w="156" w:type="pct"/>
                  <w:shd w:val="clear" w:color="auto" w:fill="FFFFFF"/>
                  <w:tcMar>
                    <w:top w:w="0" w:type="dxa"/>
                    <w:left w:w="0" w:type="dxa"/>
                    <w:bottom w:w="0" w:type="dxa"/>
                    <w:right w:w="0" w:type="dxa"/>
                  </w:tcMar>
                  <w:vAlign w:val="center"/>
                </w:tcPr>
                <w:p w14:paraId="7CC9E8A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98042A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continue"/>
                  <w:shd w:val="clear" w:color="auto" w:fill="FFFFFF"/>
                  <w:tcMar>
                    <w:top w:w="0" w:type="dxa"/>
                    <w:left w:w="0" w:type="dxa"/>
                    <w:bottom w:w="0" w:type="dxa"/>
                    <w:right w:w="0" w:type="dxa"/>
                  </w:tcMar>
                  <w:vAlign w:val="center"/>
                </w:tcPr>
                <w:p w14:paraId="4363B5E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D92AB4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F6B993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0109B6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70BA4B6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C5DD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CD9436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0358D54">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1CE957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E66F23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1AD7B9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BEAC84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429DDE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3C6230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54C5CB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919F42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76C1FA8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49.8</w:t>
                  </w:r>
                </w:p>
              </w:tc>
              <w:tc>
                <w:tcPr>
                  <w:tcW w:w="156" w:type="pct"/>
                  <w:shd w:val="clear" w:color="auto" w:fill="FFFFFF"/>
                  <w:tcMar>
                    <w:top w:w="0" w:type="dxa"/>
                    <w:left w:w="0" w:type="dxa"/>
                    <w:bottom w:w="0" w:type="dxa"/>
                    <w:right w:w="0" w:type="dxa"/>
                  </w:tcMar>
                  <w:vAlign w:val="center"/>
                </w:tcPr>
                <w:p w14:paraId="717FA42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5552C53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6399652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6513DF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1F633D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537F60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2E7AD75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00D9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4280FAB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15</w:t>
                  </w:r>
                </w:p>
              </w:tc>
              <w:tc>
                <w:tcPr>
                  <w:tcW w:w="284" w:type="pct"/>
                  <w:vMerge w:val="continue"/>
                  <w:shd w:val="clear" w:color="auto" w:fill="FFFFFF"/>
                  <w:tcMar>
                    <w:top w:w="0" w:type="dxa"/>
                    <w:left w:w="0" w:type="dxa"/>
                    <w:bottom w:w="0" w:type="dxa"/>
                    <w:right w:w="0" w:type="dxa"/>
                  </w:tcMar>
                  <w:vAlign w:val="center"/>
                </w:tcPr>
                <w:p w14:paraId="4EB817C3">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6C55ACB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上壳机</w:t>
                  </w:r>
                </w:p>
              </w:tc>
              <w:tc>
                <w:tcPr>
                  <w:tcW w:w="561" w:type="pct"/>
                  <w:vMerge w:val="restart"/>
                  <w:shd w:val="clear" w:color="auto" w:fill="FFFFFF"/>
                  <w:tcMar>
                    <w:top w:w="0" w:type="dxa"/>
                    <w:left w:w="0" w:type="dxa"/>
                    <w:bottom w:w="0" w:type="dxa"/>
                    <w:right w:w="0" w:type="dxa"/>
                  </w:tcMar>
                  <w:vAlign w:val="center"/>
                </w:tcPr>
                <w:p w14:paraId="7F13B87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RZY60-15G</w:t>
                  </w:r>
                </w:p>
              </w:tc>
              <w:tc>
                <w:tcPr>
                  <w:tcW w:w="450" w:type="pct"/>
                  <w:vMerge w:val="restart"/>
                  <w:shd w:val="clear" w:color="auto" w:fill="FFFFFF"/>
                  <w:tcMar>
                    <w:top w:w="0" w:type="dxa"/>
                    <w:left w:w="0" w:type="dxa"/>
                    <w:bottom w:w="0" w:type="dxa"/>
                    <w:right w:w="0" w:type="dxa"/>
                  </w:tcMar>
                  <w:vAlign w:val="center"/>
                </w:tcPr>
                <w:p w14:paraId="0B4B804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53F2690B">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692B49C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-188.3</w:t>
                  </w:r>
                </w:p>
              </w:tc>
              <w:tc>
                <w:tcPr>
                  <w:tcW w:w="247" w:type="pct"/>
                  <w:vMerge w:val="restart"/>
                  <w:shd w:val="clear" w:color="auto" w:fill="FFFFFF"/>
                  <w:tcMar>
                    <w:top w:w="0" w:type="dxa"/>
                    <w:left w:w="0" w:type="dxa"/>
                    <w:bottom w:w="0" w:type="dxa"/>
                    <w:right w:w="0" w:type="dxa"/>
                  </w:tcMar>
                  <w:vAlign w:val="center"/>
                </w:tcPr>
                <w:p w14:paraId="7DE6942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15.2</w:t>
                  </w:r>
                </w:p>
              </w:tc>
              <w:tc>
                <w:tcPr>
                  <w:tcW w:w="138" w:type="pct"/>
                  <w:vMerge w:val="restart"/>
                  <w:shd w:val="clear" w:color="auto" w:fill="FFFFFF"/>
                  <w:tcMar>
                    <w:top w:w="0" w:type="dxa"/>
                    <w:left w:w="0" w:type="dxa"/>
                    <w:bottom w:w="0" w:type="dxa"/>
                    <w:right w:w="0" w:type="dxa"/>
                  </w:tcMar>
                  <w:vAlign w:val="center"/>
                </w:tcPr>
                <w:p w14:paraId="2B381B8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53B6DCC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A3C2E6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10.8</w:t>
                  </w:r>
                </w:p>
              </w:tc>
              <w:tc>
                <w:tcPr>
                  <w:tcW w:w="156" w:type="pct"/>
                  <w:shd w:val="clear" w:color="auto" w:fill="FFFFFF"/>
                  <w:tcMar>
                    <w:top w:w="0" w:type="dxa"/>
                    <w:left w:w="0" w:type="dxa"/>
                    <w:bottom w:w="0" w:type="dxa"/>
                    <w:right w:w="0" w:type="dxa"/>
                  </w:tcMar>
                  <w:vAlign w:val="center"/>
                </w:tcPr>
                <w:p w14:paraId="45B3E87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51E787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restart"/>
                  <w:shd w:val="clear" w:color="auto" w:fill="FFFFFF"/>
                  <w:tcMar>
                    <w:top w:w="0" w:type="dxa"/>
                    <w:left w:w="0" w:type="dxa"/>
                    <w:bottom w:w="0" w:type="dxa"/>
                    <w:right w:w="0" w:type="dxa"/>
                  </w:tcMar>
                  <w:vAlign w:val="center"/>
                </w:tcPr>
                <w:p w14:paraId="2413CDE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19F5C5D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7CE5086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60801F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36E6C50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3E79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E4143D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AF1FDF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CF0E34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6F832B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062AF9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AF63E7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3FC057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11DC7A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D20426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EECF83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930CB6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31.5</w:t>
                  </w:r>
                </w:p>
              </w:tc>
              <w:tc>
                <w:tcPr>
                  <w:tcW w:w="156" w:type="pct"/>
                  <w:shd w:val="clear" w:color="auto" w:fill="FFFFFF"/>
                  <w:tcMar>
                    <w:top w:w="0" w:type="dxa"/>
                    <w:left w:w="0" w:type="dxa"/>
                    <w:bottom w:w="0" w:type="dxa"/>
                    <w:right w:w="0" w:type="dxa"/>
                  </w:tcMar>
                  <w:vAlign w:val="center"/>
                </w:tcPr>
                <w:p w14:paraId="1E267A1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2199260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05B9E79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DF99EE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FAE65A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3A2300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33CBA39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8CD8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A8A6E5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D37B9F1">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8E72F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761436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A2F094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626484F">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D81AD3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96410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12265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C2EB22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259AB0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7.7</w:t>
                  </w:r>
                </w:p>
              </w:tc>
              <w:tc>
                <w:tcPr>
                  <w:tcW w:w="156" w:type="pct"/>
                  <w:shd w:val="clear" w:color="auto" w:fill="FFFFFF"/>
                  <w:tcMar>
                    <w:top w:w="0" w:type="dxa"/>
                    <w:left w:w="0" w:type="dxa"/>
                    <w:bottom w:w="0" w:type="dxa"/>
                    <w:right w:w="0" w:type="dxa"/>
                  </w:tcMar>
                  <w:vAlign w:val="center"/>
                </w:tcPr>
                <w:p w14:paraId="3D5CE7A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F4A29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continue"/>
                  <w:shd w:val="clear" w:color="auto" w:fill="FFFFFF"/>
                  <w:tcMar>
                    <w:top w:w="0" w:type="dxa"/>
                    <w:left w:w="0" w:type="dxa"/>
                    <w:bottom w:w="0" w:type="dxa"/>
                    <w:right w:w="0" w:type="dxa"/>
                  </w:tcMar>
                  <w:vAlign w:val="center"/>
                </w:tcPr>
                <w:p w14:paraId="53D3F9E7">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6152F0E">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0D0BDA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40A8C4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7AE7A62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BA05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59C488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3E9246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D89BCD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36CF03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FED2B9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18873F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2D080C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B8BDDB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1EDA95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BC5371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2252AA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57.3</w:t>
                  </w:r>
                </w:p>
              </w:tc>
              <w:tc>
                <w:tcPr>
                  <w:tcW w:w="156" w:type="pct"/>
                  <w:shd w:val="clear" w:color="auto" w:fill="FFFFFF"/>
                  <w:tcMar>
                    <w:top w:w="0" w:type="dxa"/>
                    <w:left w:w="0" w:type="dxa"/>
                    <w:bottom w:w="0" w:type="dxa"/>
                    <w:right w:w="0" w:type="dxa"/>
                  </w:tcMar>
                  <w:vAlign w:val="center"/>
                </w:tcPr>
                <w:p w14:paraId="72264B9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31965F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6C77DED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9E99F5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6D1130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0F45128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521E742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971F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4923A3E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16</w:t>
                  </w:r>
                </w:p>
              </w:tc>
              <w:tc>
                <w:tcPr>
                  <w:tcW w:w="284" w:type="pct"/>
                  <w:vMerge w:val="continue"/>
                  <w:shd w:val="clear" w:color="auto" w:fill="FFFFFF"/>
                  <w:tcMar>
                    <w:top w:w="0" w:type="dxa"/>
                    <w:left w:w="0" w:type="dxa"/>
                    <w:bottom w:w="0" w:type="dxa"/>
                    <w:right w:w="0" w:type="dxa"/>
                  </w:tcMar>
                  <w:vAlign w:val="center"/>
                </w:tcPr>
                <w:p w14:paraId="4964004F">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480C435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压盖机</w:t>
                  </w:r>
                </w:p>
              </w:tc>
              <w:tc>
                <w:tcPr>
                  <w:tcW w:w="561" w:type="pct"/>
                  <w:vMerge w:val="restart"/>
                  <w:shd w:val="clear" w:color="auto" w:fill="FFFFFF"/>
                  <w:tcMar>
                    <w:top w:w="0" w:type="dxa"/>
                    <w:left w:w="0" w:type="dxa"/>
                    <w:bottom w:w="0" w:type="dxa"/>
                    <w:right w:w="0" w:type="dxa"/>
                  </w:tcMar>
                  <w:vAlign w:val="center"/>
                </w:tcPr>
                <w:p w14:paraId="0D380B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RZY60-1-2-15</w:t>
                  </w:r>
                </w:p>
              </w:tc>
              <w:tc>
                <w:tcPr>
                  <w:tcW w:w="450" w:type="pct"/>
                  <w:vMerge w:val="restart"/>
                  <w:shd w:val="clear" w:color="auto" w:fill="FFFFFF"/>
                  <w:tcMar>
                    <w:top w:w="0" w:type="dxa"/>
                    <w:left w:w="0" w:type="dxa"/>
                    <w:bottom w:w="0" w:type="dxa"/>
                    <w:right w:w="0" w:type="dxa"/>
                  </w:tcMar>
                  <w:vAlign w:val="center"/>
                </w:tcPr>
                <w:p w14:paraId="464A90B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7EA6607A">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18F1C2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-187</w:t>
                  </w:r>
                </w:p>
              </w:tc>
              <w:tc>
                <w:tcPr>
                  <w:tcW w:w="247" w:type="pct"/>
                  <w:vMerge w:val="restart"/>
                  <w:shd w:val="clear" w:color="auto" w:fill="FFFFFF"/>
                  <w:tcMar>
                    <w:top w:w="0" w:type="dxa"/>
                    <w:left w:w="0" w:type="dxa"/>
                    <w:bottom w:w="0" w:type="dxa"/>
                    <w:right w:w="0" w:type="dxa"/>
                  </w:tcMar>
                  <w:vAlign w:val="center"/>
                </w:tcPr>
                <w:p w14:paraId="007287B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11.7</w:t>
                  </w:r>
                </w:p>
              </w:tc>
              <w:tc>
                <w:tcPr>
                  <w:tcW w:w="138" w:type="pct"/>
                  <w:vMerge w:val="restart"/>
                  <w:shd w:val="clear" w:color="auto" w:fill="FFFFFF"/>
                  <w:tcMar>
                    <w:top w:w="0" w:type="dxa"/>
                    <w:left w:w="0" w:type="dxa"/>
                    <w:bottom w:w="0" w:type="dxa"/>
                    <w:right w:w="0" w:type="dxa"/>
                  </w:tcMar>
                  <w:vAlign w:val="center"/>
                </w:tcPr>
                <w:p w14:paraId="5998B2E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00E0BD6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CB0AB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156" w:type="pct"/>
                  <w:shd w:val="clear" w:color="auto" w:fill="FFFFFF"/>
                  <w:tcMar>
                    <w:top w:w="0" w:type="dxa"/>
                    <w:left w:w="0" w:type="dxa"/>
                    <w:bottom w:w="0" w:type="dxa"/>
                    <w:right w:w="0" w:type="dxa"/>
                  </w:tcMar>
                  <w:vAlign w:val="center"/>
                </w:tcPr>
                <w:p w14:paraId="341CB4B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EC48C6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restart"/>
                  <w:shd w:val="clear" w:color="auto" w:fill="FFFFFF"/>
                  <w:tcMar>
                    <w:top w:w="0" w:type="dxa"/>
                    <w:left w:w="0" w:type="dxa"/>
                    <w:bottom w:w="0" w:type="dxa"/>
                    <w:right w:w="0" w:type="dxa"/>
                  </w:tcMar>
                  <w:vAlign w:val="center"/>
                </w:tcPr>
                <w:p w14:paraId="1A59672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41C8C83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799BA2F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967D6C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6E37A94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F260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58" w:hRule="atLeast"/>
                <w:jc w:val="center"/>
              </w:trPr>
              <w:tc>
                <w:tcPr>
                  <w:tcW w:w="182" w:type="pct"/>
                  <w:vMerge w:val="continue"/>
                  <w:shd w:val="clear" w:color="auto" w:fill="FFFFFF"/>
                  <w:tcMar>
                    <w:top w:w="0" w:type="dxa"/>
                    <w:left w:w="0" w:type="dxa"/>
                    <w:bottom w:w="0" w:type="dxa"/>
                    <w:right w:w="0" w:type="dxa"/>
                  </w:tcMar>
                  <w:vAlign w:val="center"/>
                </w:tcPr>
                <w:p w14:paraId="78039E8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BCE53E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82C055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3598B1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9E2FBF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512E694">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EF7581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32AE8B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F8D123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523133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683A2D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27.8</w:t>
                  </w:r>
                </w:p>
              </w:tc>
              <w:tc>
                <w:tcPr>
                  <w:tcW w:w="156" w:type="pct"/>
                  <w:shd w:val="clear" w:color="auto" w:fill="FFFFFF"/>
                  <w:tcMar>
                    <w:top w:w="0" w:type="dxa"/>
                    <w:left w:w="0" w:type="dxa"/>
                    <w:bottom w:w="0" w:type="dxa"/>
                    <w:right w:w="0" w:type="dxa"/>
                  </w:tcMar>
                  <w:vAlign w:val="center"/>
                </w:tcPr>
                <w:p w14:paraId="41F8C55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063898A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7C61B5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823505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7D49B3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06FBCE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2459CCC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45D0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9B930D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24AC0D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199074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BA2E8A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DFE8A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79B7A2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D3D0E9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B4724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479571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575023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B6541C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7.8</w:t>
                  </w:r>
                </w:p>
              </w:tc>
              <w:tc>
                <w:tcPr>
                  <w:tcW w:w="156" w:type="pct"/>
                  <w:shd w:val="clear" w:color="auto" w:fill="FFFFFF"/>
                  <w:tcMar>
                    <w:top w:w="0" w:type="dxa"/>
                    <w:left w:w="0" w:type="dxa"/>
                    <w:bottom w:w="0" w:type="dxa"/>
                    <w:right w:w="0" w:type="dxa"/>
                  </w:tcMar>
                  <w:vAlign w:val="center"/>
                </w:tcPr>
                <w:p w14:paraId="3C94579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6CF376C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continue"/>
                  <w:shd w:val="clear" w:color="auto" w:fill="FFFFFF"/>
                  <w:tcMar>
                    <w:top w:w="0" w:type="dxa"/>
                    <w:left w:w="0" w:type="dxa"/>
                    <w:bottom w:w="0" w:type="dxa"/>
                    <w:right w:w="0" w:type="dxa"/>
                  </w:tcMar>
                  <w:vAlign w:val="center"/>
                </w:tcPr>
                <w:p w14:paraId="7C07FA45">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640477F">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F195E2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C467C1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1051260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B24A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D82ABC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1FC759C">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BF2668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EF9885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915E0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23BFD46">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3F7EDB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DAACCE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8C6813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874A28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58E44A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w:t>
                  </w:r>
                </w:p>
              </w:tc>
              <w:tc>
                <w:tcPr>
                  <w:tcW w:w="156" w:type="pct"/>
                  <w:shd w:val="clear" w:color="auto" w:fill="FFFFFF"/>
                  <w:tcMar>
                    <w:top w:w="0" w:type="dxa"/>
                    <w:left w:w="0" w:type="dxa"/>
                    <w:bottom w:w="0" w:type="dxa"/>
                    <w:right w:w="0" w:type="dxa"/>
                  </w:tcMar>
                  <w:vAlign w:val="center"/>
                </w:tcPr>
                <w:p w14:paraId="3BFAA84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3A5C58B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285AC83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2E9A65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C9A68A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BBFFE7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69FDD1B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13DC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3439868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17</w:t>
                  </w:r>
                </w:p>
              </w:tc>
              <w:tc>
                <w:tcPr>
                  <w:tcW w:w="284" w:type="pct"/>
                  <w:vMerge w:val="continue"/>
                  <w:shd w:val="clear" w:color="auto" w:fill="FFFFFF"/>
                  <w:tcMar>
                    <w:top w:w="0" w:type="dxa"/>
                    <w:left w:w="0" w:type="dxa"/>
                    <w:bottom w:w="0" w:type="dxa"/>
                    <w:right w:w="0" w:type="dxa"/>
                  </w:tcMar>
                  <w:vAlign w:val="center"/>
                </w:tcPr>
                <w:p w14:paraId="350C04CD">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4B17E4F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擦药机</w:t>
                  </w:r>
                </w:p>
              </w:tc>
              <w:tc>
                <w:tcPr>
                  <w:tcW w:w="561" w:type="pct"/>
                  <w:vMerge w:val="restart"/>
                  <w:shd w:val="clear" w:color="auto" w:fill="FFFFFF"/>
                  <w:tcMar>
                    <w:top w:w="0" w:type="dxa"/>
                    <w:left w:w="0" w:type="dxa"/>
                    <w:bottom w:w="0" w:type="dxa"/>
                    <w:right w:w="0" w:type="dxa"/>
                  </w:tcMar>
                  <w:vAlign w:val="center"/>
                </w:tcPr>
                <w:p w14:paraId="1BD1BEA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R400-250</w:t>
                  </w:r>
                </w:p>
              </w:tc>
              <w:tc>
                <w:tcPr>
                  <w:tcW w:w="450" w:type="pct"/>
                  <w:vMerge w:val="restart"/>
                  <w:shd w:val="clear" w:color="auto" w:fill="FFFFFF"/>
                  <w:tcMar>
                    <w:top w:w="0" w:type="dxa"/>
                    <w:left w:w="0" w:type="dxa"/>
                    <w:bottom w:w="0" w:type="dxa"/>
                    <w:right w:w="0" w:type="dxa"/>
                  </w:tcMar>
                  <w:vAlign w:val="center"/>
                </w:tcPr>
                <w:p w14:paraId="3C42BDA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2B1758A7">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1EA3434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-183.4</w:t>
                  </w:r>
                </w:p>
              </w:tc>
              <w:tc>
                <w:tcPr>
                  <w:tcW w:w="247" w:type="pct"/>
                  <w:vMerge w:val="restart"/>
                  <w:shd w:val="clear" w:color="auto" w:fill="FFFFFF"/>
                  <w:tcMar>
                    <w:top w:w="0" w:type="dxa"/>
                    <w:left w:w="0" w:type="dxa"/>
                    <w:bottom w:w="0" w:type="dxa"/>
                    <w:right w:w="0" w:type="dxa"/>
                  </w:tcMar>
                  <w:vAlign w:val="center"/>
                </w:tcPr>
                <w:p w14:paraId="3B6C7E9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9.4</w:t>
                  </w:r>
                </w:p>
              </w:tc>
              <w:tc>
                <w:tcPr>
                  <w:tcW w:w="138" w:type="pct"/>
                  <w:vMerge w:val="restart"/>
                  <w:shd w:val="clear" w:color="auto" w:fill="FFFFFF"/>
                  <w:tcMar>
                    <w:top w:w="0" w:type="dxa"/>
                    <w:left w:w="0" w:type="dxa"/>
                    <w:bottom w:w="0" w:type="dxa"/>
                    <w:right w:w="0" w:type="dxa"/>
                  </w:tcMar>
                  <w:vAlign w:val="center"/>
                </w:tcPr>
                <w:p w14:paraId="302DB1E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833340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8AF2C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7.9</w:t>
                  </w:r>
                </w:p>
              </w:tc>
              <w:tc>
                <w:tcPr>
                  <w:tcW w:w="156" w:type="pct"/>
                  <w:shd w:val="clear" w:color="auto" w:fill="FFFFFF"/>
                  <w:tcMar>
                    <w:top w:w="0" w:type="dxa"/>
                    <w:left w:w="0" w:type="dxa"/>
                    <w:bottom w:w="0" w:type="dxa"/>
                    <w:right w:w="0" w:type="dxa"/>
                  </w:tcMar>
                  <w:vAlign w:val="center"/>
                </w:tcPr>
                <w:p w14:paraId="669BBF4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46CB475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restart"/>
                  <w:shd w:val="clear" w:color="auto" w:fill="FFFFFF"/>
                  <w:tcMar>
                    <w:top w:w="0" w:type="dxa"/>
                    <w:left w:w="0" w:type="dxa"/>
                    <w:bottom w:w="0" w:type="dxa"/>
                    <w:right w:w="0" w:type="dxa"/>
                  </w:tcMar>
                  <w:vAlign w:val="center"/>
                </w:tcPr>
                <w:p w14:paraId="021D48D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15DD5CD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BA798B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10EDAC1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491F22A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041B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B6CD79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D93279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88F3F7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B44FF7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85B8B3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EA9C32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1931A6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C69EEE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53222C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A3037C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7C96BCA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24.5</w:t>
                  </w:r>
                </w:p>
              </w:tc>
              <w:tc>
                <w:tcPr>
                  <w:tcW w:w="156" w:type="pct"/>
                  <w:shd w:val="clear" w:color="auto" w:fill="FFFFFF"/>
                  <w:tcMar>
                    <w:top w:w="0" w:type="dxa"/>
                    <w:left w:w="0" w:type="dxa"/>
                    <w:bottom w:w="0" w:type="dxa"/>
                    <w:right w:w="0" w:type="dxa"/>
                  </w:tcMar>
                  <w:vAlign w:val="center"/>
                </w:tcPr>
                <w:p w14:paraId="358EE95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0B13CFF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7EAE17B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25E2E5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3C13BC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1FC632D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69C7E66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4215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DEC9D1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4797AB9">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8CADC3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8A8F72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CF5AAB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F2F5E1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5B3D85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2C6516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B0D4B4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76D6BB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B08570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156" w:type="pct"/>
                  <w:shd w:val="clear" w:color="auto" w:fill="FFFFFF"/>
                  <w:tcMar>
                    <w:top w:w="0" w:type="dxa"/>
                    <w:left w:w="0" w:type="dxa"/>
                    <w:bottom w:w="0" w:type="dxa"/>
                    <w:right w:w="0" w:type="dxa"/>
                  </w:tcMar>
                  <w:vAlign w:val="center"/>
                </w:tcPr>
                <w:p w14:paraId="7C40E21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10C489F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27CF5D0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D5A5DCB">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1E64B9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1264F24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5AC380F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4E40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33AC35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08FAE5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95940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ED3E9E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6F9693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48F0865">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D8C27E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F9E8BE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D07A60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A59E23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DB5307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64.3</w:t>
                  </w:r>
                </w:p>
              </w:tc>
              <w:tc>
                <w:tcPr>
                  <w:tcW w:w="156" w:type="pct"/>
                  <w:shd w:val="clear" w:color="auto" w:fill="FFFFFF"/>
                  <w:tcMar>
                    <w:top w:w="0" w:type="dxa"/>
                    <w:left w:w="0" w:type="dxa"/>
                    <w:bottom w:w="0" w:type="dxa"/>
                    <w:right w:w="0" w:type="dxa"/>
                  </w:tcMar>
                  <w:vAlign w:val="center"/>
                </w:tcPr>
                <w:p w14:paraId="58EA8D7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3563768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9FB791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F7636F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574CE3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E92ABD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14B4260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709A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2E36EF2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18</w:t>
                  </w:r>
                </w:p>
              </w:tc>
              <w:tc>
                <w:tcPr>
                  <w:tcW w:w="284" w:type="pct"/>
                  <w:vMerge w:val="continue"/>
                  <w:shd w:val="clear" w:color="auto" w:fill="FFFFFF"/>
                  <w:tcMar>
                    <w:top w:w="0" w:type="dxa"/>
                    <w:left w:w="0" w:type="dxa"/>
                    <w:bottom w:w="0" w:type="dxa"/>
                    <w:right w:w="0" w:type="dxa"/>
                  </w:tcMar>
                  <w:vAlign w:val="center"/>
                </w:tcPr>
                <w:p w14:paraId="0831C0B8">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06040F4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自动封口连接套装配一体机</w:t>
                  </w:r>
                </w:p>
              </w:tc>
              <w:tc>
                <w:tcPr>
                  <w:tcW w:w="561" w:type="pct"/>
                  <w:vMerge w:val="restart"/>
                  <w:shd w:val="clear" w:color="auto" w:fill="FFFFFF"/>
                  <w:tcMar>
                    <w:top w:w="0" w:type="dxa"/>
                    <w:left w:w="0" w:type="dxa"/>
                    <w:bottom w:w="0" w:type="dxa"/>
                    <w:right w:w="0" w:type="dxa"/>
                  </w:tcMar>
                  <w:vAlign w:val="center"/>
                </w:tcPr>
                <w:p w14:paraId="010772F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RY60-680</w:t>
                  </w:r>
                </w:p>
              </w:tc>
              <w:tc>
                <w:tcPr>
                  <w:tcW w:w="450" w:type="pct"/>
                  <w:vMerge w:val="restart"/>
                  <w:shd w:val="clear" w:color="auto" w:fill="FFFFFF"/>
                  <w:tcMar>
                    <w:top w:w="0" w:type="dxa"/>
                    <w:left w:w="0" w:type="dxa"/>
                    <w:bottom w:w="0" w:type="dxa"/>
                    <w:right w:w="0" w:type="dxa"/>
                  </w:tcMar>
                  <w:vAlign w:val="center"/>
                </w:tcPr>
                <w:p w14:paraId="502F22F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1EED818D">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8F7F88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-180.7</w:t>
                  </w:r>
                </w:p>
              </w:tc>
              <w:tc>
                <w:tcPr>
                  <w:tcW w:w="247" w:type="pct"/>
                  <w:vMerge w:val="restart"/>
                  <w:shd w:val="clear" w:color="auto" w:fill="FFFFFF"/>
                  <w:tcMar>
                    <w:top w:w="0" w:type="dxa"/>
                    <w:left w:w="0" w:type="dxa"/>
                    <w:bottom w:w="0" w:type="dxa"/>
                    <w:right w:w="0" w:type="dxa"/>
                  </w:tcMar>
                  <w:vAlign w:val="center"/>
                </w:tcPr>
                <w:p w14:paraId="37FBB16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w:t>
                  </w:r>
                </w:p>
              </w:tc>
              <w:tc>
                <w:tcPr>
                  <w:tcW w:w="138" w:type="pct"/>
                  <w:vMerge w:val="restart"/>
                  <w:shd w:val="clear" w:color="auto" w:fill="FFFFFF"/>
                  <w:tcMar>
                    <w:top w:w="0" w:type="dxa"/>
                    <w:left w:w="0" w:type="dxa"/>
                    <w:bottom w:w="0" w:type="dxa"/>
                    <w:right w:w="0" w:type="dxa"/>
                  </w:tcMar>
                  <w:vAlign w:val="center"/>
                </w:tcPr>
                <w:p w14:paraId="44BD65F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6C778B4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1EBB17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7.6</w:t>
                  </w:r>
                </w:p>
              </w:tc>
              <w:tc>
                <w:tcPr>
                  <w:tcW w:w="156" w:type="pct"/>
                  <w:shd w:val="clear" w:color="auto" w:fill="FFFFFF"/>
                  <w:tcMar>
                    <w:top w:w="0" w:type="dxa"/>
                    <w:left w:w="0" w:type="dxa"/>
                    <w:bottom w:w="0" w:type="dxa"/>
                    <w:right w:w="0" w:type="dxa"/>
                  </w:tcMar>
                  <w:vAlign w:val="center"/>
                </w:tcPr>
                <w:p w14:paraId="3FB262D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E2904B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restart"/>
                  <w:shd w:val="clear" w:color="auto" w:fill="FFFFFF"/>
                  <w:tcMar>
                    <w:top w:w="0" w:type="dxa"/>
                    <w:left w:w="0" w:type="dxa"/>
                    <w:bottom w:w="0" w:type="dxa"/>
                    <w:right w:w="0" w:type="dxa"/>
                  </w:tcMar>
                  <w:vAlign w:val="center"/>
                </w:tcPr>
                <w:p w14:paraId="620CD11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4076E83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E3DCCE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7A1113B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0962A8D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7781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C32E70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A7D270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A05A1C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3BFDE0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A199CD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4114F80">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04B240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427E20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8F7C9F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201D2D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25C46F0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16.8</w:t>
                  </w:r>
                </w:p>
              </w:tc>
              <w:tc>
                <w:tcPr>
                  <w:tcW w:w="156" w:type="pct"/>
                  <w:shd w:val="clear" w:color="auto" w:fill="FFFFFF"/>
                  <w:tcMar>
                    <w:top w:w="0" w:type="dxa"/>
                    <w:left w:w="0" w:type="dxa"/>
                    <w:bottom w:w="0" w:type="dxa"/>
                    <w:right w:w="0" w:type="dxa"/>
                  </w:tcMar>
                  <w:vAlign w:val="center"/>
                </w:tcPr>
                <w:p w14:paraId="721B2B5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2A6A229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003B7DDD">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25C1B2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A7C35E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78E20BF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2A329BA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FCEC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9D1174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05EA95A">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BCA548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9C5DC1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1FA851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7D71F5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276114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145C92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698A5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CE4857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79E7D93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156" w:type="pct"/>
                  <w:shd w:val="clear" w:color="auto" w:fill="FFFFFF"/>
                  <w:tcMar>
                    <w:top w:w="0" w:type="dxa"/>
                    <w:left w:w="0" w:type="dxa"/>
                    <w:bottom w:w="0" w:type="dxa"/>
                    <w:right w:w="0" w:type="dxa"/>
                  </w:tcMar>
                  <w:vAlign w:val="center"/>
                </w:tcPr>
                <w:p w14:paraId="38609F0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14217E4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6AF18DD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D8BFA3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CEA3CC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17CC19C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51EC249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46E7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30F05B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6A88F01">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FA20D2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A9996F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9406D3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E47ACC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8348BB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D9D906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1A62BC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5FBC88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3C7B1F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w:t>
                  </w:r>
                </w:p>
              </w:tc>
              <w:tc>
                <w:tcPr>
                  <w:tcW w:w="156" w:type="pct"/>
                  <w:shd w:val="clear" w:color="auto" w:fill="FFFFFF"/>
                  <w:tcMar>
                    <w:top w:w="0" w:type="dxa"/>
                    <w:left w:w="0" w:type="dxa"/>
                    <w:bottom w:w="0" w:type="dxa"/>
                    <w:right w:w="0" w:type="dxa"/>
                  </w:tcMar>
                  <w:vAlign w:val="center"/>
                </w:tcPr>
                <w:p w14:paraId="182A917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53209A7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44EA7F5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F4F7EB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1BC581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33E8D1C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5311693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4B63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0CC18B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19</w:t>
                  </w:r>
                </w:p>
              </w:tc>
              <w:tc>
                <w:tcPr>
                  <w:tcW w:w="284" w:type="pct"/>
                  <w:vMerge w:val="continue"/>
                  <w:shd w:val="clear" w:color="auto" w:fill="FFFFFF"/>
                  <w:tcMar>
                    <w:top w:w="0" w:type="dxa"/>
                    <w:left w:w="0" w:type="dxa"/>
                    <w:bottom w:w="0" w:type="dxa"/>
                    <w:right w:w="0" w:type="dxa"/>
                  </w:tcMar>
                  <w:vAlign w:val="center"/>
                </w:tcPr>
                <w:p w14:paraId="5C182A12">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3E8B216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机器人装箱系统</w:t>
                  </w:r>
                </w:p>
              </w:tc>
              <w:tc>
                <w:tcPr>
                  <w:tcW w:w="561" w:type="pct"/>
                  <w:vMerge w:val="restart"/>
                  <w:shd w:val="clear" w:color="auto" w:fill="FFFFFF"/>
                  <w:tcMar>
                    <w:top w:w="0" w:type="dxa"/>
                    <w:left w:w="0" w:type="dxa"/>
                    <w:bottom w:w="0" w:type="dxa"/>
                    <w:right w:w="0" w:type="dxa"/>
                  </w:tcMar>
                  <w:vAlign w:val="center"/>
                </w:tcPr>
                <w:p w14:paraId="7B284FB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RGZX</w:t>
                  </w:r>
                </w:p>
              </w:tc>
              <w:tc>
                <w:tcPr>
                  <w:tcW w:w="450" w:type="pct"/>
                  <w:vMerge w:val="restart"/>
                  <w:shd w:val="clear" w:color="auto" w:fill="FFFFFF"/>
                  <w:tcMar>
                    <w:top w:w="0" w:type="dxa"/>
                    <w:left w:w="0" w:type="dxa"/>
                    <w:bottom w:w="0" w:type="dxa"/>
                    <w:right w:w="0" w:type="dxa"/>
                  </w:tcMar>
                  <w:vAlign w:val="center"/>
                </w:tcPr>
                <w:p w14:paraId="6AD37F9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09228C62">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D9180C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-179.8</w:t>
                  </w:r>
                </w:p>
              </w:tc>
              <w:tc>
                <w:tcPr>
                  <w:tcW w:w="247" w:type="pct"/>
                  <w:vMerge w:val="restart"/>
                  <w:shd w:val="clear" w:color="auto" w:fill="FFFFFF"/>
                  <w:tcMar>
                    <w:top w:w="0" w:type="dxa"/>
                    <w:left w:w="0" w:type="dxa"/>
                    <w:bottom w:w="0" w:type="dxa"/>
                    <w:right w:w="0" w:type="dxa"/>
                  </w:tcMar>
                  <w:vAlign w:val="center"/>
                </w:tcPr>
                <w:p w14:paraId="5AF6A69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w:t>
                  </w:r>
                </w:p>
              </w:tc>
              <w:tc>
                <w:tcPr>
                  <w:tcW w:w="138" w:type="pct"/>
                  <w:vMerge w:val="restart"/>
                  <w:shd w:val="clear" w:color="auto" w:fill="FFFFFF"/>
                  <w:tcMar>
                    <w:top w:w="0" w:type="dxa"/>
                    <w:left w:w="0" w:type="dxa"/>
                    <w:bottom w:w="0" w:type="dxa"/>
                    <w:right w:w="0" w:type="dxa"/>
                  </w:tcMar>
                  <w:vAlign w:val="center"/>
                </w:tcPr>
                <w:p w14:paraId="3FC4E9D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3A0056F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6F428F6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7.7</w:t>
                  </w:r>
                </w:p>
              </w:tc>
              <w:tc>
                <w:tcPr>
                  <w:tcW w:w="156" w:type="pct"/>
                  <w:shd w:val="clear" w:color="auto" w:fill="FFFFFF"/>
                  <w:tcMar>
                    <w:top w:w="0" w:type="dxa"/>
                    <w:left w:w="0" w:type="dxa"/>
                    <w:bottom w:w="0" w:type="dxa"/>
                    <w:right w:w="0" w:type="dxa"/>
                  </w:tcMar>
                  <w:vAlign w:val="center"/>
                </w:tcPr>
                <w:p w14:paraId="4C16E10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4CE8BFB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60.7</w:t>
                  </w:r>
                </w:p>
              </w:tc>
              <w:tc>
                <w:tcPr>
                  <w:tcW w:w="400" w:type="pct"/>
                  <w:vMerge w:val="restart"/>
                  <w:shd w:val="clear" w:color="auto" w:fill="FFFFFF"/>
                  <w:tcMar>
                    <w:top w:w="0" w:type="dxa"/>
                    <w:left w:w="0" w:type="dxa"/>
                    <w:bottom w:w="0" w:type="dxa"/>
                    <w:right w:w="0" w:type="dxa"/>
                  </w:tcMar>
                  <w:vAlign w:val="center"/>
                </w:tcPr>
                <w:p w14:paraId="31A3C75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7D38610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73922B6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D36E4C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34.7</w:t>
                  </w:r>
                </w:p>
              </w:tc>
              <w:tc>
                <w:tcPr>
                  <w:tcW w:w="284" w:type="pct"/>
                  <w:shd w:val="clear" w:color="auto" w:fill="FFFFFF"/>
                  <w:tcMar>
                    <w:top w:w="0" w:type="dxa"/>
                    <w:left w:w="0" w:type="dxa"/>
                    <w:bottom w:w="0" w:type="dxa"/>
                    <w:right w:w="0" w:type="dxa"/>
                  </w:tcMar>
                  <w:vAlign w:val="center"/>
                </w:tcPr>
                <w:p w14:paraId="50C2CA2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CA10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D5E2FC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6D15013">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B87CB2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48FB37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97305E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9D361F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6C1C3C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086318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A1A885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E680A4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8D6792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13.4</w:t>
                  </w:r>
                </w:p>
              </w:tc>
              <w:tc>
                <w:tcPr>
                  <w:tcW w:w="156" w:type="pct"/>
                  <w:shd w:val="clear" w:color="auto" w:fill="FFFFFF"/>
                  <w:tcMar>
                    <w:top w:w="0" w:type="dxa"/>
                    <w:left w:w="0" w:type="dxa"/>
                    <w:bottom w:w="0" w:type="dxa"/>
                    <w:right w:w="0" w:type="dxa"/>
                  </w:tcMar>
                  <w:vAlign w:val="center"/>
                </w:tcPr>
                <w:p w14:paraId="2A30DF9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1403DE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60.6</w:t>
                  </w:r>
                </w:p>
              </w:tc>
              <w:tc>
                <w:tcPr>
                  <w:tcW w:w="400" w:type="pct"/>
                  <w:vMerge w:val="continue"/>
                  <w:shd w:val="clear" w:color="auto" w:fill="FFFFFF"/>
                  <w:tcMar>
                    <w:top w:w="0" w:type="dxa"/>
                    <w:left w:w="0" w:type="dxa"/>
                    <w:bottom w:w="0" w:type="dxa"/>
                    <w:right w:w="0" w:type="dxa"/>
                  </w:tcMar>
                  <w:vAlign w:val="center"/>
                </w:tcPr>
                <w:p w14:paraId="5025736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393569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04395A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787E85A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34.6</w:t>
                  </w:r>
                </w:p>
              </w:tc>
              <w:tc>
                <w:tcPr>
                  <w:tcW w:w="284" w:type="pct"/>
                  <w:shd w:val="clear" w:color="auto" w:fill="FFFFFF"/>
                  <w:tcMar>
                    <w:top w:w="0" w:type="dxa"/>
                    <w:left w:w="0" w:type="dxa"/>
                    <w:bottom w:w="0" w:type="dxa"/>
                    <w:right w:w="0" w:type="dxa"/>
                  </w:tcMar>
                  <w:vAlign w:val="center"/>
                </w:tcPr>
                <w:p w14:paraId="593F936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76E2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712E93B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6935669">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5CD60A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B0AEF1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259FC5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4E0B24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E08888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D8D62D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E5FDB6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686D52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B98324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10.8</w:t>
                  </w:r>
                </w:p>
              </w:tc>
              <w:tc>
                <w:tcPr>
                  <w:tcW w:w="156" w:type="pct"/>
                  <w:shd w:val="clear" w:color="auto" w:fill="FFFFFF"/>
                  <w:tcMar>
                    <w:top w:w="0" w:type="dxa"/>
                    <w:left w:w="0" w:type="dxa"/>
                    <w:bottom w:w="0" w:type="dxa"/>
                    <w:right w:w="0" w:type="dxa"/>
                  </w:tcMar>
                  <w:vAlign w:val="center"/>
                </w:tcPr>
                <w:p w14:paraId="44EC401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0C56C0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60.6</w:t>
                  </w:r>
                </w:p>
              </w:tc>
              <w:tc>
                <w:tcPr>
                  <w:tcW w:w="400" w:type="pct"/>
                  <w:vMerge w:val="continue"/>
                  <w:shd w:val="clear" w:color="auto" w:fill="FFFFFF"/>
                  <w:tcMar>
                    <w:top w:w="0" w:type="dxa"/>
                    <w:left w:w="0" w:type="dxa"/>
                    <w:bottom w:w="0" w:type="dxa"/>
                    <w:right w:w="0" w:type="dxa"/>
                  </w:tcMar>
                  <w:vAlign w:val="center"/>
                </w:tcPr>
                <w:p w14:paraId="5C48146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521178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A622AA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64C2E1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34.6</w:t>
                  </w:r>
                </w:p>
              </w:tc>
              <w:tc>
                <w:tcPr>
                  <w:tcW w:w="284" w:type="pct"/>
                  <w:shd w:val="clear" w:color="auto" w:fill="FFFFFF"/>
                  <w:tcMar>
                    <w:top w:w="0" w:type="dxa"/>
                    <w:left w:w="0" w:type="dxa"/>
                    <w:bottom w:w="0" w:type="dxa"/>
                    <w:right w:w="0" w:type="dxa"/>
                  </w:tcMar>
                  <w:vAlign w:val="center"/>
                </w:tcPr>
                <w:p w14:paraId="14C6416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A8E0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961FEF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8B0957F">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43E6A6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4977E0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97BA75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19932A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62DB52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769B43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1A8393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7B2CCF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2D0BBB7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75.4</w:t>
                  </w:r>
                </w:p>
              </w:tc>
              <w:tc>
                <w:tcPr>
                  <w:tcW w:w="156" w:type="pct"/>
                  <w:shd w:val="clear" w:color="auto" w:fill="FFFFFF"/>
                  <w:tcMar>
                    <w:top w:w="0" w:type="dxa"/>
                    <w:left w:w="0" w:type="dxa"/>
                    <w:bottom w:w="0" w:type="dxa"/>
                    <w:right w:w="0" w:type="dxa"/>
                  </w:tcMar>
                  <w:vAlign w:val="center"/>
                </w:tcPr>
                <w:p w14:paraId="22783EA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5A779E3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60.5</w:t>
                  </w:r>
                </w:p>
              </w:tc>
              <w:tc>
                <w:tcPr>
                  <w:tcW w:w="400" w:type="pct"/>
                  <w:vMerge w:val="continue"/>
                  <w:shd w:val="clear" w:color="auto" w:fill="FFFFFF"/>
                  <w:tcMar>
                    <w:top w:w="0" w:type="dxa"/>
                    <w:left w:w="0" w:type="dxa"/>
                    <w:bottom w:w="0" w:type="dxa"/>
                    <w:right w:w="0" w:type="dxa"/>
                  </w:tcMar>
                  <w:vAlign w:val="center"/>
                </w:tcPr>
                <w:p w14:paraId="7CFC87E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5E6064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E334D7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50A0CB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34.5</w:t>
                  </w:r>
                </w:p>
              </w:tc>
              <w:tc>
                <w:tcPr>
                  <w:tcW w:w="284" w:type="pct"/>
                  <w:shd w:val="clear" w:color="auto" w:fill="FFFFFF"/>
                  <w:tcMar>
                    <w:top w:w="0" w:type="dxa"/>
                    <w:left w:w="0" w:type="dxa"/>
                    <w:bottom w:w="0" w:type="dxa"/>
                    <w:right w:w="0" w:type="dxa"/>
                  </w:tcMar>
                  <w:vAlign w:val="center"/>
                </w:tcPr>
                <w:p w14:paraId="456A8F6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7F06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41BD215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20</w:t>
                  </w:r>
                </w:p>
              </w:tc>
              <w:tc>
                <w:tcPr>
                  <w:tcW w:w="284" w:type="pct"/>
                  <w:vMerge w:val="continue"/>
                  <w:shd w:val="clear" w:color="auto" w:fill="FFFFFF"/>
                  <w:tcMar>
                    <w:top w:w="0" w:type="dxa"/>
                    <w:left w:w="0" w:type="dxa"/>
                    <w:bottom w:w="0" w:type="dxa"/>
                    <w:right w:w="0" w:type="dxa"/>
                  </w:tcMar>
                  <w:vAlign w:val="center"/>
                </w:tcPr>
                <w:p w14:paraId="450E96CD">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3F80EEC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封箱机</w:t>
                  </w:r>
                </w:p>
              </w:tc>
              <w:tc>
                <w:tcPr>
                  <w:tcW w:w="561" w:type="pct"/>
                  <w:vMerge w:val="restart"/>
                  <w:shd w:val="clear" w:color="auto" w:fill="FFFFFF"/>
                  <w:tcMar>
                    <w:top w:w="0" w:type="dxa"/>
                    <w:left w:w="0" w:type="dxa"/>
                    <w:bottom w:w="0" w:type="dxa"/>
                    <w:right w:w="0" w:type="dxa"/>
                  </w:tcMar>
                  <w:vAlign w:val="center"/>
                </w:tcPr>
                <w:p w14:paraId="18B8B5B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FX5045</w:t>
                  </w:r>
                </w:p>
              </w:tc>
              <w:tc>
                <w:tcPr>
                  <w:tcW w:w="450" w:type="pct"/>
                  <w:vMerge w:val="restart"/>
                  <w:shd w:val="clear" w:color="auto" w:fill="FFFFFF"/>
                  <w:tcMar>
                    <w:top w:w="0" w:type="dxa"/>
                    <w:left w:w="0" w:type="dxa"/>
                    <w:bottom w:w="0" w:type="dxa"/>
                    <w:right w:w="0" w:type="dxa"/>
                  </w:tcMar>
                  <w:vAlign w:val="center"/>
                </w:tcPr>
                <w:p w14:paraId="74866ED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0F8E98DA">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6DF021E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-178.9</w:t>
                  </w:r>
                </w:p>
              </w:tc>
              <w:tc>
                <w:tcPr>
                  <w:tcW w:w="247" w:type="pct"/>
                  <w:vMerge w:val="restart"/>
                  <w:shd w:val="clear" w:color="auto" w:fill="FFFFFF"/>
                  <w:tcMar>
                    <w:top w:w="0" w:type="dxa"/>
                    <w:left w:w="0" w:type="dxa"/>
                    <w:bottom w:w="0" w:type="dxa"/>
                    <w:right w:w="0" w:type="dxa"/>
                  </w:tcMar>
                  <w:vAlign w:val="center"/>
                </w:tcPr>
                <w:p w14:paraId="622F5B2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w:t>
                  </w:r>
                </w:p>
              </w:tc>
              <w:tc>
                <w:tcPr>
                  <w:tcW w:w="138" w:type="pct"/>
                  <w:vMerge w:val="restart"/>
                  <w:shd w:val="clear" w:color="auto" w:fill="FFFFFF"/>
                  <w:tcMar>
                    <w:top w:w="0" w:type="dxa"/>
                    <w:left w:w="0" w:type="dxa"/>
                    <w:bottom w:w="0" w:type="dxa"/>
                    <w:right w:w="0" w:type="dxa"/>
                  </w:tcMar>
                  <w:vAlign w:val="center"/>
                </w:tcPr>
                <w:p w14:paraId="34643273">
                  <w:pPr>
                    <w:pStyle w:val="6"/>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p>
              </w:tc>
              <w:tc>
                <w:tcPr>
                  <w:tcW w:w="188" w:type="pct"/>
                  <w:shd w:val="clear" w:color="auto" w:fill="FFFFFF"/>
                  <w:tcMar>
                    <w:top w:w="0" w:type="dxa"/>
                    <w:left w:w="0" w:type="dxa"/>
                    <w:bottom w:w="0" w:type="dxa"/>
                    <w:right w:w="0" w:type="dxa"/>
                  </w:tcMar>
                  <w:vAlign w:val="center"/>
                </w:tcPr>
                <w:p w14:paraId="5253ACD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4627D0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7.7</w:t>
                  </w:r>
                </w:p>
              </w:tc>
              <w:tc>
                <w:tcPr>
                  <w:tcW w:w="156" w:type="pct"/>
                  <w:shd w:val="clear" w:color="auto" w:fill="FFFFFF"/>
                  <w:tcMar>
                    <w:top w:w="0" w:type="dxa"/>
                    <w:left w:w="0" w:type="dxa"/>
                    <w:bottom w:w="0" w:type="dxa"/>
                    <w:right w:w="0" w:type="dxa"/>
                  </w:tcMar>
                  <w:vAlign w:val="center"/>
                </w:tcPr>
                <w:p w14:paraId="11B99AE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CAE08E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restart"/>
                  <w:shd w:val="clear" w:color="auto" w:fill="FFFFFF"/>
                  <w:tcMar>
                    <w:top w:w="0" w:type="dxa"/>
                    <w:left w:w="0" w:type="dxa"/>
                    <w:bottom w:w="0" w:type="dxa"/>
                    <w:right w:w="0" w:type="dxa"/>
                  </w:tcMar>
                  <w:vAlign w:val="center"/>
                </w:tcPr>
                <w:p w14:paraId="4D3408E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0B9E7A2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7C265D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2E7D1D4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181F44D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DB1A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B59150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5854A64">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5B6586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026273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6E1DB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71F581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BE3AE2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594A81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679536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82217D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79FC86A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10.4</w:t>
                  </w:r>
                </w:p>
              </w:tc>
              <w:tc>
                <w:tcPr>
                  <w:tcW w:w="156" w:type="pct"/>
                  <w:shd w:val="clear" w:color="auto" w:fill="FFFFFF"/>
                  <w:tcMar>
                    <w:top w:w="0" w:type="dxa"/>
                    <w:left w:w="0" w:type="dxa"/>
                    <w:bottom w:w="0" w:type="dxa"/>
                    <w:right w:w="0" w:type="dxa"/>
                  </w:tcMar>
                  <w:vAlign w:val="center"/>
                </w:tcPr>
                <w:p w14:paraId="597C551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01F9AF5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5B44F9F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1F2779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2B718A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1BC0200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0666232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1076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1278A8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174C67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202E11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DD6F00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5E1A6E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08784D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A870DD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C98EEA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4645C5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75E4A4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6A5A540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10.7</w:t>
                  </w:r>
                </w:p>
              </w:tc>
              <w:tc>
                <w:tcPr>
                  <w:tcW w:w="156" w:type="pct"/>
                  <w:shd w:val="clear" w:color="auto" w:fill="FFFFFF"/>
                  <w:tcMar>
                    <w:top w:w="0" w:type="dxa"/>
                    <w:left w:w="0" w:type="dxa"/>
                    <w:bottom w:w="0" w:type="dxa"/>
                    <w:right w:w="0" w:type="dxa"/>
                  </w:tcMar>
                  <w:vAlign w:val="center"/>
                </w:tcPr>
                <w:p w14:paraId="18D52E4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0DC85F9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56DAC25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20B85F3">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92389F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2D169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1372A09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E607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F86AAF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A04CCC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7A94D5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B69E49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A5542C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0C68C2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2D54FE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B7CB97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759499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C34E6B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67EC50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78.4</w:t>
                  </w:r>
                </w:p>
              </w:tc>
              <w:tc>
                <w:tcPr>
                  <w:tcW w:w="156" w:type="pct"/>
                  <w:shd w:val="clear" w:color="auto" w:fill="FFFFFF"/>
                  <w:tcMar>
                    <w:top w:w="0" w:type="dxa"/>
                    <w:left w:w="0" w:type="dxa"/>
                    <w:bottom w:w="0" w:type="dxa"/>
                    <w:right w:w="0" w:type="dxa"/>
                  </w:tcMar>
                  <w:vAlign w:val="center"/>
                </w:tcPr>
                <w:p w14:paraId="6BE9F70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1F84D1F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3DA49307">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287E42B">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B57D32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2CC891B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43BCD89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9B7F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31CE4B8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21</w:t>
                  </w:r>
                </w:p>
              </w:tc>
              <w:tc>
                <w:tcPr>
                  <w:tcW w:w="284" w:type="pct"/>
                  <w:vMerge w:val="continue"/>
                  <w:shd w:val="clear" w:color="auto" w:fill="FFFFFF"/>
                  <w:tcMar>
                    <w:top w:w="0" w:type="dxa"/>
                    <w:left w:w="0" w:type="dxa"/>
                    <w:bottom w:w="0" w:type="dxa"/>
                    <w:right w:w="0" w:type="dxa"/>
                  </w:tcMar>
                  <w:vAlign w:val="center"/>
                </w:tcPr>
                <w:p w14:paraId="3DC85EC0">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1C8E871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纸箱捆扎机</w:t>
                  </w:r>
                </w:p>
              </w:tc>
              <w:tc>
                <w:tcPr>
                  <w:tcW w:w="561" w:type="pct"/>
                  <w:vMerge w:val="restart"/>
                  <w:shd w:val="clear" w:color="auto" w:fill="FFFFFF"/>
                  <w:tcMar>
                    <w:top w:w="0" w:type="dxa"/>
                    <w:left w:w="0" w:type="dxa"/>
                    <w:bottom w:w="0" w:type="dxa"/>
                    <w:right w:w="0" w:type="dxa"/>
                  </w:tcMar>
                  <w:vAlign w:val="center"/>
                </w:tcPr>
                <w:p w14:paraId="281B0E7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MH-101B</w:t>
                  </w:r>
                </w:p>
              </w:tc>
              <w:tc>
                <w:tcPr>
                  <w:tcW w:w="450" w:type="pct"/>
                  <w:vMerge w:val="restart"/>
                  <w:shd w:val="clear" w:color="auto" w:fill="FFFFFF"/>
                  <w:tcMar>
                    <w:top w:w="0" w:type="dxa"/>
                    <w:left w:w="0" w:type="dxa"/>
                    <w:bottom w:w="0" w:type="dxa"/>
                    <w:right w:w="0" w:type="dxa"/>
                  </w:tcMar>
                  <w:vAlign w:val="center"/>
                </w:tcPr>
                <w:p w14:paraId="740838B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75E8336A">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69D5BD6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-177.3</w:t>
                  </w:r>
                </w:p>
              </w:tc>
              <w:tc>
                <w:tcPr>
                  <w:tcW w:w="247" w:type="pct"/>
                  <w:vMerge w:val="restart"/>
                  <w:shd w:val="clear" w:color="auto" w:fill="FFFFFF"/>
                  <w:tcMar>
                    <w:top w:w="0" w:type="dxa"/>
                    <w:left w:w="0" w:type="dxa"/>
                    <w:bottom w:w="0" w:type="dxa"/>
                    <w:right w:w="0" w:type="dxa"/>
                  </w:tcMar>
                  <w:vAlign w:val="center"/>
                </w:tcPr>
                <w:p w14:paraId="5B289B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-8.3</w:t>
                  </w:r>
                </w:p>
              </w:tc>
              <w:tc>
                <w:tcPr>
                  <w:tcW w:w="138" w:type="pct"/>
                  <w:vMerge w:val="restart"/>
                  <w:shd w:val="clear" w:color="auto" w:fill="FFFFFF"/>
                  <w:tcMar>
                    <w:top w:w="0" w:type="dxa"/>
                    <w:left w:w="0" w:type="dxa"/>
                    <w:bottom w:w="0" w:type="dxa"/>
                    <w:right w:w="0" w:type="dxa"/>
                  </w:tcMar>
                  <w:vAlign w:val="center"/>
                </w:tcPr>
                <w:p w14:paraId="5458065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42A881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EA69A0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156" w:type="pct"/>
                  <w:shd w:val="clear" w:color="auto" w:fill="FFFFFF"/>
                  <w:tcMar>
                    <w:top w:w="0" w:type="dxa"/>
                    <w:left w:w="0" w:type="dxa"/>
                    <w:bottom w:w="0" w:type="dxa"/>
                    <w:right w:w="0" w:type="dxa"/>
                  </w:tcMar>
                  <w:vAlign w:val="center"/>
                </w:tcPr>
                <w:p w14:paraId="4DA7019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271CA42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55.7</w:t>
                  </w:r>
                </w:p>
              </w:tc>
              <w:tc>
                <w:tcPr>
                  <w:tcW w:w="400" w:type="pct"/>
                  <w:vMerge w:val="restart"/>
                  <w:shd w:val="clear" w:color="auto" w:fill="FFFFFF"/>
                  <w:tcMar>
                    <w:top w:w="0" w:type="dxa"/>
                    <w:left w:w="0" w:type="dxa"/>
                    <w:bottom w:w="0" w:type="dxa"/>
                    <w:right w:w="0" w:type="dxa"/>
                  </w:tcMar>
                  <w:vAlign w:val="center"/>
                </w:tcPr>
                <w:p w14:paraId="6A9E2D1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2982D07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51EA6C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65287E1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29.7</w:t>
                  </w:r>
                </w:p>
              </w:tc>
              <w:tc>
                <w:tcPr>
                  <w:tcW w:w="284" w:type="pct"/>
                  <w:shd w:val="clear" w:color="auto" w:fill="FFFFFF"/>
                  <w:tcMar>
                    <w:top w:w="0" w:type="dxa"/>
                    <w:left w:w="0" w:type="dxa"/>
                    <w:bottom w:w="0" w:type="dxa"/>
                    <w:right w:w="0" w:type="dxa"/>
                  </w:tcMar>
                  <w:vAlign w:val="center"/>
                </w:tcPr>
                <w:p w14:paraId="471999A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9D83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0C86E8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7D3B2C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38F523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DDBF72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5305D8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3AFF31B">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E2AAF1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DC9F2C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95A8FA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325A71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DDB288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5.8</w:t>
                  </w:r>
                </w:p>
              </w:tc>
              <w:tc>
                <w:tcPr>
                  <w:tcW w:w="156" w:type="pct"/>
                  <w:shd w:val="clear" w:color="auto" w:fill="FFFFFF"/>
                  <w:tcMar>
                    <w:top w:w="0" w:type="dxa"/>
                    <w:left w:w="0" w:type="dxa"/>
                    <w:bottom w:w="0" w:type="dxa"/>
                    <w:right w:w="0" w:type="dxa"/>
                  </w:tcMar>
                  <w:vAlign w:val="center"/>
                </w:tcPr>
                <w:p w14:paraId="69E783E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62A41D8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55.8</w:t>
                  </w:r>
                </w:p>
              </w:tc>
              <w:tc>
                <w:tcPr>
                  <w:tcW w:w="400" w:type="pct"/>
                  <w:vMerge w:val="continue"/>
                  <w:shd w:val="clear" w:color="auto" w:fill="FFFFFF"/>
                  <w:tcMar>
                    <w:top w:w="0" w:type="dxa"/>
                    <w:left w:w="0" w:type="dxa"/>
                    <w:bottom w:w="0" w:type="dxa"/>
                    <w:right w:w="0" w:type="dxa"/>
                  </w:tcMar>
                  <w:vAlign w:val="center"/>
                </w:tcPr>
                <w:p w14:paraId="37733A8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0CC02E3">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8D547E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3FFA0EC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29.8</w:t>
                  </w:r>
                </w:p>
              </w:tc>
              <w:tc>
                <w:tcPr>
                  <w:tcW w:w="284" w:type="pct"/>
                  <w:shd w:val="clear" w:color="auto" w:fill="FFFFFF"/>
                  <w:tcMar>
                    <w:top w:w="0" w:type="dxa"/>
                    <w:left w:w="0" w:type="dxa"/>
                    <w:bottom w:w="0" w:type="dxa"/>
                    <w:right w:w="0" w:type="dxa"/>
                  </w:tcMar>
                  <w:vAlign w:val="center"/>
                </w:tcPr>
                <w:p w14:paraId="4B3332D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223E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2E2482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433B833">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CE5950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79D2D1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738741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F2DCCF5">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7BAE7A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6B12A4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9DBE8C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102062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1261D1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156" w:type="pct"/>
                  <w:shd w:val="clear" w:color="auto" w:fill="FFFFFF"/>
                  <w:tcMar>
                    <w:top w:w="0" w:type="dxa"/>
                    <w:left w:w="0" w:type="dxa"/>
                    <w:bottom w:w="0" w:type="dxa"/>
                    <w:right w:w="0" w:type="dxa"/>
                  </w:tcMar>
                  <w:vAlign w:val="center"/>
                </w:tcPr>
                <w:p w14:paraId="047A49A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6E9F5BB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55.6</w:t>
                  </w:r>
                </w:p>
              </w:tc>
              <w:tc>
                <w:tcPr>
                  <w:tcW w:w="400" w:type="pct"/>
                  <w:vMerge w:val="continue"/>
                  <w:shd w:val="clear" w:color="auto" w:fill="FFFFFF"/>
                  <w:tcMar>
                    <w:top w:w="0" w:type="dxa"/>
                    <w:left w:w="0" w:type="dxa"/>
                    <w:bottom w:w="0" w:type="dxa"/>
                    <w:right w:w="0" w:type="dxa"/>
                  </w:tcMar>
                  <w:vAlign w:val="center"/>
                </w:tcPr>
                <w:p w14:paraId="27D5647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62F0E0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9843CD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7BBE92B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29.6</w:t>
                  </w:r>
                </w:p>
              </w:tc>
              <w:tc>
                <w:tcPr>
                  <w:tcW w:w="284" w:type="pct"/>
                  <w:shd w:val="clear" w:color="auto" w:fill="FFFFFF"/>
                  <w:tcMar>
                    <w:top w:w="0" w:type="dxa"/>
                    <w:left w:w="0" w:type="dxa"/>
                    <w:bottom w:w="0" w:type="dxa"/>
                    <w:right w:w="0" w:type="dxa"/>
                  </w:tcMar>
                  <w:vAlign w:val="center"/>
                </w:tcPr>
                <w:p w14:paraId="0D4E98A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9BB9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04D8F1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6A9554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2B0C0E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A9B669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86866F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758B97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5D45F7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627013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1DAAA6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292CD0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B36A2A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83</w:t>
                  </w:r>
                </w:p>
              </w:tc>
              <w:tc>
                <w:tcPr>
                  <w:tcW w:w="156" w:type="pct"/>
                  <w:shd w:val="clear" w:color="auto" w:fill="FFFFFF"/>
                  <w:tcMar>
                    <w:top w:w="0" w:type="dxa"/>
                    <w:left w:w="0" w:type="dxa"/>
                    <w:bottom w:w="0" w:type="dxa"/>
                    <w:right w:w="0" w:type="dxa"/>
                  </w:tcMar>
                  <w:vAlign w:val="center"/>
                </w:tcPr>
                <w:p w14:paraId="635D92B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D387F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55.5</w:t>
                  </w:r>
                </w:p>
              </w:tc>
              <w:tc>
                <w:tcPr>
                  <w:tcW w:w="400" w:type="pct"/>
                  <w:vMerge w:val="continue"/>
                  <w:shd w:val="clear" w:color="auto" w:fill="FFFFFF"/>
                  <w:tcMar>
                    <w:top w:w="0" w:type="dxa"/>
                    <w:left w:w="0" w:type="dxa"/>
                    <w:bottom w:w="0" w:type="dxa"/>
                    <w:right w:w="0" w:type="dxa"/>
                  </w:tcMar>
                  <w:vAlign w:val="center"/>
                </w:tcPr>
                <w:p w14:paraId="346D7AE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516012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59F246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01A8C5F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29.5</w:t>
                  </w:r>
                </w:p>
              </w:tc>
              <w:tc>
                <w:tcPr>
                  <w:tcW w:w="284" w:type="pct"/>
                  <w:shd w:val="clear" w:color="auto" w:fill="FFFFFF"/>
                  <w:tcMar>
                    <w:top w:w="0" w:type="dxa"/>
                    <w:left w:w="0" w:type="dxa"/>
                    <w:bottom w:w="0" w:type="dxa"/>
                    <w:right w:w="0" w:type="dxa"/>
                  </w:tcMar>
                  <w:vAlign w:val="center"/>
                </w:tcPr>
                <w:p w14:paraId="4C1CA9A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E440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2FFBFF0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22</w:t>
                  </w:r>
                </w:p>
              </w:tc>
              <w:tc>
                <w:tcPr>
                  <w:tcW w:w="284" w:type="pct"/>
                  <w:vMerge w:val="restart"/>
                  <w:shd w:val="clear" w:color="auto" w:fill="FFFFFF"/>
                  <w:tcMar>
                    <w:top w:w="0" w:type="dxa"/>
                    <w:left w:w="0" w:type="dxa"/>
                    <w:bottom w:w="0" w:type="dxa"/>
                    <w:right w:w="0" w:type="dxa"/>
                  </w:tcMar>
                  <w:vAlign w:val="center"/>
                </w:tcPr>
                <w:p w14:paraId="0871D1C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管壳输送工房及综合材料库</w:t>
                  </w:r>
                </w:p>
              </w:tc>
              <w:tc>
                <w:tcPr>
                  <w:tcW w:w="292" w:type="pct"/>
                  <w:vMerge w:val="restart"/>
                  <w:shd w:val="clear" w:color="auto" w:fill="FFFFFF"/>
                  <w:tcMar>
                    <w:top w:w="0" w:type="dxa"/>
                    <w:left w:w="0" w:type="dxa"/>
                    <w:bottom w:w="0" w:type="dxa"/>
                    <w:right w:w="0" w:type="dxa"/>
                  </w:tcMar>
                  <w:vAlign w:val="center"/>
                </w:tcPr>
                <w:p w14:paraId="6E9A6C6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壳体输送机</w:t>
                  </w:r>
                </w:p>
              </w:tc>
              <w:tc>
                <w:tcPr>
                  <w:tcW w:w="561" w:type="pct"/>
                  <w:vMerge w:val="restart"/>
                  <w:shd w:val="clear" w:color="auto" w:fill="FFFFFF"/>
                  <w:tcMar>
                    <w:top w:w="0" w:type="dxa"/>
                    <w:left w:w="0" w:type="dxa"/>
                    <w:bottom w:w="0" w:type="dxa"/>
                    <w:right w:w="0" w:type="dxa"/>
                  </w:tcMar>
                  <w:vAlign w:val="center"/>
                </w:tcPr>
                <w:p w14:paraId="3F1A1A8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w:t>
                  </w:r>
                </w:p>
              </w:tc>
              <w:tc>
                <w:tcPr>
                  <w:tcW w:w="450" w:type="pct"/>
                  <w:vMerge w:val="restart"/>
                  <w:shd w:val="clear" w:color="auto" w:fill="FFFFFF"/>
                  <w:tcMar>
                    <w:top w:w="0" w:type="dxa"/>
                    <w:left w:w="0" w:type="dxa"/>
                    <w:bottom w:w="0" w:type="dxa"/>
                    <w:right w:w="0" w:type="dxa"/>
                  </w:tcMar>
                  <w:vAlign w:val="center"/>
                </w:tcPr>
                <w:p w14:paraId="1EB9605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5E8256F0">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50E5CE1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-229.9</w:t>
                  </w:r>
                </w:p>
              </w:tc>
              <w:tc>
                <w:tcPr>
                  <w:tcW w:w="247" w:type="pct"/>
                  <w:vMerge w:val="restart"/>
                  <w:shd w:val="clear" w:color="auto" w:fill="FFFFFF"/>
                  <w:tcMar>
                    <w:top w:w="0" w:type="dxa"/>
                    <w:left w:w="0" w:type="dxa"/>
                    <w:bottom w:w="0" w:type="dxa"/>
                    <w:right w:w="0" w:type="dxa"/>
                  </w:tcMar>
                  <w:vAlign w:val="center"/>
                </w:tcPr>
                <w:p w14:paraId="7CC40DA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151.5</w:t>
                  </w:r>
                </w:p>
              </w:tc>
              <w:tc>
                <w:tcPr>
                  <w:tcW w:w="138" w:type="pct"/>
                  <w:vMerge w:val="restart"/>
                  <w:shd w:val="clear" w:color="auto" w:fill="FFFFFF"/>
                  <w:tcMar>
                    <w:top w:w="0" w:type="dxa"/>
                    <w:left w:w="0" w:type="dxa"/>
                    <w:bottom w:w="0" w:type="dxa"/>
                    <w:right w:w="0" w:type="dxa"/>
                  </w:tcMar>
                  <w:vAlign w:val="center"/>
                </w:tcPr>
                <w:p w14:paraId="62E64C1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5E1B1FC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9E7105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w:t>
                  </w:r>
                </w:p>
              </w:tc>
              <w:tc>
                <w:tcPr>
                  <w:tcW w:w="156" w:type="pct"/>
                  <w:shd w:val="clear" w:color="auto" w:fill="FFFFFF"/>
                  <w:tcMar>
                    <w:top w:w="0" w:type="dxa"/>
                    <w:left w:w="0" w:type="dxa"/>
                    <w:bottom w:w="0" w:type="dxa"/>
                    <w:right w:w="0" w:type="dxa"/>
                  </w:tcMar>
                  <w:vAlign w:val="center"/>
                </w:tcPr>
                <w:p w14:paraId="55D5E5E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1585E2C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00" w:type="pct"/>
                  <w:vMerge w:val="restart"/>
                  <w:shd w:val="clear" w:color="auto" w:fill="FFFFFF"/>
                  <w:tcMar>
                    <w:top w:w="0" w:type="dxa"/>
                    <w:left w:w="0" w:type="dxa"/>
                    <w:bottom w:w="0" w:type="dxa"/>
                    <w:right w:w="0" w:type="dxa"/>
                  </w:tcMar>
                  <w:vAlign w:val="center"/>
                </w:tcPr>
                <w:p w14:paraId="4AD3F49C">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276E1BF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5351CDB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7D276DF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284" w:type="pct"/>
                  <w:shd w:val="clear" w:color="auto" w:fill="FFFFFF"/>
                  <w:tcMar>
                    <w:top w:w="0" w:type="dxa"/>
                    <w:left w:w="0" w:type="dxa"/>
                    <w:bottom w:w="0" w:type="dxa"/>
                    <w:right w:w="0" w:type="dxa"/>
                  </w:tcMar>
                  <w:vAlign w:val="center"/>
                </w:tcPr>
                <w:p w14:paraId="2DB30A5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F945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12E0F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B052A5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7E7728C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27AD21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26958B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4D0A82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6D0A12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A2455B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1F4C04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1C3B97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22ADB92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9.1</w:t>
                  </w:r>
                </w:p>
              </w:tc>
              <w:tc>
                <w:tcPr>
                  <w:tcW w:w="156" w:type="pct"/>
                  <w:shd w:val="clear" w:color="auto" w:fill="FFFFFF"/>
                  <w:tcMar>
                    <w:top w:w="0" w:type="dxa"/>
                    <w:left w:w="0" w:type="dxa"/>
                    <w:bottom w:w="0" w:type="dxa"/>
                    <w:right w:w="0" w:type="dxa"/>
                  </w:tcMar>
                  <w:vAlign w:val="center"/>
                </w:tcPr>
                <w:p w14:paraId="2B07C77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59C56D7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00" w:type="pct"/>
                  <w:vMerge w:val="continue"/>
                  <w:shd w:val="clear" w:color="auto" w:fill="FFFFFF"/>
                  <w:tcMar>
                    <w:top w:w="0" w:type="dxa"/>
                    <w:left w:w="0" w:type="dxa"/>
                    <w:bottom w:w="0" w:type="dxa"/>
                    <w:right w:w="0" w:type="dxa"/>
                  </w:tcMar>
                  <w:vAlign w:val="center"/>
                </w:tcPr>
                <w:p w14:paraId="6F702F5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B4A544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E7F6B2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1EB06A7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284" w:type="pct"/>
                  <w:shd w:val="clear" w:color="auto" w:fill="FFFFFF"/>
                  <w:tcMar>
                    <w:top w:w="0" w:type="dxa"/>
                    <w:left w:w="0" w:type="dxa"/>
                    <w:bottom w:w="0" w:type="dxa"/>
                    <w:right w:w="0" w:type="dxa"/>
                  </w:tcMar>
                  <w:vAlign w:val="center"/>
                </w:tcPr>
                <w:p w14:paraId="54A8CCF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79D2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F0C6AB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CBC71B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20E11B1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4B1AA2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685857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1D4AF1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2EC2E9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50942F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BADFA5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E36E4E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57B2067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5.1</w:t>
                  </w:r>
                </w:p>
              </w:tc>
              <w:tc>
                <w:tcPr>
                  <w:tcW w:w="156" w:type="pct"/>
                  <w:shd w:val="clear" w:color="auto" w:fill="FFFFFF"/>
                  <w:tcMar>
                    <w:top w:w="0" w:type="dxa"/>
                    <w:left w:w="0" w:type="dxa"/>
                    <w:bottom w:w="0" w:type="dxa"/>
                    <w:right w:w="0" w:type="dxa"/>
                  </w:tcMar>
                  <w:vAlign w:val="center"/>
                </w:tcPr>
                <w:p w14:paraId="63AF2C4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598CD30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66.5</w:t>
                  </w:r>
                </w:p>
              </w:tc>
              <w:tc>
                <w:tcPr>
                  <w:tcW w:w="400" w:type="pct"/>
                  <w:vMerge w:val="continue"/>
                  <w:shd w:val="clear" w:color="auto" w:fill="FFFFFF"/>
                  <w:tcMar>
                    <w:top w:w="0" w:type="dxa"/>
                    <w:left w:w="0" w:type="dxa"/>
                    <w:bottom w:w="0" w:type="dxa"/>
                    <w:right w:w="0" w:type="dxa"/>
                  </w:tcMar>
                  <w:vAlign w:val="center"/>
                </w:tcPr>
                <w:p w14:paraId="6C9358E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C9D193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D79D72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7F409B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40.5</w:t>
                  </w:r>
                </w:p>
              </w:tc>
              <w:tc>
                <w:tcPr>
                  <w:tcW w:w="284" w:type="pct"/>
                  <w:shd w:val="clear" w:color="auto" w:fill="FFFFFF"/>
                  <w:tcMar>
                    <w:top w:w="0" w:type="dxa"/>
                    <w:left w:w="0" w:type="dxa"/>
                    <w:bottom w:w="0" w:type="dxa"/>
                    <w:right w:w="0" w:type="dxa"/>
                  </w:tcMar>
                  <w:vAlign w:val="center"/>
                </w:tcPr>
                <w:p w14:paraId="69B4DDB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40B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476C63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F55A54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75C6959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D273A5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9A68CA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DB86DB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6A9FF1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78CCF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9E68B6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ECCDB9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7EE23F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21.1</w:t>
                  </w:r>
                </w:p>
              </w:tc>
              <w:tc>
                <w:tcPr>
                  <w:tcW w:w="156" w:type="pct"/>
                  <w:shd w:val="clear" w:color="auto" w:fill="FFFFFF"/>
                  <w:tcMar>
                    <w:top w:w="0" w:type="dxa"/>
                    <w:left w:w="0" w:type="dxa"/>
                    <w:bottom w:w="0" w:type="dxa"/>
                    <w:right w:w="0" w:type="dxa"/>
                  </w:tcMar>
                  <w:vAlign w:val="center"/>
                </w:tcPr>
                <w:p w14:paraId="18CAEE0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586FFE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00" w:type="pct"/>
                  <w:vMerge w:val="continue"/>
                  <w:shd w:val="clear" w:color="auto" w:fill="FFFFFF"/>
                  <w:tcMar>
                    <w:top w:w="0" w:type="dxa"/>
                    <w:left w:w="0" w:type="dxa"/>
                    <w:bottom w:w="0" w:type="dxa"/>
                    <w:right w:w="0" w:type="dxa"/>
                  </w:tcMar>
                  <w:vAlign w:val="center"/>
                </w:tcPr>
                <w:p w14:paraId="45899BD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F332C1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848EAF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E61E8A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284" w:type="pct"/>
                  <w:shd w:val="clear" w:color="auto" w:fill="FFFFFF"/>
                  <w:tcMar>
                    <w:top w:w="0" w:type="dxa"/>
                    <w:left w:w="0" w:type="dxa"/>
                    <w:bottom w:w="0" w:type="dxa"/>
                    <w:right w:w="0" w:type="dxa"/>
                  </w:tcMar>
                  <w:vAlign w:val="center"/>
                </w:tcPr>
                <w:p w14:paraId="28CA127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1E54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636768F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23</w:t>
                  </w:r>
                </w:p>
              </w:tc>
              <w:tc>
                <w:tcPr>
                  <w:tcW w:w="284" w:type="pct"/>
                  <w:vMerge w:val="continue"/>
                  <w:shd w:val="clear" w:color="auto" w:fill="FFFFFF"/>
                  <w:tcMar>
                    <w:top w:w="0" w:type="dxa"/>
                    <w:left w:w="0" w:type="dxa"/>
                    <w:bottom w:w="0" w:type="dxa"/>
                    <w:right w:w="0" w:type="dxa"/>
                  </w:tcMar>
                  <w:vAlign w:val="center"/>
                </w:tcPr>
                <w:p w14:paraId="11E492EC">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7B161CD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连接套输送机</w:t>
                  </w:r>
                </w:p>
              </w:tc>
              <w:tc>
                <w:tcPr>
                  <w:tcW w:w="561" w:type="pct"/>
                  <w:vMerge w:val="restart"/>
                  <w:shd w:val="clear" w:color="auto" w:fill="FFFFFF"/>
                  <w:tcMar>
                    <w:top w:w="0" w:type="dxa"/>
                    <w:left w:w="0" w:type="dxa"/>
                    <w:bottom w:w="0" w:type="dxa"/>
                    <w:right w:w="0" w:type="dxa"/>
                  </w:tcMar>
                  <w:vAlign w:val="center"/>
                </w:tcPr>
                <w:p w14:paraId="2252035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w:t>
                  </w:r>
                </w:p>
              </w:tc>
              <w:tc>
                <w:tcPr>
                  <w:tcW w:w="450" w:type="pct"/>
                  <w:vMerge w:val="restart"/>
                  <w:shd w:val="clear" w:color="auto" w:fill="FFFFFF"/>
                  <w:tcMar>
                    <w:top w:w="0" w:type="dxa"/>
                    <w:left w:w="0" w:type="dxa"/>
                    <w:bottom w:w="0" w:type="dxa"/>
                    <w:right w:w="0" w:type="dxa"/>
                  </w:tcMar>
                  <w:vAlign w:val="center"/>
                </w:tcPr>
                <w:p w14:paraId="1C50C0B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5C66C0B7">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4D4A914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-225.2</w:t>
                  </w:r>
                </w:p>
              </w:tc>
              <w:tc>
                <w:tcPr>
                  <w:tcW w:w="247" w:type="pct"/>
                  <w:vMerge w:val="restart"/>
                  <w:shd w:val="clear" w:color="auto" w:fill="FFFFFF"/>
                  <w:tcMar>
                    <w:top w:w="0" w:type="dxa"/>
                    <w:left w:w="0" w:type="dxa"/>
                    <w:bottom w:w="0" w:type="dxa"/>
                    <w:right w:w="0" w:type="dxa"/>
                  </w:tcMar>
                  <w:vAlign w:val="center"/>
                </w:tcPr>
                <w:p w14:paraId="2B8DF85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152.2</w:t>
                  </w:r>
                </w:p>
              </w:tc>
              <w:tc>
                <w:tcPr>
                  <w:tcW w:w="138" w:type="pct"/>
                  <w:vMerge w:val="restart"/>
                  <w:shd w:val="clear" w:color="auto" w:fill="FFFFFF"/>
                  <w:tcMar>
                    <w:top w:w="0" w:type="dxa"/>
                    <w:left w:w="0" w:type="dxa"/>
                    <w:bottom w:w="0" w:type="dxa"/>
                    <w:right w:w="0" w:type="dxa"/>
                  </w:tcMar>
                  <w:vAlign w:val="center"/>
                </w:tcPr>
                <w:p w14:paraId="62F9A9D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1D8ADD2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5826915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156" w:type="pct"/>
                  <w:shd w:val="clear" w:color="auto" w:fill="FFFFFF"/>
                  <w:tcMar>
                    <w:top w:w="0" w:type="dxa"/>
                    <w:left w:w="0" w:type="dxa"/>
                    <w:bottom w:w="0" w:type="dxa"/>
                    <w:right w:w="0" w:type="dxa"/>
                  </w:tcMar>
                  <w:vAlign w:val="center"/>
                </w:tcPr>
                <w:p w14:paraId="0468959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1B4D803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66.5</w:t>
                  </w:r>
                </w:p>
              </w:tc>
              <w:tc>
                <w:tcPr>
                  <w:tcW w:w="400" w:type="pct"/>
                  <w:vMerge w:val="restart"/>
                  <w:shd w:val="clear" w:color="auto" w:fill="FFFFFF"/>
                  <w:tcMar>
                    <w:top w:w="0" w:type="dxa"/>
                    <w:left w:w="0" w:type="dxa"/>
                    <w:bottom w:w="0" w:type="dxa"/>
                    <w:right w:w="0" w:type="dxa"/>
                  </w:tcMar>
                  <w:vAlign w:val="center"/>
                </w:tcPr>
                <w:p w14:paraId="2183B624">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443026C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6AECB90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5262A66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40.5</w:t>
                  </w:r>
                </w:p>
              </w:tc>
              <w:tc>
                <w:tcPr>
                  <w:tcW w:w="284" w:type="pct"/>
                  <w:shd w:val="clear" w:color="auto" w:fill="FFFFFF"/>
                  <w:tcMar>
                    <w:top w:w="0" w:type="dxa"/>
                    <w:left w:w="0" w:type="dxa"/>
                    <w:bottom w:w="0" w:type="dxa"/>
                    <w:right w:w="0" w:type="dxa"/>
                  </w:tcMar>
                  <w:vAlign w:val="center"/>
                </w:tcPr>
                <w:p w14:paraId="6C4B11B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39E1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12A6BB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DED7859">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556C26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67933A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D8B83A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C51C5E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C4FA39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D8E9B7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C18536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3B297E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4B9796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8.9</w:t>
                  </w:r>
                </w:p>
              </w:tc>
              <w:tc>
                <w:tcPr>
                  <w:tcW w:w="156" w:type="pct"/>
                  <w:shd w:val="clear" w:color="auto" w:fill="FFFFFF"/>
                  <w:tcMar>
                    <w:top w:w="0" w:type="dxa"/>
                    <w:left w:w="0" w:type="dxa"/>
                    <w:bottom w:w="0" w:type="dxa"/>
                    <w:right w:w="0" w:type="dxa"/>
                  </w:tcMar>
                  <w:vAlign w:val="center"/>
                </w:tcPr>
                <w:p w14:paraId="231616A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19EA3EC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00" w:type="pct"/>
                  <w:vMerge w:val="continue"/>
                  <w:shd w:val="clear" w:color="auto" w:fill="FFFFFF"/>
                  <w:tcMar>
                    <w:top w:w="0" w:type="dxa"/>
                    <w:left w:w="0" w:type="dxa"/>
                    <w:bottom w:w="0" w:type="dxa"/>
                    <w:right w:w="0" w:type="dxa"/>
                  </w:tcMar>
                  <w:vAlign w:val="center"/>
                </w:tcPr>
                <w:p w14:paraId="0D8DD49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64538E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DCFB9D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B0D189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284" w:type="pct"/>
                  <w:shd w:val="clear" w:color="auto" w:fill="FFFFFF"/>
                  <w:tcMar>
                    <w:top w:w="0" w:type="dxa"/>
                    <w:left w:w="0" w:type="dxa"/>
                    <w:bottom w:w="0" w:type="dxa"/>
                    <w:right w:w="0" w:type="dxa"/>
                  </w:tcMar>
                  <w:vAlign w:val="center"/>
                </w:tcPr>
                <w:p w14:paraId="7F6CDEB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B3E9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81D43D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F18DDA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AE1B83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4D881E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8CC3A9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E3CB03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86AA3F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7D218F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4D028E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006F01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6EFEDCE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9.9</w:t>
                  </w:r>
                </w:p>
              </w:tc>
              <w:tc>
                <w:tcPr>
                  <w:tcW w:w="156" w:type="pct"/>
                  <w:shd w:val="clear" w:color="auto" w:fill="FFFFFF"/>
                  <w:tcMar>
                    <w:top w:w="0" w:type="dxa"/>
                    <w:left w:w="0" w:type="dxa"/>
                    <w:bottom w:w="0" w:type="dxa"/>
                    <w:right w:w="0" w:type="dxa"/>
                  </w:tcMar>
                  <w:vAlign w:val="center"/>
                </w:tcPr>
                <w:p w14:paraId="36961D6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62A9E9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00" w:type="pct"/>
                  <w:vMerge w:val="continue"/>
                  <w:shd w:val="clear" w:color="auto" w:fill="FFFFFF"/>
                  <w:tcMar>
                    <w:top w:w="0" w:type="dxa"/>
                    <w:left w:w="0" w:type="dxa"/>
                    <w:bottom w:w="0" w:type="dxa"/>
                    <w:right w:w="0" w:type="dxa"/>
                  </w:tcMar>
                  <w:vAlign w:val="center"/>
                </w:tcPr>
                <w:p w14:paraId="68E7A105">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2FF7D0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B23725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394BA9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284" w:type="pct"/>
                  <w:shd w:val="clear" w:color="auto" w:fill="FFFFFF"/>
                  <w:tcMar>
                    <w:top w:w="0" w:type="dxa"/>
                    <w:left w:w="0" w:type="dxa"/>
                    <w:bottom w:w="0" w:type="dxa"/>
                    <w:right w:w="0" w:type="dxa"/>
                  </w:tcMar>
                  <w:vAlign w:val="center"/>
                </w:tcPr>
                <w:p w14:paraId="5F4254C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6547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165A06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72F59F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414BBB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035F06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125BF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C1BCD3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0F6CFE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11B812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D279BB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C29F67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3DF0EF3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w:t>
                  </w:r>
                </w:p>
              </w:tc>
              <w:tc>
                <w:tcPr>
                  <w:tcW w:w="156" w:type="pct"/>
                  <w:shd w:val="clear" w:color="auto" w:fill="FFFFFF"/>
                  <w:tcMar>
                    <w:top w:w="0" w:type="dxa"/>
                    <w:left w:w="0" w:type="dxa"/>
                    <w:bottom w:w="0" w:type="dxa"/>
                    <w:right w:w="0" w:type="dxa"/>
                  </w:tcMar>
                  <w:vAlign w:val="center"/>
                </w:tcPr>
                <w:p w14:paraId="58CA7E4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4EB825D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00" w:type="pct"/>
                  <w:vMerge w:val="continue"/>
                  <w:shd w:val="clear" w:color="auto" w:fill="FFFFFF"/>
                  <w:tcMar>
                    <w:top w:w="0" w:type="dxa"/>
                    <w:left w:w="0" w:type="dxa"/>
                    <w:bottom w:w="0" w:type="dxa"/>
                    <w:right w:w="0" w:type="dxa"/>
                  </w:tcMar>
                  <w:vAlign w:val="center"/>
                </w:tcPr>
                <w:p w14:paraId="7B316D5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218B48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F36D03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70BC67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284" w:type="pct"/>
                  <w:shd w:val="clear" w:color="auto" w:fill="FFFFFF"/>
                  <w:tcMar>
                    <w:top w:w="0" w:type="dxa"/>
                    <w:left w:w="0" w:type="dxa"/>
                    <w:bottom w:w="0" w:type="dxa"/>
                    <w:right w:w="0" w:type="dxa"/>
                  </w:tcMar>
                  <w:vAlign w:val="center"/>
                </w:tcPr>
                <w:p w14:paraId="4E974A5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B561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66F182C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24</w:t>
                  </w:r>
                </w:p>
              </w:tc>
              <w:tc>
                <w:tcPr>
                  <w:tcW w:w="284" w:type="pct"/>
                  <w:vMerge w:val="restart"/>
                  <w:shd w:val="clear" w:color="auto" w:fill="FFFFFF"/>
                  <w:tcMar>
                    <w:top w:w="0" w:type="dxa"/>
                    <w:left w:w="0" w:type="dxa"/>
                    <w:bottom w:w="0" w:type="dxa"/>
                    <w:right w:w="0" w:type="dxa"/>
                  </w:tcMar>
                  <w:vAlign w:val="center"/>
                </w:tcPr>
                <w:p w14:paraId="46C201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乳化炸药震源药柱成品中转站台</w:t>
                  </w:r>
                </w:p>
              </w:tc>
              <w:tc>
                <w:tcPr>
                  <w:tcW w:w="292" w:type="pct"/>
                  <w:vMerge w:val="restart"/>
                  <w:shd w:val="clear" w:color="auto" w:fill="FFFFFF"/>
                  <w:tcMar>
                    <w:top w:w="0" w:type="dxa"/>
                    <w:left w:w="0" w:type="dxa"/>
                    <w:bottom w:w="0" w:type="dxa"/>
                    <w:right w:w="0" w:type="dxa"/>
                  </w:tcMar>
                  <w:vAlign w:val="center"/>
                </w:tcPr>
                <w:p w14:paraId="79C24D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工业炸药成品箱</w:t>
                  </w: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袋</w:t>
                  </w: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自动上 车系统</w:t>
                  </w:r>
                </w:p>
              </w:tc>
              <w:tc>
                <w:tcPr>
                  <w:tcW w:w="561" w:type="pct"/>
                  <w:vMerge w:val="restart"/>
                  <w:shd w:val="clear" w:color="auto" w:fill="FFFFFF"/>
                  <w:tcMar>
                    <w:top w:w="0" w:type="dxa"/>
                    <w:left w:w="0" w:type="dxa"/>
                    <w:bottom w:w="0" w:type="dxa"/>
                    <w:right w:w="0" w:type="dxa"/>
                  </w:tcMar>
                  <w:vAlign w:val="center"/>
                </w:tcPr>
                <w:p w14:paraId="331D18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w:t>
                  </w:r>
                </w:p>
              </w:tc>
              <w:tc>
                <w:tcPr>
                  <w:tcW w:w="450" w:type="pct"/>
                  <w:vMerge w:val="restart"/>
                  <w:shd w:val="clear" w:color="auto" w:fill="FFFFFF"/>
                  <w:tcMar>
                    <w:top w:w="0" w:type="dxa"/>
                    <w:left w:w="0" w:type="dxa"/>
                    <w:bottom w:w="0" w:type="dxa"/>
                    <w:right w:w="0" w:type="dxa"/>
                  </w:tcMar>
                  <w:vAlign w:val="center"/>
                </w:tcPr>
                <w:p w14:paraId="6ADD74D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19AF2018">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75AAB73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-152.9</w:t>
                  </w:r>
                </w:p>
              </w:tc>
              <w:tc>
                <w:tcPr>
                  <w:tcW w:w="247" w:type="pct"/>
                  <w:vMerge w:val="restart"/>
                  <w:shd w:val="clear" w:color="auto" w:fill="FFFFFF"/>
                  <w:tcMar>
                    <w:top w:w="0" w:type="dxa"/>
                    <w:left w:w="0" w:type="dxa"/>
                    <w:bottom w:w="0" w:type="dxa"/>
                    <w:right w:w="0" w:type="dxa"/>
                  </w:tcMar>
                  <w:vAlign w:val="center"/>
                </w:tcPr>
                <w:p w14:paraId="04F564F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-65.8</w:t>
                  </w:r>
                </w:p>
              </w:tc>
              <w:tc>
                <w:tcPr>
                  <w:tcW w:w="138" w:type="pct"/>
                  <w:vMerge w:val="restart"/>
                  <w:shd w:val="clear" w:color="auto" w:fill="FFFFFF"/>
                  <w:tcMar>
                    <w:top w:w="0" w:type="dxa"/>
                    <w:left w:w="0" w:type="dxa"/>
                    <w:bottom w:w="0" w:type="dxa"/>
                    <w:right w:w="0" w:type="dxa"/>
                  </w:tcMar>
                  <w:vAlign w:val="center"/>
                </w:tcPr>
                <w:p w14:paraId="1E6962E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9E7C789">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56C8C2C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56" w:type="pct"/>
                  <w:shd w:val="clear" w:color="auto" w:fill="FFFFFF"/>
                  <w:tcMar>
                    <w:top w:w="0" w:type="dxa"/>
                    <w:left w:w="0" w:type="dxa"/>
                    <w:bottom w:w="0" w:type="dxa"/>
                    <w:right w:w="0" w:type="dxa"/>
                  </w:tcMar>
                  <w:vAlign w:val="center"/>
                </w:tcPr>
                <w:p w14:paraId="187A662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A7384A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70.4</w:t>
                  </w:r>
                </w:p>
              </w:tc>
              <w:tc>
                <w:tcPr>
                  <w:tcW w:w="400" w:type="pct"/>
                  <w:vMerge w:val="restart"/>
                  <w:shd w:val="clear" w:color="auto" w:fill="FFFFFF"/>
                  <w:tcMar>
                    <w:top w:w="0" w:type="dxa"/>
                    <w:left w:w="0" w:type="dxa"/>
                    <w:bottom w:w="0" w:type="dxa"/>
                    <w:right w:w="0" w:type="dxa"/>
                  </w:tcMar>
                  <w:vAlign w:val="center"/>
                </w:tcPr>
                <w:p w14:paraId="087103D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5D096D7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526E4BE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241689D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44.4</w:t>
                  </w:r>
                </w:p>
              </w:tc>
              <w:tc>
                <w:tcPr>
                  <w:tcW w:w="284" w:type="pct"/>
                  <w:shd w:val="clear" w:color="auto" w:fill="FFFFFF"/>
                  <w:tcMar>
                    <w:top w:w="0" w:type="dxa"/>
                    <w:left w:w="0" w:type="dxa"/>
                    <w:bottom w:w="0" w:type="dxa"/>
                    <w:right w:w="0" w:type="dxa"/>
                  </w:tcMar>
                  <w:vAlign w:val="center"/>
                </w:tcPr>
                <w:p w14:paraId="754E2D1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7592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EBB376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68996A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5F83B0A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6CB31C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EDC6DA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7EFCE30">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B2020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48125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89B029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C1BEFF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34188E8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9.6</w:t>
                  </w:r>
                </w:p>
              </w:tc>
              <w:tc>
                <w:tcPr>
                  <w:tcW w:w="156" w:type="pct"/>
                  <w:shd w:val="clear" w:color="auto" w:fill="FFFFFF"/>
                  <w:tcMar>
                    <w:top w:w="0" w:type="dxa"/>
                    <w:left w:w="0" w:type="dxa"/>
                    <w:bottom w:w="0" w:type="dxa"/>
                    <w:right w:w="0" w:type="dxa"/>
                  </w:tcMar>
                  <w:vAlign w:val="center"/>
                </w:tcPr>
                <w:p w14:paraId="36CD00D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5AFF35B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70.4</w:t>
                  </w:r>
                </w:p>
              </w:tc>
              <w:tc>
                <w:tcPr>
                  <w:tcW w:w="400" w:type="pct"/>
                  <w:vMerge w:val="continue"/>
                  <w:shd w:val="clear" w:color="auto" w:fill="FFFFFF"/>
                  <w:tcMar>
                    <w:top w:w="0" w:type="dxa"/>
                    <w:left w:w="0" w:type="dxa"/>
                    <w:bottom w:w="0" w:type="dxa"/>
                    <w:right w:w="0" w:type="dxa"/>
                  </w:tcMar>
                  <w:vAlign w:val="center"/>
                </w:tcPr>
                <w:p w14:paraId="7DD9EBC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D82A40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8CE89F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1412980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44.4</w:t>
                  </w:r>
                </w:p>
              </w:tc>
              <w:tc>
                <w:tcPr>
                  <w:tcW w:w="284" w:type="pct"/>
                  <w:shd w:val="clear" w:color="auto" w:fill="FFFFFF"/>
                  <w:tcMar>
                    <w:top w:w="0" w:type="dxa"/>
                    <w:left w:w="0" w:type="dxa"/>
                    <w:bottom w:w="0" w:type="dxa"/>
                    <w:right w:w="0" w:type="dxa"/>
                  </w:tcMar>
                  <w:vAlign w:val="center"/>
                </w:tcPr>
                <w:p w14:paraId="15E822D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3E7D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2677D4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0371E3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5B02FAC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C9FE45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46A2FB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654F1FA">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887DAE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DCD894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799F41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8C7BCE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719DC50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w:t>
                  </w:r>
                </w:p>
              </w:tc>
              <w:tc>
                <w:tcPr>
                  <w:tcW w:w="156" w:type="pct"/>
                  <w:shd w:val="clear" w:color="auto" w:fill="FFFFFF"/>
                  <w:tcMar>
                    <w:top w:w="0" w:type="dxa"/>
                    <w:left w:w="0" w:type="dxa"/>
                    <w:bottom w:w="0" w:type="dxa"/>
                    <w:right w:w="0" w:type="dxa"/>
                  </w:tcMar>
                  <w:vAlign w:val="center"/>
                </w:tcPr>
                <w:p w14:paraId="28BE5D6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55F9F54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70.4</w:t>
                  </w:r>
                </w:p>
              </w:tc>
              <w:tc>
                <w:tcPr>
                  <w:tcW w:w="400" w:type="pct"/>
                  <w:vMerge w:val="continue"/>
                  <w:shd w:val="clear" w:color="auto" w:fill="FFFFFF"/>
                  <w:tcMar>
                    <w:top w:w="0" w:type="dxa"/>
                    <w:left w:w="0" w:type="dxa"/>
                    <w:bottom w:w="0" w:type="dxa"/>
                    <w:right w:w="0" w:type="dxa"/>
                  </w:tcMar>
                  <w:vAlign w:val="center"/>
                </w:tcPr>
                <w:p w14:paraId="431AE98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ABA4E1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AEC2E0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392BCCD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44.4</w:t>
                  </w:r>
                </w:p>
              </w:tc>
              <w:tc>
                <w:tcPr>
                  <w:tcW w:w="284" w:type="pct"/>
                  <w:shd w:val="clear" w:color="auto" w:fill="FFFFFF"/>
                  <w:tcMar>
                    <w:top w:w="0" w:type="dxa"/>
                    <w:left w:w="0" w:type="dxa"/>
                    <w:bottom w:w="0" w:type="dxa"/>
                    <w:right w:w="0" w:type="dxa"/>
                  </w:tcMar>
                  <w:vAlign w:val="center"/>
                </w:tcPr>
                <w:p w14:paraId="55D8101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D94A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E1D849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02CE1F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3037F54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7AACB3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83E23B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3D8070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545D5F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E71223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383D6C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C336FC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799443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w:t>
                  </w:r>
                </w:p>
              </w:tc>
              <w:tc>
                <w:tcPr>
                  <w:tcW w:w="156" w:type="pct"/>
                  <w:shd w:val="clear" w:color="auto" w:fill="FFFFFF"/>
                  <w:tcMar>
                    <w:top w:w="0" w:type="dxa"/>
                    <w:left w:w="0" w:type="dxa"/>
                    <w:bottom w:w="0" w:type="dxa"/>
                    <w:right w:w="0" w:type="dxa"/>
                  </w:tcMar>
                  <w:vAlign w:val="center"/>
                </w:tcPr>
                <w:p w14:paraId="65E70A2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02E2ADE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70.5</w:t>
                  </w:r>
                </w:p>
              </w:tc>
              <w:tc>
                <w:tcPr>
                  <w:tcW w:w="400" w:type="pct"/>
                  <w:vMerge w:val="continue"/>
                  <w:shd w:val="clear" w:color="auto" w:fill="FFFFFF"/>
                  <w:tcMar>
                    <w:top w:w="0" w:type="dxa"/>
                    <w:left w:w="0" w:type="dxa"/>
                    <w:bottom w:w="0" w:type="dxa"/>
                    <w:right w:w="0" w:type="dxa"/>
                  </w:tcMar>
                  <w:vAlign w:val="center"/>
                </w:tcPr>
                <w:p w14:paraId="5DE5E3B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5A7765F">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AC68BC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5D8281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44.5</w:t>
                  </w:r>
                </w:p>
              </w:tc>
              <w:tc>
                <w:tcPr>
                  <w:tcW w:w="284" w:type="pct"/>
                  <w:shd w:val="clear" w:color="auto" w:fill="FFFFFF"/>
                  <w:tcMar>
                    <w:top w:w="0" w:type="dxa"/>
                    <w:left w:w="0" w:type="dxa"/>
                    <w:bottom w:w="0" w:type="dxa"/>
                    <w:right w:w="0" w:type="dxa"/>
                  </w:tcMar>
                  <w:vAlign w:val="center"/>
                </w:tcPr>
                <w:p w14:paraId="1EA7EBF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40E2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626F052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25</w:t>
                  </w:r>
                </w:p>
              </w:tc>
              <w:tc>
                <w:tcPr>
                  <w:tcW w:w="284" w:type="pct"/>
                  <w:vMerge w:val="restart"/>
                  <w:shd w:val="clear" w:color="auto" w:fill="FFFFFF"/>
                  <w:tcMar>
                    <w:top w:w="0" w:type="dxa"/>
                    <w:left w:w="0" w:type="dxa"/>
                    <w:bottom w:w="0" w:type="dxa"/>
                    <w:right w:w="0" w:type="dxa"/>
                  </w:tcMar>
                  <w:vAlign w:val="center"/>
                </w:tcPr>
                <w:p w14:paraId="3B91F66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乳胶基质制备工房</w:t>
                  </w:r>
                </w:p>
              </w:tc>
              <w:tc>
                <w:tcPr>
                  <w:tcW w:w="292" w:type="pct"/>
                  <w:vMerge w:val="restart"/>
                  <w:shd w:val="clear" w:color="auto" w:fill="FFFFFF"/>
                  <w:tcMar>
                    <w:top w:w="0" w:type="dxa"/>
                    <w:left w:w="0" w:type="dxa"/>
                    <w:bottom w:w="0" w:type="dxa"/>
                    <w:right w:w="0" w:type="dxa"/>
                  </w:tcMar>
                  <w:vAlign w:val="center"/>
                </w:tcPr>
                <w:p w14:paraId="3825887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水相输送泵</w:t>
                  </w:r>
                </w:p>
              </w:tc>
              <w:tc>
                <w:tcPr>
                  <w:tcW w:w="561" w:type="pct"/>
                  <w:vMerge w:val="restart"/>
                  <w:shd w:val="clear" w:color="auto" w:fill="FFFFFF"/>
                  <w:tcMar>
                    <w:top w:w="0" w:type="dxa"/>
                    <w:left w:w="0" w:type="dxa"/>
                    <w:bottom w:w="0" w:type="dxa"/>
                    <w:right w:w="0" w:type="dxa"/>
                  </w:tcMar>
                  <w:vAlign w:val="center"/>
                </w:tcPr>
                <w:p w14:paraId="31CB51A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JWL-SX-ZZ-15</w:t>
                  </w:r>
                </w:p>
              </w:tc>
              <w:tc>
                <w:tcPr>
                  <w:tcW w:w="450" w:type="pct"/>
                  <w:vMerge w:val="restart"/>
                  <w:shd w:val="clear" w:color="auto" w:fill="FFFFFF"/>
                  <w:tcMar>
                    <w:top w:w="0" w:type="dxa"/>
                    <w:left w:w="0" w:type="dxa"/>
                    <w:bottom w:w="0" w:type="dxa"/>
                    <w:right w:w="0" w:type="dxa"/>
                  </w:tcMar>
                  <w:vAlign w:val="center"/>
                </w:tcPr>
                <w:p w14:paraId="763FE37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restart"/>
                  <w:shd w:val="clear" w:color="auto" w:fill="FFFFFF"/>
                  <w:tcMar>
                    <w:top w:w="0" w:type="dxa"/>
                    <w:left w:w="0" w:type="dxa"/>
                    <w:bottom w:w="0" w:type="dxa"/>
                    <w:right w:w="0" w:type="dxa"/>
                  </w:tcMar>
                  <w:vAlign w:val="center"/>
                </w:tcPr>
                <w:p w14:paraId="5CC6FF8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w:t>
                  </w:r>
                  <w:r>
                    <w:rPr>
                      <w:rFonts w:hint="eastAsia" w:cs="Times New Roman"/>
                      <w:color w:val="auto"/>
                      <w:kern w:val="0"/>
                      <w:sz w:val="21"/>
                      <w:szCs w:val="21"/>
                      <w:lang w:eastAsia="zh-CN" w:bidi="ar"/>
                    </w:rPr>
                    <w:t>减振</w:t>
                  </w:r>
                  <w:r>
                    <w:rPr>
                      <w:rFonts w:hint="default" w:ascii="Times New Roman" w:hAnsi="Times New Roman" w:eastAsia="宋体" w:cs="Times New Roman"/>
                      <w:color w:val="auto"/>
                      <w:kern w:val="0"/>
                      <w:sz w:val="21"/>
                      <w:szCs w:val="21"/>
                      <w:lang w:bidi="ar"/>
                    </w:rPr>
                    <w:t>、</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r>
                    <w:rPr>
                      <w:rFonts w:hint="eastAsia" w:ascii="Times New Roman" w:hAnsi="Times New Roman" w:eastAsia="宋体" w:cs="Times New Roman"/>
                      <w:color w:val="auto"/>
                      <w:kern w:val="0"/>
                      <w:sz w:val="21"/>
                      <w:szCs w:val="21"/>
                      <w:lang w:eastAsia="zh-CN" w:bidi="ar"/>
                    </w:rPr>
                    <w:t>、</w:t>
                  </w:r>
                  <w:r>
                    <w:rPr>
                      <w:rFonts w:hint="default" w:ascii="Times New Roman" w:hAnsi="Times New Roman" w:eastAsia="宋体" w:cs="Times New Roman"/>
                      <w:i w:val="0"/>
                      <w:iCs w:val="0"/>
                      <w:color w:val="auto"/>
                      <w:kern w:val="0"/>
                      <w:sz w:val="21"/>
                      <w:szCs w:val="21"/>
                      <w:u w:val="none"/>
                      <w:lang w:val="en-US" w:eastAsia="zh-CN" w:bidi="ar"/>
                    </w:rPr>
                    <w:t>隔声罩</w:t>
                  </w:r>
                </w:p>
              </w:tc>
              <w:tc>
                <w:tcPr>
                  <w:tcW w:w="247" w:type="pct"/>
                  <w:vMerge w:val="restart"/>
                  <w:shd w:val="clear" w:color="auto" w:fill="FFFFFF"/>
                  <w:tcMar>
                    <w:top w:w="0" w:type="dxa"/>
                    <w:left w:w="0" w:type="dxa"/>
                    <w:bottom w:w="0" w:type="dxa"/>
                    <w:right w:w="0" w:type="dxa"/>
                  </w:tcMar>
                  <w:vAlign w:val="center"/>
                </w:tcPr>
                <w:p w14:paraId="3F7B55C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44.8</w:t>
                  </w:r>
                </w:p>
              </w:tc>
              <w:tc>
                <w:tcPr>
                  <w:tcW w:w="247" w:type="pct"/>
                  <w:vMerge w:val="restart"/>
                  <w:shd w:val="clear" w:color="auto" w:fill="FFFFFF"/>
                  <w:tcMar>
                    <w:top w:w="0" w:type="dxa"/>
                    <w:left w:w="0" w:type="dxa"/>
                    <w:bottom w:w="0" w:type="dxa"/>
                    <w:right w:w="0" w:type="dxa"/>
                  </w:tcMar>
                  <w:vAlign w:val="center"/>
                </w:tcPr>
                <w:p w14:paraId="612A3D2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-86.7</w:t>
                  </w:r>
                </w:p>
              </w:tc>
              <w:tc>
                <w:tcPr>
                  <w:tcW w:w="138" w:type="pct"/>
                  <w:vMerge w:val="restart"/>
                  <w:shd w:val="clear" w:color="auto" w:fill="FFFFFF"/>
                  <w:tcMar>
                    <w:top w:w="0" w:type="dxa"/>
                    <w:left w:w="0" w:type="dxa"/>
                    <w:bottom w:w="0" w:type="dxa"/>
                    <w:right w:w="0" w:type="dxa"/>
                  </w:tcMar>
                  <w:vAlign w:val="center"/>
                </w:tcPr>
                <w:p w14:paraId="56AACD1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0380948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69A64A3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w:t>
                  </w:r>
                </w:p>
              </w:tc>
              <w:tc>
                <w:tcPr>
                  <w:tcW w:w="156" w:type="pct"/>
                  <w:shd w:val="clear" w:color="auto" w:fill="FFFFFF"/>
                  <w:tcMar>
                    <w:top w:w="0" w:type="dxa"/>
                    <w:left w:w="0" w:type="dxa"/>
                    <w:bottom w:w="0" w:type="dxa"/>
                    <w:right w:w="0" w:type="dxa"/>
                  </w:tcMar>
                  <w:vAlign w:val="center"/>
                </w:tcPr>
                <w:p w14:paraId="0566A5C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29CA3A0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69.1</w:t>
                  </w:r>
                </w:p>
              </w:tc>
              <w:tc>
                <w:tcPr>
                  <w:tcW w:w="400" w:type="pct"/>
                  <w:vMerge w:val="restart"/>
                  <w:shd w:val="clear" w:color="auto" w:fill="FFFFFF"/>
                  <w:tcMar>
                    <w:top w:w="0" w:type="dxa"/>
                    <w:left w:w="0" w:type="dxa"/>
                    <w:bottom w:w="0" w:type="dxa"/>
                    <w:right w:w="0" w:type="dxa"/>
                  </w:tcMar>
                  <w:vAlign w:val="center"/>
                </w:tcPr>
                <w:p w14:paraId="4A8043C9">
                  <w:pPr>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7A90954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49B95C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4475F64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43.1</w:t>
                  </w:r>
                </w:p>
              </w:tc>
              <w:tc>
                <w:tcPr>
                  <w:tcW w:w="284" w:type="pct"/>
                  <w:shd w:val="clear" w:color="auto" w:fill="FFFFFF"/>
                  <w:tcMar>
                    <w:top w:w="0" w:type="dxa"/>
                    <w:left w:w="0" w:type="dxa"/>
                    <w:bottom w:w="0" w:type="dxa"/>
                    <w:right w:w="0" w:type="dxa"/>
                  </w:tcMar>
                  <w:vAlign w:val="center"/>
                </w:tcPr>
                <w:p w14:paraId="4713785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9B16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C8813E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FF31B5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6A47F76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A4792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E12434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54D2BF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F1825D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FA031E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6A3432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D6B2E4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8AE15F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5.3</w:t>
                  </w:r>
                </w:p>
              </w:tc>
              <w:tc>
                <w:tcPr>
                  <w:tcW w:w="156" w:type="pct"/>
                  <w:shd w:val="clear" w:color="auto" w:fill="FFFFFF"/>
                  <w:tcMar>
                    <w:top w:w="0" w:type="dxa"/>
                    <w:left w:w="0" w:type="dxa"/>
                    <w:bottom w:w="0" w:type="dxa"/>
                    <w:right w:w="0" w:type="dxa"/>
                  </w:tcMar>
                  <w:vAlign w:val="center"/>
                </w:tcPr>
                <w:p w14:paraId="1801B3B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5F3F660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69.1</w:t>
                  </w:r>
                </w:p>
              </w:tc>
              <w:tc>
                <w:tcPr>
                  <w:tcW w:w="400" w:type="pct"/>
                  <w:vMerge w:val="continue"/>
                  <w:shd w:val="clear" w:color="auto" w:fill="FFFFFF"/>
                  <w:tcMar>
                    <w:top w:w="0" w:type="dxa"/>
                    <w:left w:w="0" w:type="dxa"/>
                    <w:bottom w:w="0" w:type="dxa"/>
                    <w:right w:w="0" w:type="dxa"/>
                  </w:tcMar>
                  <w:vAlign w:val="center"/>
                </w:tcPr>
                <w:p w14:paraId="703A060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99BBD08">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8A45FB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F52B26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43.1</w:t>
                  </w:r>
                </w:p>
              </w:tc>
              <w:tc>
                <w:tcPr>
                  <w:tcW w:w="284" w:type="pct"/>
                  <w:shd w:val="clear" w:color="auto" w:fill="FFFFFF"/>
                  <w:tcMar>
                    <w:top w:w="0" w:type="dxa"/>
                    <w:left w:w="0" w:type="dxa"/>
                    <w:bottom w:w="0" w:type="dxa"/>
                    <w:right w:w="0" w:type="dxa"/>
                  </w:tcMar>
                  <w:vAlign w:val="center"/>
                </w:tcPr>
                <w:p w14:paraId="6A6F203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047C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77B9AF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3BFCAD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45BEC89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B6BAF8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59F39B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3D9637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F99859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B15955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6C1287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983F979">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69A7D76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156" w:type="pct"/>
                  <w:shd w:val="clear" w:color="auto" w:fill="FFFFFF"/>
                  <w:tcMar>
                    <w:top w:w="0" w:type="dxa"/>
                    <w:left w:w="0" w:type="dxa"/>
                    <w:bottom w:w="0" w:type="dxa"/>
                    <w:right w:w="0" w:type="dxa"/>
                  </w:tcMar>
                  <w:vAlign w:val="center"/>
                </w:tcPr>
                <w:p w14:paraId="748ACC7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A1825E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69.1</w:t>
                  </w:r>
                </w:p>
              </w:tc>
              <w:tc>
                <w:tcPr>
                  <w:tcW w:w="400" w:type="pct"/>
                  <w:vMerge w:val="continue"/>
                  <w:shd w:val="clear" w:color="auto" w:fill="FFFFFF"/>
                  <w:tcMar>
                    <w:top w:w="0" w:type="dxa"/>
                    <w:left w:w="0" w:type="dxa"/>
                    <w:bottom w:w="0" w:type="dxa"/>
                    <w:right w:w="0" w:type="dxa"/>
                  </w:tcMar>
                  <w:vAlign w:val="center"/>
                </w:tcPr>
                <w:p w14:paraId="320025C7">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6244E33">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26A045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AEFFD8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43.1</w:t>
                  </w:r>
                </w:p>
              </w:tc>
              <w:tc>
                <w:tcPr>
                  <w:tcW w:w="284" w:type="pct"/>
                  <w:shd w:val="clear" w:color="auto" w:fill="FFFFFF"/>
                  <w:tcMar>
                    <w:top w:w="0" w:type="dxa"/>
                    <w:left w:w="0" w:type="dxa"/>
                    <w:bottom w:w="0" w:type="dxa"/>
                    <w:right w:w="0" w:type="dxa"/>
                  </w:tcMar>
                  <w:vAlign w:val="center"/>
                </w:tcPr>
                <w:p w14:paraId="6D8D216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4032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606AC3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26C1AB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24FA594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744975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BB5799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EF3319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6396FC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88F702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FAD01E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2EAD2B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8B1C04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16.6</w:t>
                  </w:r>
                </w:p>
              </w:tc>
              <w:tc>
                <w:tcPr>
                  <w:tcW w:w="156" w:type="pct"/>
                  <w:shd w:val="clear" w:color="auto" w:fill="FFFFFF"/>
                  <w:tcMar>
                    <w:top w:w="0" w:type="dxa"/>
                    <w:left w:w="0" w:type="dxa"/>
                    <w:bottom w:w="0" w:type="dxa"/>
                    <w:right w:w="0" w:type="dxa"/>
                  </w:tcMar>
                  <w:vAlign w:val="center"/>
                </w:tcPr>
                <w:p w14:paraId="5DA20A4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078FA48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22DCDBA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23E8A7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4EE977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17E0493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4286EF0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BE8D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7DD6E0D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26</w:t>
                  </w:r>
                </w:p>
              </w:tc>
              <w:tc>
                <w:tcPr>
                  <w:tcW w:w="284" w:type="pct"/>
                  <w:vMerge w:val="continue"/>
                  <w:shd w:val="clear" w:color="auto" w:fill="FFFFFF"/>
                  <w:tcMar>
                    <w:top w:w="0" w:type="dxa"/>
                    <w:left w:w="0" w:type="dxa"/>
                    <w:bottom w:w="0" w:type="dxa"/>
                    <w:right w:w="0" w:type="dxa"/>
                  </w:tcMar>
                  <w:vAlign w:val="center"/>
                </w:tcPr>
                <w:p w14:paraId="02147B0D">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6020DA2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油相输送泵</w:t>
                  </w:r>
                </w:p>
              </w:tc>
              <w:tc>
                <w:tcPr>
                  <w:tcW w:w="561" w:type="pct"/>
                  <w:vMerge w:val="restart"/>
                  <w:shd w:val="clear" w:color="auto" w:fill="FFFFFF"/>
                  <w:tcMar>
                    <w:top w:w="0" w:type="dxa"/>
                    <w:left w:w="0" w:type="dxa"/>
                    <w:bottom w:w="0" w:type="dxa"/>
                    <w:right w:w="0" w:type="dxa"/>
                  </w:tcMar>
                  <w:vAlign w:val="center"/>
                </w:tcPr>
                <w:p w14:paraId="38FD6A7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JWL-YX-CL-1. 1</w:t>
                  </w:r>
                </w:p>
              </w:tc>
              <w:tc>
                <w:tcPr>
                  <w:tcW w:w="450" w:type="pct"/>
                  <w:vMerge w:val="restart"/>
                  <w:shd w:val="clear" w:color="auto" w:fill="FFFFFF"/>
                  <w:tcMar>
                    <w:top w:w="0" w:type="dxa"/>
                    <w:left w:w="0" w:type="dxa"/>
                    <w:bottom w:w="0" w:type="dxa"/>
                    <w:right w:w="0" w:type="dxa"/>
                  </w:tcMar>
                  <w:vAlign w:val="center"/>
                </w:tcPr>
                <w:p w14:paraId="563DFB8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0880A5C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060399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47.5</w:t>
                  </w:r>
                </w:p>
              </w:tc>
              <w:tc>
                <w:tcPr>
                  <w:tcW w:w="247" w:type="pct"/>
                  <w:vMerge w:val="restart"/>
                  <w:shd w:val="clear" w:color="auto" w:fill="FFFFFF"/>
                  <w:tcMar>
                    <w:top w:w="0" w:type="dxa"/>
                    <w:left w:w="0" w:type="dxa"/>
                    <w:bottom w:w="0" w:type="dxa"/>
                    <w:right w:w="0" w:type="dxa"/>
                  </w:tcMar>
                  <w:vAlign w:val="center"/>
                </w:tcPr>
                <w:p w14:paraId="75004E8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-81.3</w:t>
                  </w:r>
                </w:p>
              </w:tc>
              <w:tc>
                <w:tcPr>
                  <w:tcW w:w="138" w:type="pct"/>
                  <w:vMerge w:val="restart"/>
                  <w:shd w:val="clear" w:color="auto" w:fill="FFFFFF"/>
                  <w:tcMar>
                    <w:top w:w="0" w:type="dxa"/>
                    <w:left w:w="0" w:type="dxa"/>
                    <w:bottom w:w="0" w:type="dxa"/>
                    <w:right w:w="0" w:type="dxa"/>
                  </w:tcMar>
                  <w:vAlign w:val="center"/>
                </w:tcPr>
                <w:p w14:paraId="487B8EF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39B9615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FF7C0A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p>
              </w:tc>
              <w:tc>
                <w:tcPr>
                  <w:tcW w:w="156" w:type="pct"/>
                  <w:shd w:val="clear" w:color="auto" w:fill="FFFFFF"/>
                  <w:tcMar>
                    <w:top w:w="0" w:type="dxa"/>
                    <w:left w:w="0" w:type="dxa"/>
                    <w:bottom w:w="0" w:type="dxa"/>
                    <w:right w:w="0" w:type="dxa"/>
                  </w:tcMar>
                  <w:vAlign w:val="center"/>
                </w:tcPr>
                <w:p w14:paraId="3934607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187267D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00" w:type="pct"/>
                  <w:vMerge w:val="restart"/>
                  <w:shd w:val="clear" w:color="auto" w:fill="FFFFFF"/>
                  <w:tcMar>
                    <w:top w:w="0" w:type="dxa"/>
                    <w:left w:w="0" w:type="dxa"/>
                    <w:bottom w:w="0" w:type="dxa"/>
                    <w:right w:w="0" w:type="dxa"/>
                  </w:tcMar>
                  <w:vAlign w:val="center"/>
                </w:tcPr>
                <w:p w14:paraId="17CAAB87">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23DAC8D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484D278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C9DFCB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w:t>
                  </w:r>
                </w:p>
              </w:tc>
              <w:tc>
                <w:tcPr>
                  <w:tcW w:w="284" w:type="pct"/>
                  <w:shd w:val="clear" w:color="auto" w:fill="FFFFFF"/>
                  <w:tcMar>
                    <w:top w:w="0" w:type="dxa"/>
                    <w:left w:w="0" w:type="dxa"/>
                    <w:bottom w:w="0" w:type="dxa"/>
                    <w:right w:w="0" w:type="dxa"/>
                  </w:tcMar>
                  <w:vAlign w:val="center"/>
                </w:tcPr>
                <w:p w14:paraId="2D889B6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337C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254B74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85BB8A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3979B9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A639CF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95820B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DBC06E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6058A9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DE2FD3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154DBD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DBB79E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1535488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11.3</w:t>
                  </w:r>
                </w:p>
              </w:tc>
              <w:tc>
                <w:tcPr>
                  <w:tcW w:w="156" w:type="pct"/>
                  <w:shd w:val="clear" w:color="auto" w:fill="FFFFFF"/>
                  <w:tcMar>
                    <w:top w:w="0" w:type="dxa"/>
                    <w:left w:w="0" w:type="dxa"/>
                    <w:bottom w:w="0" w:type="dxa"/>
                    <w:right w:w="0" w:type="dxa"/>
                  </w:tcMar>
                  <w:vAlign w:val="center"/>
                </w:tcPr>
                <w:p w14:paraId="071887D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51E3161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41B8754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59B55C8">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BAAD88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399FE7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7B4C5DF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BC9A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C3D33A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CE6BE59">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AB1DC1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250070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4065D5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9C1883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738585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5CBC5F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F91339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7A2217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0C26D5C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w:t>
                  </w:r>
                </w:p>
              </w:tc>
              <w:tc>
                <w:tcPr>
                  <w:tcW w:w="156" w:type="pct"/>
                  <w:shd w:val="clear" w:color="auto" w:fill="FFFFFF"/>
                  <w:tcMar>
                    <w:top w:w="0" w:type="dxa"/>
                    <w:left w:w="0" w:type="dxa"/>
                    <w:bottom w:w="0" w:type="dxa"/>
                    <w:right w:w="0" w:type="dxa"/>
                  </w:tcMar>
                  <w:vAlign w:val="center"/>
                </w:tcPr>
                <w:p w14:paraId="43C0A50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C9B18B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69.1</w:t>
                  </w:r>
                </w:p>
              </w:tc>
              <w:tc>
                <w:tcPr>
                  <w:tcW w:w="400" w:type="pct"/>
                  <w:vMerge w:val="continue"/>
                  <w:shd w:val="clear" w:color="auto" w:fill="FFFFFF"/>
                  <w:tcMar>
                    <w:top w:w="0" w:type="dxa"/>
                    <w:left w:w="0" w:type="dxa"/>
                    <w:bottom w:w="0" w:type="dxa"/>
                    <w:right w:w="0" w:type="dxa"/>
                  </w:tcMar>
                  <w:vAlign w:val="center"/>
                </w:tcPr>
                <w:p w14:paraId="412DF4D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5E1942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BA16BF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5A81747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43.1</w:t>
                  </w:r>
                </w:p>
              </w:tc>
              <w:tc>
                <w:tcPr>
                  <w:tcW w:w="284" w:type="pct"/>
                  <w:shd w:val="clear" w:color="auto" w:fill="FFFFFF"/>
                  <w:tcMar>
                    <w:top w:w="0" w:type="dxa"/>
                    <w:left w:w="0" w:type="dxa"/>
                    <w:bottom w:w="0" w:type="dxa"/>
                    <w:right w:w="0" w:type="dxa"/>
                  </w:tcMar>
                  <w:vAlign w:val="center"/>
                </w:tcPr>
                <w:p w14:paraId="3A007EF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B2B1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C2D7EC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247BAE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151A1E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0E917D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D7283A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77353D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927C7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704AD3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80A423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959428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4086B4F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10.6</w:t>
                  </w:r>
                </w:p>
              </w:tc>
              <w:tc>
                <w:tcPr>
                  <w:tcW w:w="156" w:type="pct"/>
                  <w:shd w:val="clear" w:color="auto" w:fill="FFFFFF"/>
                  <w:tcMar>
                    <w:top w:w="0" w:type="dxa"/>
                    <w:left w:w="0" w:type="dxa"/>
                    <w:bottom w:w="0" w:type="dxa"/>
                    <w:right w:w="0" w:type="dxa"/>
                  </w:tcMar>
                  <w:vAlign w:val="center"/>
                </w:tcPr>
                <w:p w14:paraId="70C33EA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8C9578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657D293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983358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E22820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67961A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6EE730D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A7C3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121C3BC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27</w:t>
                  </w:r>
                </w:p>
              </w:tc>
              <w:tc>
                <w:tcPr>
                  <w:tcW w:w="284" w:type="pct"/>
                  <w:vMerge w:val="continue"/>
                  <w:shd w:val="clear" w:color="auto" w:fill="FFFFFF"/>
                  <w:tcMar>
                    <w:top w:w="0" w:type="dxa"/>
                    <w:left w:w="0" w:type="dxa"/>
                    <w:bottom w:w="0" w:type="dxa"/>
                    <w:right w:w="0" w:type="dxa"/>
                  </w:tcMar>
                  <w:vAlign w:val="center"/>
                </w:tcPr>
                <w:p w14:paraId="1A643A1F">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2DDFD55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电缸活塞式容积泵</w:t>
                  </w:r>
                </w:p>
              </w:tc>
              <w:tc>
                <w:tcPr>
                  <w:tcW w:w="561" w:type="pct"/>
                  <w:vMerge w:val="restart"/>
                  <w:shd w:val="clear" w:color="auto" w:fill="FFFFFF"/>
                  <w:tcMar>
                    <w:top w:w="0" w:type="dxa"/>
                    <w:left w:w="0" w:type="dxa"/>
                    <w:bottom w:w="0" w:type="dxa"/>
                    <w:right w:w="0" w:type="dxa"/>
                  </w:tcMar>
                  <w:vAlign w:val="center"/>
                </w:tcPr>
                <w:p w14:paraId="63837A6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JWL-DHS-JZ</w:t>
                  </w:r>
                </w:p>
              </w:tc>
              <w:tc>
                <w:tcPr>
                  <w:tcW w:w="450" w:type="pct"/>
                  <w:vMerge w:val="restart"/>
                  <w:shd w:val="clear" w:color="auto" w:fill="FFFFFF"/>
                  <w:tcMar>
                    <w:top w:w="0" w:type="dxa"/>
                    <w:left w:w="0" w:type="dxa"/>
                    <w:bottom w:w="0" w:type="dxa"/>
                    <w:right w:w="0" w:type="dxa"/>
                  </w:tcMar>
                  <w:vAlign w:val="center"/>
                </w:tcPr>
                <w:p w14:paraId="0E69918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14D2B51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1458A96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57.8</w:t>
                  </w:r>
                </w:p>
              </w:tc>
              <w:tc>
                <w:tcPr>
                  <w:tcW w:w="247" w:type="pct"/>
                  <w:vMerge w:val="restart"/>
                  <w:shd w:val="clear" w:color="auto" w:fill="FFFFFF"/>
                  <w:tcMar>
                    <w:top w:w="0" w:type="dxa"/>
                    <w:left w:w="0" w:type="dxa"/>
                    <w:bottom w:w="0" w:type="dxa"/>
                    <w:right w:w="0" w:type="dxa"/>
                  </w:tcMar>
                  <w:vAlign w:val="center"/>
                </w:tcPr>
                <w:p w14:paraId="2EB5500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-89.4</w:t>
                  </w:r>
                </w:p>
              </w:tc>
              <w:tc>
                <w:tcPr>
                  <w:tcW w:w="138" w:type="pct"/>
                  <w:vMerge w:val="restart"/>
                  <w:shd w:val="clear" w:color="auto" w:fill="FFFFFF"/>
                  <w:tcMar>
                    <w:top w:w="0" w:type="dxa"/>
                    <w:left w:w="0" w:type="dxa"/>
                    <w:bottom w:w="0" w:type="dxa"/>
                    <w:right w:w="0" w:type="dxa"/>
                  </w:tcMar>
                  <w:vAlign w:val="center"/>
                </w:tcPr>
                <w:p w14:paraId="50A20B9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4823835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74DBB6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w:t>
                  </w:r>
                </w:p>
              </w:tc>
              <w:tc>
                <w:tcPr>
                  <w:tcW w:w="156" w:type="pct"/>
                  <w:shd w:val="clear" w:color="auto" w:fill="FFFFFF"/>
                  <w:tcMar>
                    <w:top w:w="0" w:type="dxa"/>
                    <w:left w:w="0" w:type="dxa"/>
                    <w:bottom w:w="0" w:type="dxa"/>
                    <w:right w:w="0" w:type="dxa"/>
                  </w:tcMar>
                  <w:vAlign w:val="center"/>
                </w:tcPr>
                <w:p w14:paraId="377E49B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8F6180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69.3</w:t>
                  </w:r>
                </w:p>
              </w:tc>
              <w:tc>
                <w:tcPr>
                  <w:tcW w:w="400" w:type="pct"/>
                  <w:vMerge w:val="restart"/>
                  <w:shd w:val="clear" w:color="auto" w:fill="FFFFFF"/>
                  <w:tcMar>
                    <w:top w:w="0" w:type="dxa"/>
                    <w:left w:w="0" w:type="dxa"/>
                    <w:bottom w:w="0" w:type="dxa"/>
                    <w:right w:w="0" w:type="dxa"/>
                  </w:tcMar>
                  <w:vAlign w:val="center"/>
                </w:tcPr>
                <w:p w14:paraId="11252AA1">
                  <w:pPr>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7D9510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51AE17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6C5EC5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43.3</w:t>
                  </w:r>
                </w:p>
              </w:tc>
              <w:tc>
                <w:tcPr>
                  <w:tcW w:w="284" w:type="pct"/>
                  <w:shd w:val="clear" w:color="auto" w:fill="FFFFFF"/>
                  <w:tcMar>
                    <w:top w:w="0" w:type="dxa"/>
                    <w:left w:w="0" w:type="dxa"/>
                    <w:bottom w:w="0" w:type="dxa"/>
                    <w:right w:w="0" w:type="dxa"/>
                  </w:tcMar>
                  <w:vAlign w:val="center"/>
                </w:tcPr>
                <w:p w14:paraId="3131F42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2B53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E4621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6D80709">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A32611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B00EF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08775F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404460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85386C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0338E1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E0A743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6782DB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772C671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9.3</w:t>
                  </w:r>
                </w:p>
              </w:tc>
              <w:tc>
                <w:tcPr>
                  <w:tcW w:w="156" w:type="pct"/>
                  <w:shd w:val="clear" w:color="auto" w:fill="FFFFFF"/>
                  <w:tcMar>
                    <w:top w:w="0" w:type="dxa"/>
                    <w:left w:w="0" w:type="dxa"/>
                    <w:bottom w:w="0" w:type="dxa"/>
                    <w:right w:w="0" w:type="dxa"/>
                  </w:tcMar>
                  <w:vAlign w:val="center"/>
                </w:tcPr>
                <w:p w14:paraId="56CD67B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CB1FCF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3CD85E1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E142E7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DE25B6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7F7FFAC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7361A46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3B41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C1042C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8FE44E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CED7F0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1F2254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3C8595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7E6E3C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96761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4AAD50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0F54B3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552C8E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03C4FC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19.7</w:t>
                  </w:r>
                </w:p>
              </w:tc>
              <w:tc>
                <w:tcPr>
                  <w:tcW w:w="156" w:type="pct"/>
                  <w:shd w:val="clear" w:color="auto" w:fill="FFFFFF"/>
                  <w:tcMar>
                    <w:top w:w="0" w:type="dxa"/>
                    <w:left w:w="0" w:type="dxa"/>
                    <w:bottom w:w="0" w:type="dxa"/>
                    <w:right w:w="0" w:type="dxa"/>
                  </w:tcMar>
                  <w:vAlign w:val="center"/>
                </w:tcPr>
                <w:p w14:paraId="07FBB09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19D0A1D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40FE5D1D">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DB24AD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B57DC9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77664B1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11879C2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9598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AE60B5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ECADC7C">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79556E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4C6754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D8BD98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E7783B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15E954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E3F978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784385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D427B4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2C9535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12.4</w:t>
                  </w:r>
                </w:p>
              </w:tc>
              <w:tc>
                <w:tcPr>
                  <w:tcW w:w="156" w:type="pct"/>
                  <w:shd w:val="clear" w:color="auto" w:fill="FFFFFF"/>
                  <w:tcMar>
                    <w:top w:w="0" w:type="dxa"/>
                    <w:left w:w="0" w:type="dxa"/>
                    <w:bottom w:w="0" w:type="dxa"/>
                    <w:right w:w="0" w:type="dxa"/>
                  </w:tcMar>
                  <w:vAlign w:val="center"/>
                </w:tcPr>
                <w:p w14:paraId="2232106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6F0AD71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3F82174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BA2365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0F46A7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6D81559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3831CDC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6696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22E6891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28</w:t>
                  </w:r>
                </w:p>
              </w:tc>
              <w:tc>
                <w:tcPr>
                  <w:tcW w:w="284" w:type="pct"/>
                  <w:vMerge w:val="continue"/>
                  <w:shd w:val="clear" w:color="auto" w:fill="FFFFFF"/>
                  <w:tcMar>
                    <w:top w:w="0" w:type="dxa"/>
                    <w:left w:w="0" w:type="dxa"/>
                    <w:bottom w:w="0" w:type="dxa"/>
                    <w:right w:w="0" w:type="dxa"/>
                  </w:tcMar>
                  <w:vAlign w:val="center"/>
                </w:tcPr>
                <w:p w14:paraId="6AAA155C">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7ACCD15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发泡剂输送泵</w:t>
                  </w:r>
                </w:p>
              </w:tc>
              <w:tc>
                <w:tcPr>
                  <w:tcW w:w="561" w:type="pct"/>
                  <w:vMerge w:val="restart"/>
                  <w:shd w:val="clear" w:color="auto" w:fill="FFFFFF"/>
                  <w:tcMar>
                    <w:top w:w="0" w:type="dxa"/>
                    <w:left w:w="0" w:type="dxa"/>
                    <w:bottom w:w="0" w:type="dxa"/>
                    <w:right w:w="0" w:type="dxa"/>
                  </w:tcMar>
                  <w:vAlign w:val="center"/>
                </w:tcPr>
                <w:p w14:paraId="377C879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JWL-FP-LX-4</w:t>
                  </w:r>
                </w:p>
              </w:tc>
              <w:tc>
                <w:tcPr>
                  <w:tcW w:w="450" w:type="pct"/>
                  <w:vMerge w:val="restart"/>
                  <w:shd w:val="clear" w:color="auto" w:fill="FFFFFF"/>
                  <w:tcMar>
                    <w:top w:w="0" w:type="dxa"/>
                    <w:left w:w="0" w:type="dxa"/>
                    <w:bottom w:w="0" w:type="dxa"/>
                    <w:right w:w="0" w:type="dxa"/>
                  </w:tcMar>
                  <w:vAlign w:val="center"/>
                </w:tcPr>
                <w:p w14:paraId="705E9E0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4A25D1C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654A11A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61.4</w:t>
                  </w:r>
                </w:p>
              </w:tc>
              <w:tc>
                <w:tcPr>
                  <w:tcW w:w="247" w:type="pct"/>
                  <w:vMerge w:val="restart"/>
                  <w:shd w:val="clear" w:color="auto" w:fill="FFFFFF"/>
                  <w:tcMar>
                    <w:top w:w="0" w:type="dxa"/>
                    <w:left w:w="0" w:type="dxa"/>
                    <w:bottom w:w="0" w:type="dxa"/>
                    <w:right w:w="0" w:type="dxa"/>
                  </w:tcMar>
                  <w:vAlign w:val="center"/>
                </w:tcPr>
                <w:p w14:paraId="1EF2254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-93.3</w:t>
                  </w:r>
                </w:p>
              </w:tc>
              <w:tc>
                <w:tcPr>
                  <w:tcW w:w="138" w:type="pct"/>
                  <w:vMerge w:val="restart"/>
                  <w:shd w:val="clear" w:color="auto" w:fill="FFFFFF"/>
                  <w:tcMar>
                    <w:top w:w="0" w:type="dxa"/>
                    <w:left w:w="0" w:type="dxa"/>
                    <w:bottom w:w="0" w:type="dxa"/>
                    <w:right w:w="0" w:type="dxa"/>
                  </w:tcMar>
                  <w:vAlign w:val="center"/>
                </w:tcPr>
                <w:p w14:paraId="22B556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6A19C47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1170A3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5.7</w:t>
                  </w:r>
                </w:p>
              </w:tc>
              <w:tc>
                <w:tcPr>
                  <w:tcW w:w="156" w:type="pct"/>
                  <w:shd w:val="clear" w:color="auto" w:fill="FFFFFF"/>
                  <w:tcMar>
                    <w:top w:w="0" w:type="dxa"/>
                    <w:left w:w="0" w:type="dxa"/>
                    <w:bottom w:w="0" w:type="dxa"/>
                    <w:right w:w="0" w:type="dxa"/>
                  </w:tcMar>
                  <w:vAlign w:val="center"/>
                </w:tcPr>
                <w:p w14:paraId="007F60A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5F423C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69.1</w:t>
                  </w:r>
                </w:p>
              </w:tc>
              <w:tc>
                <w:tcPr>
                  <w:tcW w:w="400" w:type="pct"/>
                  <w:vMerge w:val="restart"/>
                  <w:shd w:val="clear" w:color="auto" w:fill="FFFFFF"/>
                  <w:tcMar>
                    <w:top w:w="0" w:type="dxa"/>
                    <w:left w:w="0" w:type="dxa"/>
                    <w:bottom w:w="0" w:type="dxa"/>
                    <w:right w:w="0" w:type="dxa"/>
                  </w:tcMar>
                  <w:vAlign w:val="center"/>
                </w:tcPr>
                <w:p w14:paraId="536CEB46">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7782CFF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06EBAB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8D966F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43.1</w:t>
                  </w:r>
                </w:p>
              </w:tc>
              <w:tc>
                <w:tcPr>
                  <w:tcW w:w="284" w:type="pct"/>
                  <w:shd w:val="clear" w:color="auto" w:fill="FFFFFF"/>
                  <w:tcMar>
                    <w:top w:w="0" w:type="dxa"/>
                    <w:left w:w="0" w:type="dxa"/>
                    <w:bottom w:w="0" w:type="dxa"/>
                    <w:right w:w="0" w:type="dxa"/>
                  </w:tcMar>
                  <w:vAlign w:val="center"/>
                </w:tcPr>
                <w:p w14:paraId="05EAAD9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4E9A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325FE5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1DF055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2C1666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40F46F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47F20E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9CB716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AFFE85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42A129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EB22FA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FD23CE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9A51E9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7.7</w:t>
                  </w:r>
                </w:p>
              </w:tc>
              <w:tc>
                <w:tcPr>
                  <w:tcW w:w="156" w:type="pct"/>
                  <w:shd w:val="clear" w:color="auto" w:fill="FFFFFF"/>
                  <w:tcMar>
                    <w:top w:w="0" w:type="dxa"/>
                    <w:left w:w="0" w:type="dxa"/>
                    <w:bottom w:w="0" w:type="dxa"/>
                    <w:right w:w="0" w:type="dxa"/>
                  </w:tcMar>
                  <w:vAlign w:val="center"/>
                </w:tcPr>
                <w:p w14:paraId="6300AE4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9ADFD7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69.1</w:t>
                  </w:r>
                </w:p>
              </w:tc>
              <w:tc>
                <w:tcPr>
                  <w:tcW w:w="400" w:type="pct"/>
                  <w:vMerge w:val="continue"/>
                  <w:shd w:val="clear" w:color="auto" w:fill="FFFFFF"/>
                  <w:tcMar>
                    <w:top w:w="0" w:type="dxa"/>
                    <w:left w:w="0" w:type="dxa"/>
                    <w:bottom w:w="0" w:type="dxa"/>
                    <w:right w:w="0" w:type="dxa"/>
                  </w:tcMar>
                  <w:vAlign w:val="center"/>
                </w:tcPr>
                <w:p w14:paraId="2CA5F61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453BAA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1E06E3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14BE9AC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43.1</w:t>
                  </w:r>
                </w:p>
              </w:tc>
              <w:tc>
                <w:tcPr>
                  <w:tcW w:w="284" w:type="pct"/>
                  <w:shd w:val="clear" w:color="auto" w:fill="FFFFFF"/>
                  <w:tcMar>
                    <w:top w:w="0" w:type="dxa"/>
                    <w:left w:w="0" w:type="dxa"/>
                    <w:bottom w:w="0" w:type="dxa"/>
                    <w:right w:w="0" w:type="dxa"/>
                  </w:tcMar>
                  <w:vAlign w:val="center"/>
                </w:tcPr>
                <w:p w14:paraId="3DF5C82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F746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BF9E38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B724D6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50C591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B439BC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85307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7E9C77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966882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704F94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4CBEEA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1B2CD6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683DE0C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24.9</w:t>
                  </w:r>
                </w:p>
              </w:tc>
              <w:tc>
                <w:tcPr>
                  <w:tcW w:w="156" w:type="pct"/>
                  <w:shd w:val="clear" w:color="auto" w:fill="FFFFFF"/>
                  <w:tcMar>
                    <w:top w:w="0" w:type="dxa"/>
                    <w:left w:w="0" w:type="dxa"/>
                    <w:bottom w:w="0" w:type="dxa"/>
                    <w:right w:w="0" w:type="dxa"/>
                  </w:tcMar>
                  <w:vAlign w:val="center"/>
                </w:tcPr>
                <w:p w14:paraId="7F6D723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68A2E97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44C736D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146D96E">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52ECF5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C61958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33A6A47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563C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1E625D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A123F6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91390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DE5A2B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272D79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2E6F98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421517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F1376A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25331C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3E50E2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34E6FF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56" w:type="pct"/>
                  <w:shd w:val="clear" w:color="auto" w:fill="FFFFFF"/>
                  <w:tcMar>
                    <w:top w:w="0" w:type="dxa"/>
                    <w:left w:w="0" w:type="dxa"/>
                    <w:bottom w:w="0" w:type="dxa"/>
                    <w:right w:w="0" w:type="dxa"/>
                  </w:tcMar>
                  <w:vAlign w:val="center"/>
                </w:tcPr>
                <w:p w14:paraId="2FDC8FA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EF4ED9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529646A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88C476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C69984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36FF4AA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7B9FF28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D914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24276C8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29</w:t>
                  </w:r>
                </w:p>
              </w:tc>
              <w:tc>
                <w:tcPr>
                  <w:tcW w:w="284" w:type="pct"/>
                  <w:vMerge w:val="restart"/>
                  <w:shd w:val="clear" w:color="auto" w:fill="FFFFFF"/>
                  <w:tcMar>
                    <w:top w:w="0" w:type="dxa"/>
                    <w:left w:w="0" w:type="dxa"/>
                    <w:bottom w:w="0" w:type="dxa"/>
                    <w:right w:w="0" w:type="dxa"/>
                  </w:tcMar>
                  <w:vAlign w:val="center"/>
                </w:tcPr>
                <w:p w14:paraId="16D7609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多孔粒状硝酸铵装车工房</w:t>
                  </w:r>
                </w:p>
              </w:tc>
              <w:tc>
                <w:tcPr>
                  <w:tcW w:w="292" w:type="pct"/>
                  <w:vMerge w:val="restart"/>
                  <w:shd w:val="clear" w:color="auto" w:fill="FFFFFF"/>
                  <w:tcMar>
                    <w:top w:w="0" w:type="dxa"/>
                    <w:left w:w="0" w:type="dxa"/>
                    <w:bottom w:w="0" w:type="dxa"/>
                    <w:right w:w="0" w:type="dxa"/>
                  </w:tcMar>
                  <w:vAlign w:val="center"/>
                </w:tcPr>
                <w:p w14:paraId="513488F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防爆电动葫芦</w:t>
                  </w:r>
                </w:p>
              </w:tc>
              <w:tc>
                <w:tcPr>
                  <w:tcW w:w="561" w:type="pct"/>
                  <w:vMerge w:val="restart"/>
                  <w:shd w:val="clear" w:color="auto" w:fill="FFFFFF"/>
                  <w:tcMar>
                    <w:top w:w="0" w:type="dxa"/>
                    <w:left w:w="0" w:type="dxa"/>
                    <w:bottom w:w="0" w:type="dxa"/>
                    <w:right w:w="0" w:type="dxa"/>
                  </w:tcMar>
                  <w:vAlign w:val="center"/>
                </w:tcPr>
                <w:p w14:paraId="6543773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HB2t</w:t>
                  </w:r>
                </w:p>
              </w:tc>
              <w:tc>
                <w:tcPr>
                  <w:tcW w:w="450" w:type="pct"/>
                  <w:vMerge w:val="restart"/>
                  <w:shd w:val="clear" w:color="auto" w:fill="FFFFFF"/>
                  <w:tcMar>
                    <w:top w:w="0" w:type="dxa"/>
                    <w:left w:w="0" w:type="dxa"/>
                    <w:bottom w:w="0" w:type="dxa"/>
                    <w:right w:w="0" w:type="dxa"/>
                  </w:tcMar>
                  <w:vAlign w:val="center"/>
                </w:tcPr>
                <w:p w14:paraId="7B0587D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restart"/>
                  <w:shd w:val="clear" w:color="auto" w:fill="FFFFFF"/>
                  <w:tcMar>
                    <w:top w:w="0" w:type="dxa"/>
                    <w:left w:w="0" w:type="dxa"/>
                    <w:bottom w:w="0" w:type="dxa"/>
                    <w:right w:w="0" w:type="dxa"/>
                  </w:tcMar>
                  <w:vAlign w:val="center"/>
                </w:tcPr>
                <w:p w14:paraId="4D87C76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噪声设备、减震、</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p>
              </w:tc>
              <w:tc>
                <w:tcPr>
                  <w:tcW w:w="247" w:type="pct"/>
                  <w:vMerge w:val="restart"/>
                  <w:shd w:val="clear" w:color="auto" w:fill="FFFFFF"/>
                  <w:tcMar>
                    <w:top w:w="0" w:type="dxa"/>
                    <w:left w:w="0" w:type="dxa"/>
                    <w:bottom w:w="0" w:type="dxa"/>
                    <w:right w:w="0" w:type="dxa"/>
                  </w:tcMar>
                  <w:vAlign w:val="center"/>
                </w:tcPr>
                <w:p w14:paraId="776E56E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-10.1</w:t>
                  </w:r>
                </w:p>
              </w:tc>
              <w:tc>
                <w:tcPr>
                  <w:tcW w:w="247" w:type="pct"/>
                  <w:vMerge w:val="restart"/>
                  <w:shd w:val="clear" w:color="auto" w:fill="FFFFFF"/>
                  <w:tcMar>
                    <w:top w:w="0" w:type="dxa"/>
                    <w:left w:w="0" w:type="dxa"/>
                    <w:bottom w:w="0" w:type="dxa"/>
                    <w:right w:w="0" w:type="dxa"/>
                  </w:tcMar>
                  <w:vAlign w:val="center"/>
                </w:tcPr>
                <w:p w14:paraId="3F71987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-182</w:t>
                  </w:r>
                </w:p>
              </w:tc>
              <w:tc>
                <w:tcPr>
                  <w:tcW w:w="138" w:type="pct"/>
                  <w:vMerge w:val="restart"/>
                  <w:shd w:val="clear" w:color="auto" w:fill="FFFFFF"/>
                  <w:tcMar>
                    <w:top w:w="0" w:type="dxa"/>
                    <w:left w:w="0" w:type="dxa"/>
                    <w:bottom w:w="0" w:type="dxa"/>
                    <w:right w:w="0" w:type="dxa"/>
                  </w:tcMar>
                  <w:vAlign w:val="center"/>
                </w:tcPr>
                <w:p w14:paraId="2596445B">
                  <w:pPr>
                    <w:pStyle w:val="6"/>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1.2</w:t>
                  </w:r>
                </w:p>
              </w:tc>
              <w:tc>
                <w:tcPr>
                  <w:tcW w:w="188" w:type="pct"/>
                  <w:shd w:val="clear" w:color="auto" w:fill="FFFFFF"/>
                  <w:tcMar>
                    <w:top w:w="0" w:type="dxa"/>
                    <w:left w:w="0" w:type="dxa"/>
                    <w:bottom w:w="0" w:type="dxa"/>
                    <w:right w:w="0" w:type="dxa"/>
                  </w:tcMar>
                  <w:vAlign w:val="center"/>
                </w:tcPr>
                <w:p w14:paraId="0D14D9B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6D7EAB0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w:t>
                  </w:r>
                </w:p>
              </w:tc>
              <w:tc>
                <w:tcPr>
                  <w:tcW w:w="156" w:type="pct"/>
                  <w:shd w:val="clear" w:color="auto" w:fill="FFFFFF"/>
                  <w:tcMar>
                    <w:top w:w="0" w:type="dxa"/>
                    <w:left w:w="0" w:type="dxa"/>
                    <w:bottom w:w="0" w:type="dxa"/>
                    <w:right w:w="0" w:type="dxa"/>
                  </w:tcMar>
                  <w:vAlign w:val="center"/>
                </w:tcPr>
                <w:p w14:paraId="18800A9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6987241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69.2</w:t>
                  </w:r>
                </w:p>
              </w:tc>
              <w:tc>
                <w:tcPr>
                  <w:tcW w:w="400" w:type="pct"/>
                  <w:vMerge w:val="restart"/>
                  <w:shd w:val="clear" w:color="auto" w:fill="FFFFFF"/>
                  <w:tcMar>
                    <w:top w:w="0" w:type="dxa"/>
                    <w:left w:w="0" w:type="dxa"/>
                    <w:bottom w:w="0" w:type="dxa"/>
                    <w:right w:w="0" w:type="dxa"/>
                  </w:tcMar>
                  <w:vAlign w:val="center"/>
                </w:tcPr>
                <w:p w14:paraId="31E38B32">
                  <w:pPr>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012C3F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C028F1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39036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43.2</w:t>
                  </w:r>
                </w:p>
              </w:tc>
              <w:tc>
                <w:tcPr>
                  <w:tcW w:w="284" w:type="pct"/>
                  <w:shd w:val="clear" w:color="auto" w:fill="FFFFFF"/>
                  <w:tcMar>
                    <w:top w:w="0" w:type="dxa"/>
                    <w:left w:w="0" w:type="dxa"/>
                    <w:bottom w:w="0" w:type="dxa"/>
                    <w:right w:w="0" w:type="dxa"/>
                  </w:tcMar>
                  <w:vAlign w:val="center"/>
                </w:tcPr>
                <w:p w14:paraId="67EE352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0CAB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F9BC48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948FBD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3B6CD7F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575088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63237F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B50532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BFD2F2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FFC5C4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CC0BF9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D4C51E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131196C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w:t>
                  </w:r>
                </w:p>
              </w:tc>
              <w:tc>
                <w:tcPr>
                  <w:tcW w:w="156" w:type="pct"/>
                  <w:shd w:val="clear" w:color="auto" w:fill="FFFFFF"/>
                  <w:tcMar>
                    <w:top w:w="0" w:type="dxa"/>
                    <w:left w:w="0" w:type="dxa"/>
                    <w:bottom w:w="0" w:type="dxa"/>
                    <w:right w:w="0" w:type="dxa"/>
                  </w:tcMar>
                  <w:vAlign w:val="center"/>
                </w:tcPr>
                <w:p w14:paraId="105A23C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982B3D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69.2</w:t>
                  </w:r>
                </w:p>
              </w:tc>
              <w:tc>
                <w:tcPr>
                  <w:tcW w:w="400" w:type="pct"/>
                  <w:vMerge w:val="continue"/>
                  <w:shd w:val="clear" w:color="auto" w:fill="FFFFFF"/>
                  <w:tcMar>
                    <w:top w:w="0" w:type="dxa"/>
                    <w:left w:w="0" w:type="dxa"/>
                    <w:bottom w:w="0" w:type="dxa"/>
                    <w:right w:w="0" w:type="dxa"/>
                  </w:tcMar>
                  <w:vAlign w:val="center"/>
                </w:tcPr>
                <w:p w14:paraId="48A1AD65">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A323FE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10CA21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4406AAD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43.2</w:t>
                  </w:r>
                </w:p>
              </w:tc>
              <w:tc>
                <w:tcPr>
                  <w:tcW w:w="284" w:type="pct"/>
                  <w:shd w:val="clear" w:color="auto" w:fill="FFFFFF"/>
                  <w:tcMar>
                    <w:top w:w="0" w:type="dxa"/>
                    <w:left w:w="0" w:type="dxa"/>
                    <w:bottom w:w="0" w:type="dxa"/>
                    <w:right w:w="0" w:type="dxa"/>
                  </w:tcMar>
                  <w:vAlign w:val="center"/>
                </w:tcPr>
                <w:p w14:paraId="766B377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5F9A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D06CC4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07880D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37EF2FA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ABEBDA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D5C8A2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C16A697">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EE3502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D49F46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A94B12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844F14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0014019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7.6</w:t>
                  </w:r>
                </w:p>
              </w:tc>
              <w:tc>
                <w:tcPr>
                  <w:tcW w:w="156" w:type="pct"/>
                  <w:shd w:val="clear" w:color="auto" w:fill="FFFFFF"/>
                  <w:tcMar>
                    <w:top w:w="0" w:type="dxa"/>
                    <w:left w:w="0" w:type="dxa"/>
                    <w:bottom w:w="0" w:type="dxa"/>
                    <w:right w:w="0" w:type="dxa"/>
                  </w:tcMar>
                  <w:vAlign w:val="center"/>
                </w:tcPr>
                <w:p w14:paraId="776D147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549DB27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69.2</w:t>
                  </w:r>
                </w:p>
              </w:tc>
              <w:tc>
                <w:tcPr>
                  <w:tcW w:w="400" w:type="pct"/>
                  <w:vMerge w:val="continue"/>
                  <w:shd w:val="clear" w:color="auto" w:fill="FFFFFF"/>
                  <w:tcMar>
                    <w:top w:w="0" w:type="dxa"/>
                    <w:left w:w="0" w:type="dxa"/>
                    <w:bottom w:w="0" w:type="dxa"/>
                    <w:right w:w="0" w:type="dxa"/>
                  </w:tcMar>
                  <w:vAlign w:val="center"/>
                </w:tcPr>
                <w:p w14:paraId="31885BA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9B9DE6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8D371C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5D0D22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43.2</w:t>
                  </w:r>
                </w:p>
              </w:tc>
              <w:tc>
                <w:tcPr>
                  <w:tcW w:w="284" w:type="pct"/>
                  <w:shd w:val="clear" w:color="auto" w:fill="FFFFFF"/>
                  <w:tcMar>
                    <w:top w:w="0" w:type="dxa"/>
                    <w:left w:w="0" w:type="dxa"/>
                    <w:bottom w:w="0" w:type="dxa"/>
                    <w:right w:w="0" w:type="dxa"/>
                  </w:tcMar>
                  <w:vAlign w:val="center"/>
                </w:tcPr>
                <w:p w14:paraId="03CCF22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CC1D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03A3DC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A36032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53C082D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F12D40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F5B5F2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34D759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00F733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33AD3E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9EB40A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A1AE63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6D0F27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5.9</w:t>
                  </w:r>
                </w:p>
              </w:tc>
              <w:tc>
                <w:tcPr>
                  <w:tcW w:w="156" w:type="pct"/>
                  <w:shd w:val="clear" w:color="auto" w:fill="FFFFFF"/>
                  <w:tcMar>
                    <w:top w:w="0" w:type="dxa"/>
                    <w:left w:w="0" w:type="dxa"/>
                    <w:bottom w:w="0" w:type="dxa"/>
                    <w:right w:w="0" w:type="dxa"/>
                  </w:tcMar>
                  <w:vAlign w:val="center"/>
                </w:tcPr>
                <w:p w14:paraId="260CF10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4CCB9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69.2</w:t>
                  </w:r>
                </w:p>
              </w:tc>
              <w:tc>
                <w:tcPr>
                  <w:tcW w:w="400" w:type="pct"/>
                  <w:vMerge w:val="continue"/>
                  <w:shd w:val="clear" w:color="auto" w:fill="FFFFFF"/>
                  <w:tcMar>
                    <w:top w:w="0" w:type="dxa"/>
                    <w:left w:w="0" w:type="dxa"/>
                    <w:bottom w:w="0" w:type="dxa"/>
                    <w:right w:w="0" w:type="dxa"/>
                  </w:tcMar>
                  <w:vAlign w:val="center"/>
                </w:tcPr>
                <w:p w14:paraId="57EDDA3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1AA92E4">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B5E1AD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217CCA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43.2</w:t>
                  </w:r>
                </w:p>
              </w:tc>
              <w:tc>
                <w:tcPr>
                  <w:tcW w:w="284" w:type="pct"/>
                  <w:shd w:val="clear" w:color="auto" w:fill="FFFFFF"/>
                  <w:tcMar>
                    <w:top w:w="0" w:type="dxa"/>
                    <w:left w:w="0" w:type="dxa"/>
                    <w:bottom w:w="0" w:type="dxa"/>
                    <w:right w:w="0" w:type="dxa"/>
                  </w:tcMar>
                  <w:vAlign w:val="center"/>
                </w:tcPr>
                <w:p w14:paraId="25E1B8C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416B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712A37E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30</w:t>
                  </w:r>
                </w:p>
              </w:tc>
              <w:tc>
                <w:tcPr>
                  <w:tcW w:w="284" w:type="pct"/>
                  <w:vMerge w:val="restart"/>
                  <w:shd w:val="clear" w:color="auto" w:fill="FFFFFF"/>
                  <w:tcMar>
                    <w:top w:w="0" w:type="dxa"/>
                    <w:left w:w="0" w:type="dxa"/>
                    <w:bottom w:w="0" w:type="dxa"/>
                    <w:right w:w="0" w:type="dxa"/>
                  </w:tcMar>
                  <w:vAlign w:val="center"/>
                </w:tcPr>
                <w:p w14:paraId="54711F3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乳化粒状铵油炸药生产工房</w:t>
                  </w:r>
                </w:p>
              </w:tc>
              <w:tc>
                <w:tcPr>
                  <w:tcW w:w="292" w:type="pct"/>
                  <w:vMerge w:val="restart"/>
                  <w:shd w:val="clear" w:color="auto" w:fill="FFFFFF"/>
                  <w:tcMar>
                    <w:top w:w="0" w:type="dxa"/>
                    <w:left w:w="0" w:type="dxa"/>
                    <w:bottom w:w="0" w:type="dxa"/>
                    <w:right w:w="0" w:type="dxa"/>
                  </w:tcMar>
                  <w:vAlign w:val="center"/>
                </w:tcPr>
                <w:p w14:paraId="18B0E93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自动包装机</w:t>
                  </w:r>
                </w:p>
              </w:tc>
              <w:tc>
                <w:tcPr>
                  <w:tcW w:w="561" w:type="pct"/>
                  <w:vMerge w:val="restart"/>
                  <w:shd w:val="clear" w:color="auto" w:fill="FFFFFF"/>
                  <w:tcMar>
                    <w:top w:w="0" w:type="dxa"/>
                    <w:left w:w="0" w:type="dxa"/>
                    <w:bottom w:w="0" w:type="dxa"/>
                    <w:right w:w="0" w:type="dxa"/>
                  </w:tcMar>
                  <w:vAlign w:val="center"/>
                </w:tcPr>
                <w:p w14:paraId="6AF6071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JWL-BP</w:t>
                  </w:r>
                </w:p>
              </w:tc>
              <w:tc>
                <w:tcPr>
                  <w:tcW w:w="450" w:type="pct"/>
                  <w:vMerge w:val="restart"/>
                  <w:shd w:val="clear" w:color="auto" w:fill="FFFFFF"/>
                  <w:tcMar>
                    <w:top w:w="0" w:type="dxa"/>
                    <w:left w:w="0" w:type="dxa"/>
                    <w:bottom w:w="0" w:type="dxa"/>
                    <w:right w:w="0" w:type="dxa"/>
                  </w:tcMar>
                  <w:vAlign w:val="center"/>
                </w:tcPr>
                <w:p w14:paraId="7918849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4741EDBD">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C7AEC3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29.8</w:t>
                  </w:r>
                </w:p>
              </w:tc>
              <w:tc>
                <w:tcPr>
                  <w:tcW w:w="247" w:type="pct"/>
                  <w:vMerge w:val="restart"/>
                  <w:shd w:val="clear" w:color="auto" w:fill="FFFFFF"/>
                  <w:tcMar>
                    <w:top w:w="0" w:type="dxa"/>
                    <w:left w:w="0" w:type="dxa"/>
                    <w:bottom w:w="0" w:type="dxa"/>
                    <w:right w:w="0" w:type="dxa"/>
                  </w:tcMar>
                  <w:vAlign w:val="center"/>
                </w:tcPr>
                <w:p w14:paraId="4B6AB41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-138.4</w:t>
                  </w:r>
                </w:p>
              </w:tc>
              <w:tc>
                <w:tcPr>
                  <w:tcW w:w="138" w:type="pct"/>
                  <w:vMerge w:val="restart"/>
                  <w:shd w:val="clear" w:color="auto" w:fill="FFFFFF"/>
                  <w:tcMar>
                    <w:top w:w="0" w:type="dxa"/>
                    <w:left w:w="0" w:type="dxa"/>
                    <w:bottom w:w="0" w:type="dxa"/>
                    <w:right w:w="0" w:type="dxa"/>
                  </w:tcMar>
                  <w:vAlign w:val="center"/>
                </w:tcPr>
                <w:p w14:paraId="6DB9A56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336426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18E68BE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8.7</w:t>
                  </w:r>
                </w:p>
              </w:tc>
              <w:tc>
                <w:tcPr>
                  <w:tcW w:w="156" w:type="pct"/>
                  <w:shd w:val="clear" w:color="auto" w:fill="FFFFFF"/>
                  <w:tcMar>
                    <w:top w:w="0" w:type="dxa"/>
                    <w:left w:w="0" w:type="dxa"/>
                    <w:bottom w:w="0" w:type="dxa"/>
                    <w:right w:w="0" w:type="dxa"/>
                  </w:tcMar>
                  <w:vAlign w:val="center"/>
                </w:tcPr>
                <w:p w14:paraId="4D62BA0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4F9EEC6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74.2</w:t>
                  </w:r>
                </w:p>
              </w:tc>
              <w:tc>
                <w:tcPr>
                  <w:tcW w:w="400" w:type="pct"/>
                  <w:vMerge w:val="restart"/>
                  <w:shd w:val="clear" w:color="auto" w:fill="FFFFFF"/>
                  <w:tcMar>
                    <w:top w:w="0" w:type="dxa"/>
                    <w:left w:w="0" w:type="dxa"/>
                    <w:bottom w:w="0" w:type="dxa"/>
                    <w:right w:w="0" w:type="dxa"/>
                  </w:tcMar>
                  <w:vAlign w:val="center"/>
                </w:tcPr>
                <w:p w14:paraId="7EE2F06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8369AD9">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38DBE0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E5F416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48.2</w:t>
                  </w:r>
                </w:p>
              </w:tc>
              <w:tc>
                <w:tcPr>
                  <w:tcW w:w="284" w:type="pct"/>
                  <w:shd w:val="clear" w:color="auto" w:fill="FFFFFF"/>
                  <w:tcMar>
                    <w:top w:w="0" w:type="dxa"/>
                    <w:left w:w="0" w:type="dxa"/>
                    <w:bottom w:w="0" w:type="dxa"/>
                    <w:right w:w="0" w:type="dxa"/>
                  </w:tcMar>
                  <w:vAlign w:val="center"/>
                </w:tcPr>
                <w:p w14:paraId="0F686A3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E260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60812C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1CA320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4510932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AB0DAC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93CF95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09EFDE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5E9EC77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B0EA88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4CE36E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562E46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694CB0F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63.3</w:t>
                  </w:r>
                </w:p>
              </w:tc>
              <w:tc>
                <w:tcPr>
                  <w:tcW w:w="156" w:type="pct"/>
                  <w:shd w:val="clear" w:color="auto" w:fill="FFFFFF"/>
                  <w:tcMar>
                    <w:top w:w="0" w:type="dxa"/>
                    <w:left w:w="0" w:type="dxa"/>
                    <w:bottom w:w="0" w:type="dxa"/>
                    <w:right w:w="0" w:type="dxa"/>
                  </w:tcMar>
                  <w:vAlign w:val="center"/>
                </w:tcPr>
                <w:p w14:paraId="254D3A9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655ADC8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74.2</w:t>
                  </w:r>
                </w:p>
              </w:tc>
              <w:tc>
                <w:tcPr>
                  <w:tcW w:w="400" w:type="pct"/>
                  <w:vMerge w:val="continue"/>
                  <w:shd w:val="clear" w:color="auto" w:fill="FFFFFF"/>
                  <w:tcMar>
                    <w:top w:w="0" w:type="dxa"/>
                    <w:left w:w="0" w:type="dxa"/>
                    <w:bottom w:w="0" w:type="dxa"/>
                    <w:right w:w="0" w:type="dxa"/>
                  </w:tcMar>
                  <w:vAlign w:val="center"/>
                </w:tcPr>
                <w:p w14:paraId="05E36E6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B859A5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C175D8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32B0843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48.2</w:t>
                  </w:r>
                </w:p>
              </w:tc>
              <w:tc>
                <w:tcPr>
                  <w:tcW w:w="284" w:type="pct"/>
                  <w:shd w:val="clear" w:color="auto" w:fill="FFFFFF"/>
                  <w:tcMar>
                    <w:top w:w="0" w:type="dxa"/>
                    <w:left w:w="0" w:type="dxa"/>
                    <w:bottom w:w="0" w:type="dxa"/>
                    <w:right w:w="0" w:type="dxa"/>
                  </w:tcMar>
                  <w:vAlign w:val="center"/>
                </w:tcPr>
                <w:p w14:paraId="6785511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1D20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8BCF21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1297A4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38841A5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8CE5C6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057EAA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29E891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43BCAC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84542C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C0169F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9BA65F9">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29FAD7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23.6</w:t>
                  </w:r>
                </w:p>
              </w:tc>
              <w:tc>
                <w:tcPr>
                  <w:tcW w:w="156" w:type="pct"/>
                  <w:shd w:val="clear" w:color="auto" w:fill="FFFFFF"/>
                  <w:tcMar>
                    <w:top w:w="0" w:type="dxa"/>
                    <w:left w:w="0" w:type="dxa"/>
                    <w:bottom w:w="0" w:type="dxa"/>
                    <w:right w:w="0" w:type="dxa"/>
                  </w:tcMar>
                  <w:vAlign w:val="center"/>
                </w:tcPr>
                <w:p w14:paraId="13CA5E2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6F44D02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74.2</w:t>
                  </w:r>
                </w:p>
              </w:tc>
              <w:tc>
                <w:tcPr>
                  <w:tcW w:w="400" w:type="pct"/>
                  <w:vMerge w:val="continue"/>
                  <w:shd w:val="clear" w:color="auto" w:fill="FFFFFF"/>
                  <w:tcMar>
                    <w:top w:w="0" w:type="dxa"/>
                    <w:left w:w="0" w:type="dxa"/>
                    <w:bottom w:w="0" w:type="dxa"/>
                    <w:right w:w="0" w:type="dxa"/>
                  </w:tcMar>
                  <w:vAlign w:val="center"/>
                </w:tcPr>
                <w:p w14:paraId="36A9AD8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3A6382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3A5B3A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7857116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48.2</w:t>
                  </w:r>
                </w:p>
              </w:tc>
              <w:tc>
                <w:tcPr>
                  <w:tcW w:w="284" w:type="pct"/>
                  <w:shd w:val="clear" w:color="auto" w:fill="FFFFFF"/>
                  <w:tcMar>
                    <w:top w:w="0" w:type="dxa"/>
                    <w:left w:w="0" w:type="dxa"/>
                    <w:bottom w:w="0" w:type="dxa"/>
                    <w:right w:w="0" w:type="dxa"/>
                  </w:tcMar>
                  <w:vAlign w:val="center"/>
                </w:tcPr>
                <w:p w14:paraId="5A072CF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6417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793BC1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2A6734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4C8A827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F3884E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813BA0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D8D5D1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D0E7B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E8C37A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5FE081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B9CE65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A06ABC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51.7</w:t>
                  </w:r>
                </w:p>
              </w:tc>
              <w:tc>
                <w:tcPr>
                  <w:tcW w:w="156" w:type="pct"/>
                  <w:shd w:val="clear" w:color="auto" w:fill="FFFFFF"/>
                  <w:tcMar>
                    <w:top w:w="0" w:type="dxa"/>
                    <w:left w:w="0" w:type="dxa"/>
                    <w:bottom w:w="0" w:type="dxa"/>
                    <w:right w:w="0" w:type="dxa"/>
                  </w:tcMar>
                  <w:vAlign w:val="center"/>
                </w:tcPr>
                <w:p w14:paraId="0A880E9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3B044F2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74.2</w:t>
                  </w:r>
                </w:p>
              </w:tc>
              <w:tc>
                <w:tcPr>
                  <w:tcW w:w="400" w:type="pct"/>
                  <w:vMerge w:val="continue"/>
                  <w:shd w:val="clear" w:color="auto" w:fill="FFFFFF"/>
                  <w:tcMar>
                    <w:top w:w="0" w:type="dxa"/>
                    <w:left w:w="0" w:type="dxa"/>
                    <w:bottom w:w="0" w:type="dxa"/>
                    <w:right w:w="0" w:type="dxa"/>
                  </w:tcMar>
                  <w:vAlign w:val="center"/>
                </w:tcPr>
                <w:p w14:paraId="247E8D2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C1F752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937166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155700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48.2</w:t>
                  </w:r>
                </w:p>
              </w:tc>
              <w:tc>
                <w:tcPr>
                  <w:tcW w:w="284" w:type="pct"/>
                  <w:shd w:val="clear" w:color="auto" w:fill="FFFFFF"/>
                  <w:tcMar>
                    <w:top w:w="0" w:type="dxa"/>
                    <w:left w:w="0" w:type="dxa"/>
                    <w:bottom w:w="0" w:type="dxa"/>
                    <w:right w:w="0" w:type="dxa"/>
                  </w:tcMar>
                  <w:vAlign w:val="center"/>
                </w:tcPr>
                <w:p w14:paraId="15668CC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7276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480C8A7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31</w:t>
                  </w:r>
                </w:p>
              </w:tc>
              <w:tc>
                <w:tcPr>
                  <w:tcW w:w="284" w:type="pct"/>
                  <w:vMerge w:val="continue"/>
                  <w:shd w:val="clear" w:color="auto" w:fill="FFFFFF"/>
                  <w:tcMar>
                    <w:top w:w="0" w:type="dxa"/>
                    <w:left w:w="0" w:type="dxa"/>
                    <w:bottom w:w="0" w:type="dxa"/>
                    <w:right w:w="0" w:type="dxa"/>
                  </w:tcMar>
                  <w:vAlign w:val="center"/>
                </w:tcPr>
                <w:p w14:paraId="58094805">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7E82D49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基础油输送泵</w:t>
                  </w:r>
                </w:p>
              </w:tc>
              <w:tc>
                <w:tcPr>
                  <w:tcW w:w="561" w:type="pct"/>
                  <w:vMerge w:val="restart"/>
                  <w:shd w:val="clear" w:color="auto" w:fill="FFFFFF"/>
                  <w:tcMar>
                    <w:top w:w="0" w:type="dxa"/>
                    <w:left w:w="0" w:type="dxa"/>
                    <w:bottom w:w="0" w:type="dxa"/>
                    <w:right w:w="0" w:type="dxa"/>
                  </w:tcMar>
                  <w:vAlign w:val="center"/>
                </w:tcPr>
                <w:p w14:paraId="39478A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JWL-YX-CL-0.7 ，0.7m³/h</w:t>
                  </w:r>
                </w:p>
              </w:tc>
              <w:tc>
                <w:tcPr>
                  <w:tcW w:w="450" w:type="pct"/>
                  <w:vMerge w:val="restart"/>
                  <w:shd w:val="clear" w:color="auto" w:fill="FFFFFF"/>
                  <w:tcMar>
                    <w:top w:w="0" w:type="dxa"/>
                    <w:left w:w="0" w:type="dxa"/>
                    <w:bottom w:w="0" w:type="dxa"/>
                    <w:right w:w="0" w:type="dxa"/>
                  </w:tcMar>
                  <w:vAlign w:val="center"/>
                </w:tcPr>
                <w:p w14:paraId="243DB05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restart"/>
                  <w:shd w:val="clear" w:color="auto" w:fill="FFFFFF"/>
                  <w:tcMar>
                    <w:top w:w="0" w:type="dxa"/>
                    <w:left w:w="0" w:type="dxa"/>
                    <w:bottom w:w="0" w:type="dxa"/>
                    <w:right w:w="0" w:type="dxa"/>
                  </w:tcMar>
                  <w:vAlign w:val="center"/>
                </w:tcPr>
                <w:p w14:paraId="2DFA678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w:t>
                  </w:r>
                  <w:r>
                    <w:rPr>
                      <w:rFonts w:hint="eastAsia" w:cs="Times New Roman"/>
                      <w:color w:val="auto"/>
                      <w:kern w:val="0"/>
                      <w:sz w:val="21"/>
                      <w:szCs w:val="21"/>
                      <w:lang w:eastAsia="zh-CN" w:bidi="ar"/>
                    </w:rPr>
                    <w:t>减振</w:t>
                  </w:r>
                  <w:r>
                    <w:rPr>
                      <w:rFonts w:hint="default" w:ascii="Times New Roman" w:hAnsi="Times New Roman" w:eastAsia="宋体" w:cs="Times New Roman"/>
                      <w:color w:val="auto"/>
                      <w:kern w:val="0"/>
                      <w:sz w:val="21"/>
                      <w:szCs w:val="21"/>
                      <w:lang w:bidi="ar"/>
                    </w:rPr>
                    <w:t>、</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r>
                    <w:rPr>
                      <w:rFonts w:hint="eastAsia" w:ascii="Times New Roman" w:hAnsi="Times New Roman" w:eastAsia="宋体" w:cs="Times New Roman"/>
                      <w:color w:val="auto"/>
                      <w:kern w:val="0"/>
                      <w:sz w:val="21"/>
                      <w:szCs w:val="21"/>
                      <w:lang w:eastAsia="zh-CN" w:bidi="ar"/>
                    </w:rPr>
                    <w:t>、</w:t>
                  </w:r>
                  <w:r>
                    <w:rPr>
                      <w:rFonts w:hint="default" w:ascii="Times New Roman" w:hAnsi="Times New Roman" w:eastAsia="宋体" w:cs="Times New Roman"/>
                      <w:i w:val="0"/>
                      <w:iCs w:val="0"/>
                      <w:color w:val="auto"/>
                      <w:kern w:val="0"/>
                      <w:sz w:val="21"/>
                      <w:szCs w:val="21"/>
                      <w:u w:val="none"/>
                      <w:lang w:val="en-US" w:eastAsia="zh-CN" w:bidi="ar"/>
                    </w:rPr>
                    <w:t>隔声罩</w:t>
                  </w:r>
                </w:p>
              </w:tc>
              <w:tc>
                <w:tcPr>
                  <w:tcW w:w="247" w:type="pct"/>
                  <w:vMerge w:val="restart"/>
                  <w:shd w:val="clear" w:color="auto" w:fill="FFFFFF"/>
                  <w:tcMar>
                    <w:top w:w="0" w:type="dxa"/>
                    <w:left w:w="0" w:type="dxa"/>
                    <w:bottom w:w="0" w:type="dxa"/>
                    <w:right w:w="0" w:type="dxa"/>
                  </w:tcMar>
                  <w:vAlign w:val="center"/>
                </w:tcPr>
                <w:p w14:paraId="3AA4602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13.6</w:t>
                  </w:r>
                </w:p>
              </w:tc>
              <w:tc>
                <w:tcPr>
                  <w:tcW w:w="247" w:type="pct"/>
                  <w:vMerge w:val="restart"/>
                  <w:shd w:val="clear" w:color="auto" w:fill="FFFFFF"/>
                  <w:tcMar>
                    <w:top w:w="0" w:type="dxa"/>
                    <w:left w:w="0" w:type="dxa"/>
                    <w:bottom w:w="0" w:type="dxa"/>
                    <w:right w:w="0" w:type="dxa"/>
                  </w:tcMar>
                  <w:vAlign w:val="center"/>
                </w:tcPr>
                <w:p w14:paraId="6264FF5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-128.1</w:t>
                  </w:r>
                </w:p>
              </w:tc>
              <w:tc>
                <w:tcPr>
                  <w:tcW w:w="138" w:type="pct"/>
                  <w:vMerge w:val="restart"/>
                  <w:shd w:val="clear" w:color="auto" w:fill="FFFFFF"/>
                  <w:tcMar>
                    <w:top w:w="0" w:type="dxa"/>
                    <w:left w:w="0" w:type="dxa"/>
                    <w:bottom w:w="0" w:type="dxa"/>
                    <w:right w:w="0" w:type="dxa"/>
                  </w:tcMar>
                  <w:vAlign w:val="center"/>
                </w:tcPr>
                <w:p w14:paraId="6B31EB08">
                  <w:pPr>
                    <w:pStyle w:val="6"/>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0.5</w:t>
                  </w:r>
                </w:p>
              </w:tc>
              <w:tc>
                <w:tcPr>
                  <w:tcW w:w="188" w:type="pct"/>
                  <w:shd w:val="clear" w:color="auto" w:fill="FFFFFF"/>
                  <w:tcMar>
                    <w:top w:w="0" w:type="dxa"/>
                    <w:left w:w="0" w:type="dxa"/>
                    <w:bottom w:w="0" w:type="dxa"/>
                    <w:right w:w="0" w:type="dxa"/>
                  </w:tcMar>
                  <w:vAlign w:val="center"/>
                </w:tcPr>
                <w:p w14:paraId="2B8A9C1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285D89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26.5</w:t>
                  </w:r>
                </w:p>
              </w:tc>
              <w:tc>
                <w:tcPr>
                  <w:tcW w:w="156" w:type="pct"/>
                  <w:shd w:val="clear" w:color="auto" w:fill="FFFFFF"/>
                  <w:tcMar>
                    <w:top w:w="0" w:type="dxa"/>
                    <w:left w:w="0" w:type="dxa"/>
                    <w:bottom w:w="0" w:type="dxa"/>
                    <w:right w:w="0" w:type="dxa"/>
                  </w:tcMar>
                  <w:vAlign w:val="center"/>
                </w:tcPr>
                <w:p w14:paraId="051EF23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425A9DB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68.5</w:t>
                  </w:r>
                </w:p>
              </w:tc>
              <w:tc>
                <w:tcPr>
                  <w:tcW w:w="400" w:type="pct"/>
                  <w:vMerge w:val="restart"/>
                  <w:shd w:val="clear" w:color="auto" w:fill="FFFFFF"/>
                  <w:tcMar>
                    <w:top w:w="0" w:type="dxa"/>
                    <w:left w:w="0" w:type="dxa"/>
                    <w:bottom w:w="0" w:type="dxa"/>
                    <w:right w:w="0" w:type="dxa"/>
                  </w:tcMar>
                  <w:vAlign w:val="center"/>
                </w:tcPr>
                <w:p w14:paraId="0100AA1E">
                  <w:pPr>
                    <w:jc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1DA8FE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1E29528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6328C58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42.5</w:t>
                  </w:r>
                </w:p>
              </w:tc>
              <w:tc>
                <w:tcPr>
                  <w:tcW w:w="284" w:type="pct"/>
                  <w:shd w:val="clear" w:color="auto" w:fill="FFFFFF"/>
                  <w:tcMar>
                    <w:top w:w="0" w:type="dxa"/>
                    <w:left w:w="0" w:type="dxa"/>
                    <w:bottom w:w="0" w:type="dxa"/>
                    <w:right w:w="0" w:type="dxa"/>
                  </w:tcMar>
                  <w:vAlign w:val="center"/>
                </w:tcPr>
                <w:p w14:paraId="217B1E9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6820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7D9835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D7F3ACF">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410BEE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1CDE8E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47DD34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3EF73F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DBAE58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6737C2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A3145A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040979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61E0881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11.6</w:t>
                  </w:r>
                </w:p>
              </w:tc>
              <w:tc>
                <w:tcPr>
                  <w:tcW w:w="156" w:type="pct"/>
                  <w:shd w:val="clear" w:color="auto" w:fill="FFFFFF"/>
                  <w:tcMar>
                    <w:top w:w="0" w:type="dxa"/>
                    <w:left w:w="0" w:type="dxa"/>
                    <w:bottom w:w="0" w:type="dxa"/>
                    <w:right w:w="0" w:type="dxa"/>
                  </w:tcMar>
                  <w:vAlign w:val="center"/>
                </w:tcPr>
                <w:p w14:paraId="4695C9C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2A09C0C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65DF4E0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3BE85E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868EEC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8748DD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7476029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327E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562195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1EE1C33">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B8D80D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C74B32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04399D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B679AE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D1719E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61B4A5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3E635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0B1DDA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544ADE8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56" w:type="pct"/>
                  <w:shd w:val="clear" w:color="auto" w:fill="FFFFFF"/>
                  <w:tcMar>
                    <w:top w:w="0" w:type="dxa"/>
                    <w:left w:w="0" w:type="dxa"/>
                    <w:bottom w:w="0" w:type="dxa"/>
                    <w:right w:w="0" w:type="dxa"/>
                  </w:tcMar>
                  <w:vAlign w:val="center"/>
                </w:tcPr>
                <w:p w14:paraId="11A0E59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0DA1DE3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68C68B0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F835A2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2FDA7F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5ED756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6A412A3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2D19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72" w:hRule="atLeast"/>
                <w:jc w:val="center"/>
              </w:trPr>
              <w:tc>
                <w:tcPr>
                  <w:tcW w:w="182" w:type="pct"/>
                  <w:vMerge w:val="continue"/>
                  <w:shd w:val="clear" w:color="auto" w:fill="FFFFFF"/>
                  <w:tcMar>
                    <w:top w:w="0" w:type="dxa"/>
                    <w:left w:w="0" w:type="dxa"/>
                    <w:bottom w:w="0" w:type="dxa"/>
                    <w:right w:w="0" w:type="dxa"/>
                  </w:tcMar>
                  <w:vAlign w:val="center"/>
                </w:tcPr>
                <w:p w14:paraId="365DDD5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943F20C">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AA9C0A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130D1E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E5F686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40BDF4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B833FF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EE19B0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E955BF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E3F36F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6CB3FC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w:t>
                  </w:r>
                </w:p>
              </w:tc>
              <w:tc>
                <w:tcPr>
                  <w:tcW w:w="156" w:type="pct"/>
                  <w:shd w:val="clear" w:color="auto" w:fill="FFFFFF"/>
                  <w:tcMar>
                    <w:top w:w="0" w:type="dxa"/>
                    <w:left w:w="0" w:type="dxa"/>
                    <w:bottom w:w="0" w:type="dxa"/>
                    <w:right w:w="0" w:type="dxa"/>
                  </w:tcMar>
                  <w:vAlign w:val="center"/>
                </w:tcPr>
                <w:p w14:paraId="6B15AEB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546DF18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6C79959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31557C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CF1725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1483FEA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633A674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80A5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39D5108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32</w:t>
                  </w:r>
                </w:p>
              </w:tc>
              <w:tc>
                <w:tcPr>
                  <w:tcW w:w="284" w:type="pct"/>
                  <w:vMerge w:val="continue"/>
                  <w:shd w:val="clear" w:color="auto" w:fill="FFFFFF"/>
                  <w:tcMar>
                    <w:top w:w="0" w:type="dxa"/>
                    <w:left w:w="0" w:type="dxa"/>
                    <w:bottom w:w="0" w:type="dxa"/>
                    <w:right w:w="0" w:type="dxa"/>
                  </w:tcMar>
                  <w:vAlign w:val="center"/>
                </w:tcPr>
                <w:p w14:paraId="52CF370E">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023D557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电缸活塞式容积泵</w:t>
                  </w:r>
                </w:p>
              </w:tc>
              <w:tc>
                <w:tcPr>
                  <w:tcW w:w="561" w:type="pct"/>
                  <w:vMerge w:val="restart"/>
                  <w:shd w:val="clear" w:color="auto" w:fill="FFFFFF"/>
                  <w:tcMar>
                    <w:top w:w="0" w:type="dxa"/>
                    <w:left w:w="0" w:type="dxa"/>
                    <w:bottom w:w="0" w:type="dxa"/>
                    <w:right w:w="0" w:type="dxa"/>
                  </w:tcMar>
                  <w:vAlign w:val="center"/>
                </w:tcPr>
                <w:p w14:paraId="50ED63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JWL-DHS-RJ ，2.2m³/h</w:t>
                  </w:r>
                </w:p>
              </w:tc>
              <w:tc>
                <w:tcPr>
                  <w:tcW w:w="450" w:type="pct"/>
                  <w:vMerge w:val="restart"/>
                  <w:shd w:val="clear" w:color="auto" w:fill="FFFFFF"/>
                  <w:tcMar>
                    <w:top w:w="0" w:type="dxa"/>
                    <w:left w:w="0" w:type="dxa"/>
                    <w:bottom w:w="0" w:type="dxa"/>
                    <w:right w:w="0" w:type="dxa"/>
                  </w:tcMar>
                  <w:vAlign w:val="center"/>
                </w:tcPr>
                <w:p w14:paraId="4E3D33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0DBA31A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095148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17.2</w:t>
                  </w:r>
                </w:p>
              </w:tc>
              <w:tc>
                <w:tcPr>
                  <w:tcW w:w="247" w:type="pct"/>
                  <w:vMerge w:val="restart"/>
                  <w:shd w:val="clear" w:color="auto" w:fill="FFFFFF"/>
                  <w:tcMar>
                    <w:top w:w="0" w:type="dxa"/>
                    <w:left w:w="0" w:type="dxa"/>
                    <w:bottom w:w="0" w:type="dxa"/>
                    <w:right w:w="0" w:type="dxa"/>
                  </w:tcMar>
                  <w:vAlign w:val="center"/>
                </w:tcPr>
                <w:p w14:paraId="3577DE6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-132.5</w:t>
                  </w:r>
                </w:p>
              </w:tc>
              <w:tc>
                <w:tcPr>
                  <w:tcW w:w="138" w:type="pct"/>
                  <w:vMerge w:val="restart"/>
                  <w:shd w:val="clear" w:color="auto" w:fill="FFFFFF"/>
                  <w:tcMar>
                    <w:top w:w="0" w:type="dxa"/>
                    <w:left w:w="0" w:type="dxa"/>
                    <w:bottom w:w="0" w:type="dxa"/>
                    <w:right w:w="0" w:type="dxa"/>
                  </w:tcMar>
                  <w:vAlign w:val="center"/>
                </w:tcPr>
                <w:p w14:paraId="2B02320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476F1CA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D4824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21.3</w:t>
                  </w:r>
                </w:p>
              </w:tc>
              <w:tc>
                <w:tcPr>
                  <w:tcW w:w="156" w:type="pct"/>
                  <w:shd w:val="clear" w:color="auto" w:fill="FFFFFF"/>
                  <w:tcMar>
                    <w:top w:w="0" w:type="dxa"/>
                    <w:left w:w="0" w:type="dxa"/>
                    <w:bottom w:w="0" w:type="dxa"/>
                    <w:right w:w="0" w:type="dxa"/>
                  </w:tcMar>
                  <w:vAlign w:val="center"/>
                </w:tcPr>
                <w:p w14:paraId="6A76191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515CBAB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68.5</w:t>
                  </w:r>
                </w:p>
              </w:tc>
              <w:tc>
                <w:tcPr>
                  <w:tcW w:w="400" w:type="pct"/>
                  <w:vMerge w:val="restart"/>
                  <w:shd w:val="clear" w:color="auto" w:fill="FFFFFF"/>
                  <w:tcMar>
                    <w:top w:w="0" w:type="dxa"/>
                    <w:left w:w="0" w:type="dxa"/>
                    <w:bottom w:w="0" w:type="dxa"/>
                    <w:right w:w="0" w:type="dxa"/>
                  </w:tcMar>
                  <w:vAlign w:val="center"/>
                </w:tcPr>
                <w:p w14:paraId="752425D9">
                  <w:pPr>
                    <w:widowControl/>
                    <w:jc w:val="center"/>
                    <w:textAlignment w:val="center"/>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2CDD30C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E6F7B2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17CDA6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42.5</w:t>
                  </w:r>
                </w:p>
              </w:tc>
              <w:tc>
                <w:tcPr>
                  <w:tcW w:w="284" w:type="pct"/>
                  <w:shd w:val="clear" w:color="auto" w:fill="FFFFFF"/>
                  <w:tcMar>
                    <w:top w:w="0" w:type="dxa"/>
                    <w:left w:w="0" w:type="dxa"/>
                    <w:bottom w:w="0" w:type="dxa"/>
                    <w:right w:w="0" w:type="dxa"/>
                  </w:tcMar>
                  <w:vAlign w:val="center"/>
                </w:tcPr>
                <w:p w14:paraId="6291E0D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2C23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FD4155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1C52A7F">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045A6A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3C9032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589953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2CF756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E752D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09484B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6B5758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21F94A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B0D59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9.4</w:t>
                  </w:r>
                </w:p>
              </w:tc>
              <w:tc>
                <w:tcPr>
                  <w:tcW w:w="156" w:type="pct"/>
                  <w:shd w:val="clear" w:color="auto" w:fill="FFFFFF"/>
                  <w:tcMar>
                    <w:top w:w="0" w:type="dxa"/>
                    <w:left w:w="0" w:type="dxa"/>
                    <w:bottom w:w="0" w:type="dxa"/>
                    <w:right w:w="0" w:type="dxa"/>
                  </w:tcMar>
                  <w:vAlign w:val="center"/>
                </w:tcPr>
                <w:p w14:paraId="49A2B92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3E0A511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0BF8E4D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1F4662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05B3A8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44DAC7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6995F65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D424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AB14B9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B2F9D2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2DC369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72C566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2859D4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C67DA1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CAFBC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5FBA4D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3FDD54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ADB781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6B089AA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13.8</w:t>
                  </w:r>
                </w:p>
              </w:tc>
              <w:tc>
                <w:tcPr>
                  <w:tcW w:w="156" w:type="pct"/>
                  <w:shd w:val="clear" w:color="auto" w:fill="FFFFFF"/>
                  <w:tcMar>
                    <w:top w:w="0" w:type="dxa"/>
                    <w:left w:w="0" w:type="dxa"/>
                    <w:bottom w:w="0" w:type="dxa"/>
                    <w:right w:w="0" w:type="dxa"/>
                  </w:tcMar>
                  <w:vAlign w:val="center"/>
                </w:tcPr>
                <w:p w14:paraId="63CF4AC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AB0AF5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2276666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6C5ED1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DD15B0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8361B1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1C10DB5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95DB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ABA75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876668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F08B35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E72DB3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6F65DE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8172DF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B9E585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3870AA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80A2A5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0D9CD5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037BB49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8.9</w:t>
                  </w:r>
                </w:p>
              </w:tc>
              <w:tc>
                <w:tcPr>
                  <w:tcW w:w="156" w:type="pct"/>
                  <w:shd w:val="clear" w:color="auto" w:fill="FFFFFF"/>
                  <w:tcMar>
                    <w:top w:w="0" w:type="dxa"/>
                    <w:left w:w="0" w:type="dxa"/>
                    <w:bottom w:w="0" w:type="dxa"/>
                    <w:right w:w="0" w:type="dxa"/>
                  </w:tcMar>
                  <w:vAlign w:val="center"/>
                </w:tcPr>
                <w:p w14:paraId="258FF55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08E816A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1A3FDDC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82CAFF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E5EA20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0063AD1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776C6C3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31E2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04A7E96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33</w:t>
                  </w:r>
                </w:p>
              </w:tc>
              <w:tc>
                <w:tcPr>
                  <w:tcW w:w="284" w:type="pct"/>
                  <w:vMerge w:val="continue"/>
                  <w:shd w:val="clear" w:color="auto" w:fill="FFFFFF"/>
                  <w:tcMar>
                    <w:top w:w="0" w:type="dxa"/>
                    <w:left w:w="0" w:type="dxa"/>
                    <w:bottom w:w="0" w:type="dxa"/>
                    <w:right w:w="0" w:type="dxa"/>
                  </w:tcMar>
                  <w:vAlign w:val="center"/>
                </w:tcPr>
                <w:p w14:paraId="1D424D7B">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0AC5351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添加剂2输送 泵</w:t>
                  </w:r>
                </w:p>
              </w:tc>
              <w:tc>
                <w:tcPr>
                  <w:tcW w:w="561" w:type="pct"/>
                  <w:vMerge w:val="restart"/>
                  <w:shd w:val="clear" w:color="auto" w:fill="FFFFFF"/>
                  <w:tcMar>
                    <w:top w:w="0" w:type="dxa"/>
                    <w:left w:w="0" w:type="dxa"/>
                    <w:bottom w:w="0" w:type="dxa"/>
                    <w:right w:w="0" w:type="dxa"/>
                  </w:tcMar>
                  <w:vAlign w:val="center"/>
                </w:tcPr>
                <w:p w14:paraId="38E7C5A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JWL-TJJ-1 ，1m³</w:t>
                  </w:r>
                </w:p>
              </w:tc>
              <w:tc>
                <w:tcPr>
                  <w:tcW w:w="450" w:type="pct"/>
                  <w:vMerge w:val="restart"/>
                  <w:shd w:val="clear" w:color="auto" w:fill="FFFFFF"/>
                  <w:tcMar>
                    <w:top w:w="0" w:type="dxa"/>
                    <w:left w:w="0" w:type="dxa"/>
                    <w:bottom w:w="0" w:type="dxa"/>
                    <w:right w:w="0" w:type="dxa"/>
                  </w:tcMar>
                  <w:vAlign w:val="center"/>
                </w:tcPr>
                <w:p w14:paraId="3FE78E7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7D592B6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5C5BBB5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23.1</w:t>
                  </w:r>
                </w:p>
              </w:tc>
              <w:tc>
                <w:tcPr>
                  <w:tcW w:w="247" w:type="pct"/>
                  <w:vMerge w:val="restart"/>
                  <w:shd w:val="clear" w:color="auto" w:fill="FFFFFF"/>
                  <w:tcMar>
                    <w:top w:w="0" w:type="dxa"/>
                    <w:left w:w="0" w:type="dxa"/>
                    <w:bottom w:w="0" w:type="dxa"/>
                    <w:right w:w="0" w:type="dxa"/>
                  </w:tcMar>
                  <w:vAlign w:val="center"/>
                </w:tcPr>
                <w:p w14:paraId="057A7F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-134.8</w:t>
                  </w:r>
                </w:p>
              </w:tc>
              <w:tc>
                <w:tcPr>
                  <w:tcW w:w="138" w:type="pct"/>
                  <w:vMerge w:val="restart"/>
                  <w:shd w:val="clear" w:color="auto" w:fill="FFFFFF"/>
                  <w:tcMar>
                    <w:top w:w="0" w:type="dxa"/>
                    <w:left w:w="0" w:type="dxa"/>
                    <w:bottom w:w="0" w:type="dxa"/>
                    <w:right w:w="0" w:type="dxa"/>
                  </w:tcMar>
                  <w:vAlign w:val="center"/>
                </w:tcPr>
                <w:p w14:paraId="77D2FDA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6A0B794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102C9E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56" w:type="pct"/>
                  <w:shd w:val="clear" w:color="auto" w:fill="FFFFFF"/>
                  <w:tcMar>
                    <w:top w:w="0" w:type="dxa"/>
                    <w:left w:w="0" w:type="dxa"/>
                    <w:bottom w:w="0" w:type="dxa"/>
                    <w:right w:w="0" w:type="dxa"/>
                  </w:tcMar>
                  <w:vAlign w:val="center"/>
                </w:tcPr>
                <w:p w14:paraId="1A94F70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10719E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restart"/>
                  <w:shd w:val="clear" w:color="auto" w:fill="FFFFFF"/>
                  <w:tcMar>
                    <w:top w:w="0" w:type="dxa"/>
                    <w:left w:w="0" w:type="dxa"/>
                    <w:bottom w:w="0" w:type="dxa"/>
                    <w:right w:w="0" w:type="dxa"/>
                  </w:tcMar>
                  <w:vAlign w:val="center"/>
                </w:tcPr>
                <w:p w14:paraId="54C9128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7:00-14:30</w:t>
                  </w:r>
                </w:p>
              </w:tc>
              <w:tc>
                <w:tcPr>
                  <w:tcW w:w="328" w:type="pct"/>
                  <w:vMerge w:val="restart"/>
                  <w:shd w:val="clear" w:color="auto" w:fill="FFFFFF"/>
                  <w:tcMar>
                    <w:top w:w="0" w:type="dxa"/>
                    <w:left w:w="0" w:type="dxa"/>
                    <w:bottom w:w="0" w:type="dxa"/>
                    <w:right w:w="0" w:type="dxa"/>
                  </w:tcMar>
                  <w:vAlign w:val="center"/>
                </w:tcPr>
                <w:p w14:paraId="6299885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43BAB8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E585A8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67ECA2C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03E0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A9D586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26189A3">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4F866C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29FC4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0BA544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ADF9D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6C7831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ECE70C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A206FA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8F7BA7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76AB10A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10.2</w:t>
                  </w:r>
                </w:p>
              </w:tc>
              <w:tc>
                <w:tcPr>
                  <w:tcW w:w="156" w:type="pct"/>
                  <w:shd w:val="clear" w:color="auto" w:fill="FFFFFF"/>
                  <w:tcMar>
                    <w:top w:w="0" w:type="dxa"/>
                    <w:left w:w="0" w:type="dxa"/>
                    <w:bottom w:w="0" w:type="dxa"/>
                    <w:right w:w="0" w:type="dxa"/>
                  </w:tcMar>
                  <w:vAlign w:val="center"/>
                </w:tcPr>
                <w:p w14:paraId="1F71D1D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33837BE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193800A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0CBA19F">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66B067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EC87BF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301B3BF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DBA2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3E7C70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92DF9C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4E6A47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0F6CB2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D10929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17E161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A79708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B5683B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C4BF4F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720C45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3ADEBA1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20.1</w:t>
                  </w:r>
                </w:p>
              </w:tc>
              <w:tc>
                <w:tcPr>
                  <w:tcW w:w="156" w:type="pct"/>
                  <w:shd w:val="clear" w:color="auto" w:fill="FFFFFF"/>
                  <w:tcMar>
                    <w:top w:w="0" w:type="dxa"/>
                    <w:left w:w="0" w:type="dxa"/>
                    <w:bottom w:w="0" w:type="dxa"/>
                    <w:right w:w="0" w:type="dxa"/>
                  </w:tcMar>
                  <w:vAlign w:val="center"/>
                </w:tcPr>
                <w:p w14:paraId="3CA52AA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1F49715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68.5</w:t>
                  </w:r>
                </w:p>
              </w:tc>
              <w:tc>
                <w:tcPr>
                  <w:tcW w:w="400" w:type="pct"/>
                  <w:vMerge w:val="continue"/>
                  <w:shd w:val="clear" w:color="auto" w:fill="FFFFFF"/>
                  <w:tcMar>
                    <w:top w:w="0" w:type="dxa"/>
                    <w:left w:w="0" w:type="dxa"/>
                    <w:bottom w:w="0" w:type="dxa"/>
                    <w:right w:w="0" w:type="dxa"/>
                  </w:tcMar>
                  <w:vAlign w:val="center"/>
                </w:tcPr>
                <w:p w14:paraId="35CDA5A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BCCC83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875145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598BC66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42.5</w:t>
                  </w:r>
                </w:p>
              </w:tc>
              <w:tc>
                <w:tcPr>
                  <w:tcW w:w="284" w:type="pct"/>
                  <w:shd w:val="clear" w:color="auto" w:fill="FFFFFF"/>
                  <w:tcMar>
                    <w:top w:w="0" w:type="dxa"/>
                    <w:left w:w="0" w:type="dxa"/>
                    <w:bottom w:w="0" w:type="dxa"/>
                    <w:right w:w="0" w:type="dxa"/>
                  </w:tcMar>
                  <w:vAlign w:val="center"/>
                </w:tcPr>
                <w:p w14:paraId="5928E8A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56C9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4F7FBE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990DBCF">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3C2528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072AE9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C78F0C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5F7DC1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3369A4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DA32B0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6A2322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435AB2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1D0FCE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56" w:type="pct"/>
                  <w:shd w:val="clear" w:color="auto" w:fill="FFFFFF"/>
                  <w:tcMar>
                    <w:top w:w="0" w:type="dxa"/>
                    <w:left w:w="0" w:type="dxa"/>
                    <w:bottom w:w="0" w:type="dxa"/>
                    <w:right w:w="0" w:type="dxa"/>
                  </w:tcMar>
                  <w:vAlign w:val="center"/>
                </w:tcPr>
                <w:p w14:paraId="16862A3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33F9C5F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68.6</w:t>
                  </w:r>
                </w:p>
              </w:tc>
              <w:tc>
                <w:tcPr>
                  <w:tcW w:w="400" w:type="pct"/>
                  <w:vMerge w:val="continue"/>
                  <w:shd w:val="clear" w:color="auto" w:fill="FFFFFF"/>
                  <w:tcMar>
                    <w:top w:w="0" w:type="dxa"/>
                    <w:left w:w="0" w:type="dxa"/>
                    <w:bottom w:w="0" w:type="dxa"/>
                    <w:right w:w="0" w:type="dxa"/>
                  </w:tcMar>
                  <w:vAlign w:val="center"/>
                </w:tcPr>
                <w:p w14:paraId="3F95C3C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54F5FB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5962B2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E5C54D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42.6</w:t>
                  </w:r>
                </w:p>
              </w:tc>
              <w:tc>
                <w:tcPr>
                  <w:tcW w:w="284" w:type="pct"/>
                  <w:shd w:val="clear" w:color="auto" w:fill="FFFFFF"/>
                  <w:tcMar>
                    <w:top w:w="0" w:type="dxa"/>
                    <w:left w:w="0" w:type="dxa"/>
                    <w:bottom w:w="0" w:type="dxa"/>
                    <w:right w:w="0" w:type="dxa"/>
                  </w:tcMar>
                  <w:vAlign w:val="center"/>
                </w:tcPr>
                <w:p w14:paraId="2534069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6E1F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87" w:hRule="atLeast"/>
                <w:jc w:val="center"/>
              </w:trPr>
              <w:tc>
                <w:tcPr>
                  <w:tcW w:w="182" w:type="pct"/>
                  <w:vMerge w:val="restart"/>
                  <w:shd w:val="clear" w:color="auto" w:fill="FFFFFF"/>
                  <w:tcMar>
                    <w:top w:w="0" w:type="dxa"/>
                    <w:left w:w="0" w:type="dxa"/>
                    <w:bottom w:w="0" w:type="dxa"/>
                    <w:right w:w="0" w:type="dxa"/>
                  </w:tcMar>
                  <w:vAlign w:val="center"/>
                </w:tcPr>
                <w:p w14:paraId="175964D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34</w:t>
                  </w:r>
                </w:p>
              </w:tc>
              <w:tc>
                <w:tcPr>
                  <w:tcW w:w="284" w:type="pct"/>
                  <w:vMerge w:val="restart"/>
                  <w:shd w:val="clear" w:color="auto" w:fill="FFFFFF"/>
                  <w:tcMar>
                    <w:top w:w="0" w:type="dxa"/>
                    <w:left w:w="0" w:type="dxa"/>
                    <w:bottom w:w="0" w:type="dxa"/>
                    <w:right w:w="0" w:type="dxa"/>
                  </w:tcMar>
                  <w:vAlign w:val="center"/>
                </w:tcPr>
                <w:p w14:paraId="3199B28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水相制备工房</w:t>
                  </w:r>
                </w:p>
              </w:tc>
              <w:tc>
                <w:tcPr>
                  <w:tcW w:w="292" w:type="pct"/>
                  <w:vMerge w:val="restart"/>
                  <w:shd w:val="clear" w:color="auto" w:fill="FFFFFF"/>
                  <w:tcMar>
                    <w:top w:w="0" w:type="dxa"/>
                    <w:left w:w="0" w:type="dxa"/>
                    <w:bottom w:w="0" w:type="dxa"/>
                    <w:right w:w="0" w:type="dxa"/>
                  </w:tcMar>
                  <w:vAlign w:val="center"/>
                </w:tcPr>
                <w:p w14:paraId="5384865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破碎机</w:t>
                  </w:r>
                </w:p>
              </w:tc>
              <w:tc>
                <w:tcPr>
                  <w:tcW w:w="561" w:type="pct"/>
                  <w:vMerge w:val="restart"/>
                  <w:shd w:val="clear" w:color="auto" w:fill="FFFFFF"/>
                  <w:tcMar>
                    <w:top w:w="0" w:type="dxa"/>
                    <w:left w:w="0" w:type="dxa"/>
                    <w:bottom w:w="0" w:type="dxa"/>
                    <w:right w:w="0" w:type="dxa"/>
                  </w:tcMar>
                  <w:vAlign w:val="center"/>
                </w:tcPr>
                <w:p w14:paraId="3D3FFDA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PC9型， 9t/h</w:t>
                  </w:r>
                </w:p>
              </w:tc>
              <w:tc>
                <w:tcPr>
                  <w:tcW w:w="450" w:type="pct"/>
                  <w:vMerge w:val="restart"/>
                  <w:shd w:val="clear" w:color="auto" w:fill="FFFFFF"/>
                  <w:tcMar>
                    <w:top w:w="0" w:type="dxa"/>
                    <w:left w:w="0" w:type="dxa"/>
                    <w:bottom w:w="0" w:type="dxa"/>
                    <w:right w:w="0" w:type="dxa"/>
                  </w:tcMar>
                  <w:vAlign w:val="center"/>
                </w:tcPr>
                <w:p w14:paraId="5A263ED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lang w:val="en-US"/>
                    </w:rPr>
                  </w:pPr>
                  <w:r>
                    <w:rPr>
                      <w:rFonts w:hint="eastAsia" w:cs="Times New Roman"/>
                      <w:i w:val="0"/>
                      <w:iCs w:val="0"/>
                      <w:color w:val="auto"/>
                      <w:kern w:val="0"/>
                      <w:sz w:val="21"/>
                      <w:szCs w:val="21"/>
                      <w:u w:val="none"/>
                      <w:lang w:val="en-US" w:eastAsia="zh-CN" w:bidi="ar"/>
                    </w:rPr>
                    <w:t>85</w:t>
                  </w:r>
                </w:p>
              </w:tc>
              <w:tc>
                <w:tcPr>
                  <w:tcW w:w="415" w:type="pct"/>
                  <w:vMerge w:val="restart"/>
                  <w:shd w:val="clear" w:color="auto" w:fill="FFFFFF"/>
                  <w:tcMar>
                    <w:top w:w="0" w:type="dxa"/>
                    <w:left w:w="0" w:type="dxa"/>
                    <w:bottom w:w="0" w:type="dxa"/>
                    <w:right w:w="0" w:type="dxa"/>
                  </w:tcMar>
                  <w:vAlign w:val="center"/>
                </w:tcPr>
                <w:p w14:paraId="24BF77E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噪声设备、减震、</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p>
              </w:tc>
              <w:tc>
                <w:tcPr>
                  <w:tcW w:w="247" w:type="pct"/>
                  <w:vMerge w:val="restart"/>
                  <w:shd w:val="clear" w:color="auto" w:fill="FFFFFF"/>
                  <w:tcMar>
                    <w:top w:w="0" w:type="dxa"/>
                    <w:left w:w="0" w:type="dxa"/>
                    <w:bottom w:w="0" w:type="dxa"/>
                    <w:right w:w="0" w:type="dxa"/>
                  </w:tcMar>
                  <w:vAlign w:val="center"/>
                </w:tcPr>
                <w:p w14:paraId="30BB104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79.4</w:t>
                  </w:r>
                </w:p>
              </w:tc>
              <w:tc>
                <w:tcPr>
                  <w:tcW w:w="247" w:type="pct"/>
                  <w:vMerge w:val="restart"/>
                  <w:shd w:val="clear" w:color="auto" w:fill="FFFFFF"/>
                  <w:tcMar>
                    <w:top w:w="0" w:type="dxa"/>
                    <w:left w:w="0" w:type="dxa"/>
                    <w:bottom w:w="0" w:type="dxa"/>
                    <w:right w:w="0" w:type="dxa"/>
                  </w:tcMar>
                  <w:vAlign w:val="center"/>
                </w:tcPr>
                <w:p w14:paraId="5CF0E1A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-182.2</w:t>
                  </w:r>
                </w:p>
              </w:tc>
              <w:tc>
                <w:tcPr>
                  <w:tcW w:w="138" w:type="pct"/>
                  <w:vMerge w:val="restart"/>
                  <w:shd w:val="clear" w:color="auto" w:fill="FFFFFF"/>
                  <w:tcMar>
                    <w:top w:w="0" w:type="dxa"/>
                    <w:left w:w="0" w:type="dxa"/>
                    <w:bottom w:w="0" w:type="dxa"/>
                    <w:right w:w="0" w:type="dxa"/>
                  </w:tcMar>
                  <w:vAlign w:val="center"/>
                </w:tcPr>
                <w:p w14:paraId="2F3F0DA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3B6F1CC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FEEAD2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9.5</w:t>
                  </w:r>
                </w:p>
              </w:tc>
              <w:tc>
                <w:tcPr>
                  <w:tcW w:w="156" w:type="pct"/>
                  <w:shd w:val="clear" w:color="auto" w:fill="FFFFFF"/>
                  <w:tcMar>
                    <w:top w:w="0" w:type="dxa"/>
                    <w:left w:w="0" w:type="dxa"/>
                    <w:bottom w:w="0" w:type="dxa"/>
                    <w:right w:w="0" w:type="dxa"/>
                  </w:tcMar>
                  <w:vAlign w:val="center"/>
                </w:tcPr>
                <w:p w14:paraId="3B39659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460" w:type="dxa"/>
                  <w:shd w:val="clear" w:color="auto" w:fill="FFFFFF"/>
                  <w:tcMar>
                    <w:top w:w="0" w:type="dxa"/>
                    <w:left w:w="0" w:type="dxa"/>
                    <w:bottom w:w="0" w:type="dxa"/>
                    <w:right w:w="0" w:type="dxa"/>
                  </w:tcMar>
                  <w:vAlign w:val="center"/>
                </w:tcPr>
                <w:p w14:paraId="425ABA3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eastAsia" w:cs="Times New Roman"/>
                      <w:i w:val="0"/>
                      <w:iCs w:val="0"/>
                      <w:color w:val="auto"/>
                      <w:kern w:val="0"/>
                      <w:sz w:val="21"/>
                      <w:szCs w:val="21"/>
                      <w:u w:val="none"/>
                      <w:lang w:val="en-US" w:eastAsia="zh-CN" w:bidi="ar"/>
                    </w:rPr>
                    <w:t>74.6</w:t>
                  </w:r>
                </w:p>
              </w:tc>
              <w:tc>
                <w:tcPr>
                  <w:tcW w:w="400" w:type="pct"/>
                  <w:vMerge w:val="restart"/>
                  <w:shd w:val="clear" w:color="auto" w:fill="FFFFFF"/>
                  <w:tcMar>
                    <w:top w:w="0" w:type="dxa"/>
                    <w:left w:w="0" w:type="dxa"/>
                    <w:bottom w:w="0" w:type="dxa"/>
                    <w:right w:w="0" w:type="dxa"/>
                  </w:tcMar>
                  <w:vAlign w:val="center"/>
                </w:tcPr>
                <w:p w14:paraId="78013EF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603A592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0FAE84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529" w:type="dxa"/>
                  <w:shd w:val="clear" w:color="auto" w:fill="FFFFFF"/>
                  <w:tcMar>
                    <w:top w:w="0" w:type="dxa"/>
                    <w:left w:w="0" w:type="dxa"/>
                    <w:bottom w:w="0" w:type="dxa"/>
                    <w:right w:w="0" w:type="dxa"/>
                  </w:tcMar>
                  <w:vAlign w:val="center"/>
                </w:tcPr>
                <w:p w14:paraId="5D799939">
                  <w:pPr>
                    <w:keepNext w:val="0"/>
                    <w:keepLines w:val="0"/>
                    <w:widowControl/>
                    <w:suppressLineNumbers w:val="0"/>
                    <w:jc w:val="center"/>
                    <w:textAlignment w:val="center"/>
                    <w:outlineLvl w:val="9"/>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48.6</w:t>
                  </w:r>
                </w:p>
              </w:tc>
              <w:tc>
                <w:tcPr>
                  <w:tcW w:w="284" w:type="pct"/>
                  <w:shd w:val="clear" w:color="auto" w:fill="FFFFFF"/>
                  <w:tcMar>
                    <w:top w:w="0" w:type="dxa"/>
                    <w:left w:w="0" w:type="dxa"/>
                    <w:bottom w:w="0" w:type="dxa"/>
                    <w:right w:w="0" w:type="dxa"/>
                  </w:tcMar>
                  <w:vAlign w:val="center"/>
                </w:tcPr>
                <w:p w14:paraId="0129F7B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C89F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9DD75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B48135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090F1DF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7B0375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68911B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000B3D3">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D4EB03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BA3B7B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CEF1F7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F3A647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CA6F98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24.2</w:t>
                  </w:r>
                </w:p>
              </w:tc>
              <w:tc>
                <w:tcPr>
                  <w:tcW w:w="156" w:type="pct"/>
                  <w:shd w:val="clear" w:color="auto" w:fill="FFFFFF"/>
                  <w:tcMar>
                    <w:top w:w="0" w:type="dxa"/>
                    <w:left w:w="0" w:type="dxa"/>
                    <w:bottom w:w="0" w:type="dxa"/>
                    <w:right w:w="0" w:type="dxa"/>
                  </w:tcMar>
                  <w:vAlign w:val="center"/>
                </w:tcPr>
                <w:p w14:paraId="72F3078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460" w:type="dxa"/>
                  <w:shd w:val="clear" w:color="auto" w:fill="FFFFFF"/>
                  <w:tcMar>
                    <w:top w:w="0" w:type="dxa"/>
                    <w:left w:w="0" w:type="dxa"/>
                    <w:bottom w:w="0" w:type="dxa"/>
                    <w:right w:w="0" w:type="dxa"/>
                  </w:tcMar>
                  <w:vAlign w:val="center"/>
                </w:tcPr>
                <w:p w14:paraId="2EC03B2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eastAsia" w:cs="Times New Roman"/>
                      <w:i w:val="0"/>
                      <w:iCs w:val="0"/>
                      <w:color w:val="auto"/>
                      <w:kern w:val="0"/>
                      <w:sz w:val="21"/>
                      <w:szCs w:val="21"/>
                      <w:u w:val="none"/>
                      <w:lang w:val="en-US" w:eastAsia="zh-CN" w:bidi="ar"/>
                    </w:rPr>
                    <w:t>74.5</w:t>
                  </w:r>
                </w:p>
              </w:tc>
              <w:tc>
                <w:tcPr>
                  <w:tcW w:w="400" w:type="pct"/>
                  <w:vMerge w:val="continue"/>
                  <w:shd w:val="clear" w:color="auto" w:fill="FFFFFF"/>
                  <w:tcMar>
                    <w:top w:w="0" w:type="dxa"/>
                    <w:left w:w="0" w:type="dxa"/>
                    <w:bottom w:w="0" w:type="dxa"/>
                    <w:right w:w="0" w:type="dxa"/>
                  </w:tcMar>
                  <w:vAlign w:val="center"/>
                </w:tcPr>
                <w:p w14:paraId="646356C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5DCEF4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EB113B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529" w:type="dxa"/>
                  <w:shd w:val="clear" w:color="auto" w:fill="FFFFFF"/>
                  <w:tcMar>
                    <w:top w:w="0" w:type="dxa"/>
                    <w:left w:w="0" w:type="dxa"/>
                    <w:bottom w:w="0" w:type="dxa"/>
                    <w:right w:w="0" w:type="dxa"/>
                  </w:tcMar>
                  <w:vAlign w:val="center"/>
                </w:tcPr>
                <w:p w14:paraId="1E02CB20">
                  <w:pPr>
                    <w:keepNext w:val="0"/>
                    <w:keepLines w:val="0"/>
                    <w:widowControl/>
                    <w:suppressLineNumbers w:val="0"/>
                    <w:jc w:val="center"/>
                    <w:textAlignment w:val="center"/>
                    <w:outlineLvl w:val="9"/>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48.5</w:t>
                  </w:r>
                </w:p>
              </w:tc>
              <w:tc>
                <w:tcPr>
                  <w:tcW w:w="284" w:type="pct"/>
                  <w:shd w:val="clear" w:color="auto" w:fill="FFFFFF"/>
                  <w:tcMar>
                    <w:top w:w="0" w:type="dxa"/>
                    <w:left w:w="0" w:type="dxa"/>
                    <w:bottom w:w="0" w:type="dxa"/>
                    <w:right w:w="0" w:type="dxa"/>
                  </w:tcMar>
                  <w:vAlign w:val="center"/>
                </w:tcPr>
                <w:p w14:paraId="51163E4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A99D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69CCA29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8790B9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4468113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A9761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1A93E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29B85B0">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56D869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21150C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D1D605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2A427F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2E7DE3E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w:t>
                  </w:r>
                </w:p>
              </w:tc>
              <w:tc>
                <w:tcPr>
                  <w:tcW w:w="156" w:type="pct"/>
                  <w:shd w:val="clear" w:color="auto" w:fill="FFFFFF"/>
                  <w:tcMar>
                    <w:top w:w="0" w:type="dxa"/>
                    <w:left w:w="0" w:type="dxa"/>
                    <w:bottom w:w="0" w:type="dxa"/>
                    <w:right w:w="0" w:type="dxa"/>
                  </w:tcMar>
                  <w:vAlign w:val="center"/>
                </w:tcPr>
                <w:p w14:paraId="4680F7F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460" w:type="dxa"/>
                  <w:shd w:val="clear" w:color="auto" w:fill="FFFFFF"/>
                  <w:tcMar>
                    <w:top w:w="0" w:type="dxa"/>
                    <w:left w:w="0" w:type="dxa"/>
                    <w:bottom w:w="0" w:type="dxa"/>
                    <w:right w:w="0" w:type="dxa"/>
                  </w:tcMar>
                  <w:vAlign w:val="center"/>
                </w:tcPr>
                <w:p w14:paraId="16F95C3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eastAsia" w:cs="Times New Roman"/>
                      <w:i w:val="0"/>
                      <w:iCs w:val="0"/>
                      <w:color w:val="auto"/>
                      <w:kern w:val="0"/>
                      <w:sz w:val="21"/>
                      <w:szCs w:val="21"/>
                      <w:u w:val="none"/>
                      <w:lang w:val="en-US" w:eastAsia="zh-CN" w:bidi="ar"/>
                    </w:rPr>
                    <w:t>74.6</w:t>
                  </w:r>
                </w:p>
              </w:tc>
              <w:tc>
                <w:tcPr>
                  <w:tcW w:w="400" w:type="pct"/>
                  <w:vMerge w:val="continue"/>
                  <w:shd w:val="clear" w:color="auto" w:fill="FFFFFF"/>
                  <w:tcMar>
                    <w:top w:w="0" w:type="dxa"/>
                    <w:left w:w="0" w:type="dxa"/>
                    <w:bottom w:w="0" w:type="dxa"/>
                    <w:right w:w="0" w:type="dxa"/>
                  </w:tcMar>
                  <w:vAlign w:val="center"/>
                </w:tcPr>
                <w:p w14:paraId="0C6BFDC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EF6B29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0939B1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529" w:type="dxa"/>
                  <w:shd w:val="clear" w:color="auto" w:fill="FFFFFF"/>
                  <w:tcMar>
                    <w:top w:w="0" w:type="dxa"/>
                    <w:left w:w="0" w:type="dxa"/>
                    <w:bottom w:w="0" w:type="dxa"/>
                    <w:right w:w="0" w:type="dxa"/>
                  </w:tcMar>
                  <w:vAlign w:val="center"/>
                </w:tcPr>
                <w:p w14:paraId="5DFD35B8">
                  <w:pPr>
                    <w:keepNext w:val="0"/>
                    <w:keepLines w:val="0"/>
                    <w:widowControl/>
                    <w:suppressLineNumbers w:val="0"/>
                    <w:jc w:val="center"/>
                    <w:textAlignment w:val="center"/>
                    <w:outlineLvl w:val="9"/>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48.6</w:t>
                  </w:r>
                </w:p>
              </w:tc>
              <w:tc>
                <w:tcPr>
                  <w:tcW w:w="284" w:type="pct"/>
                  <w:shd w:val="clear" w:color="auto" w:fill="FFFFFF"/>
                  <w:tcMar>
                    <w:top w:w="0" w:type="dxa"/>
                    <w:left w:w="0" w:type="dxa"/>
                    <w:bottom w:w="0" w:type="dxa"/>
                    <w:right w:w="0" w:type="dxa"/>
                  </w:tcMar>
                  <w:vAlign w:val="center"/>
                </w:tcPr>
                <w:p w14:paraId="123F379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1A1C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09950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AA17F0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0F30531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494C39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5626AF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3ED8B79">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F85FE6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F8A361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24A34E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B87638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36FFC7B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w:t>
                  </w:r>
                </w:p>
              </w:tc>
              <w:tc>
                <w:tcPr>
                  <w:tcW w:w="156" w:type="pct"/>
                  <w:shd w:val="clear" w:color="auto" w:fill="FFFFFF"/>
                  <w:tcMar>
                    <w:top w:w="0" w:type="dxa"/>
                    <w:left w:w="0" w:type="dxa"/>
                    <w:bottom w:w="0" w:type="dxa"/>
                    <w:right w:w="0" w:type="dxa"/>
                  </w:tcMar>
                  <w:vAlign w:val="center"/>
                </w:tcPr>
                <w:p w14:paraId="608CA04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460" w:type="dxa"/>
                  <w:shd w:val="clear" w:color="auto" w:fill="FFFFFF"/>
                  <w:tcMar>
                    <w:top w:w="0" w:type="dxa"/>
                    <w:left w:w="0" w:type="dxa"/>
                    <w:bottom w:w="0" w:type="dxa"/>
                    <w:right w:w="0" w:type="dxa"/>
                  </w:tcMar>
                  <w:vAlign w:val="center"/>
                </w:tcPr>
                <w:p w14:paraId="3FD52E9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eastAsia" w:cs="Times New Roman"/>
                      <w:i w:val="0"/>
                      <w:iCs w:val="0"/>
                      <w:color w:val="auto"/>
                      <w:kern w:val="0"/>
                      <w:sz w:val="21"/>
                      <w:szCs w:val="21"/>
                      <w:u w:val="none"/>
                      <w:lang w:val="en-US" w:eastAsia="zh-CN" w:bidi="ar"/>
                    </w:rPr>
                    <w:t>74.6</w:t>
                  </w:r>
                </w:p>
              </w:tc>
              <w:tc>
                <w:tcPr>
                  <w:tcW w:w="400" w:type="pct"/>
                  <w:vMerge w:val="continue"/>
                  <w:shd w:val="clear" w:color="auto" w:fill="FFFFFF"/>
                  <w:tcMar>
                    <w:top w:w="0" w:type="dxa"/>
                    <w:left w:w="0" w:type="dxa"/>
                    <w:bottom w:w="0" w:type="dxa"/>
                    <w:right w:w="0" w:type="dxa"/>
                  </w:tcMar>
                  <w:vAlign w:val="center"/>
                </w:tcPr>
                <w:p w14:paraId="123E8DA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3953D3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99E649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529" w:type="dxa"/>
                  <w:shd w:val="clear" w:color="auto" w:fill="FFFFFF"/>
                  <w:tcMar>
                    <w:top w:w="0" w:type="dxa"/>
                    <w:left w:w="0" w:type="dxa"/>
                    <w:bottom w:w="0" w:type="dxa"/>
                    <w:right w:w="0" w:type="dxa"/>
                  </w:tcMar>
                  <w:vAlign w:val="center"/>
                </w:tcPr>
                <w:p w14:paraId="6C542EF6">
                  <w:pPr>
                    <w:keepNext w:val="0"/>
                    <w:keepLines w:val="0"/>
                    <w:widowControl/>
                    <w:suppressLineNumbers w:val="0"/>
                    <w:jc w:val="center"/>
                    <w:textAlignment w:val="center"/>
                    <w:outlineLvl w:val="9"/>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48.6</w:t>
                  </w:r>
                </w:p>
              </w:tc>
              <w:tc>
                <w:tcPr>
                  <w:tcW w:w="284" w:type="pct"/>
                  <w:shd w:val="clear" w:color="auto" w:fill="FFFFFF"/>
                  <w:tcMar>
                    <w:top w:w="0" w:type="dxa"/>
                    <w:left w:w="0" w:type="dxa"/>
                    <w:bottom w:w="0" w:type="dxa"/>
                    <w:right w:w="0" w:type="dxa"/>
                  </w:tcMar>
                  <w:vAlign w:val="center"/>
                </w:tcPr>
                <w:p w14:paraId="62334E8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7C61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0A028AF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35</w:t>
                  </w:r>
                </w:p>
              </w:tc>
              <w:tc>
                <w:tcPr>
                  <w:tcW w:w="284" w:type="pct"/>
                  <w:vMerge w:val="continue"/>
                  <w:shd w:val="clear" w:color="auto" w:fill="FFFFFF"/>
                  <w:tcMar>
                    <w:top w:w="0" w:type="dxa"/>
                    <w:left w:w="0" w:type="dxa"/>
                    <w:bottom w:w="0" w:type="dxa"/>
                    <w:right w:w="0" w:type="dxa"/>
                  </w:tcMar>
                  <w:vAlign w:val="center"/>
                </w:tcPr>
                <w:p w14:paraId="4BEDF34A">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484683D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螺旋输送机</w:t>
                  </w:r>
                </w:p>
              </w:tc>
              <w:tc>
                <w:tcPr>
                  <w:tcW w:w="561" w:type="pct"/>
                  <w:vMerge w:val="restart"/>
                  <w:shd w:val="clear" w:color="auto" w:fill="FFFFFF"/>
                  <w:tcMar>
                    <w:top w:w="0" w:type="dxa"/>
                    <w:left w:w="0" w:type="dxa"/>
                    <w:bottom w:w="0" w:type="dxa"/>
                    <w:right w:w="0" w:type="dxa"/>
                  </w:tcMar>
                  <w:vAlign w:val="center"/>
                </w:tcPr>
                <w:p w14:paraId="06D382F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非标，9t/h</w:t>
                  </w:r>
                </w:p>
              </w:tc>
              <w:tc>
                <w:tcPr>
                  <w:tcW w:w="450" w:type="pct"/>
                  <w:vMerge w:val="restart"/>
                  <w:shd w:val="clear" w:color="auto" w:fill="FFFFFF"/>
                  <w:tcMar>
                    <w:top w:w="0" w:type="dxa"/>
                    <w:left w:w="0" w:type="dxa"/>
                    <w:bottom w:w="0" w:type="dxa"/>
                    <w:right w:w="0" w:type="dxa"/>
                  </w:tcMar>
                  <w:vAlign w:val="center"/>
                </w:tcPr>
                <w:p w14:paraId="16CD84F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543BFC44">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3FCD974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76.7</w:t>
                  </w:r>
                </w:p>
              </w:tc>
              <w:tc>
                <w:tcPr>
                  <w:tcW w:w="247" w:type="pct"/>
                  <w:vMerge w:val="restart"/>
                  <w:shd w:val="clear" w:color="auto" w:fill="FFFFFF"/>
                  <w:tcMar>
                    <w:top w:w="0" w:type="dxa"/>
                    <w:left w:w="0" w:type="dxa"/>
                    <w:bottom w:w="0" w:type="dxa"/>
                    <w:right w:w="0" w:type="dxa"/>
                  </w:tcMar>
                  <w:vAlign w:val="center"/>
                </w:tcPr>
                <w:p w14:paraId="01C04E4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-186.2</w:t>
                  </w:r>
                </w:p>
              </w:tc>
              <w:tc>
                <w:tcPr>
                  <w:tcW w:w="138" w:type="pct"/>
                  <w:vMerge w:val="restart"/>
                  <w:shd w:val="clear" w:color="auto" w:fill="FFFFFF"/>
                  <w:tcMar>
                    <w:top w:w="0" w:type="dxa"/>
                    <w:left w:w="0" w:type="dxa"/>
                    <w:bottom w:w="0" w:type="dxa"/>
                    <w:right w:w="0" w:type="dxa"/>
                  </w:tcMar>
                  <w:vAlign w:val="center"/>
                </w:tcPr>
                <w:p w14:paraId="29FA151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B41E6A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59C677D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9.8</w:t>
                  </w:r>
                </w:p>
              </w:tc>
              <w:tc>
                <w:tcPr>
                  <w:tcW w:w="156" w:type="pct"/>
                  <w:shd w:val="clear" w:color="auto" w:fill="FFFFFF"/>
                  <w:tcMar>
                    <w:top w:w="0" w:type="dxa"/>
                    <w:left w:w="0" w:type="dxa"/>
                    <w:bottom w:w="0" w:type="dxa"/>
                    <w:right w:w="0" w:type="dxa"/>
                  </w:tcMar>
                  <w:vAlign w:val="center"/>
                </w:tcPr>
                <w:p w14:paraId="04ECE6C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95705B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restart"/>
                  <w:shd w:val="clear" w:color="auto" w:fill="FFFFFF"/>
                  <w:tcMar>
                    <w:top w:w="0" w:type="dxa"/>
                    <w:left w:w="0" w:type="dxa"/>
                    <w:bottom w:w="0" w:type="dxa"/>
                    <w:right w:w="0" w:type="dxa"/>
                  </w:tcMar>
                  <w:vAlign w:val="center"/>
                </w:tcPr>
                <w:p w14:paraId="216AE47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2EC01DC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00FAEFF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C743AD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0B49528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246D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3FE181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31A487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73C33D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DB9692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D9D624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FB0CC0D">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94EE3A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9B9B63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550790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963990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6A44A55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19.4</w:t>
                  </w:r>
                </w:p>
              </w:tc>
              <w:tc>
                <w:tcPr>
                  <w:tcW w:w="156" w:type="pct"/>
                  <w:shd w:val="clear" w:color="auto" w:fill="FFFFFF"/>
                  <w:tcMar>
                    <w:top w:w="0" w:type="dxa"/>
                    <w:left w:w="0" w:type="dxa"/>
                    <w:bottom w:w="0" w:type="dxa"/>
                    <w:right w:w="0" w:type="dxa"/>
                  </w:tcMar>
                  <w:vAlign w:val="center"/>
                </w:tcPr>
                <w:p w14:paraId="3F00B10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EE36B5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69.5</w:t>
                  </w:r>
                </w:p>
              </w:tc>
              <w:tc>
                <w:tcPr>
                  <w:tcW w:w="400" w:type="pct"/>
                  <w:vMerge w:val="continue"/>
                  <w:shd w:val="clear" w:color="auto" w:fill="FFFFFF"/>
                  <w:tcMar>
                    <w:top w:w="0" w:type="dxa"/>
                    <w:left w:w="0" w:type="dxa"/>
                    <w:bottom w:w="0" w:type="dxa"/>
                    <w:right w:w="0" w:type="dxa"/>
                  </w:tcMar>
                  <w:vAlign w:val="center"/>
                </w:tcPr>
                <w:p w14:paraId="4CAC636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0CA500F">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491E73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9F0DB1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43.5</w:t>
                  </w:r>
                </w:p>
              </w:tc>
              <w:tc>
                <w:tcPr>
                  <w:tcW w:w="284" w:type="pct"/>
                  <w:shd w:val="clear" w:color="auto" w:fill="FFFFFF"/>
                  <w:tcMar>
                    <w:top w:w="0" w:type="dxa"/>
                    <w:left w:w="0" w:type="dxa"/>
                    <w:bottom w:w="0" w:type="dxa"/>
                    <w:right w:w="0" w:type="dxa"/>
                  </w:tcMar>
                  <w:vAlign w:val="center"/>
                </w:tcPr>
                <w:p w14:paraId="1073A40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D94A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8892AE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C182A18">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ACDDAD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46C2AE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BE5B26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563ABB5">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C559C8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5895CD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19024F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8D6B55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B77003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w:t>
                  </w:r>
                </w:p>
              </w:tc>
              <w:tc>
                <w:tcPr>
                  <w:tcW w:w="156" w:type="pct"/>
                  <w:shd w:val="clear" w:color="auto" w:fill="FFFFFF"/>
                  <w:tcMar>
                    <w:top w:w="0" w:type="dxa"/>
                    <w:left w:w="0" w:type="dxa"/>
                    <w:bottom w:w="0" w:type="dxa"/>
                    <w:right w:w="0" w:type="dxa"/>
                  </w:tcMar>
                  <w:vAlign w:val="center"/>
                </w:tcPr>
                <w:p w14:paraId="703A5A0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E65567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156D6E3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C7E14C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53C3CE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1C872E7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10BA03A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2060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AB2BEE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EE448BC">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67B25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C87559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D90B1C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45C8085">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649995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4E5CB0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B5025D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333A13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5C94FFC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56" w:type="pct"/>
                  <w:shd w:val="clear" w:color="auto" w:fill="FFFFFF"/>
                  <w:tcMar>
                    <w:top w:w="0" w:type="dxa"/>
                    <w:left w:w="0" w:type="dxa"/>
                    <w:bottom w:w="0" w:type="dxa"/>
                    <w:right w:w="0" w:type="dxa"/>
                  </w:tcMar>
                  <w:vAlign w:val="center"/>
                </w:tcPr>
                <w:p w14:paraId="0C34245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25EF2B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73FED2D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988090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EC5213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685C5A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6EFE9CA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7845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1327E0C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36</w:t>
                  </w:r>
                </w:p>
              </w:tc>
              <w:tc>
                <w:tcPr>
                  <w:tcW w:w="284" w:type="pct"/>
                  <w:vMerge w:val="continue"/>
                  <w:shd w:val="clear" w:color="auto" w:fill="FFFFFF"/>
                  <w:tcMar>
                    <w:top w:w="0" w:type="dxa"/>
                    <w:left w:w="0" w:type="dxa"/>
                    <w:bottom w:w="0" w:type="dxa"/>
                    <w:right w:w="0" w:type="dxa"/>
                  </w:tcMar>
                  <w:vAlign w:val="center"/>
                </w:tcPr>
                <w:p w14:paraId="4C4686A7">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D1B5EA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水相输送泵</w:t>
                  </w:r>
                </w:p>
              </w:tc>
              <w:tc>
                <w:tcPr>
                  <w:tcW w:w="561" w:type="pct"/>
                  <w:vMerge w:val="restart"/>
                  <w:shd w:val="clear" w:color="auto" w:fill="FFFFFF"/>
                  <w:tcMar>
                    <w:top w:w="0" w:type="dxa"/>
                    <w:left w:w="0" w:type="dxa"/>
                    <w:bottom w:w="0" w:type="dxa"/>
                    <w:right w:w="0" w:type="dxa"/>
                  </w:tcMar>
                  <w:vAlign w:val="center"/>
                </w:tcPr>
                <w:p w14:paraId="3EFF1D9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非标，20t/h</w:t>
                  </w:r>
                </w:p>
              </w:tc>
              <w:tc>
                <w:tcPr>
                  <w:tcW w:w="450" w:type="pct"/>
                  <w:vMerge w:val="restart"/>
                  <w:shd w:val="clear" w:color="auto" w:fill="FFFFFF"/>
                  <w:tcMar>
                    <w:top w:w="0" w:type="dxa"/>
                    <w:left w:w="0" w:type="dxa"/>
                    <w:bottom w:w="0" w:type="dxa"/>
                    <w:right w:w="0" w:type="dxa"/>
                  </w:tcMar>
                  <w:vAlign w:val="center"/>
                </w:tcPr>
                <w:p w14:paraId="5CB4D87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restart"/>
                  <w:shd w:val="clear" w:color="auto" w:fill="FFFFFF"/>
                  <w:tcMar>
                    <w:top w:w="0" w:type="dxa"/>
                    <w:left w:w="0" w:type="dxa"/>
                    <w:bottom w:w="0" w:type="dxa"/>
                    <w:right w:w="0" w:type="dxa"/>
                  </w:tcMar>
                  <w:vAlign w:val="center"/>
                </w:tcPr>
                <w:p w14:paraId="24B8573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w:t>
                  </w:r>
                  <w:r>
                    <w:rPr>
                      <w:rFonts w:hint="eastAsia" w:cs="Times New Roman"/>
                      <w:color w:val="auto"/>
                      <w:kern w:val="0"/>
                      <w:sz w:val="21"/>
                      <w:szCs w:val="21"/>
                      <w:lang w:eastAsia="zh-CN" w:bidi="ar"/>
                    </w:rPr>
                    <w:t>减振</w:t>
                  </w:r>
                  <w:r>
                    <w:rPr>
                      <w:rFonts w:hint="default" w:ascii="Times New Roman" w:hAnsi="Times New Roman" w:eastAsia="宋体" w:cs="Times New Roman"/>
                      <w:color w:val="auto"/>
                      <w:kern w:val="0"/>
                      <w:sz w:val="21"/>
                      <w:szCs w:val="21"/>
                      <w:lang w:bidi="ar"/>
                    </w:rPr>
                    <w:t>、</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r>
                    <w:rPr>
                      <w:rFonts w:hint="eastAsia" w:ascii="Times New Roman" w:hAnsi="Times New Roman" w:eastAsia="宋体" w:cs="Times New Roman"/>
                      <w:color w:val="auto"/>
                      <w:kern w:val="0"/>
                      <w:sz w:val="21"/>
                      <w:szCs w:val="21"/>
                      <w:lang w:eastAsia="zh-CN" w:bidi="ar"/>
                    </w:rPr>
                    <w:t>、</w:t>
                  </w:r>
                  <w:r>
                    <w:rPr>
                      <w:rFonts w:hint="default" w:ascii="Times New Roman" w:hAnsi="Times New Roman" w:eastAsia="宋体" w:cs="Times New Roman"/>
                      <w:i w:val="0"/>
                      <w:iCs w:val="0"/>
                      <w:color w:val="auto"/>
                      <w:kern w:val="0"/>
                      <w:sz w:val="21"/>
                      <w:szCs w:val="21"/>
                      <w:u w:val="none"/>
                      <w:lang w:val="en-US" w:eastAsia="zh-CN" w:bidi="ar"/>
                    </w:rPr>
                    <w:t>隔声罩</w:t>
                  </w:r>
                </w:p>
              </w:tc>
              <w:tc>
                <w:tcPr>
                  <w:tcW w:w="247" w:type="pct"/>
                  <w:vMerge w:val="restart"/>
                  <w:shd w:val="clear" w:color="auto" w:fill="FFFFFF"/>
                  <w:tcMar>
                    <w:top w:w="0" w:type="dxa"/>
                    <w:left w:w="0" w:type="dxa"/>
                    <w:bottom w:w="0" w:type="dxa"/>
                    <w:right w:w="0" w:type="dxa"/>
                  </w:tcMar>
                  <w:vAlign w:val="center"/>
                </w:tcPr>
                <w:p w14:paraId="4822D17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74.1</w:t>
                  </w:r>
                </w:p>
              </w:tc>
              <w:tc>
                <w:tcPr>
                  <w:tcW w:w="247" w:type="pct"/>
                  <w:vMerge w:val="restart"/>
                  <w:shd w:val="clear" w:color="auto" w:fill="FFFFFF"/>
                  <w:tcMar>
                    <w:top w:w="0" w:type="dxa"/>
                    <w:left w:w="0" w:type="dxa"/>
                    <w:bottom w:w="0" w:type="dxa"/>
                    <w:right w:w="0" w:type="dxa"/>
                  </w:tcMar>
                  <w:vAlign w:val="center"/>
                </w:tcPr>
                <w:p w14:paraId="18B957B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-192.1</w:t>
                  </w:r>
                </w:p>
              </w:tc>
              <w:tc>
                <w:tcPr>
                  <w:tcW w:w="138" w:type="pct"/>
                  <w:vMerge w:val="restart"/>
                  <w:shd w:val="clear" w:color="auto" w:fill="FFFFFF"/>
                  <w:tcMar>
                    <w:top w:w="0" w:type="dxa"/>
                    <w:left w:w="0" w:type="dxa"/>
                    <w:bottom w:w="0" w:type="dxa"/>
                    <w:right w:w="0" w:type="dxa"/>
                  </w:tcMar>
                  <w:vAlign w:val="center"/>
                </w:tcPr>
                <w:p w14:paraId="5E0B59B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1260A03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D779B1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w:t>
                  </w:r>
                </w:p>
              </w:tc>
              <w:tc>
                <w:tcPr>
                  <w:tcW w:w="156" w:type="pct"/>
                  <w:shd w:val="clear" w:color="auto" w:fill="FFFFFF"/>
                  <w:tcMar>
                    <w:top w:w="0" w:type="dxa"/>
                    <w:left w:w="0" w:type="dxa"/>
                    <w:bottom w:w="0" w:type="dxa"/>
                    <w:right w:w="0" w:type="dxa"/>
                  </w:tcMar>
                  <w:vAlign w:val="center"/>
                </w:tcPr>
                <w:p w14:paraId="55D213F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E9160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restart"/>
                  <w:shd w:val="clear" w:color="auto" w:fill="FFFFFF"/>
                  <w:tcMar>
                    <w:top w:w="0" w:type="dxa"/>
                    <w:left w:w="0" w:type="dxa"/>
                    <w:bottom w:w="0" w:type="dxa"/>
                    <w:right w:w="0" w:type="dxa"/>
                  </w:tcMar>
                  <w:vAlign w:val="center"/>
                </w:tcPr>
                <w:p w14:paraId="4893F32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1DB509A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C500AD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1A7061A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6C6FF6D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663A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5EADDB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03651F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68ABCA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BC9582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8400F9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D065F6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5FE0CE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C8B654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C4B82C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E336F49">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40A41F0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56" w:type="pct"/>
                  <w:shd w:val="clear" w:color="auto" w:fill="FFFFFF"/>
                  <w:tcMar>
                    <w:top w:w="0" w:type="dxa"/>
                    <w:left w:w="0" w:type="dxa"/>
                    <w:bottom w:w="0" w:type="dxa"/>
                    <w:right w:w="0" w:type="dxa"/>
                  </w:tcMar>
                  <w:vAlign w:val="center"/>
                </w:tcPr>
                <w:p w14:paraId="1694948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16413AE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10A6A16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0E8EB4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4368AD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18CEF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3B1F07A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2F10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10B734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69FAFFF">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F402D7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CC9A65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019C7F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DEFE2E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1BAB3C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A7613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406A6D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54EB1E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2BDBDC2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w:t>
                  </w:r>
                </w:p>
              </w:tc>
              <w:tc>
                <w:tcPr>
                  <w:tcW w:w="156" w:type="pct"/>
                  <w:shd w:val="clear" w:color="auto" w:fill="FFFFFF"/>
                  <w:tcMar>
                    <w:top w:w="0" w:type="dxa"/>
                    <w:left w:w="0" w:type="dxa"/>
                    <w:bottom w:w="0" w:type="dxa"/>
                    <w:right w:w="0" w:type="dxa"/>
                  </w:tcMar>
                  <w:vAlign w:val="center"/>
                </w:tcPr>
                <w:p w14:paraId="02698C6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563F29E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6512B45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1FDF8E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304FB1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7456683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2E99349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F18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217AF4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304DB5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0BA2E4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516771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0D7C5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327380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814E15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0110B7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90AD2E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25555A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3AE74BC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18.4</w:t>
                  </w:r>
                </w:p>
              </w:tc>
              <w:tc>
                <w:tcPr>
                  <w:tcW w:w="156" w:type="pct"/>
                  <w:shd w:val="clear" w:color="auto" w:fill="FFFFFF"/>
                  <w:tcMar>
                    <w:top w:w="0" w:type="dxa"/>
                    <w:left w:w="0" w:type="dxa"/>
                    <w:bottom w:w="0" w:type="dxa"/>
                    <w:right w:w="0" w:type="dxa"/>
                  </w:tcMar>
                  <w:vAlign w:val="center"/>
                </w:tcPr>
                <w:p w14:paraId="063CCB2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BCCFED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69.5</w:t>
                  </w:r>
                </w:p>
              </w:tc>
              <w:tc>
                <w:tcPr>
                  <w:tcW w:w="400" w:type="pct"/>
                  <w:vMerge w:val="continue"/>
                  <w:shd w:val="clear" w:color="auto" w:fill="FFFFFF"/>
                  <w:tcMar>
                    <w:top w:w="0" w:type="dxa"/>
                    <w:left w:w="0" w:type="dxa"/>
                    <w:bottom w:w="0" w:type="dxa"/>
                    <w:right w:w="0" w:type="dxa"/>
                  </w:tcMar>
                  <w:vAlign w:val="center"/>
                </w:tcPr>
                <w:p w14:paraId="08715D4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3D6FCD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E6018B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28E29E1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43.5</w:t>
                  </w:r>
                </w:p>
              </w:tc>
              <w:tc>
                <w:tcPr>
                  <w:tcW w:w="284" w:type="pct"/>
                  <w:shd w:val="clear" w:color="auto" w:fill="FFFFFF"/>
                  <w:tcMar>
                    <w:top w:w="0" w:type="dxa"/>
                    <w:left w:w="0" w:type="dxa"/>
                    <w:bottom w:w="0" w:type="dxa"/>
                    <w:right w:w="0" w:type="dxa"/>
                  </w:tcMar>
                  <w:vAlign w:val="center"/>
                </w:tcPr>
                <w:p w14:paraId="59553F5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3062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359DEEA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37</w:t>
                  </w:r>
                </w:p>
              </w:tc>
              <w:tc>
                <w:tcPr>
                  <w:tcW w:w="284" w:type="pct"/>
                  <w:vMerge w:val="continue"/>
                  <w:shd w:val="clear" w:color="auto" w:fill="FFFFFF"/>
                  <w:tcMar>
                    <w:top w:w="0" w:type="dxa"/>
                    <w:left w:w="0" w:type="dxa"/>
                    <w:bottom w:w="0" w:type="dxa"/>
                    <w:right w:w="0" w:type="dxa"/>
                  </w:tcMar>
                  <w:vAlign w:val="center"/>
                </w:tcPr>
                <w:p w14:paraId="5378DF93">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6F792A0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热水泵</w:t>
                  </w:r>
                </w:p>
              </w:tc>
              <w:tc>
                <w:tcPr>
                  <w:tcW w:w="561" w:type="pct"/>
                  <w:vMerge w:val="restart"/>
                  <w:shd w:val="clear" w:color="auto" w:fill="FFFFFF"/>
                  <w:tcMar>
                    <w:top w:w="0" w:type="dxa"/>
                    <w:left w:w="0" w:type="dxa"/>
                    <w:bottom w:w="0" w:type="dxa"/>
                    <w:right w:w="0" w:type="dxa"/>
                  </w:tcMar>
                  <w:vAlign w:val="center"/>
                </w:tcPr>
                <w:p w14:paraId="0CACFF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 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450" w:type="pct"/>
                  <w:vMerge w:val="restart"/>
                  <w:shd w:val="clear" w:color="auto" w:fill="FFFFFF"/>
                  <w:tcMar>
                    <w:top w:w="0" w:type="dxa"/>
                    <w:left w:w="0" w:type="dxa"/>
                    <w:bottom w:w="0" w:type="dxa"/>
                    <w:right w:w="0" w:type="dxa"/>
                  </w:tcMar>
                  <w:vAlign w:val="center"/>
                </w:tcPr>
                <w:p w14:paraId="036F59C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4B381D1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88876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72.1</w:t>
                  </w:r>
                </w:p>
              </w:tc>
              <w:tc>
                <w:tcPr>
                  <w:tcW w:w="247" w:type="pct"/>
                  <w:vMerge w:val="restart"/>
                  <w:shd w:val="clear" w:color="auto" w:fill="FFFFFF"/>
                  <w:tcMar>
                    <w:top w:w="0" w:type="dxa"/>
                    <w:left w:w="0" w:type="dxa"/>
                    <w:bottom w:w="0" w:type="dxa"/>
                    <w:right w:w="0" w:type="dxa"/>
                  </w:tcMar>
                  <w:vAlign w:val="center"/>
                </w:tcPr>
                <w:p w14:paraId="5BC2250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-188.5</w:t>
                  </w:r>
                </w:p>
              </w:tc>
              <w:tc>
                <w:tcPr>
                  <w:tcW w:w="138" w:type="pct"/>
                  <w:vMerge w:val="restart"/>
                  <w:shd w:val="clear" w:color="auto" w:fill="FFFFFF"/>
                  <w:tcMar>
                    <w:top w:w="0" w:type="dxa"/>
                    <w:left w:w="0" w:type="dxa"/>
                    <w:bottom w:w="0" w:type="dxa"/>
                    <w:right w:w="0" w:type="dxa"/>
                  </w:tcMar>
                  <w:vAlign w:val="center"/>
                </w:tcPr>
                <w:p w14:paraId="224387C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206520E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E3E43E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12.5</w:t>
                  </w:r>
                </w:p>
              </w:tc>
              <w:tc>
                <w:tcPr>
                  <w:tcW w:w="156" w:type="pct"/>
                  <w:shd w:val="clear" w:color="auto" w:fill="FFFFFF"/>
                  <w:tcMar>
                    <w:top w:w="0" w:type="dxa"/>
                    <w:left w:w="0" w:type="dxa"/>
                    <w:bottom w:w="0" w:type="dxa"/>
                    <w:right w:w="0" w:type="dxa"/>
                  </w:tcMar>
                  <w:vAlign w:val="center"/>
                </w:tcPr>
                <w:p w14:paraId="6D497BC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87C62C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restart"/>
                  <w:shd w:val="clear" w:color="auto" w:fill="FFFFFF"/>
                  <w:tcMar>
                    <w:top w:w="0" w:type="dxa"/>
                    <w:left w:w="0" w:type="dxa"/>
                    <w:bottom w:w="0" w:type="dxa"/>
                    <w:right w:w="0" w:type="dxa"/>
                  </w:tcMar>
                  <w:vAlign w:val="center"/>
                </w:tcPr>
                <w:p w14:paraId="55063C7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6607839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687F1B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7C651FC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3B9560F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9CC6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EB49D5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6B65255">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3DFF7F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E26884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C04837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1C1F06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AF9139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FDF95A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9500FF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F4DE66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62E1D0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56" w:type="pct"/>
                  <w:shd w:val="clear" w:color="auto" w:fill="FFFFFF"/>
                  <w:tcMar>
                    <w:top w:w="0" w:type="dxa"/>
                    <w:left w:w="0" w:type="dxa"/>
                    <w:bottom w:w="0" w:type="dxa"/>
                    <w:right w:w="0" w:type="dxa"/>
                  </w:tcMar>
                  <w:vAlign w:val="center"/>
                </w:tcPr>
                <w:p w14:paraId="702E498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42E26F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5EA5F4A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CD369AB">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CC554B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257E17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02EB32F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7C0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605F7B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97EFBA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164F82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E093B5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64DDC0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02CBC8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3FF5C3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BEAE77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579DBC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E41F9F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29AC0DF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4.4</w:t>
                  </w:r>
                </w:p>
              </w:tc>
              <w:tc>
                <w:tcPr>
                  <w:tcW w:w="156" w:type="pct"/>
                  <w:shd w:val="clear" w:color="auto" w:fill="FFFFFF"/>
                  <w:tcMar>
                    <w:top w:w="0" w:type="dxa"/>
                    <w:left w:w="0" w:type="dxa"/>
                    <w:bottom w:w="0" w:type="dxa"/>
                    <w:right w:w="0" w:type="dxa"/>
                  </w:tcMar>
                  <w:vAlign w:val="center"/>
                </w:tcPr>
                <w:p w14:paraId="6F7B8CA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0A09981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69.7</w:t>
                  </w:r>
                </w:p>
              </w:tc>
              <w:tc>
                <w:tcPr>
                  <w:tcW w:w="400" w:type="pct"/>
                  <w:vMerge w:val="continue"/>
                  <w:shd w:val="clear" w:color="auto" w:fill="FFFFFF"/>
                  <w:tcMar>
                    <w:top w:w="0" w:type="dxa"/>
                    <w:left w:w="0" w:type="dxa"/>
                    <w:bottom w:w="0" w:type="dxa"/>
                    <w:right w:w="0" w:type="dxa"/>
                  </w:tcMar>
                  <w:vAlign w:val="center"/>
                </w:tcPr>
                <w:p w14:paraId="42E5A807">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FDB68FF">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7C67AD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35BE34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43.7</w:t>
                  </w:r>
                </w:p>
              </w:tc>
              <w:tc>
                <w:tcPr>
                  <w:tcW w:w="284" w:type="pct"/>
                  <w:shd w:val="clear" w:color="auto" w:fill="FFFFFF"/>
                  <w:tcMar>
                    <w:top w:w="0" w:type="dxa"/>
                    <w:left w:w="0" w:type="dxa"/>
                    <w:bottom w:w="0" w:type="dxa"/>
                    <w:right w:w="0" w:type="dxa"/>
                  </w:tcMar>
                  <w:vAlign w:val="center"/>
                </w:tcPr>
                <w:p w14:paraId="46268C7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6DE3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C6093E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9B53A6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59FEA6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098C01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FCA0E3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ABE660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C0FC57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0EA462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93C2F1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FAF316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130164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16.4</w:t>
                  </w:r>
                </w:p>
              </w:tc>
              <w:tc>
                <w:tcPr>
                  <w:tcW w:w="156" w:type="pct"/>
                  <w:shd w:val="clear" w:color="auto" w:fill="FFFFFF"/>
                  <w:tcMar>
                    <w:top w:w="0" w:type="dxa"/>
                    <w:left w:w="0" w:type="dxa"/>
                    <w:bottom w:w="0" w:type="dxa"/>
                    <w:right w:w="0" w:type="dxa"/>
                  </w:tcMar>
                  <w:vAlign w:val="center"/>
                </w:tcPr>
                <w:p w14:paraId="6EF98D9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20460D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0449729F">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70CEDB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ADD068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2C7E4AC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58F2DE6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8887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63D06B1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38</w:t>
                  </w:r>
                </w:p>
              </w:tc>
              <w:tc>
                <w:tcPr>
                  <w:tcW w:w="284" w:type="pct"/>
                  <w:vMerge w:val="continue"/>
                  <w:shd w:val="clear" w:color="auto" w:fill="FFFFFF"/>
                  <w:tcMar>
                    <w:top w:w="0" w:type="dxa"/>
                    <w:left w:w="0" w:type="dxa"/>
                    <w:bottom w:w="0" w:type="dxa"/>
                    <w:right w:w="0" w:type="dxa"/>
                  </w:tcMar>
                  <w:vAlign w:val="center"/>
                </w:tcPr>
                <w:p w14:paraId="72CCE26B">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6B80247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硝酸铵溶液输送泵</w:t>
                  </w:r>
                </w:p>
              </w:tc>
              <w:tc>
                <w:tcPr>
                  <w:tcW w:w="561" w:type="pct"/>
                  <w:vMerge w:val="restart"/>
                  <w:shd w:val="clear" w:color="auto" w:fill="FFFFFF"/>
                  <w:tcMar>
                    <w:top w:w="0" w:type="dxa"/>
                    <w:left w:w="0" w:type="dxa"/>
                    <w:bottom w:w="0" w:type="dxa"/>
                    <w:right w:w="0" w:type="dxa"/>
                  </w:tcMar>
                  <w:vAlign w:val="center"/>
                </w:tcPr>
                <w:p w14:paraId="3367E27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材质304，DN50夹层管道</w:t>
                  </w:r>
                </w:p>
              </w:tc>
              <w:tc>
                <w:tcPr>
                  <w:tcW w:w="450" w:type="pct"/>
                  <w:vMerge w:val="restart"/>
                  <w:shd w:val="clear" w:color="auto" w:fill="FFFFFF"/>
                  <w:tcMar>
                    <w:top w:w="0" w:type="dxa"/>
                    <w:left w:w="0" w:type="dxa"/>
                    <w:bottom w:w="0" w:type="dxa"/>
                    <w:right w:w="0" w:type="dxa"/>
                  </w:tcMar>
                  <w:vAlign w:val="center"/>
                </w:tcPr>
                <w:p w14:paraId="3CAF934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2FDAD5D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6FCD770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70.9</w:t>
                  </w:r>
                </w:p>
              </w:tc>
              <w:tc>
                <w:tcPr>
                  <w:tcW w:w="247" w:type="pct"/>
                  <w:vMerge w:val="restart"/>
                  <w:shd w:val="clear" w:color="auto" w:fill="FFFFFF"/>
                  <w:tcMar>
                    <w:top w:w="0" w:type="dxa"/>
                    <w:left w:w="0" w:type="dxa"/>
                    <w:bottom w:w="0" w:type="dxa"/>
                    <w:right w:w="0" w:type="dxa"/>
                  </w:tcMar>
                  <w:vAlign w:val="center"/>
                </w:tcPr>
                <w:p w14:paraId="44F4E3E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-197.5</w:t>
                  </w:r>
                </w:p>
              </w:tc>
              <w:tc>
                <w:tcPr>
                  <w:tcW w:w="138" w:type="pct"/>
                  <w:vMerge w:val="restart"/>
                  <w:shd w:val="clear" w:color="auto" w:fill="FFFFFF"/>
                  <w:tcMar>
                    <w:top w:w="0" w:type="dxa"/>
                    <w:left w:w="0" w:type="dxa"/>
                    <w:bottom w:w="0" w:type="dxa"/>
                    <w:right w:w="0" w:type="dxa"/>
                  </w:tcMar>
                  <w:vAlign w:val="center"/>
                </w:tcPr>
                <w:p w14:paraId="323F6B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3568CA1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C8713B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8.9</w:t>
                  </w:r>
                </w:p>
              </w:tc>
              <w:tc>
                <w:tcPr>
                  <w:tcW w:w="156" w:type="pct"/>
                  <w:shd w:val="clear" w:color="auto" w:fill="FFFFFF"/>
                  <w:tcMar>
                    <w:top w:w="0" w:type="dxa"/>
                    <w:left w:w="0" w:type="dxa"/>
                    <w:bottom w:w="0" w:type="dxa"/>
                    <w:right w:w="0" w:type="dxa"/>
                  </w:tcMar>
                  <w:vAlign w:val="center"/>
                </w:tcPr>
                <w:p w14:paraId="39288DE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1B657AE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restart"/>
                  <w:shd w:val="clear" w:color="auto" w:fill="FFFFFF"/>
                  <w:tcMar>
                    <w:top w:w="0" w:type="dxa"/>
                    <w:left w:w="0" w:type="dxa"/>
                    <w:bottom w:w="0" w:type="dxa"/>
                    <w:right w:w="0" w:type="dxa"/>
                  </w:tcMar>
                  <w:vAlign w:val="center"/>
                </w:tcPr>
                <w:p w14:paraId="3AF413D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3DCFC1A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D7F5DB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5153FC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2EFEF8D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12C7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392F7E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998FC1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745FF9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0C8A16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B5A51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3E1DDB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35C7E9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DCD6BC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F4AA4A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C87412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1559A0C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w:t>
                  </w:r>
                </w:p>
              </w:tc>
              <w:tc>
                <w:tcPr>
                  <w:tcW w:w="156" w:type="pct"/>
                  <w:shd w:val="clear" w:color="auto" w:fill="FFFFFF"/>
                  <w:tcMar>
                    <w:top w:w="0" w:type="dxa"/>
                    <w:left w:w="0" w:type="dxa"/>
                    <w:bottom w:w="0" w:type="dxa"/>
                    <w:right w:w="0" w:type="dxa"/>
                  </w:tcMar>
                  <w:vAlign w:val="center"/>
                </w:tcPr>
                <w:p w14:paraId="498C0BB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2D6DA72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0BB61F77">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5335AA8">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0BCC77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1986B6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1C61FBE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A33E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701201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398C18F">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2FD10B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F96F1A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428A10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E88435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863667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8D479B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334DCF0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4C3799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369D46C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w:t>
                  </w:r>
                </w:p>
              </w:tc>
              <w:tc>
                <w:tcPr>
                  <w:tcW w:w="156" w:type="pct"/>
                  <w:shd w:val="clear" w:color="auto" w:fill="FFFFFF"/>
                  <w:tcMar>
                    <w:top w:w="0" w:type="dxa"/>
                    <w:left w:w="0" w:type="dxa"/>
                    <w:bottom w:w="0" w:type="dxa"/>
                    <w:right w:w="0" w:type="dxa"/>
                  </w:tcMar>
                  <w:vAlign w:val="center"/>
                </w:tcPr>
                <w:p w14:paraId="770DC5D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CB9F1C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69.6</w:t>
                  </w:r>
                </w:p>
              </w:tc>
              <w:tc>
                <w:tcPr>
                  <w:tcW w:w="400" w:type="pct"/>
                  <w:vMerge w:val="continue"/>
                  <w:shd w:val="clear" w:color="auto" w:fill="FFFFFF"/>
                  <w:tcMar>
                    <w:top w:w="0" w:type="dxa"/>
                    <w:left w:w="0" w:type="dxa"/>
                    <w:bottom w:w="0" w:type="dxa"/>
                    <w:right w:w="0" w:type="dxa"/>
                  </w:tcMar>
                  <w:vAlign w:val="center"/>
                </w:tcPr>
                <w:p w14:paraId="16834CB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2E32A1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A79454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7BD42C5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43.6</w:t>
                  </w:r>
                </w:p>
              </w:tc>
              <w:tc>
                <w:tcPr>
                  <w:tcW w:w="284" w:type="pct"/>
                  <w:shd w:val="clear" w:color="auto" w:fill="FFFFFF"/>
                  <w:tcMar>
                    <w:top w:w="0" w:type="dxa"/>
                    <w:left w:w="0" w:type="dxa"/>
                    <w:bottom w:w="0" w:type="dxa"/>
                    <w:right w:w="0" w:type="dxa"/>
                  </w:tcMar>
                  <w:vAlign w:val="center"/>
                </w:tcPr>
                <w:p w14:paraId="117AD79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F34D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1991BE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DFFD4A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F1D8C3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D07629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700BB2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1B1A17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DC36D3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DEEDDA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47CBF1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971981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25B0B81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24.6</w:t>
                  </w:r>
                </w:p>
              </w:tc>
              <w:tc>
                <w:tcPr>
                  <w:tcW w:w="156" w:type="pct"/>
                  <w:shd w:val="clear" w:color="auto" w:fill="FFFFFF"/>
                  <w:tcMar>
                    <w:top w:w="0" w:type="dxa"/>
                    <w:left w:w="0" w:type="dxa"/>
                    <w:bottom w:w="0" w:type="dxa"/>
                    <w:right w:w="0" w:type="dxa"/>
                  </w:tcMar>
                  <w:vAlign w:val="center"/>
                </w:tcPr>
                <w:p w14:paraId="5D87DD1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442FE6A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69.5</w:t>
                  </w:r>
                </w:p>
              </w:tc>
              <w:tc>
                <w:tcPr>
                  <w:tcW w:w="400" w:type="pct"/>
                  <w:vMerge w:val="continue"/>
                  <w:shd w:val="clear" w:color="auto" w:fill="FFFFFF"/>
                  <w:tcMar>
                    <w:top w:w="0" w:type="dxa"/>
                    <w:left w:w="0" w:type="dxa"/>
                    <w:bottom w:w="0" w:type="dxa"/>
                    <w:right w:w="0" w:type="dxa"/>
                  </w:tcMar>
                  <w:vAlign w:val="center"/>
                </w:tcPr>
                <w:p w14:paraId="6B4C355C">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3BE687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111760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43FC2FE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43.5</w:t>
                  </w:r>
                </w:p>
              </w:tc>
              <w:tc>
                <w:tcPr>
                  <w:tcW w:w="284" w:type="pct"/>
                  <w:shd w:val="clear" w:color="auto" w:fill="FFFFFF"/>
                  <w:tcMar>
                    <w:top w:w="0" w:type="dxa"/>
                    <w:left w:w="0" w:type="dxa"/>
                    <w:bottom w:w="0" w:type="dxa"/>
                    <w:right w:w="0" w:type="dxa"/>
                  </w:tcMar>
                  <w:vAlign w:val="center"/>
                </w:tcPr>
                <w:p w14:paraId="5591972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0AB4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42E393A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39</w:t>
                  </w:r>
                </w:p>
              </w:tc>
              <w:tc>
                <w:tcPr>
                  <w:tcW w:w="284" w:type="pct"/>
                  <w:vMerge w:val="restart"/>
                  <w:shd w:val="clear" w:color="auto" w:fill="FFFFFF"/>
                  <w:tcMar>
                    <w:top w:w="0" w:type="dxa"/>
                    <w:left w:w="0" w:type="dxa"/>
                    <w:bottom w:w="0" w:type="dxa"/>
                    <w:right w:w="0" w:type="dxa"/>
                  </w:tcMar>
                  <w:vAlign w:val="center"/>
                </w:tcPr>
                <w:p w14:paraId="4790AFE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乳化炸药生产工房</w:t>
                  </w:r>
                </w:p>
              </w:tc>
              <w:tc>
                <w:tcPr>
                  <w:tcW w:w="292" w:type="pct"/>
                  <w:vMerge w:val="restart"/>
                  <w:shd w:val="clear" w:color="auto" w:fill="FFFFFF"/>
                  <w:tcMar>
                    <w:top w:w="0" w:type="dxa"/>
                    <w:left w:w="0" w:type="dxa"/>
                    <w:bottom w:w="0" w:type="dxa"/>
                    <w:right w:w="0" w:type="dxa"/>
                  </w:tcMar>
                  <w:vAlign w:val="center"/>
                </w:tcPr>
                <w:p w14:paraId="778B1B6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水相输送泵</w:t>
                  </w:r>
                </w:p>
              </w:tc>
              <w:tc>
                <w:tcPr>
                  <w:tcW w:w="561" w:type="pct"/>
                  <w:vMerge w:val="restart"/>
                  <w:shd w:val="clear" w:color="auto" w:fill="FFFFFF"/>
                  <w:tcMar>
                    <w:top w:w="0" w:type="dxa"/>
                    <w:left w:w="0" w:type="dxa"/>
                    <w:bottom w:w="0" w:type="dxa"/>
                    <w:right w:w="0" w:type="dxa"/>
                  </w:tcMar>
                  <w:vAlign w:val="center"/>
                </w:tcPr>
                <w:p w14:paraId="31FEEEF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非标，6t/h</w:t>
                  </w:r>
                </w:p>
              </w:tc>
              <w:tc>
                <w:tcPr>
                  <w:tcW w:w="450" w:type="pct"/>
                  <w:vMerge w:val="restart"/>
                  <w:shd w:val="clear" w:color="auto" w:fill="FFFFFF"/>
                  <w:tcMar>
                    <w:top w:w="0" w:type="dxa"/>
                    <w:left w:w="0" w:type="dxa"/>
                    <w:bottom w:w="0" w:type="dxa"/>
                    <w:right w:w="0" w:type="dxa"/>
                  </w:tcMar>
                  <w:vAlign w:val="center"/>
                </w:tcPr>
                <w:p w14:paraId="20A1FD6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0C6AD22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1C8798E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14.1</w:t>
                  </w:r>
                </w:p>
              </w:tc>
              <w:tc>
                <w:tcPr>
                  <w:tcW w:w="247" w:type="pct"/>
                  <w:vMerge w:val="restart"/>
                  <w:shd w:val="clear" w:color="auto" w:fill="FFFFFF"/>
                  <w:tcMar>
                    <w:top w:w="0" w:type="dxa"/>
                    <w:left w:w="0" w:type="dxa"/>
                    <w:bottom w:w="0" w:type="dxa"/>
                    <w:right w:w="0" w:type="dxa"/>
                  </w:tcMar>
                  <w:vAlign w:val="center"/>
                </w:tcPr>
                <w:p w14:paraId="1E02B86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-272.4</w:t>
                  </w:r>
                </w:p>
              </w:tc>
              <w:tc>
                <w:tcPr>
                  <w:tcW w:w="138" w:type="pct"/>
                  <w:vMerge w:val="restart"/>
                  <w:shd w:val="clear" w:color="auto" w:fill="FFFFFF"/>
                  <w:tcMar>
                    <w:top w:w="0" w:type="dxa"/>
                    <w:left w:w="0" w:type="dxa"/>
                    <w:bottom w:w="0" w:type="dxa"/>
                    <w:right w:w="0" w:type="dxa"/>
                  </w:tcMar>
                  <w:vAlign w:val="center"/>
                </w:tcPr>
                <w:p w14:paraId="7BBA43BC">
                  <w:pPr>
                    <w:pStyle w:val="6"/>
                    <w:bidi w:val="0"/>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0.5</w:t>
                  </w:r>
                </w:p>
              </w:tc>
              <w:tc>
                <w:tcPr>
                  <w:tcW w:w="188" w:type="pct"/>
                  <w:shd w:val="clear" w:color="auto" w:fill="FFFFFF"/>
                  <w:tcMar>
                    <w:top w:w="0" w:type="dxa"/>
                    <w:left w:w="0" w:type="dxa"/>
                    <w:bottom w:w="0" w:type="dxa"/>
                    <w:right w:w="0" w:type="dxa"/>
                  </w:tcMar>
                  <w:vAlign w:val="center"/>
                </w:tcPr>
                <w:p w14:paraId="3DD56A0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36A9DC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12.1</w:t>
                  </w:r>
                </w:p>
              </w:tc>
              <w:tc>
                <w:tcPr>
                  <w:tcW w:w="156" w:type="pct"/>
                  <w:shd w:val="clear" w:color="auto" w:fill="FFFFFF"/>
                  <w:tcMar>
                    <w:top w:w="0" w:type="dxa"/>
                    <w:left w:w="0" w:type="dxa"/>
                    <w:bottom w:w="0" w:type="dxa"/>
                    <w:right w:w="0" w:type="dxa"/>
                  </w:tcMar>
                  <w:vAlign w:val="center"/>
                </w:tcPr>
                <w:p w14:paraId="059B8A3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2BC3283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66.2</w:t>
                  </w:r>
                </w:p>
              </w:tc>
              <w:tc>
                <w:tcPr>
                  <w:tcW w:w="400" w:type="pct"/>
                  <w:vMerge w:val="restart"/>
                  <w:shd w:val="clear" w:color="auto" w:fill="FFFFFF"/>
                  <w:tcMar>
                    <w:top w:w="0" w:type="dxa"/>
                    <w:left w:w="0" w:type="dxa"/>
                    <w:bottom w:w="0" w:type="dxa"/>
                    <w:right w:w="0" w:type="dxa"/>
                  </w:tcMar>
                  <w:vAlign w:val="center"/>
                </w:tcPr>
                <w:p w14:paraId="10E7941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7581370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7166230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B8AF28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284" w:type="pct"/>
                  <w:shd w:val="clear" w:color="auto" w:fill="FFFFFF"/>
                  <w:tcMar>
                    <w:top w:w="0" w:type="dxa"/>
                    <w:left w:w="0" w:type="dxa"/>
                    <w:bottom w:w="0" w:type="dxa"/>
                    <w:right w:w="0" w:type="dxa"/>
                  </w:tcMar>
                  <w:vAlign w:val="center"/>
                </w:tcPr>
                <w:p w14:paraId="0C4691C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4338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9CCCE1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679452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629B2EC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AEF553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E6A923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74FE80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0A0F15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76E977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70F0E4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A62A05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2072B73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10.5</w:t>
                  </w:r>
                </w:p>
              </w:tc>
              <w:tc>
                <w:tcPr>
                  <w:tcW w:w="156" w:type="pct"/>
                  <w:shd w:val="clear" w:color="auto" w:fill="FFFFFF"/>
                  <w:tcMar>
                    <w:top w:w="0" w:type="dxa"/>
                    <w:left w:w="0" w:type="dxa"/>
                    <w:bottom w:w="0" w:type="dxa"/>
                    <w:right w:w="0" w:type="dxa"/>
                  </w:tcMar>
                  <w:vAlign w:val="center"/>
                </w:tcPr>
                <w:p w14:paraId="00F7654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70D96D5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66.2</w:t>
                  </w:r>
                </w:p>
              </w:tc>
              <w:tc>
                <w:tcPr>
                  <w:tcW w:w="400" w:type="pct"/>
                  <w:vMerge w:val="continue"/>
                  <w:shd w:val="clear" w:color="auto" w:fill="FFFFFF"/>
                  <w:tcMar>
                    <w:top w:w="0" w:type="dxa"/>
                    <w:left w:w="0" w:type="dxa"/>
                    <w:bottom w:w="0" w:type="dxa"/>
                    <w:right w:w="0" w:type="dxa"/>
                  </w:tcMar>
                  <w:vAlign w:val="center"/>
                </w:tcPr>
                <w:p w14:paraId="4254144C">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10D6DB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AD7030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81CE29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284" w:type="pct"/>
                  <w:shd w:val="clear" w:color="auto" w:fill="FFFFFF"/>
                  <w:tcMar>
                    <w:top w:w="0" w:type="dxa"/>
                    <w:left w:w="0" w:type="dxa"/>
                    <w:bottom w:w="0" w:type="dxa"/>
                    <w:right w:w="0" w:type="dxa"/>
                  </w:tcMar>
                  <w:vAlign w:val="center"/>
                </w:tcPr>
                <w:p w14:paraId="25EEFF5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12A9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2CA539D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1C8899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1ED5F65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4AF7D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C7027E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46AE6BD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D7BE79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2523CA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E1D68C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452D993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4085838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56" w:type="pct"/>
                  <w:shd w:val="clear" w:color="auto" w:fill="FFFFFF"/>
                  <w:tcMar>
                    <w:top w:w="0" w:type="dxa"/>
                    <w:left w:w="0" w:type="dxa"/>
                    <w:bottom w:w="0" w:type="dxa"/>
                    <w:right w:w="0" w:type="dxa"/>
                  </w:tcMar>
                  <w:vAlign w:val="center"/>
                </w:tcPr>
                <w:p w14:paraId="1CA03E0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6C1DA4A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66.6</w:t>
                  </w:r>
                </w:p>
              </w:tc>
              <w:tc>
                <w:tcPr>
                  <w:tcW w:w="400" w:type="pct"/>
                  <w:vMerge w:val="continue"/>
                  <w:shd w:val="clear" w:color="auto" w:fill="FFFFFF"/>
                  <w:tcMar>
                    <w:top w:w="0" w:type="dxa"/>
                    <w:left w:w="0" w:type="dxa"/>
                    <w:bottom w:w="0" w:type="dxa"/>
                    <w:right w:w="0" w:type="dxa"/>
                  </w:tcMar>
                  <w:vAlign w:val="center"/>
                </w:tcPr>
                <w:p w14:paraId="3754A5B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739D05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5D3683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52FA474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40.6</w:t>
                  </w:r>
                </w:p>
              </w:tc>
              <w:tc>
                <w:tcPr>
                  <w:tcW w:w="284" w:type="pct"/>
                  <w:shd w:val="clear" w:color="auto" w:fill="FFFFFF"/>
                  <w:tcMar>
                    <w:top w:w="0" w:type="dxa"/>
                    <w:left w:w="0" w:type="dxa"/>
                    <w:bottom w:w="0" w:type="dxa"/>
                    <w:right w:w="0" w:type="dxa"/>
                  </w:tcMar>
                  <w:vAlign w:val="center"/>
                </w:tcPr>
                <w:p w14:paraId="6D5F1DF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92E9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07C2EE4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48E03B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523850E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1CFC24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5C877E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DE08AB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7164D0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550FD5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CECA33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44D199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035EF7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156" w:type="pct"/>
                  <w:shd w:val="clear" w:color="auto" w:fill="FFFFFF"/>
                  <w:tcMar>
                    <w:top w:w="0" w:type="dxa"/>
                    <w:left w:w="0" w:type="dxa"/>
                    <w:bottom w:w="0" w:type="dxa"/>
                    <w:right w:w="0" w:type="dxa"/>
                  </w:tcMar>
                  <w:vAlign w:val="center"/>
                </w:tcPr>
                <w:p w14:paraId="4F5456D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1166DB3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66.1</w:t>
                  </w:r>
                </w:p>
              </w:tc>
              <w:tc>
                <w:tcPr>
                  <w:tcW w:w="400" w:type="pct"/>
                  <w:vMerge w:val="continue"/>
                  <w:shd w:val="clear" w:color="auto" w:fill="FFFFFF"/>
                  <w:tcMar>
                    <w:top w:w="0" w:type="dxa"/>
                    <w:left w:w="0" w:type="dxa"/>
                    <w:bottom w:w="0" w:type="dxa"/>
                    <w:right w:w="0" w:type="dxa"/>
                  </w:tcMar>
                  <w:vAlign w:val="center"/>
                </w:tcPr>
                <w:p w14:paraId="42C37562">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D0F3B1E">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5F76DE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0989712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40.1</w:t>
                  </w:r>
                </w:p>
              </w:tc>
              <w:tc>
                <w:tcPr>
                  <w:tcW w:w="284" w:type="pct"/>
                  <w:shd w:val="clear" w:color="auto" w:fill="FFFFFF"/>
                  <w:tcMar>
                    <w:top w:w="0" w:type="dxa"/>
                    <w:left w:w="0" w:type="dxa"/>
                    <w:bottom w:w="0" w:type="dxa"/>
                    <w:right w:w="0" w:type="dxa"/>
                  </w:tcMar>
                  <w:vAlign w:val="center"/>
                </w:tcPr>
                <w:p w14:paraId="07AD842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F6E3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4E724FF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40</w:t>
                  </w:r>
                </w:p>
              </w:tc>
              <w:tc>
                <w:tcPr>
                  <w:tcW w:w="284" w:type="pct"/>
                  <w:vMerge w:val="continue"/>
                  <w:shd w:val="clear" w:color="auto" w:fill="FFFFFF"/>
                  <w:tcMar>
                    <w:top w:w="0" w:type="dxa"/>
                    <w:left w:w="0" w:type="dxa"/>
                    <w:bottom w:w="0" w:type="dxa"/>
                    <w:right w:w="0" w:type="dxa"/>
                  </w:tcMar>
                  <w:vAlign w:val="center"/>
                </w:tcPr>
                <w:p w14:paraId="74909373">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2A017B4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油相中间输送泵</w:t>
                  </w:r>
                </w:p>
              </w:tc>
              <w:tc>
                <w:tcPr>
                  <w:tcW w:w="561" w:type="pct"/>
                  <w:vMerge w:val="restart"/>
                  <w:shd w:val="clear" w:color="auto" w:fill="FFFFFF"/>
                  <w:tcMar>
                    <w:top w:w="0" w:type="dxa"/>
                    <w:left w:w="0" w:type="dxa"/>
                    <w:bottom w:w="0" w:type="dxa"/>
                    <w:right w:w="0" w:type="dxa"/>
                  </w:tcMar>
                  <w:vAlign w:val="center"/>
                </w:tcPr>
                <w:p w14:paraId="537B368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非标，1t/h</w:t>
                  </w:r>
                </w:p>
              </w:tc>
              <w:tc>
                <w:tcPr>
                  <w:tcW w:w="450" w:type="pct"/>
                  <w:vMerge w:val="restart"/>
                  <w:shd w:val="clear" w:color="auto" w:fill="FFFFFF"/>
                  <w:tcMar>
                    <w:top w:w="0" w:type="dxa"/>
                    <w:left w:w="0" w:type="dxa"/>
                    <w:bottom w:w="0" w:type="dxa"/>
                    <w:right w:w="0" w:type="dxa"/>
                  </w:tcMar>
                  <w:vAlign w:val="center"/>
                </w:tcPr>
                <w:p w14:paraId="35781AE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4465EF8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9AC160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21.5</w:t>
                  </w:r>
                </w:p>
              </w:tc>
              <w:tc>
                <w:tcPr>
                  <w:tcW w:w="247" w:type="pct"/>
                  <w:vMerge w:val="restart"/>
                  <w:shd w:val="clear" w:color="auto" w:fill="FFFFFF"/>
                  <w:tcMar>
                    <w:top w:w="0" w:type="dxa"/>
                    <w:left w:w="0" w:type="dxa"/>
                    <w:bottom w:w="0" w:type="dxa"/>
                    <w:right w:w="0" w:type="dxa"/>
                  </w:tcMar>
                  <w:vAlign w:val="center"/>
                </w:tcPr>
                <w:p w14:paraId="26FA0A1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-271.5</w:t>
                  </w:r>
                </w:p>
              </w:tc>
              <w:tc>
                <w:tcPr>
                  <w:tcW w:w="138" w:type="pct"/>
                  <w:vMerge w:val="restart"/>
                  <w:shd w:val="clear" w:color="auto" w:fill="FFFFFF"/>
                  <w:tcMar>
                    <w:top w:w="0" w:type="dxa"/>
                    <w:left w:w="0" w:type="dxa"/>
                    <w:bottom w:w="0" w:type="dxa"/>
                    <w:right w:w="0" w:type="dxa"/>
                  </w:tcMar>
                  <w:vAlign w:val="center"/>
                </w:tcPr>
                <w:p w14:paraId="2C35438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3F69A87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6CD6B6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w:t>
                  </w:r>
                </w:p>
              </w:tc>
              <w:tc>
                <w:tcPr>
                  <w:tcW w:w="156" w:type="pct"/>
                  <w:shd w:val="clear" w:color="auto" w:fill="FFFFFF"/>
                  <w:tcMar>
                    <w:top w:w="0" w:type="dxa"/>
                    <w:left w:w="0" w:type="dxa"/>
                    <w:bottom w:w="0" w:type="dxa"/>
                    <w:right w:w="0" w:type="dxa"/>
                  </w:tcMar>
                  <w:vAlign w:val="center"/>
                </w:tcPr>
                <w:p w14:paraId="09713D3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40D5B4F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66.3</w:t>
                  </w:r>
                </w:p>
              </w:tc>
              <w:tc>
                <w:tcPr>
                  <w:tcW w:w="400" w:type="pct"/>
                  <w:vMerge w:val="restart"/>
                  <w:shd w:val="clear" w:color="auto" w:fill="FFFFFF"/>
                  <w:tcMar>
                    <w:top w:w="0" w:type="dxa"/>
                    <w:left w:w="0" w:type="dxa"/>
                    <w:bottom w:w="0" w:type="dxa"/>
                    <w:right w:w="0" w:type="dxa"/>
                  </w:tcMar>
                  <w:vAlign w:val="center"/>
                </w:tcPr>
                <w:p w14:paraId="636D1AF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52AF52D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101FCC6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3048C46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40.3</w:t>
                  </w:r>
                </w:p>
              </w:tc>
              <w:tc>
                <w:tcPr>
                  <w:tcW w:w="284" w:type="pct"/>
                  <w:shd w:val="clear" w:color="auto" w:fill="FFFFFF"/>
                  <w:tcMar>
                    <w:top w:w="0" w:type="dxa"/>
                    <w:left w:w="0" w:type="dxa"/>
                    <w:bottom w:w="0" w:type="dxa"/>
                    <w:right w:w="0" w:type="dxa"/>
                  </w:tcMar>
                  <w:vAlign w:val="center"/>
                </w:tcPr>
                <w:p w14:paraId="579B883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14F0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B948F8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4BF0B1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0F34B3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B49591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7BFC4C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019650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D9FAC3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DA4AAE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250326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65EDC7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61FA0F7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5.9</w:t>
                  </w:r>
                </w:p>
              </w:tc>
              <w:tc>
                <w:tcPr>
                  <w:tcW w:w="156" w:type="pct"/>
                  <w:shd w:val="clear" w:color="auto" w:fill="FFFFFF"/>
                  <w:tcMar>
                    <w:top w:w="0" w:type="dxa"/>
                    <w:left w:w="0" w:type="dxa"/>
                    <w:bottom w:w="0" w:type="dxa"/>
                    <w:right w:w="0" w:type="dxa"/>
                  </w:tcMar>
                  <w:vAlign w:val="center"/>
                </w:tcPr>
                <w:p w14:paraId="680BBD5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3BFD4A7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66.3</w:t>
                  </w:r>
                </w:p>
              </w:tc>
              <w:tc>
                <w:tcPr>
                  <w:tcW w:w="400" w:type="pct"/>
                  <w:vMerge w:val="continue"/>
                  <w:shd w:val="clear" w:color="auto" w:fill="FFFFFF"/>
                  <w:tcMar>
                    <w:top w:w="0" w:type="dxa"/>
                    <w:left w:w="0" w:type="dxa"/>
                    <w:bottom w:w="0" w:type="dxa"/>
                    <w:right w:w="0" w:type="dxa"/>
                  </w:tcMar>
                  <w:vAlign w:val="center"/>
                </w:tcPr>
                <w:p w14:paraId="73F2986C">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15F74B8">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970FC9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28B6A83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40.3</w:t>
                  </w:r>
                </w:p>
              </w:tc>
              <w:tc>
                <w:tcPr>
                  <w:tcW w:w="284" w:type="pct"/>
                  <w:shd w:val="clear" w:color="auto" w:fill="FFFFFF"/>
                  <w:tcMar>
                    <w:top w:w="0" w:type="dxa"/>
                    <w:left w:w="0" w:type="dxa"/>
                    <w:bottom w:w="0" w:type="dxa"/>
                    <w:right w:w="0" w:type="dxa"/>
                  </w:tcMar>
                  <w:vAlign w:val="center"/>
                </w:tcPr>
                <w:p w14:paraId="7BA5844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4B6A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0DFA6A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793580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593BBE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E32BE2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B6BA22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8A0B06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A27BD7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5CCFD7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ED088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5D9F25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71F2ADD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8.8</w:t>
                  </w:r>
                </w:p>
              </w:tc>
              <w:tc>
                <w:tcPr>
                  <w:tcW w:w="156" w:type="pct"/>
                  <w:shd w:val="clear" w:color="auto" w:fill="FFFFFF"/>
                  <w:tcMar>
                    <w:top w:w="0" w:type="dxa"/>
                    <w:left w:w="0" w:type="dxa"/>
                    <w:bottom w:w="0" w:type="dxa"/>
                    <w:right w:w="0" w:type="dxa"/>
                  </w:tcMar>
                  <w:vAlign w:val="center"/>
                </w:tcPr>
                <w:p w14:paraId="36294B4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62F626C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66.2</w:t>
                  </w:r>
                </w:p>
              </w:tc>
              <w:tc>
                <w:tcPr>
                  <w:tcW w:w="400" w:type="pct"/>
                  <w:vMerge w:val="continue"/>
                  <w:shd w:val="clear" w:color="auto" w:fill="FFFFFF"/>
                  <w:tcMar>
                    <w:top w:w="0" w:type="dxa"/>
                    <w:left w:w="0" w:type="dxa"/>
                    <w:bottom w:w="0" w:type="dxa"/>
                    <w:right w:w="0" w:type="dxa"/>
                  </w:tcMar>
                  <w:vAlign w:val="center"/>
                </w:tcPr>
                <w:p w14:paraId="3DE9854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085CA2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054AA1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57D821E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284" w:type="pct"/>
                  <w:shd w:val="clear" w:color="auto" w:fill="FFFFFF"/>
                  <w:tcMar>
                    <w:top w:w="0" w:type="dxa"/>
                    <w:left w:w="0" w:type="dxa"/>
                    <w:bottom w:w="0" w:type="dxa"/>
                    <w:right w:w="0" w:type="dxa"/>
                  </w:tcMar>
                  <w:vAlign w:val="center"/>
                </w:tcPr>
                <w:p w14:paraId="4DC61CA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DCCA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72AC03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B646735">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82F76A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75F8FF1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7E6967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872D73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81DE9D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0DBB47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365ECF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1091A3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6EEE3C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72.2</w:t>
                  </w:r>
                </w:p>
              </w:tc>
              <w:tc>
                <w:tcPr>
                  <w:tcW w:w="156" w:type="pct"/>
                  <w:shd w:val="clear" w:color="auto" w:fill="FFFFFF"/>
                  <w:tcMar>
                    <w:top w:w="0" w:type="dxa"/>
                    <w:left w:w="0" w:type="dxa"/>
                    <w:bottom w:w="0" w:type="dxa"/>
                    <w:right w:w="0" w:type="dxa"/>
                  </w:tcMar>
                  <w:vAlign w:val="center"/>
                </w:tcPr>
                <w:p w14:paraId="59C3285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6606DC1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66.1</w:t>
                  </w:r>
                </w:p>
              </w:tc>
              <w:tc>
                <w:tcPr>
                  <w:tcW w:w="400" w:type="pct"/>
                  <w:vMerge w:val="continue"/>
                  <w:shd w:val="clear" w:color="auto" w:fill="FFFFFF"/>
                  <w:tcMar>
                    <w:top w:w="0" w:type="dxa"/>
                    <w:left w:w="0" w:type="dxa"/>
                    <w:bottom w:w="0" w:type="dxa"/>
                    <w:right w:w="0" w:type="dxa"/>
                  </w:tcMar>
                  <w:vAlign w:val="center"/>
                </w:tcPr>
                <w:p w14:paraId="440D636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A466C3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D3D60A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397B824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40.1</w:t>
                  </w:r>
                </w:p>
              </w:tc>
              <w:tc>
                <w:tcPr>
                  <w:tcW w:w="284" w:type="pct"/>
                  <w:shd w:val="clear" w:color="auto" w:fill="FFFFFF"/>
                  <w:tcMar>
                    <w:top w:w="0" w:type="dxa"/>
                    <w:left w:w="0" w:type="dxa"/>
                    <w:bottom w:w="0" w:type="dxa"/>
                    <w:right w:w="0" w:type="dxa"/>
                  </w:tcMar>
                  <w:vAlign w:val="center"/>
                </w:tcPr>
                <w:p w14:paraId="21A162C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8DE6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621" w:hRule="atLeast"/>
                <w:jc w:val="center"/>
              </w:trPr>
              <w:tc>
                <w:tcPr>
                  <w:tcW w:w="182" w:type="pct"/>
                  <w:vMerge w:val="restart"/>
                  <w:shd w:val="clear" w:color="auto" w:fill="FFFFFF"/>
                  <w:tcMar>
                    <w:top w:w="0" w:type="dxa"/>
                    <w:left w:w="0" w:type="dxa"/>
                    <w:bottom w:w="0" w:type="dxa"/>
                    <w:right w:w="0" w:type="dxa"/>
                  </w:tcMar>
                  <w:vAlign w:val="center"/>
                </w:tcPr>
                <w:p w14:paraId="320E1FE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41</w:t>
                  </w:r>
                </w:p>
              </w:tc>
              <w:tc>
                <w:tcPr>
                  <w:tcW w:w="284" w:type="pct"/>
                  <w:vMerge w:val="continue"/>
                  <w:shd w:val="clear" w:color="auto" w:fill="FFFFFF"/>
                  <w:tcMar>
                    <w:top w:w="0" w:type="dxa"/>
                    <w:left w:w="0" w:type="dxa"/>
                    <w:bottom w:w="0" w:type="dxa"/>
                    <w:right w:w="0" w:type="dxa"/>
                  </w:tcMar>
                  <w:vAlign w:val="center"/>
                </w:tcPr>
                <w:p w14:paraId="7F8B9588">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1AEDCF5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油相输送泵</w:t>
                  </w:r>
                </w:p>
              </w:tc>
              <w:tc>
                <w:tcPr>
                  <w:tcW w:w="561" w:type="pct"/>
                  <w:vMerge w:val="restart"/>
                  <w:shd w:val="clear" w:color="auto" w:fill="FFFFFF"/>
                  <w:tcMar>
                    <w:top w:w="0" w:type="dxa"/>
                    <w:left w:w="0" w:type="dxa"/>
                    <w:bottom w:w="0" w:type="dxa"/>
                    <w:right w:w="0" w:type="dxa"/>
                  </w:tcMar>
                  <w:vAlign w:val="center"/>
                </w:tcPr>
                <w:p w14:paraId="2CA9D9A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非标，1t/h</w:t>
                  </w:r>
                </w:p>
              </w:tc>
              <w:tc>
                <w:tcPr>
                  <w:tcW w:w="450" w:type="pct"/>
                  <w:vMerge w:val="restart"/>
                  <w:shd w:val="clear" w:color="auto" w:fill="FFFFFF"/>
                  <w:tcMar>
                    <w:top w:w="0" w:type="dxa"/>
                    <w:left w:w="0" w:type="dxa"/>
                    <w:bottom w:w="0" w:type="dxa"/>
                    <w:right w:w="0" w:type="dxa"/>
                  </w:tcMar>
                  <w:vAlign w:val="center"/>
                </w:tcPr>
                <w:p w14:paraId="689D6FD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0B746C1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567995C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14.6</w:t>
                  </w:r>
                </w:p>
              </w:tc>
              <w:tc>
                <w:tcPr>
                  <w:tcW w:w="247" w:type="pct"/>
                  <w:vMerge w:val="restart"/>
                  <w:shd w:val="clear" w:color="auto" w:fill="FFFFFF"/>
                  <w:tcMar>
                    <w:top w:w="0" w:type="dxa"/>
                    <w:left w:w="0" w:type="dxa"/>
                    <w:bottom w:w="0" w:type="dxa"/>
                    <w:right w:w="0" w:type="dxa"/>
                  </w:tcMar>
                  <w:vAlign w:val="center"/>
                </w:tcPr>
                <w:p w14:paraId="73F89BD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-280</w:t>
                  </w:r>
                </w:p>
              </w:tc>
              <w:tc>
                <w:tcPr>
                  <w:tcW w:w="138" w:type="pct"/>
                  <w:vMerge w:val="restart"/>
                  <w:shd w:val="clear" w:color="auto" w:fill="FFFFFF"/>
                  <w:tcMar>
                    <w:top w:w="0" w:type="dxa"/>
                    <w:left w:w="0" w:type="dxa"/>
                    <w:bottom w:w="0" w:type="dxa"/>
                    <w:right w:w="0" w:type="dxa"/>
                  </w:tcMar>
                  <w:vAlign w:val="center"/>
                </w:tcPr>
                <w:p w14:paraId="070083D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77EA7BC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34EB82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17.7</w:t>
                  </w:r>
                </w:p>
              </w:tc>
              <w:tc>
                <w:tcPr>
                  <w:tcW w:w="156" w:type="pct"/>
                  <w:shd w:val="clear" w:color="auto" w:fill="FFFFFF"/>
                  <w:tcMar>
                    <w:top w:w="0" w:type="dxa"/>
                    <w:left w:w="0" w:type="dxa"/>
                    <w:bottom w:w="0" w:type="dxa"/>
                    <w:right w:w="0" w:type="dxa"/>
                  </w:tcMar>
                  <w:vAlign w:val="center"/>
                </w:tcPr>
                <w:p w14:paraId="7AD2575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EB4B36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66.1</w:t>
                  </w:r>
                </w:p>
              </w:tc>
              <w:tc>
                <w:tcPr>
                  <w:tcW w:w="400" w:type="pct"/>
                  <w:vMerge w:val="restart"/>
                  <w:shd w:val="clear" w:color="auto" w:fill="FFFFFF"/>
                  <w:tcMar>
                    <w:top w:w="0" w:type="dxa"/>
                    <w:left w:w="0" w:type="dxa"/>
                    <w:bottom w:w="0" w:type="dxa"/>
                    <w:right w:w="0" w:type="dxa"/>
                  </w:tcMar>
                  <w:vAlign w:val="center"/>
                </w:tcPr>
                <w:p w14:paraId="5C3E547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67E843B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2346563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BFFD29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40.1</w:t>
                  </w:r>
                </w:p>
              </w:tc>
              <w:tc>
                <w:tcPr>
                  <w:tcW w:w="284" w:type="pct"/>
                  <w:shd w:val="clear" w:color="auto" w:fill="FFFFFF"/>
                  <w:tcMar>
                    <w:top w:w="0" w:type="dxa"/>
                    <w:left w:w="0" w:type="dxa"/>
                    <w:bottom w:w="0" w:type="dxa"/>
                    <w:right w:w="0" w:type="dxa"/>
                  </w:tcMar>
                  <w:vAlign w:val="center"/>
                </w:tcPr>
                <w:p w14:paraId="7C5C90E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7F7A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55B24B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DB63EA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593C15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BE81A8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0D471D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CB1E51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D2FC67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BD12F9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FD6B46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F05E6C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11D15AA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4.8</w:t>
                  </w:r>
                </w:p>
              </w:tc>
              <w:tc>
                <w:tcPr>
                  <w:tcW w:w="156" w:type="pct"/>
                  <w:shd w:val="clear" w:color="auto" w:fill="FFFFFF"/>
                  <w:tcMar>
                    <w:top w:w="0" w:type="dxa"/>
                    <w:left w:w="0" w:type="dxa"/>
                    <w:bottom w:w="0" w:type="dxa"/>
                    <w:right w:w="0" w:type="dxa"/>
                  </w:tcMar>
                  <w:vAlign w:val="center"/>
                </w:tcPr>
                <w:p w14:paraId="4443184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2DDACC5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66.5</w:t>
                  </w:r>
                </w:p>
              </w:tc>
              <w:tc>
                <w:tcPr>
                  <w:tcW w:w="400" w:type="pct"/>
                  <w:vMerge w:val="continue"/>
                  <w:shd w:val="clear" w:color="auto" w:fill="FFFFFF"/>
                  <w:tcMar>
                    <w:top w:w="0" w:type="dxa"/>
                    <w:left w:w="0" w:type="dxa"/>
                    <w:bottom w:w="0" w:type="dxa"/>
                    <w:right w:w="0" w:type="dxa"/>
                  </w:tcMar>
                  <w:vAlign w:val="center"/>
                </w:tcPr>
                <w:p w14:paraId="113D697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57344C8">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3109AD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1A3F4F8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40.5</w:t>
                  </w:r>
                </w:p>
              </w:tc>
              <w:tc>
                <w:tcPr>
                  <w:tcW w:w="284" w:type="pct"/>
                  <w:shd w:val="clear" w:color="auto" w:fill="FFFFFF"/>
                  <w:tcMar>
                    <w:top w:w="0" w:type="dxa"/>
                    <w:left w:w="0" w:type="dxa"/>
                    <w:bottom w:w="0" w:type="dxa"/>
                    <w:right w:w="0" w:type="dxa"/>
                  </w:tcMar>
                  <w:vAlign w:val="center"/>
                </w:tcPr>
                <w:p w14:paraId="0A24E47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D4ED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443C58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79EA4F5F">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6A5AA6F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2F932F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511412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F38C14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AAE92F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5CC96D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ABE9C1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196BBD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6A0DFD6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9.9</w:t>
                  </w:r>
                </w:p>
              </w:tc>
              <w:tc>
                <w:tcPr>
                  <w:tcW w:w="156" w:type="pct"/>
                  <w:shd w:val="clear" w:color="auto" w:fill="FFFFFF"/>
                  <w:tcMar>
                    <w:top w:w="0" w:type="dxa"/>
                    <w:left w:w="0" w:type="dxa"/>
                    <w:bottom w:w="0" w:type="dxa"/>
                    <w:right w:w="0" w:type="dxa"/>
                  </w:tcMar>
                  <w:vAlign w:val="center"/>
                </w:tcPr>
                <w:p w14:paraId="620E915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616751E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66.2</w:t>
                  </w:r>
                </w:p>
              </w:tc>
              <w:tc>
                <w:tcPr>
                  <w:tcW w:w="400" w:type="pct"/>
                  <w:vMerge w:val="continue"/>
                  <w:shd w:val="clear" w:color="auto" w:fill="FFFFFF"/>
                  <w:tcMar>
                    <w:top w:w="0" w:type="dxa"/>
                    <w:left w:w="0" w:type="dxa"/>
                    <w:bottom w:w="0" w:type="dxa"/>
                    <w:right w:w="0" w:type="dxa"/>
                  </w:tcMar>
                  <w:vAlign w:val="center"/>
                </w:tcPr>
                <w:p w14:paraId="4186CEC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313A28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102A0A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1A1718A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284" w:type="pct"/>
                  <w:shd w:val="clear" w:color="auto" w:fill="FFFFFF"/>
                  <w:tcMar>
                    <w:top w:w="0" w:type="dxa"/>
                    <w:left w:w="0" w:type="dxa"/>
                    <w:bottom w:w="0" w:type="dxa"/>
                    <w:right w:w="0" w:type="dxa"/>
                  </w:tcMar>
                  <w:vAlign w:val="center"/>
                </w:tcPr>
                <w:p w14:paraId="368DDD9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36BD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638429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3D4F62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7D94A2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44716C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CD7CA1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E4E13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38F52E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36ADBE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5C1498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95A941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2F20FC1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61.3</w:t>
                  </w:r>
                </w:p>
              </w:tc>
              <w:tc>
                <w:tcPr>
                  <w:tcW w:w="156" w:type="pct"/>
                  <w:shd w:val="clear" w:color="auto" w:fill="FFFFFF"/>
                  <w:tcMar>
                    <w:top w:w="0" w:type="dxa"/>
                    <w:left w:w="0" w:type="dxa"/>
                    <w:bottom w:w="0" w:type="dxa"/>
                    <w:right w:w="0" w:type="dxa"/>
                  </w:tcMar>
                  <w:vAlign w:val="center"/>
                </w:tcPr>
                <w:p w14:paraId="0A53B6CD">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3929C99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66.1</w:t>
                  </w:r>
                </w:p>
              </w:tc>
              <w:tc>
                <w:tcPr>
                  <w:tcW w:w="400" w:type="pct"/>
                  <w:vMerge w:val="continue"/>
                  <w:shd w:val="clear" w:color="auto" w:fill="FFFFFF"/>
                  <w:tcMar>
                    <w:top w:w="0" w:type="dxa"/>
                    <w:left w:w="0" w:type="dxa"/>
                    <w:bottom w:w="0" w:type="dxa"/>
                    <w:right w:w="0" w:type="dxa"/>
                  </w:tcMar>
                  <w:vAlign w:val="center"/>
                </w:tcPr>
                <w:p w14:paraId="45CFCD6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CCB2FB3">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B7DE1B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08D2653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40.1</w:t>
                  </w:r>
                </w:p>
              </w:tc>
              <w:tc>
                <w:tcPr>
                  <w:tcW w:w="284" w:type="pct"/>
                  <w:shd w:val="clear" w:color="auto" w:fill="FFFFFF"/>
                  <w:tcMar>
                    <w:top w:w="0" w:type="dxa"/>
                    <w:left w:w="0" w:type="dxa"/>
                    <w:bottom w:w="0" w:type="dxa"/>
                    <w:right w:w="0" w:type="dxa"/>
                  </w:tcMar>
                  <w:vAlign w:val="center"/>
                </w:tcPr>
                <w:p w14:paraId="4EE9B6E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4BB8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6A73137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42</w:t>
                  </w:r>
                </w:p>
              </w:tc>
              <w:tc>
                <w:tcPr>
                  <w:tcW w:w="284" w:type="pct"/>
                  <w:vMerge w:val="continue"/>
                  <w:shd w:val="clear" w:color="auto" w:fill="FFFFFF"/>
                  <w:tcMar>
                    <w:top w:w="0" w:type="dxa"/>
                    <w:left w:w="0" w:type="dxa"/>
                    <w:bottom w:w="0" w:type="dxa"/>
                    <w:right w:w="0" w:type="dxa"/>
                  </w:tcMar>
                  <w:vAlign w:val="center"/>
                </w:tcPr>
                <w:p w14:paraId="646C5F01">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D9EE2A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热水泵</w:t>
                  </w:r>
                </w:p>
              </w:tc>
              <w:tc>
                <w:tcPr>
                  <w:tcW w:w="561" w:type="pct"/>
                  <w:vMerge w:val="restart"/>
                  <w:shd w:val="clear" w:color="auto" w:fill="FFFFFF"/>
                  <w:tcMar>
                    <w:top w:w="0" w:type="dxa"/>
                    <w:left w:w="0" w:type="dxa"/>
                    <w:bottom w:w="0" w:type="dxa"/>
                    <w:right w:w="0" w:type="dxa"/>
                  </w:tcMar>
                  <w:vAlign w:val="center"/>
                </w:tcPr>
                <w:p w14:paraId="36287C5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非标，10m</w:t>
                  </w:r>
                  <w:r>
                    <w:rPr>
                      <w:rFonts w:hint="default" w:ascii="Times New Roman" w:hAnsi="Times New Roman" w:eastAsia="宋体" w:cs="Times New Roman"/>
                      <w:i w:val="0"/>
                      <w:iCs w:val="0"/>
                      <w:color w:val="auto"/>
                      <w:kern w:val="0"/>
                      <w:sz w:val="21"/>
                      <w:szCs w:val="21"/>
                      <w:u w:val="none"/>
                      <w:vertAlign w:val="superscript"/>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/h</w:t>
                  </w:r>
                </w:p>
              </w:tc>
              <w:tc>
                <w:tcPr>
                  <w:tcW w:w="450" w:type="pct"/>
                  <w:vMerge w:val="restart"/>
                  <w:shd w:val="clear" w:color="auto" w:fill="FFFFFF"/>
                  <w:tcMar>
                    <w:top w:w="0" w:type="dxa"/>
                    <w:left w:w="0" w:type="dxa"/>
                    <w:bottom w:w="0" w:type="dxa"/>
                    <w:right w:w="0" w:type="dxa"/>
                  </w:tcMar>
                  <w:vAlign w:val="center"/>
                </w:tcPr>
                <w:p w14:paraId="6246C4B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80</w:t>
                  </w:r>
                </w:p>
              </w:tc>
              <w:tc>
                <w:tcPr>
                  <w:tcW w:w="415" w:type="pct"/>
                  <w:vMerge w:val="continue"/>
                  <w:shd w:val="clear" w:color="auto" w:fill="FFFFFF"/>
                  <w:tcMar>
                    <w:top w:w="0" w:type="dxa"/>
                    <w:left w:w="0" w:type="dxa"/>
                    <w:bottom w:w="0" w:type="dxa"/>
                    <w:right w:w="0" w:type="dxa"/>
                  </w:tcMar>
                  <w:vAlign w:val="center"/>
                </w:tcPr>
                <w:p w14:paraId="636A4ED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3BF81B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w:t>
                  </w:r>
                </w:p>
              </w:tc>
              <w:tc>
                <w:tcPr>
                  <w:tcW w:w="247" w:type="pct"/>
                  <w:vMerge w:val="restart"/>
                  <w:shd w:val="clear" w:color="auto" w:fill="FFFFFF"/>
                  <w:tcMar>
                    <w:top w:w="0" w:type="dxa"/>
                    <w:left w:w="0" w:type="dxa"/>
                    <w:bottom w:w="0" w:type="dxa"/>
                    <w:right w:w="0" w:type="dxa"/>
                  </w:tcMar>
                  <w:vAlign w:val="center"/>
                </w:tcPr>
                <w:p w14:paraId="348AEA9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-266.4</w:t>
                  </w:r>
                </w:p>
              </w:tc>
              <w:tc>
                <w:tcPr>
                  <w:tcW w:w="138" w:type="pct"/>
                  <w:vMerge w:val="restart"/>
                  <w:shd w:val="clear" w:color="auto" w:fill="FFFFFF"/>
                  <w:tcMar>
                    <w:top w:w="0" w:type="dxa"/>
                    <w:left w:w="0" w:type="dxa"/>
                    <w:bottom w:w="0" w:type="dxa"/>
                    <w:right w:w="0" w:type="dxa"/>
                  </w:tcMar>
                  <w:vAlign w:val="center"/>
                </w:tcPr>
                <w:p w14:paraId="5A03E32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88" w:type="pct"/>
                  <w:shd w:val="clear" w:color="auto" w:fill="FFFFFF"/>
                  <w:tcMar>
                    <w:top w:w="0" w:type="dxa"/>
                    <w:left w:w="0" w:type="dxa"/>
                    <w:bottom w:w="0" w:type="dxa"/>
                    <w:right w:w="0" w:type="dxa"/>
                  </w:tcMar>
                  <w:vAlign w:val="center"/>
                </w:tcPr>
                <w:p w14:paraId="6DBB6AD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4F08FBA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5.7</w:t>
                  </w:r>
                </w:p>
              </w:tc>
              <w:tc>
                <w:tcPr>
                  <w:tcW w:w="156" w:type="pct"/>
                  <w:shd w:val="clear" w:color="auto" w:fill="FFFFFF"/>
                  <w:tcMar>
                    <w:top w:w="0" w:type="dxa"/>
                    <w:left w:w="0" w:type="dxa"/>
                    <w:bottom w:w="0" w:type="dxa"/>
                    <w:right w:w="0" w:type="dxa"/>
                  </w:tcMar>
                  <w:vAlign w:val="center"/>
                </w:tcPr>
                <w:p w14:paraId="03D346E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C207B2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400" w:type="pct"/>
                  <w:vMerge w:val="restart"/>
                  <w:shd w:val="clear" w:color="auto" w:fill="FFFFFF"/>
                  <w:tcMar>
                    <w:top w:w="0" w:type="dxa"/>
                    <w:left w:w="0" w:type="dxa"/>
                    <w:bottom w:w="0" w:type="dxa"/>
                    <w:right w:w="0" w:type="dxa"/>
                  </w:tcMar>
                  <w:vAlign w:val="center"/>
                </w:tcPr>
                <w:p w14:paraId="462F621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3FD8C9C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578F3D4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1063841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40.4</w:t>
                  </w:r>
                </w:p>
              </w:tc>
              <w:tc>
                <w:tcPr>
                  <w:tcW w:w="284" w:type="pct"/>
                  <w:shd w:val="clear" w:color="auto" w:fill="FFFFFF"/>
                  <w:tcMar>
                    <w:top w:w="0" w:type="dxa"/>
                    <w:left w:w="0" w:type="dxa"/>
                    <w:bottom w:w="0" w:type="dxa"/>
                    <w:right w:w="0" w:type="dxa"/>
                  </w:tcMar>
                  <w:vAlign w:val="center"/>
                </w:tcPr>
                <w:p w14:paraId="1616A38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C855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25134B8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378C55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215B472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AFD027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CAE8D6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608AE7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559FAF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44F36C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35CB5E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110DC2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617CA31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12.6</w:t>
                  </w:r>
                </w:p>
              </w:tc>
              <w:tc>
                <w:tcPr>
                  <w:tcW w:w="156" w:type="pct"/>
                  <w:shd w:val="clear" w:color="auto" w:fill="FFFFFF"/>
                  <w:tcMar>
                    <w:top w:w="0" w:type="dxa"/>
                    <w:left w:w="0" w:type="dxa"/>
                    <w:bottom w:w="0" w:type="dxa"/>
                    <w:right w:w="0" w:type="dxa"/>
                  </w:tcMar>
                  <w:vAlign w:val="center"/>
                </w:tcPr>
                <w:p w14:paraId="11353E4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170968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66.2</w:t>
                  </w:r>
                </w:p>
              </w:tc>
              <w:tc>
                <w:tcPr>
                  <w:tcW w:w="400" w:type="pct"/>
                  <w:vMerge w:val="continue"/>
                  <w:shd w:val="clear" w:color="auto" w:fill="FFFFFF"/>
                  <w:tcMar>
                    <w:top w:w="0" w:type="dxa"/>
                    <w:left w:w="0" w:type="dxa"/>
                    <w:bottom w:w="0" w:type="dxa"/>
                    <w:right w:w="0" w:type="dxa"/>
                  </w:tcMar>
                  <w:vAlign w:val="center"/>
                </w:tcPr>
                <w:p w14:paraId="48E53F6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4D65DAE">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AB258A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458B737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40.2</w:t>
                  </w:r>
                </w:p>
              </w:tc>
              <w:tc>
                <w:tcPr>
                  <w:tcW w:w="284" w:type="pct"/>
                  <w:shd w:val="clear" w:color="auto" w:fill="FFFFFF"/>
                  <w:tcMar>
                    <w:top w:w="0" w:type="dxa"/>
                    <w:left w:w="0" w:type="dxa"/>
                    <w:bottom w:w="0" w:type="dxa"/>
                    <w:right w:w="0" w:type="dxa"/>
                  </w:tcMar>
                  <w:vAlign w:val="center"/>
                </w:tcPr>
                <w:p w14:paraId="536C453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5398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A5A2FB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E04E55A">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A7972D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8BDD53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C4BE77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3599596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B21EB6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110711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EF776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725C2F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3E7064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p>
              </w:tc>
              <w:tc>
                <w:tcPr>
                  <w:tcW w:w="156" w:type="pct"/>
                  <w:shd w:val="clear" w:color="auto" w:fill="FFFFFF"/>
                  <w:tcMar>
                    <w:top w:w="0" w:type="dxa"/>
                    <w:left w:w="0" w:type="dxa"/>
                    <w:bottom w:w="0" w:type="dxa"/>
                    <w:right w:w="0" w:type="dxa"/>
                  </w:tcMar>
                  <w:vAlign w:val="center"/>
                </w:tcPr>
                <w:p w14:paraId="44251ED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7DA595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67.8</w:t>
                  </w:r>
                </w:p>
              </w:tc>
              <w:tc>
                <w:tcPr>
                  <w:tcW w:w="400" w:type="pct"/>
                  <w:vMerge w:val="continue"/>
                  <w:shd w:val="clear" w:color="auto" w:fill="FFFFFF"/>
                  <w:tcMar>
                    <w:top w:w="0" w:type="dxa"/>
                    <w:left w:w="0" w:type="dxa"/>
                    <w:bottom w:w="0" w:type="dxa"/>
                    <w:right w:w="0" w:type="dxa"/>
                  </w:tcMar>
                  <w:vAlign w:val="center"/>
                </w:tcPr>
                <w:p w14:paraId="15995420">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8795E5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248079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A41616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41.8</w:t>
                  </w:r>
                </w:p>
              </w:tc>
              <w:tc>
                <w:tcPr>
                  <w:tcW w:w="284" w:type="pct"/>
                  <w:shd w:val="clear" w:color="auto" w:fill="FFFFFF"/>
                  <w:tcMar>
                    <w:top w:w="0" w:type="dxa"/>
                    <w:left w:w="0" w:type="dxa"/>
                    <w:bottom w:w="0" w:type="dxa"/>
                    <w:right w:w="0" w:type="dxa"/>
                  </w:tcMar>
                  <w:vAlign w:val="center"/>
                </w:tcPr>
                <w:p w14:paraId="02B5E14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1A39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206" w:hRule="atLeast"/>
                <w:jc w:val="center"/>
              </w:trPr>
              <w:tc>
                <w:tcPr>
                  <w:tcW w:w="182" w:type="pct"/>
                  <w:vMerge w:val="continue"/>
                  <w:shd w:val="clear" w:color="auto" w:fill="FFFFFF"/>
                  <w:tcMar>
                    <w:top w:w="0" w:type="dxa"/>
                    <w:left w:w="0" w:type="dxa"/>
                    <w:bottom w:w="0" w:type="dxa"/>
                    <w:right w:w="0" w:type="dxa"/>
                  </w:tcMar>
                  <w:vAlign w:val="center"/>
                </w:tcPr>
                <w:p w14:paraId="13FC9D9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9B23D4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AB41DD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5DDE08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8B965C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61CC99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FE4EA8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60E858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46AA4A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79A640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759AC15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72.8</w:t>
                  </w:r>
                </w:p>
              </w:tc>
              <w:tc>
                <w:tcPr>
                  <w:tcW w:w="156" w:type="pct"/>
                  <w:shd w:val="clear" w:color="auto" w:fill="FFFFFF"/>
                  <w:tcMar>
                    <w:top w:w="0" w:type="dxa"/>
                    <w:left w:w="0" w:type="dxa"/>
                    <w:bottom w:w="0" w:type="dxa"/>
                    <w:right w:w="0" w:type="dxa"/>
                  </w:tcMar>
                  <w:vAlign w:val="center"/>
                </w:tcPr>
                <w:p w14:paraId="7F88900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0679EB1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66.1</w:t>
                  </w:r>
                </w:p>
              </w:tc>
              <w:tc>
                <w:tcPr>
                  <w:tcW w:w="400" w:type="pct"/>
                  <w:vMerge w:val="continue"/>
                  <w:shd w:val="clear" w:color="auto" w:fill="FFFFFF"/>
                  <w:tcMar>
                    <w:top w:w="0" w:type="dxa"/>
                    <w:left w:w="0" w:type="dxa"/>
                    <w:bottom w:w="0" w:type="dxa"/>
                    <w:right w:w="0" w:type="dxa"/>
                  </w:tcMar>
                  <w:vAlign w:val="center"/>
                </w:tcPr>
                <w:p w14:paraId="070E4E1D">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58142F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D1BB6D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6836012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40.1</w:t>
                  </w:r>
                </w:p>
              </w:tc>
              <w:tc>
                <w:tcPr>
                  <w:tcW w:w="284" w:type="pct"/>
                  <w:shd w:val="clear" w:color="auto" w:fill="FFFFFF"/>
                  <w:tcMar>
                    <w:top w:w="0" w:type="dxa"/>
                    <w:left w:w="0" w:type="dxa"/>
                    <w:bottom w:w="0" w:type="dxa"/>
                    <w:right w:w="0" w:type="dxa"/>
                  </w:tcMar>
                  <w:vAlign w:val="center"/>
                </w:tcPr>
                <w:p w14:paraId="3987AE3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53C8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53B2038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vMerge w:val="continue"/>
                  <w:shd w:val="clear" w:color="auto" w:fill="FFFFFF"/>
                  <w:tcMar>
                    <w:top w:w="0" w:type="dxa"/>
                    <w:left w:w="0" w:type="dxa"/>
                    <w:bottom w:w="0" w:type="dxa"/>
                    <w:right w:w="0" w:type="dxa"/>
                  </w:tcMar>
                  <w:vAlign w:val="center"/>
                </w:tcPr>
                <w:p w14:paraId="2418A0E2">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7DE77A0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静态乳化系统</w:t>
                  </w:r>
                </w:p>
              </w:tc>
              <w:tc>
                <w:tcPr>
                  <w:tcW w:w="561" w:type="pct"/>
                  <w:vMerge w:val="restart"/>
                  <w:shd w:val="clear" w:color="auto" w:fill="FFFFFF"/>
                  <w:tcMar>
                    <w:top w:w="0" w:type="dxa"/>
                    <w:left w:w="0" w:type="dxa"/>
                    <w:bottom w:w="0" w:type="dxa"/>
                    <w:right w:w="0" w:type="dxa"/>
                  </w:tcMar>
                  <w:vAlign w:val="center"/>
                </w:tcPr>
                <w:p w14:paraId="3A767F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KNJR型</w:t>
                  </w:r>
                </w:p>
              </w:tc>
              <w:tc>
                <w:tcPr>
                  <w:tcW w:w="450" w:type="pct"/>
                  <w:vMerge w:val="restart"/>
                  <w:shd w:val="clear" w:color="auto" w:fill="FFFFFF"/>
                  <w:tcMar>
                    <w:top w:w="0" w:type="dxa"/>
                    <w:left w:w="0" w:type="dxa"/>
                    <w:bottom w:w="0" w:type="dxa"/>
                    <w:right w:w="0" w:type="dxa"/>
                  </w:tcMar>
                  <w:vAlign w:val="center"/>
                </w:tcPr>
                <w:p w14:paraId="0F94BA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restart"/>
                  <w:shd w:val="clear" w:color="auto" w:fill="FFFFFF"/>
                  <w:tcMar>
                    <w:top w:w="0" w:type="dxa"/>
                    <w:left w:w="0" w:type="dxa"/>
                    <w:bottom w:w="0" w:type="dxa"/>
                    <w:right w:w="0" w:type="dxa"/>
                  </w:tcMar>
                  <w:vAlign w:val="center"/>
                </w:tcPr>
                <w:p w14:paraId="3C89E48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低</w:t>
                  </w:r>
                  <w:r>
                    <w:rPr>
                      <w:rFonts w:hint="default" w:ascii="Times New Roman" w:hAnsi="Times New Roman" w:eastAsia="宋体" w:cs="Times New Roman"/>
                      <w:color w:val="auto"/>
                      <w:kern w:val="0"/>
                      <w:sz w:val="21"/>
                      <w:szCs w:val="21"/>
                      <w:lang w:bidi="ar"/>
                    </w:rPr>
                    <w:t>噪声设备、减震、</w:t>
                  </w:r>
                  <w:r>
                    <w:rPr>
                      <w:rFonts w:hint="default" w:ascii="Times New Roman" w:hAnsi="Times New Roman" w:eastAsia="宋体" w:cs="Times New Roman"/>
                      <w:color w:val="auto"/>
                      <w:kern w:val="0"/>
                      <w:sz w:val="21"/>
                      <w:szCs w:val="21"/>
                      <w:lang w:val="en-US" w:eastAsia="zh-CN" w:bidi="ar"/>
                    </w:rPr>
                    <w:t>厂房</w:t>
                  </w:r>
                  <w:r>
                    <w:rPr>
                      <w:rFonts w:hint="default" w:ascii="Times New Roman" w:hAnsi="Times New Roman" w:eastAsia="宋体" w:cs="Times New Roman"/>
                      <w:color w:val="auto"/>
                      <w:kern w:val="0"/>
                      <w:sz w:val="21"/>
                      <w:szCs w:val="21"/>
                      <w:lang w:bidi="ar"/>
                    </w:rPr>
                    <w:t>隔声</w:t>
                  </w:r>
                </w:p>
              </w:tc>
              <w:tc>
                <w:tcPr>
                  <w:tcW w:w="247" w:type="pct"/>
                  <w:vMerge w:val="restart"/>
                  <w:shd w:val="clear" w:color="auto" w:fill="FFFFFF"/>
                  <w:tcMar>
                    <w:top w:w="0" w:type="dxa"/>
                    <w:left w:w="0" w:type="dxa"/>
                    <w:bottom w:w="0" w:type="dxa"/>
                    <w:right w:w="0" w:type="dxa"/>
                  </w:tcMar>
                  <w:vAlign w:val="center"/>
                </w:tcPr>
                <w:p w14:paraId="6628460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7.1</w:t>
                  </w:r>
                </w:p>
              </w:tc>
              <w:tc>
                <w:tcPr>
                  <w:tcW w:w="247" w:type="pct"/>
                  <w:vMerge w:val="restart"/>
                  <w:shd w:val="clear" w:color="auto" w:fill="FFFFFF"/>
                  <w:tcMar>
                    <w:top w:w="0" w:type="dxa"/>
                    <w:left w:w="0" w:type="dxa"/>
                    <w:bottom w:w="0" w:type="dxa"/>
                    <w:right w:w="0" w:type="dxa"/>
                  </w:tcMar>
                  <w:vAlign w:val="center"/>
                </w:tcPr>
                <w:p w14:paraId="1DCC442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-282.5</w:t>
                  </w:r>
                </w:p>
              </w:tc>
              <w:tc>
                <w:tcPr>
                  <w:tcW w:w="138" w:type="pct"/>
                  <w:vMerge w:val="restart"/>
                  <w:shd w:val="clear" w:color="auto" w:fill="FFFFFF"/>
                  <w:tcMar>
                    <w:top w:w="0" w:type="dxa"/>
                    <w:left w:w="0" w:type="dxa"/>
                    <w:bottom w:w="0" w:type="dxa"/>
                    <w:right w:w="0" w:type="dxa"/>
                  </w:tcMar>
                  <w:vAlign w:val="center"/>
                </w:tcPr>
                <w:p w14:paraId="2770994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7E48DC3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5B13010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24.4</w:t>
                  </w:r>
                </w:p>
              </w:tc>
              <w:tc>
                <w:tcPr>
                  <w:tcW w:w="156" w:type="pct"/>
                  <w:shd w:val="clear" w:color="auto" w:fill="FFFFFF"/>
                  <w:tcMar>
                    <w:top w:w="0" w:type="dxa"/>
                    <w:left w:w="0" w:type="dxa"/>
                    <w:bottom w:w="0" w:type="dxa"/>
                    <w:right w:w="0" w:type="dxa"/>
                  </w:tcMar>
                  <w:vAlign w:val="center"/>
                </w:tcPr>
                <w:p w14:paraId="207E28D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FCFEC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restart"/>
                  <w:shd w:val="clear" w:color="auto" w:fill="FFFFFF"/>
                  <w:tcMar>
                    <w:top w:w="0" w:type="dxa"/>
                    <w:left w:w="0" w:type="dxa"/>
                    <w:bottom w:w="0" w:type="dxa"/>
                    <w:right w:w="0" w:type="dxa"/>
                  </w:tcMar>
                  <w:vAlign w:val="center"/>
                </w:tcPr>
                <w:p w14:paraId="3E3DD1C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0C159BC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71002B3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1A4AC28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5DD5EEC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FCD7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575A87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949522B">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BB3128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C6BBBC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DE221D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D31B40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CF5EE6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8EC25C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9E26DB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4CFDFB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3FF3D5D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8.4</w:t>
                  </w:r>
                </w:p>
              </w:tc>
              <w:tc>
                <w:tcPr>
                  <w:tcW w:w="156" w:type="pct"/>
                  <w:shd w:val="clear" w:color="auto" w:fill="FFFFFF"/>
                  <w:tcMar>
                    <w:top w:w="0" w:type="dxa"/>
                    <w:left w:w="0" w:type="dxa"/>
                    <w:bottom w:w="0" w:type="dxa"/>
                    <w:right w:w="0" w:type="dxa"/>
                  </w:tcMar>
                  <w:vAlign w:val="center"/>
                </w:tcPr>
                <w:p w14:paraId="1BA4E1B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17552BA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56.2</w:t>
                  </w:r>
                </w:p>
              </w:tc>
              <w:tc>
                <w:tcPr>
                  <w:tcW w:w="400" w:type="pct"/>
                  <w:vMerge w:val="continue"/>
                  <w:shd w:val="clear" w:color="auto" w:fill="FFFFFF"/>
                  <w:tcMar>
                    <w:top w:w="0" w:type="dxa"/>
                    <w:left w:w="0" w:type="dxa"/>
                    <w:bottom w:w="0" w:type="dxa"/>
                    <w:right w:w="0" w:type="dxa"/>
                  </w:tcMar>
                  <w:vAlign w:val="center"/>
                </w:tcPr>
                <w:p w14:paraId="597EBB0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C0627A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5555C1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EFAB15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30.2</w:t>
                  </w:r>
                </w:p>
              </w:tc>
              <w:tc>
                <w:tcPr>
                  <w:tcW w:w="284" w:type="pct"/>
                  <w:shd w:val="clear" w:color="auto" w:fill="FFFFFF"/>
                  <w:tcMar>
                    <w:top w:w="0" w:type="dxa"/>
                    <w:left w:w="0" w:type="dxa"/>
                    <w:bottom w:w="0" w:type="dxa"/>
                    <w:right w:w="0" w:type="dxa"/>
                  </w:tcMar>
                  <w:vAlign w:val="center"/>
                </w:tcPr>
                <w:p w14:paraId="7A50593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896D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116F38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359C95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62EFF1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7E6F74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A39999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1E7061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53C077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A7513B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4F1E7F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34D6A5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5B4B0A0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6.3</w:t>
                  </w:r>
                </w:p>
              </w:tc>
              <w:tc>
                <w:tcPr>
                  <w:tcW w:w="156" w:type="pct"/>
                  <w:shd w:val="clear" w:color="auto" w:fill="FFFFFF"/>
                  <w:tcMar>
                    <w:top w:w="0" w:type="dxa"/>
                    <w:left w:w="0" w:type="dxa"/>
                    <w:bottom w:w="0" w:type="dxa"/>
                    <w:right w:w="0" w:type="dxa"/>
                  </w:tcMar>
                  <w:vAlign w:val="center"/>
                </w:tcPr>
                <w:p w14:paraId="72FBC82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7892EC4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56.3</w:t>
                  </w:r>
                </w:p>
              </w:tc>
              <w:tc>
                <w:tcPr>
                  <w:tcW w:w="400" w:type="pct"/>
                  <w:vMerge w:val="continue"/>
                  <w:shd w:val="clear" w:color="auto" w:fill="FFFFFF"/>
                  <w:tcMar>
                    <w:top w:w="0" w:type="dxa"/>
                    <w:left w:w="0" w:type="dxa"/>
                    <w:bottom w:w="0" w:type="dxa"/>
                    <w:right w:w="0" w:type="dxa"/>
                  </w:tcMar>
                  <w:vAlign w:val="center"/>
                </w:tcPr>
                <w:p w14:paraId="17B6769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271487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40AE88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17769D2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30.3</w:t>
                  </w:r>
                </w:p>
              </w:tc>
              <w:tc>
                <w:tcPr>
                  <w:tcW w:w="284" w:type="pct"/>
                  <w:shd w:val="clear" w:color="auto" w:fill="FFFFFF"/>
                  <w:tcMar>
                    <w:top w:w="0" w:type="dxa"/>
                    <w:left w:w="0" w:type="dxa"/>
                    <w:bottom w:w="0" w:type="dxa"/>
                    <w:right w:w="0" w:type="dxa"/>
                  </w:tcMar>
                  <w:vAlign w:val="center"/>
                </w:tcPr>
                <w:p w14:paraId="2790D1A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DAEF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79A801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590E763">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4E02AD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BAFD9F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3092EF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1BF2C06">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25204FC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1DC6EA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9905F9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260D7BE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39FA716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54.3</w:t>
                  </w:r>
                </w:p>
              </w:tc>
              <w:tc>
                <w:tcPr>
                  <w:tcW w:w="156" w:type="pct"/>
                  <w:shd w:val="clear" w:color="auto" w:fill="FFFFFF"/>
                  <w:tcMar>
                    <w:top w:w="0" w:type="dxa"/>
                    <w:left w:w="0" w:type="dxa"/>
                    <w:bottom w:w="0" w:type="dxa"/>
                    <w:right w:w="0" w:type="dxa"/>
                  </w:tcMar>
                  <w:vAlign w:val="center"/>
                </w:tcPr>
                <w:p w14:paraId="40FBEA4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4910645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continue"/>
                  <w:shd w:val="clear" w:color="auto" w:fill="FFFFFF"/>
                  <w:tcMar>
                    <w:top w:w="0" w:type="dxa"/>
                    <w:left w:w="0" w:type="dxa"/>
                    <w:bottom w:w="0" w:type="dxa"/>
                    <w:right w:w="0" w:type="dxa"/>
                  </w:tcMar>
                  <w:vAlign w:val="center"/>
                </w:tcPr>
                <w:p w14:paraId="20A6F48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635532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149F92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35191A0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40E1B5E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FAFA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334" w:hRule="atLeast"/>
                <w:jc w:val="center"/>
              </w:trPr>
              <w:tc>
                <w:tcPr>
                  <w:tcW w:w="182" w:type="pct"/>
                  <w:vMerge w:val="restart"/>
                  <w:shd w:val="clear" w:color="auto" w:fill="FFFFFF"/>
                  <w:tcMar>
                    <w:top w:w="0" w:type="dxa"/>
                    <w:left w:w="0" w:type="dxa"/>
                    <w:bottom w:w="0" w:type="dxa"/>
                    <w:right w:w="0" w:type="dxa"/>
                  </w:tcMar>
                  <w:vAlign w:val="center"/>
                </w:tcPr>
                <w:p w14:paraId="0A8ED9A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44</w:t>
                  </w:r>
                </w:p>
              </w:tc>
              <w:tc>
                <w:tcPr>
                  <w:tcW w:w="284" w:type="pct"/>
                  <w:vMerge w:val="continue"/>
                  <w:shd w:val="clear" w:color="auto" w:fill="FFFFFF"/>
                  <w:tcMar>
                    <w:top w:w="0" w:type="dxa"/>
                    <w:left w:w="0" w:type="dxa"/>
                    <w:bottom w:w="0" w:type="dxa"/>
                    <w:right w:w="0" w:type="dxa"/>
                  </w:tcMar>
                  <w:vAlign w:val="center"/>
                </w:tcPr>
                <w:p w14:paraId="1065F9A8">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1FDD1A1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冷却器（钢带）</w:t>
                  </w:r>
                </w:p>
              </w:tc>
              <w:tc>
                <w:tcPr>
                  <w:tcW w:w="561" w:type="pct"/>
                  <w:vMerge w:val="restart"/>
                  <w:shd w:val="clear" w:color="auto" w:fill="FFFFFF"/>
                  <w:tcMar>
                    <w:top w:w="0" w:type="dxa"/>
                    <w:left w:w="0" w:type="dxa"/>
                    <w:bottom w:w="0" w:type="dxa"/>
                    <w:right w:w="0" w:type="dxa"/>
                  </w:tcMar>
                  <w:vAlign w:val="center"/>
                </w:tcPr>
                <w:p w14:paraId="36F0955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CF，南京三普</w:t>
                  </w:r>
                </w:p>
              </w:tc>
              <w:tc>
                <w:tcPr>
                  <w:tcW w:w="450" w:type="pct"/>
                  <w:vMerge w:val="restart"/>
                  <w:shd w:val="clear" w:color="auto" w:fill="FFFFFF"/>
                  <w:tcMar>
                    <w:top w:w="0" w:type="dxa"/>
                    <w:left w:w="0" w:type="dxa"/>
                    <w:bottom w:w="0" w:type="dxa"/>
                    <w:right w:w="0" w:type="dxa"/>
                  </w:tcMar>
                  <w:vAlign w:val="center"/>
                </w:tcPr>
                <w:p w14:paraId="6798EDA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63C6953B">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257313D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0.9</w:t>
                  </w:r>
                </w:p>
              </w:tc>
              <w:tc>
                <w:tcPr>
                  <w:tcW w:w="247" w:type="pct"/>
                  <w:vMerge w:val="restart"/>
                  <w:shd w:val="clear" w:color="auto" w:fill="FFFFFF"/>
                  <w:tcMar>
                    <w:top w:w="0" w:type="dxa"/>
                    <w:left w:w="0" w:type="dxa"/>
                    <w:bottom w:w="0" w:type="dxa"/>
                    <w:right w:w="0" w:type="dxa"/>
                  </w:tcMar>
                  <w:vAlign w:val="center"/>
                </w:tcPr>
                <w:p w14:paraId="4687C4E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-289</w:t>
                  </w:r>
                </w:p>
              </w:tc>
              <w:tc>
                <w:tcPr>
                  <w:tcW w:w="138" w:type="pct"/>
                  <w:vMerge w:val="restart"/>
                  <w:shd w:val="clear" w:color="auto" w:fill="FFFFFF"/>
                  <w:tcMar>
                    <w:top w:w="0" w:type="dxa"/>
                    <w:left w:w="0" w:type="dxa"/>
                    <w:bottom w:w="0" w:type="dxa"/>
                    <w:right w:w="0" w:type="dxa"/>
                  </w:tcMar>
                  <w:vAlign w:val="center"/>
                </w:tcPr>
                <w:p w14:paraId="68F3270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66E65DB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05FAF64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33.4</w:t>
                  </w:r>
                </w:p>
              </w:tc>
              <w:tc>
                <w:tcPr>
                  <w:tcW w:w="156" w:type="pct"/>
                  <w:shd w:val="clear" w:color="auto" w:fill="FFFFFF"/>
                  <w:tcMar>
                    <w:top w:w="0" w:type="dxa"/>
                    <w:left w:w="0" w:type="dxa"/>
                    <w:bottom w:w="0" w:type="dxa"/>
                    <w:right w:w="0" w:type="dxa"/>
                  </w:tcMar>
                  <w:vAlign w:val="center"/>
                </w:tcPr>
                <w:p w14:paraId="602B334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F0EA69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restart"/>
                  <w:shd w:val="clear" w:color="auto" w:fill="FFFFFF"/>
                  <w:tcMar>
                    <w:top w:w="0" w:type="dxa"/>
                    <w:left w:w="0" w:type="dxa"/>
                    <w:bottom w:w="0" w:type="dxa"/>
                    <w:right w:w="0" w:type="dxa"/>
                  </w:tcMar>
                  <w:vAlign w:val="center"/>
                </w:tcPr>
                <w:p w14:paraId="307D8A5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590A5CDD">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6230890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6A1654A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69CF5E3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E3DB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2A2178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C2F2AE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49A442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04C1AE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63D84A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4BDD83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16E00C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2983DA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470119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EDD444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6BEF91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56" w:type="pct"/>
                  <w:shd w:val="clear" w:color="auto" w:fill="FFFFFF"/>
                  <w:tcMar>
                    <w:top w:w="0" w:type="dxa"/>
                    <w:left w:w="0" w:type="dxa"/>
                    <w:bottom w:w="0" w:type="dxa"/>
                    <w:right w:w="0" w:type="dxa"/>
                  </w:tcMar>
                  <w:vAlign w:val="center"/>
                </w:tcPr>
                <w:p w14:paraId="294A62A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428B352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56.2</w:t>
                  </w:r>
                </w:p>
              </w:tc>
              <w:tc>
                <w:tcPr>
                  <w:tcW w:w="400" w:type="pct"/>
                  <w:vMerge w:val="continue"/>
                  <w:shd w:val="clear" w:color="auto" w:fill="FFFFFF"/>
                  <w:tcMar>
                    <w:top w:w="0" w:type="dxa"/>
                    <w:left w:w="0" w:type="dxa"/>
                    <w:bottom w:w="0" w:type="dxa"/>
                    <w:right w:w="0" w:type="dxa"/>
                  </w:tcMar>
                  <w:vAlign w:val="center"/>
                </w:tcPr>
                <w:p w14:paraId="35756BB9">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57B72F4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759AF9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0644AE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30.2</w:t>
                  </w:r>
                </w:p>
              </w:tc>
              <w:tc>
                <w:tcPr>
                  <w:tcW w:w="284" w:type="pct"/>
                  <w:shd w:val="clear" w:color="auto" w:fill="FFFFFF"/>
                  <w:tcMar>
                    <w:top w:w="0" w:type="dxa"/>
                    <w:left w:w="0" w:type="dxa"/>
                    <w:bottom w:w="0" w:type="dxa"/>
                    <w:right w:w="0" w:type="dxa"/>
                  </w:tcMar>
                  <w:vAlign w:val="center"/>
                </w:tcPr>
                <w:p w14:paraId="6E46ACB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D432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135" w:hRule="atLeast"/>
                <w:jc w:val="center"/>
              </w:trPr>
              <w:tc>
                <w:tcPr>
                  <w:tcW w:w="182" w:type="pct"/>
                  <w:vMerge w:val="continue"/>
                  <w:shd w:val="clear" w:color="auto" w:fill="FFFFFF"/>
                  <w:tcMar>
                    <w:top w:w="0" w:type="dxa"/>
                    <w:left w:w="0" w:type="dxa"/>
                    <w:bottom w:w="0" w:type="dxa"/>
                    <w:right w:w="0" w:type="dxa"/>
                  </w:tcMar>
                  <w:vAlign w:val="center"/>
                </w:tcPr>
                <w:p w14:paraId="280ADD1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9F1DA87">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01A887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598CEE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4C58E1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7B86DD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1638D2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DB806A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8D1E27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24BFFF3">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5437B2F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6.5</w:t>
                  </w:r>
                </w:p>
              </w:tc>
              <w:tc>
                <w:tcPr>
                  <w:tcW w:w="156" w:type="pct"/>
                  <w:shd w:val="clear" w:color="auto" w:fill="FFFFFF"/>
                  <w:tcMar>
                    <w:top w:w="0" w:type="dxa"/>
                    <w:left w:w="0" w:type="dxa"/>
                    <w:bottom w:w="0" w:type="dxa"/>
                    <w:right w:w="0" w:type="dxa"/>
                  </w:tcMar>
                  <w:vAlign w:val="center"/>
                </w:tcPr>
                <w:p w14:paraId="188D91AA">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028A19E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56.3</w:t>
                  </w:r>
                </w:p>
              </w:tc>
              <w:tc>
                <w:tcPr>
                  <w:tcW w:w="400" w:type="pct"/>
                  <w:vMerge w:val="continue"/>
                  <w:shd w:val="clear" w:color="auto" w:fill="FFFFFF"/>
                  <w:tcMar>
                    <w:top w:w="0" w:type="dxa"/>
                    <w:left w:w="0" w:type="dxa"/>
                    <w:bottom w:w="0" w:type="dxa"/>
                    <w:right w:w="0" w:type="dxa"/>
                  </w:tcMar>
                  <w:vAlign w:val="center"/>
                </w:tcPr>
                <w:p w14:paraId="6A13C6D5">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7B5B7D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2033C8E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25CFFD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30.3</w:t>
                  </w:r>
                </w:p>
              </w:tc>
              <w:tc>
                <w:tcPr>
                  <w:tcW w:w="284" w:type="pct"/>
                  <w:shd w:val="clear" w:color="auto" w:fill="FFFFFF"/>
                  <w:tcMar>
                    <w:top w:w="0" w:type="dxa"/>
                    <w:left w:w="0" w:type="dxa"/>
                    <w:bottom w:w="0" w:type="dxa"/>
                    <w:right w:w="0" w:type="dxa"/>
                  </w:tcMar>
                  <w:vAlign w:val="center"/>
                </w:tcPr>
                <w:p w14:paraId="0604DC8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757F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561BBC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F906C5A">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643827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686052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96AE12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0B6F972">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68BDF0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E9052E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FE02AB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7FB99BE">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77FAFA7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45.3</w:t>
                  </w:r>
                </w:p>
              </w:tc>
              <w:tc>
                <w:tcPr>
                  <w:tcW w:w="156" w:type="pct"/>
                  <w:shd w:val="clear" w:color="auto" w:fill="FFFFFF"/>
                  <w:tcMar>
                    <w:top w:w="0" w:type="dxa"/>
                    <w:left w:w="0" w:type="dxa"/>
                    <w:bottom w:w="0" w:type="dxa"/>
                    <w:right w:w="0" w:type="dxa"/>
                  </w:tcMar>
                  <w:vAlign w:val="center"/>
                </w:tcPr>
                <w:p w14:paraId="55D3C9D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4ADACEA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continue"/>
                  <w:shd w:val="clear" w:color="auto" w:fill="FFFFFF"/>
                  <w:tcMar>
                    <w:top w:w="0" w:type="dxa"/>
                    <w:left w:w="0" w:type="dxa"/>
                    <w:bottom w:w="0" w:type="dxa"/>
                    <w:right w:w="0" w:type="dxa"/>
                  </w:tcMar>
                  <w:vAlign w:val="center"/>
                </w:tcPr>
                <w:p w14:paraId="32F2D45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8740B3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A4E758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6B1595B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6F6663D4">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C145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5363A25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45</w:t>
                  </w:r>
                </w:p>
              </w:tc>
              <w:tc>
                <w:tcPr>
                  <w:tcW w:w="284" w:type="pct"/>
                  <w:vMerge w:val="continue"/>
                  <w:shd w:val="clear" w:color="auto" w:fill="FFFFFF"/>
                  <w:tcMar>
                    <w:top w:w="0" w:type="dxa"/>
                    <w:left w:w="0" w:type="dxa"/>
                    <w:bottom w:w="0" w:type="dxa"/>
                    <w:right w:w="0" w:type="dxa"/>
                  </w:tcMar>
                  <w:vAlign w:val="center"/>
                </w:tcPr>
                <w:p w14:paraId="0AFBBA55">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6762BD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敏化机</w:t>
                  </w:r>
                </w:p>
              </w:tc>
              <w:tc>
                <w:tcPr>
                  <w:tcW w:w="561" w:type="pct"/>
                  <w:vMerge w:val="restart"/>
                  <w:shd w:val="clear" w:color="auto" w:fill="FFFFFF"/>
                  <w:tcMar>
                    <w:top w:w="0" w:type="dxa"/>
                    <w:left w:w="0" w:type="dxa"/>
                    <w:bottom w:w="0" w:type="dxa"/>
                    <w:right w:w="0" w:type="dxa"/>
                  </w:tcMar>
                  <w:vAlign w:val="center"/>
                </w:tcPr>
                <w:p w14:paraId="0B40439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AE-HLC-6.0 型</w:t>
                  </w:r>
                </w:p>
              </w:tc>
              <w:tc>
                <w:tcPr>
                  <w:tcW w:w="450" w:type="pct"/>
                  <w:vMerge w:val="restart"/>
                  <w:shd w:val="clear" w:color="auto" w:fill="FFFFFF"/>
                  <w:tcMar>
                    <w:top w:w="0" w:type="dxa"/>
                    <w:left w:w="0" w:type="dxa"/>
                    <w:bottom w:w="0" w:type="dxa"/>
                    <w:right w:w="0" w:type="dxa"/>
                  </w:tcMar>
                  <w:vAlign w:val="center"/>
                </w:tcPr>
                <w:p w14:paraId="59647DA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646653E9">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4B4770D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-8.4</w:t>
                  </w:r>
                </w:p>
              </w:tc>
              <w:tc>
                <w:tcPr>
                  <w:tcW w:w="247" w:type="pct"/>
                  <w:vMerge w:val="restart"/>
                  <w:shd w:val="clear" w:color="auto" w:fill="FFFFFF"/>
                  <w:tcMar>
                    <w:top w:w="0" w:type="dxa"/>
                    <w:left w:w="0" w:type="dxa"/>
                    <w:bottom w:w="0" w:type="dxa"/>
                    <w:right w:w="0" w:type="dxa"/>
                  </w:tcMar>
                  <w:vAlign w:val="center"/>
                </w:tcPr>
                <w:p w14:paraId="5754EFF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-298.4</w:t>
                  </w:r>
                </w:p>
              </w:tc>
              <w:tc>
                <w:tcPr>
                  <w:tcW w:w="138" w:type="pct"/>
                  <w:vMerge w:val="restart"/>
                  <w:shd w:val="clear" w:color="auto" w:fill="FFFFFF"/>
                  <w:tcMar>
                    <w:top w:w="0" w:type="dxa"/>
                    <w:left w:w="0" w:type="dxa"/>
                    <w:bottom w:w="0" w:type="dxa"/>
                    <w:right w:w="0" w:type="dxa"/>
                  </w:tcMar>
                  <w:vAlign w:val="center"/>
                </w:tcPr>
                <w:p w14:paraId="45228DE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0259C49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7ED1A95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46.6</w:t>
                  </w:r>
                </w:p>
              </w:tc>
              <w:tc>
                <w:tcPr>
                  <w:tcW w:w="156" w:type="pct"/>
                  <w:shd w:val="clear" w:color="auto" w:fill="FFFFFF"/>
                  <w:tcMar>
                    <w:top w:w="0" w:type="dxa"/>
                    <w:left w:w="0" w:type="dxa"/>
                    <w:bottom w:w="0" w:type="dxa"/>
                    <w:right w:w="0" w:type="dxa"/>
                  </w:tcMar>
                  <w:vAlign w:val="center"/>
                </w:tcPr>
                <w:p w14:paraId="7E03E3E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700937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61.1</w:t>
                  </w:r>
                </w:p>
              </w:tc>
              <w:tc>
                <w:tcPr>
                  <w:tcW w:w="400" w:type="pct"/>
                  <w:vMerge w:val="restart"/>
                  <w:shd w:val="clear" w:color="auto" w:fill="FFFFFF"/>
                  <w:tcMar>
                    <w:top w:w="0" w:type="dxa"/>
                    <w:left w:w="0" w:type="dxa"/>
                    <w:bottom w:w="0" w:type="dxa"/>
                    <w:right w:w="0" w:type="dxa"/>
                  </w:tcMar>
                  <w:vAlign w:val="center"/>
                </w:tcPr>
                <w:p w14:paraId="66447578">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5B2E100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171391D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4B77DE7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35.1</w:t>
                  </w:r>
                </w:p>
              </w:tc>
              <w:tc>
                <w:tcPr>
                  <w:tcW w:w="284" w:type="pct"/>
                  <w:shd w:val="clear" w:color="auto" w:fill="FFFFFF"/>
                  <w:tcMar>
                    <w:top w:w="0" w:type="dxa"/>
                    <w:left w:w="0" w:type="dxa"/>
                    <w:bottom w:w="0" w:type="dxa"/>
                    <w:right w:w="0" w:type="dxa"/>
                  </w:tcMar>
                  <w:vAlign w:val="center"/>
                </w:tcPr>
                <w:p w14:paraId="586A37C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5BA5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A1E8DB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BD8335C">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38DA29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B8F1A1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554B1AA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02D361C6">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31A2F8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41904B3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106B89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789C9D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1B9EB54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8.3</w:t>
                  </w:r>
                </w:p>
              </w:tc>
              <w:tc>
                <w:tcPr>
                  <w:tcW w:w="156" w:type="pct"/>
                  <w:shd w:val="clear" w:color="auto" w:fill="FFFFFF"/>
                  <w:tcMar>
                    <w:top w:w="0" w:type="dxa"/>
                    <w:left w:w="0" w:type="dxa"/>
                    <w:bottom w:w="0" w:type="dxa"/>
                    <w:right w:w="0" w:type="dxa"/>
                  </w:tcMar>
                  <w:vAlign w:val="center"/>
                </w:tcPr>
                <w:p w14:paraId="6277481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192A737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61.2</w:t>
                  </w:r>
                </w:p>
              </w:tc>
              <w:tc>
                <w:tcPr>
                  <w:tcW w:w="400" w:type="pct"/>
                  <w:vMerge w:val="continue"/>
                  <w:shd w:val="clear" w:color="auto" w:fill="FFFFFF"/>
                  <w:tcMar>
                    <w:top w:w="0" w:type="dxa"/>
                    <w:left w:w="0" w:type="dxa"/>
                    <w:bottom w:w="0" w:type="dxa"/>
                    <w:right w:w="0" w:type="dxa"/>
                  </w:tcMar>
                  <w:vAlign w:val="center"/>
                </w:tcPr>
                <w:p w14:paraId="240F5FC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2A8B147">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F82EDA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7B6A34E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35.2</w:t>
                  </w:r>
                </w:p>
              </w:tc>
              <w:tc>
                <w:tcPr>
                  <w:tcW w:w="284" w:type="pct"/>
                  <w:shd w:val="clear" w:color="auto" w:fill="FFFFFF"/>
                  <w:tcMar>
                    <w:top w:w="0" w:type="dxa"/>
                    <w:left w:w="0" w:type="dxa"/>
                    <w:bottom w:w="0" w:type="dxa"/>
                    <w:right w:w="0" w:type="dxa"/>
                  </w:tcMar>
                  <w:vAlign w:val="center"/>
                </w:tcPr>
                <w:p w14:paraId="3CA1BE8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89AF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5127912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42CB215">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70DD6A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13714B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66E547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B975C0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3912DF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EB1740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CEBA73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77EA6EB">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3CD2E04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w:t>
                  </w:r>
                </w:p>
              </w:tc>
              <w:tc>
                <w:tcPr>
                  <w:tcW w:w="156" w:type="pct"/>
                  <w:shd w:val="clear" w:color="auto" w:fill="FFFFFF"/>
                  <w:tcMar>
                    <w:top w:w="0" w:type="dxa"/>
                    <w:left w:w="0" w:type="dxa"/>
                    <w:bottom w:w="0" w:type="dxa"/>
                    <w:right w:w="0" w:type="dxa"/>
                  </w:tcMar>
                  <w:vAlign w:val="center"/>
                </w:tcPr>
                <w:p w14:paraId="190FB7C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514A353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61.3</w:t>
                  </w:r>
                </w:p>
              </w:tc>
              <w:tc>
                <w:tcPr>
                  <w:tcW w:w="400" w:type="pct"/>
                  <w:vMerge w:val="continue"/>
                  <w:shd w:val="clear" w:color="auto" w:fill="FFFFFF"/>
                  <w:tcMar>
                    <w:top w:w="0" w:type="dxa"/>
                    <w:left w:w="0" w:type="dxa"/>
                    <w:bottom w:w="0" w:type="dxa"/>
                    <w:right w:w="0" w:type="dxa"/>
                  </w:tcMar>
                  <w:vAlign w:val="center"/>
                </w:tcPr>
                <w:p w14:paraId="360AAB24">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E36A3E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784450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5AB75A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35.3</w:t>
                  </w:r>
                </w:p>
              </w:tc>
              <w:tc>
                <w:tcPr>
                  <w:tcW w:w="284" w:type="pct"/>
                  <w:shd w:val="clear" w:color="auto" w:fill="FFFFFF"/>
                  <w:tcMar>
                    <w:top w:w="0" w:type="dxa"/>
                    <w:left w:w="0" w:type="dxa"/>
                    <w:bottom w:w="0" w:type="dxa"/>
                    <w:right w:w="0" w:type="dxa"/>
                  </w:tcMar>
                  <w:vAlign w:val="center"/>
                </w:tcPr>
                <w:p w14:paraId="3D181AA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BE48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9BF097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9FFE81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EEDDAC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5C4CF8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E9F9D2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29D21D4">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6B250C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644BF0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AC53BC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3FC85E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60D770E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32.1</w:t>
                  </w:r>
                </w:p>
              </w:tc>
              <w:tc>
                <w:tcPr>
                  <w:tcW w:w="156" w:type="pct"/>
                  <w:shd w:val="clear" w:color="auto" w:fill="FFFFFF"/>
                  <w:tcMar>
                    <w:top w:w="0" w:type="dxa"/>
                    <w:left w:w="0" w:type="dxa"/>
                    <w:bottom w:w="0" w:type="dxa"/>
                    <w:right w:w="0" w:type="dxa"/>
                  </w:tcMar>
                  <w:vAlign w:val="center"/>
                </w:tcPr>
                <w:p w14:paraId="4AF3ADD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533C176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61.1</w:t>
                  </w:r>
                </w:p>
              </w:tc>
              <w:tc>
                <w:tcPr>
                  <w:tcW w:w="400" w:type="pct"/>
                  <w:vMerge w:val="continue"/>
                  <w:shd w:val="clear" w:color="auto" w:fill="FFFFFF"/>
                  <w:tcMar>
                    <w:top w:w="0" w:type="dxa"/>
                    <w:left w:w="0" w:type="dxa"/>
                    <w:bottom w:w="0" w:type="dxa"/>
                    <w:right w:w="0" w:type="dxa"/>
                  </w:tcMar>
                  <w:vAlign w:val="center"/>
                </w:tcPr>
                <w:p w14:paraId="322D38F5">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0CA0E70">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59DE9B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2937B9B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35.1</w:t>
                  </w:r>
                </w:p>
              </w:tc>
              <w:tc>
                <w:tcPr>
                  <w:tcW w:w="284" w:type="pct"/>
                  <w:shd w:val="clear" w:color="auto" w:fill="FFFFFF"/>
                  <w:tcMar>
                    <w:top w:w="0" w:type="dxa"/>
                    <w:left w:w="0" w:type="dxa"/>
                    <w:bottom w:w="0" w:type="dxa"/>
                    <w:right w:w="0" w:type="dxa"/>
                  </w:tcMar>
                  <w:vAlign w:val="center"/>
                </w:tcPr>
                <w:p w14:paraId="3B9AE8A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D1B5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474D93F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46</w:t>
                  </w:r>
                </w:p>
              </w:tc>
              <w:tc>
                <w:tcPr>
                  <w:tcW w:w="284" w:type="pct"/>
                  <w:vMerge w:val="continue"/>
                  <w:shd w:val="clear" w:color="auto" w:fill="FFFFFF"/>
                  <w:tcMar>
                    <w:top w:w="0" w:type="dxa"/>
                    <w:left w:w="0" w:type="dxa"/>
                    <w:bottom w:w="0" w:type="dxa"/>
                    <w:right w:w="0" w:type="dxa"/>
                  </w:tcMar>
                  <w:vAlign w:val="center"/>
                </w:tcPr>
                <w:p w14:paraId="5B7E45C4">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1B27A34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小直径药卷装药机</w:t>
                  </w:r>
                </w:p>
              </w:tc>
              <w:tc>
                <w:tcPr>
                  <w:tcW w:w="561" w:type="pct"/>
                  <w:vMerge w:val="restart"/>
                  <w:shd w:val="clear" w:color="auto" w:fill="FFFFFF"/>
                  <w:tcMar>
                    <w:top w:w="0" w:type="dxa"/>
                    <w:left w:w="0" w:type="dxa"/>
                    <w:bottom w:w="0" w:type="dxa"/>
                    <w:right w:w="0" w:type="dxa"/>
                  </w:tcMar>
                  <w:vAlign w:val="center"/>
                </w:tcPr>
                <w:p w14:paraId="1EE0C7D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DJK-5 型，5.4t/h</w:t>
                  </w:r>
                </w:p>
              </w:tc>
              <w:tc>
                <w:tcPr>
                  <w:tcW w:w="450" w:type="pct"/>
                  <w:vMerge w:val="restart"/>
                  <w:shd w:val="clear" w:color="auto" w:fill="FFFFFF"/>
                  <w:tcMar>
                    <w:top w:w="0" w:type="dxa"/>
                    <w:left w:w="0" w:type="dxa"/>
                    <w:bottom w:w="0" w:type="dxa"/>
                    <w:right w:w="0" w:type="dxa"/>
                  </w:tcMar>
                  <w:vAlign w:val="center"/>
                </w:tcPr>
                <w:p w14:paraId="3832575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3D58DD28">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3E1046C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-17.5</w:t>
                  </w:r>
                </w:p>
              </w:tc>
              <w:tc>
                <w:tcPr>
                  <w:tcW w:w="247" w:type="pct"/>
                  <w:vMerge w:val="restart"/>
                  <w:shd w:val="clear" w:color="auto" w:fill="FFFFFF"/>
                  <w:tcMar>
                    <w:top w:w="0" w:type="dxa"/>
                    <w:left w:w="0" w:type="dxa"/>
                    <w:bottom w:w="0" w:type="dxa"/>
                    <w:right w:w="0" w:type="dxa"/>
                  </w:tcMar>
                  <w:vAlign w:val="center"/>
                </w:tcPr>
                <w:p w14:paraId="0829F55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-304</w:t>
                  </w:r>
                </w:p>
              </w:tc>
              <w:tc>
                <w:tcPr>
                  <w:tcW w:w="138" w:type="pct"/>
                  <w:vMerge w:val="restart"/>
                  <w:shd w:val="clear" w:color="auto" w:fill="FFFFFF"/>
                  <w:tcMar>
                    <w:top w:w="0" w:type="dxa"/>
                    <w:left w:w="0" w:type="dxa"/>
                    <w:bottom w:w="0" w:type="dxa"/>
                    <w:right w:w="0" w:type="dxa"/>
                  </w:tcMar>
                  <w:vAlign w:val="center"/>
                </w:tcPr>
                <w:p w14:paraId="7611262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72F99D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C28229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56.7</w:t>
                  </w:r>
                </w:p>
              </w:tc>
              <w:tc>
                <w:tcPr>
                  <w:tcW w:w="156" w:type="pct"/>
                  <w:shd w:val="clear" w:color="auto" w:fill="FFFFFF"/>
                  <w:tcMar>
                    <w:top w:w="0" w:type="dxa"/>
                    <w:left w:w="0" w:type="dxa"/>
                    <w:bottom w:w="0" w:type="dxa"/>
                    <w:right w:w="0" w:type="dxa"/>
                  </w:tcMar>
                  <w:vAlign w:val="center"/>
                </w:tcPr>
                <w:p w14:paraId="7364701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93806B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restart"/>
                  <w:shd w:val="clear" w:color="auto" w:fill="FFFFFF"/>
                  <w:tcMar>
                    <w:top w:w="0" w:type="dxa"/>
                    <w:left w:w="0" w:type="dxa"/>
                    <w:bottom w:w="0" w:type="dxa"/>
                    <w:right w:w="0" w:type="dxa"/>
                  </w:tcMar>
                  <w:vAlign w:val="center"/>
                </w:tcPr>
                <w:p w14:paraId="2D355CBB">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195D40A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7BABB7D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7C57585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358CD65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EB3E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4CDEE1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0036600">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D668F2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CECD8C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BFA3357">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519562E">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202F98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17F585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995742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5600B27">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56E9F69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10.8</w:t>
                  </w:r>
                </w:p>
              </w:tc>
              <w:tc>
                <w:tcPr>
                  <w:tcW w:w="156" w:type="pct"/>
                  <w:shd w:val="clear" w:color="auto" w:fill="FFFFFF"/>
                  <w:tcMar>
                    <w:top w:w="0" w:type="dxa"/>
                    <w:left w:w="0" w:type="dxa"/>
                    <w:bottom w:w="0" w:type="dxa"/>
                    <w:right w:w="0" w:type="dxa"/>
                  </w:tcMar>
                  <w:vAlign w:val="center"/>
                </w:tcPr>
                <w:p w14:paraId="54101177">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0E06E4C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56.2</w:t>
                  </w:r>
                </w:p>
              </w:tc>
              <w:tc>
                <w:tcPr>
                  <w:tcW w:w="400" w:type="pct"/>
                  <w:vMerge w:val="continue"/>
                  <w:shd w:val="clear" w:color="auto" w:fill="FFFFFF"/>
                  <w:tcMar>
                    <w:top w:w="0" w:type="dxa"/>
                    <w:left w:w="0" w:type="dxa"/>
                    <w:bottom w:w="0" w:type="dxa"/>
                    <w:right w:w="0" w:type="dxa"/>
                  </w:tcMar>
                  <w:vAlign w:val="center"/>
                </w:tcPr>
                <w:p w14:paraId="1AB0BD8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BDA0598">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114CED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009C664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30.2</w:t>
                  </w:r>
                </w:p>
              </w:tc>
              <w:tc>
                <w:tcPr>
                  <w:tcW w:w="284" w:type="pct"/>
                  <w:shd w:val="clear" w:color="auto" w:fill="FFFFFF"/>
                  <w:tcMar>
                    <w:top w:w="0" w:type="dxa"/>
                    <w:left w:w="0" w:type="dxa"/>
                    <w:bottom w:w="0" w:type="dxa"/>
                    <w:right w:w="0" w:type="dxa"/>
                  </w:tcMar>
                  <w:vAlign w:val="center"/>
                </w:tcPr>
                <w:p w14:paraId="74DBAFD5">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3EFF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3B86BA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561B01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1449B22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54033B3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DB047C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40D6C7B">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06E9CCC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5EFABB3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22F034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5EDAE93C">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288043A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4.1</w:t>
                  </w:r>
                </w:p>
              </w:tc>
              <w:tc>
                <w:tcPr>
                  <w:tcW w:w="156" w:type="pct"/>
                  <w:shd w:val="clear" w:color="auto" w:fill="FFFFFF"/>
                  <w:tcMar>
                    <w:top w:w="0" w:type="dxa"/>
                    <w:left w:w="0" w:type="dxa"/>
                    <w:bottom w:w="0" w:type="dxa"/>
                    <w:right w:w="0" w:type="dxa"/>
                  </w:tcMar>
                  <w:vAlign w:val="center"/>
                </w:tcPr>
                <w:p w14:paraId="50CA9C5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9EE9B4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56.6</w:t>
                  </w:r>
                </w:p>
              </w:tc>
              <w:tc>
                <w:tcPr>
                  <w:tcW w:w="400" w:type="pct"/>
                  <w:vMerge w:val="continue"/>
                  <w:shd w:val="clear" w:color="auto" w:fill="FFFFFF"/>
                  <w:tcMar>
                    <w:top w:w="0" w:type="dxa"/>
                    <w:left w:w="0" w:type="dxa"/>
                    <w:bottom w:w="0" w:type="dxa"/>
                    <w:right w:w="0" w:type="dxa"/>
                  </w:tcMar>
                  <w:vAlign w:val="center"/>
                </w:tcPr>
                <w:p w14:paraId="4316D67A">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929C3C3">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5E4869E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157FD97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30.6</w:t>
                  </w:r>
                </w:p>
              </w:tc>
              <w:tc>
                <w:tcPr>
                  <w:tcW w:w="284" w:type="pct"/>
                  <w:shd w:val="clear" w:color="auto" w:fill="FFFFFF"/>
                  <w:tcMar>
                    <w:top w:w="0" w:type="dxa"/>
                    <w:left w:w="0" w:type="dxa"/>
                    <w:bottom w:w="0" w:type="dxa"/>
                    <w:right w:w="0" w:type="dxa"/>
                  </w:tcMar>
                  <w:vAlign w:val="center"/>
                </w:tcPr>
                <w:p w14:paraId="4A613FE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47A1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4D8C54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EE64C6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32F0FD4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E2DDB1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E712CC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67950C0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45269C1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D77172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E3F6F1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9DB92CA">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1BC64B9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21.8</w:t>
                  </w:r>
                </w:p>
              </w:tc>
              <w:tc>
                <w:tcPr>
                  <w:tcW w:w="156" w:type="pct"/>
                  <w:shd w:val="clear" w:color="auto" w:fill="FFFFFF"/>
                  <w:tcMar>
                    <w:top w:w="0" w:type="dxa"/>
                    <w:left w:w="0" w:type="dxa"/>
                    <w:bottom w:w="0" w:type="dxa"/>
                    <w:right w:w="0" w:type="dxa"/>
                  </w:tcMar>
                  <w:vAlign w:val="center"/>
                </w:tcPr>
                <w:p w14:paraId="6667A94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58C8F4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continue"/>
                  <w:shd w:val="clear" w:color="auto" w:fill="FFFFFF"/>
                  <w:tcMar>
                    <w:top w:w="0" w:type="dxa"/>
                    <w:left w:w="0" w:type="dxa"/>
                    <w:bottom w:w="0" w:type="dxa"/>
                    <w:right w:w="0" w:type="dxa"/>
                  </w:tcMar>
                  <w:vAlign w:val="center"/>
                </w:tcPr>
                <w:p w14:paraId="53117456">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273BEBC">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D073D6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60B8849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0C73AE8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1F5E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53BDAAF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47</w:t>
                  </w:r>
                </w:p>
              </w:tc>
              <w:tc>
                <w:tcPr>
                  <w:tcW w:w="284" w:type="pct"/>
                  <w:vMerge w:val="continue"/>
                  <w:shd w:val="clear" w:color="auto" w:fill="FFFFFF"/>
                  <w:tcMar>
                    <w:top w:w="0" w:type="dxa"/>
                    <w:left w:w="0" w:type="dxa"/>
                    <w:bottom w:w="0" w:type="dxa"/>
                    <w:right w:w="0" w:type="dxa"/>
                  </w:tcMar>
                  <w:vAlign w:val="center"/>
                </w:tcPr>
                <w:p w14:paraId="142B1271">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5353D9E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大直径药卷装药机</w:t>
                  </w:r>
                </w:p>
              </w:tc>
              <w:tc>
                <w:tcPr>
                  <w:tcW w:w="561" w:type="pct"/>
                  <w:vMerge w:val="restart"/>
                  <w:shd w:val="clear" w:color="auto" w:fill="FFFFFF"/>
                  <w:tcMar>
                    <w:top w:w="0" w:type="dxa"/>
                    <w:left w:w="0" w:type="dxa"/>
                    <w:bottom w:w="0" w:type="dxa"/>
                    <w:right w:w="0" w:type="dxa"/>
                  </w:tcMar>
                  <w:vAlign w:val="center"/>
                </w:tcPr>
                <w:p w14:paraId="6549BCF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DJK-5 型，6.0t/h</w:t>
                  </w:r>
                </w:p>
              </w:tc>
              <w:tc>
                <w:tcPr>
                  <w:tcW w:w="450" w:type="pct"/>
                  <w:vMerge w:val="restart"/>
                  <w:shd w:val="clear" w:color="auto" w:fill="FFFFFF"/>
                  <w:tcMar>
                    <w:top w:w="0" w:type="dxa"/>
                    <w:left w:w="0" w:type="dxa"/>
                    <w:bottom w:w="0" w:type="dxa"/>
                    <w:right w:w="0" w:type="dxa"/>
                  </w:tcMar>
                  <w:vAlign w:val="center"/>
                </w:tcPr>
                <w:p w14:paraId="293DCBE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2EF52202">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03C5252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-13.4</w:t>
                  </w:r>
                </w:p>
              </w:tc>
              <w:tc>
                <w:tcPr>
                  <w:tcW w:w="247" w:type="pct"/>
                  <w:vMerge w:val="restart"/>
                  <w:shd w:val="clear" w:color="auto" w:fill="FFFFFF"/>
                  <w:tcMar>
                    <w:top w:w="0" w:type="dxa"/>
                    <w:left w:w="0" w:type="dxa"/>
                    <w:bottom w:w="0" w:type="dxa"/>
                    <w:right w:w="0" w:type="dxa"/>
                  </w:tcMar>
                  <w:vAlign w:val="center"/>
                </w:tcPr>
                <w:p w14:paraId="051EF97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-307.5</w:t>
                  </w:r>
                </w:p>
              </w:tc>
              <w:tc>
                <w:tcPr>
                  <w:tcW w:w="138" w:type="pct"/>
                  <w:vMerge w:val="restart"/>
                  <w:shd w:val="clear" w:color="auto" w:fill="FFFFFF"/>
                  <w:tcMar>
                    <w:top w:w="0" w:type="dxa"/>
                    <w:left w:w="0" w:type="dxa"/>
                    <w:bottom w:w="0" w:type="dxa"/>
                    <w:right w:w="0" w:type="dxa"/>
                  </w:tcMar>
                  <w:vAlign w:val="center"/>
                </w:tcPr>
                <w:p w14:paraId="798A2D4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4FB0D7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361893A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56.8</w:t>
                  </w:r>
                </w:p>
              </w:tc>
              <w:tc>
                <w:tcPr>
                  <w:tcW w:w="156" w:type="pct"/>
                  <w:shd w:val="clear" w:color="auto" w:fill="FFFFFF"/>
                  <w:tcMar>
                    <w:top w:w="0" w:type="dxa"/>
                    <w:left w:w="0" w:type="dxa"/>
                    <w:bottom w:w="0" w:type="dxa"/>
                    <w:right w:w="0" w:type="dxa"/>
                  </w:tcMar>
                  <w:vAlign w:val="center"/>
                </w:tcPr>
                <w:p w14:paraId="0CC49AC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6A1DC2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restart"/>
                  <w:shd w:val="clear" w:color="auto" w:fill="FFFFFF"/>
                  <w:tcMar>
                    <w:top w:w="0" w:type="dxa"/>
                    <w:left w:w="0" w:type="dxa"/>
                    <w:bottom w:w="0" w:type="dxa"/>
                    <w:right w:w="0" w:type="dxa"/>
                  </w:tcMar>
                  <w:vAlign w:val="center"/>
                </w:tcPr>
                <w:p w14:paraId="24E66253">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5774A3E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BDB8DB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6F117D2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6340FFD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D4B6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F58A3F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4BE1B46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9A2463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1695F2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40D416E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4CC5438">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C17CA6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C1958C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26D9C06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38523E88">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7E8251C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w:t>
                  </w:r>
                </w:p>
              </w:tc>
              <w:tc>
                <w:tcPr>
                  <w:tcW w:w="156" w:type="pct"/>
                  <w:shd w:val="clear" w:color="auto" w:fill="FFFFFF"/>
                  <w:tcMar>
                    <w:top w:w="0" w:type="dxa"/>
                    <w:left w:w="0" w:type="dxa"/>
                    <w:bottom w:w="0" w:type="dxa"/>
                    <w:right w:w="0" w:type="dxa"/>
                  </w:tcMar>
                  <w:vAlign w:val="center"/>
                </w:tcPr>
                <w:p w14:paraId="1FA7FF0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4E334F2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56.4</w:t>
                  </w:r>
                </w:p>
              </w:tc>
              <w:tc>
                <w:tcPr>
                  <w:tcW w:w="400" w:type="pct"/>
                  <w:vMerge w:val="continue"/>
                  <w:shd w:val="clear" w:color="auto" w:fill="FFFFFF"/>
                  <w:tcMar>
                    <w:top w:w="0" w:type="dxa"/>
                    <w:left w:w="0" w:type="dxa"/>
                    <w:bottom w:w="0" w:type="dxa"/>
                    <w:right w:w="0" w:type="dxa"/>
                  </w:tcMar>
                  <w:vAlign w:val="center"/>
                </w:tcPr>
                <w:p w14:paraId="0EE6EBCE">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1917454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02FAF6D6">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53CC3A7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30.4</w:t>
                  </w:r>
                </w:p>
              </w:tc>
              <w:tc>
                <w:tcPr>
                  <w:tcW w:w="284" w:type="pct"/>
                  <w:shd w:val="clear" w:color="auto" w:fill="FFFFFF"/>
                  <w:tcMar>
                    <w:top w:w="0" w:type="dxa"/>
                    <w:left w:w="0" w:type="dxa"/>
                    <w:bottom w:w="0" w:type="dxa"/>
                    <w:right w:w="0" w:type="dxa"/>
                  </w:tcMar>
                  <w:vAlign w:val="center"/>
                </w:tcPr>
                <w:p w14:paraId="4FF6313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A9B6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93ABE4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2F447A2">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1D9BAC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D48192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6D2BFE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F5D6DC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FF2339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60710FC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F91C6B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99E9B2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5E5E6F1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9.5</w:t>
                  </w:r>
                </w:p>
              </w:tc>
              <w:tc>
                <w:tcPr>
                  <w:tcW w:w="156" w:type="pct"/>
                  <w:shd w:val="clear" w:color="auto" w:fill="FFFFFF"/>
                  <w:tcMar>
                    <w:top w:w="0" w:type="dxa"/>
                    <w:left w:w="0" w:type="dxa"/>
                    <w:bottom w:w="0" w:type="dxa"/>
                    <w:right w:w="0" w:type="dxa"/>
                  </w:tcMar>
                  <w:vAlign w:val="center"/>
                </w:tcPr>
                <w:p w14:paraId="25A90903">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537163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56.2</w:t>
                  </w:r>
                </w:p>
              </w:tc>
              <w:tc>
                <w:tcPr>
                  <w:tcW w:w="400" w:type="pct"/>
                  <w:vMerge w:val="continue"/>
                  <w:shd w:val="clear" w:color="auto" w:fill="FFFFFF"/>
                  <w:tcMar>
                    <w:top w:w="0" w:type="dxa"/>
                    <w:left w:w="0" w:type="dxa"/>
                    <w:bottom w:w="0" w:type="dxa"/>
                    <w:right w:w="0" w:type="dxa"/>
                  </w:tcMar>
                  <w:vAlign w:val="center"/>
                </w:tcPr>
                <w:p w14:paraId="7E1D2A9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716C2356">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EA6A5F0">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0CB10DC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30.2</w:t>
                  </w:r>
                </w:p>
              </w:tc>
              <w:tc>
                <w:tcPr>
                  <w:tcW w:w="284" w:type="pct"/>
                  <w:shd w:val="clear" w:color="auto" w:fill="FFFFFF"/>
                  <w:tcMar>
                    <w:top w:w="0" w:type="dxa"/>
                    <w:left w:w="0" w:type="dxa"/>
                    <w:bottom w:w="0" w:type="dxa"/>
                    <w:right w:w="0" w:type="dxa"/>
                  </w:tcMar>
                  <w:vAlign w:val="center"/>
                </w:tcPr>
                <w:p w14:paraId="44BACD3F">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76AE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49E9732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37DE229D">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78DE3EE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3DB8F1B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741C37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B544CC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EB0786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55B5822">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0286121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8E8C08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2F3E5C9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22.1</w:t>
                  </w:r>
                </w:p>
              </w:tc>
              <w:tc>
                <w:tcPr>
                  <w:tcW w:w="156" w:type="pct"/>
                  <w:shd w:val="clear" w:color="auto" w:fill="FFFFFF"/>
                  <w:tcMar>
                    <w:top w:w="0" w:type="dxa"/>
                    <w:left w:w="0" w:type="dxa"/>
                    <w:bottom w:w="0" w:type="dxa"/>
                    <w:right w:w="0" w:type="dxa"/>
                  </w:tcMar>
                  <w:vAlign w:val="center"/>
                </w:tcPr>
                <w:p w14:paraId="09D16AE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296CDAF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continue"/>
                  <w:shd w:val="clear" w:color="auto" w:fill="FFFFFF"/>
                  <w:tcMar>
                    <w:top w:w="0" w:type="dxa"/>
                    <w:left w:w="0" w:type="dxa"/>
                    <w:bottom w:w="0" w:type="dxa"/>
                    <w:right w:w="0" w:type="dxa"/>
                  </w:tcMar>
                  <w:vAlign w:val="center"/>
                </w:tcPr>
                <w:p w14:paraId="75BB61E1">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061BB92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4075664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2CC916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376397C7">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753A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33CAE13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48</w:t>
                  </w:r>
                </w:p>
              </w:tc>
              <w:tc>
                <w:tcPr>
                  <w:tcW w:w="284" w:type="pct"/>
                  <w:vMerge w:val="continue"/>
                  <w:shd w:val="clear" w:color="auto" w:fill="FFFFFF"/>
                  <w:tcMar>
                    <w:top w:w="0" w:type="dxa"/>
                    <w:left w:w="0" w:type="dxa"/>
                    <w:bottom w:w="0" w:type="dxa"/>
                    <w:right w:w="0" w:type="dxa"/>
                  </w:tcMar>
                  <w:vAlign w:val="center"/>
                </w:tcPr>
                <w:p w14:paraId="4D564F96">
                  <w:pPr>
                    <w:jc w:val="center"/>
                    <w:outlineLvl w:val="9"/>
                    <w:rPr>
                      <w:rFonts w:hint="default" w:ascii="Times New Roman" w:hAnsi="Times New Roman" w:eastAsia="宋体" w:cs="Times New Roman"/>
                      <w:color w:val="auto"/>
                      <w:sz w:val="21"/>
                      <w:szCs w:val="21"/>
                    </w:rPr>
                  </w:pPr>
                </w:p>
              </w:tc>
              <w:tc>
                <w:tcPr>
                  <w:tcW w:w="292" w:type="pct"/>
                  <w:vMerge w:val="restart"/>
                  <w:shd w:val="clear" w:color="auto" w:fill="FFFFFF"/>
                  <w:tcMar>
                    <w:top w:w="0" w:type="dxa"/>
                    <w:left w:w="0" w:type="dxa"/>
                    <w:bottom w:w="0" w:type="dxa"/>
                    <w:right w:w="0" w:type="dxa"/>
                  </w:tcMar>
                  <w:vAlign w:val="center"/>
                </w:tcPr>
                <w:p w14:paraId="09EEA06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自动包装机</w:t>
                  </w:r>
                </w:p>
              </w:tc>
              <w:tc>
                <w:tcPr>
                  <w:tcW w:w="561" w:type="pct"/>
                  <w:vMerge w:val="restart"/>
                  <w:shd w:val="clear" w:color="auto" w:fill="FFFFFF"/>
                  <w:tcMar>
                    <w:top w:w="0" w:type="dxa"/>
                    <w:left w:w="0" w:type="dxa"/>
                    <w:bottom w:w="0" w:type="dxa"/>
                    <w:right w:w="0" w:type="dxa"/>
                  </w:tcMar>
                  <w:vAlign w:val="center"/>
                </w:tcPr>
                <w:p w14:paraId="0A185CA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DJK-5 型，5.4t/h</w:t>
                  </w:r>
                </w:p>
              </w:tc>
              <w:tc>
                <w:tcPr>
                  <w:tcW w:w="450" w:type="pct"/>
                  <w:vMerge w:val="restart"/>
                  <w:shd w:val="clear" w:color="auto" w:fill="FFFFFF"/>
                  <w:tcMar>
                    <w:top w:w="0" w:type="dxa"/>
                    <w:left w:w="0" w:type="dxa"/>
                    <w:bottom w:w="0" w:type="dxa"/>
                    <w:right w:w="0" w:type="dxa"/>
                  </w:tcMar>
                  <w:vAlign w:val="center"/>
                </w:tcPr>
                <w:p w14:paraId="26235C1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70</w:t>
                  </w:r>
                </w:p>
              </w:tc>
              <w:tc>
                <w:tcPr>
                  <w:tcW w:w="415" w:type="pct"/>
                  <w:vMerge w:val="continue"/>
                  <w:shd w:val="clear" w:color="auto" w:fill="FFFFFF"/>
                  <w:tcMar>
                    <w:top w:w="0" w:type="dxa"/>
                    <w:left w:w="0" w:type="dxa"/>
                    <w:bottom w:w="0" w:type="dxa"/>
                    <w:right w:w="0" w:type="dxa"/>
                  </w:tcMar>
                  <w:vAlign w:val="center"/>
                </w:tcPr>
                <w:p w14:paraId="18BC2DF2">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4D14F5B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-22.2</w:t>
                  </w:r>
                </w:p>
              </w:tc>
              <w:tc>
                <w:tcPr>
                  <w:tcW w:w="247" w:type="pct"/>
                  <w:vMerge w:val="restart"/>
                  <w:shd w:val="clear" w:color="auto" w:fill="FFFFFF"/>
                  <w:tcMar>
                    <w:top w:w="0" w:type="dxa"/>
                    <w:left w:w="0" w:type="dxa"/>
                    <w:bottom w:w="0" w:type="dxa"/>
                    <w:right w:w="0" w:type="dxa"/>
                  </w:tcMar>
                  <w:vAlign w:val="center"/>
                </w:tcPr>
                <w:p w14:paraId="114F1A6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-313.3</w:t>
                  </w:r>
                </w:p>
              </w:tc>
              <w:tc>
                <w:tcPr>
                  <w:tcW w:w="138" w:type="pct"/>
                  <w:vMerge w:val="restart"/>
                  <w:shd w:val="clear" w:color="auto" w:fill="FFFFFF"/>
                  <w:tcMar>
                    <w:top w:w="0" w:type="dxa"/>
                    <w:left w:w="0" w:type="dxa"/>
                    <w:bottom w:w="0" w:type="dxa"/>
                    <w:right w:w="0" w:type="dxa"/>
                  </w:tcMar>
                  <w:vAlign w:val="center"/>
                </w:tcPr>
                <w:p w14:paraId="555722A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2D44BD1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6A0F228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66.9</w:t>
                  </w:r>
                </w:p>
              </w:tc>
              <w:tc>
                <w:tcPr>
                  <w:tcW w:w="156" w:type="pct"/>
                  <w:shd w:val="clear" w:color="auto" w:fill="FFFFFF"/>
                  <w:tcMar>
                    <w:top w:w="0" w:type="dxa"/>
                    <w:left w:w="0" w:type="dxa"/>
                    <w:bottom w:w="0" w:type="dxa"/>
                    <w:right w:w="0" w:type="dxa"/>
                  </w:tcMar>
                  <w:vAlign w:val="center"/>
                </w:tcPr>
                <w:p w14:paraId="3EAD886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357452E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400" w:type="pct"/>
                  <w:vMerge w:val="restart"/>
                  <w:shd w:val="clear" w:color="auto" w:fill="FFFFFF"/>
                  <w:tcMar>
                    <w:top w:w="0" w:type="dxa"/>
                    <w:left w:w="0" w:type="dxa"/>
                    <w:bottom w:w="0" w:type="dxa"/>
                    <w:right w:w="0" w:type="dxa"/>
                  </w:tcMar>
                  <w:vAlign w:val="center"/>
                </w:tcPr>
                <w:p w14:paraId="2F614D5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1C675890">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4D4643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0B35CBC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284" w:type="pct"/>
                  <w:shd w:val="clear" w:color="auto" w:fill="FFFFFF"/>
                  <w:tcMar>
                    <w:top w:w="0" w:type="dxa"/>
                    <w:left w:w="0" w:type="dxa"/>
                    <w:bottom w:w="0" w:type="dxa"/>
                    <w:right w:w="0" w:type="dxa"/>
                  </w:tcMar>
                  <w:vAlign w:val="center"/>
                </w:tcPr>
                <w:p w14:paraId="4C0321D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A7D1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AA1DEF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FCE7F03">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0A35859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49B1424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2EB6400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2323EBCF">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756610D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0219E7E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6486FC2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0A42F191">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31FB247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7.6</w:t>
                  </w:r>
                </w:p>
              </w:tc>
              <w:tc>
                <w:tcPr>
                  <w:tcW w:w="156" w:type="pct"/>
                  <w:shd w:val="clear" w:color="auto" w:fill="FFFFFF"/>
                  <w:tcMar>
                    <w:top w:w="0" w:type="dxa"/>
                    <w:left w:w="0" w:type="dxa"/>
                    <w:bottom w:w="0" w:type="dxa"/>
                    <w:right w:w="0" w:type="dxa"/>
                  </w:tcMar>
                  <w:vAlign w:val="center"/>
                </w:tcPr>
                <w:p w14:paraId="0536CC41">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6DD73E0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56.3</w:t>
                  </w:r>
                </w:p>
              </w:tc>
              <w:tc>
                <w:tcPr>
                  <w:tcW w:w="400" w:type="pct"/>
                  <w:vMerge w:val="continue"/>
                  <w:shd w:val="clear" w:color="auto" w:fill="FFFFFF"/>
                  <w:tcMar>
                    <w:top w:w="0" w:type="dxa"/>
                    <w:left w:w="0" w:type="dxa"/>
                    <w:bottom w:w="0" w:type="dxa"/>
                    <w:right w:w="0" w:type="dxa"/>
                  </w:tcMar>
                  <w:vAlign w:val="center"/>
                </w:tcPr>
                <w:p w14:paraId="14A42D0C">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AA68F4D">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CE4280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2CA853F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30.3</w:t>
                  </w:r>
                </w:p>
              </w:tc>
              <w:tc>
                <w:tcPr>
                  <w:tcW w:w="284" w:type="pct"/>
                  <w:shd w:val="clear" w:color="auto" w:fill="FFFFFF"/>
                  <w:tcMar>
                    <w:top w:w="0" w:type="dxa"/>
                    <w:left w:w="0" w:type="dxa"/>
                    <w:bottom w:w="0" w:type="dxa"/>
                    <w:right w:w="0" w:type="dxa"/>
                  </w:tcMar>
                  <w:vAlign w:val="center"/>
                </w:tcPr>
                <w:p w14:paraId="3BA4AB8E">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C1A9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3E8DE31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632A87FE">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56728C3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664EE07E">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75F631B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6774CD1">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03DC51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72B462C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5BCA84FF">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71084C5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677C9835">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7.3</w:t>
                  </w:r>
                </w:p>
              </w:tc>
              <w:tc>
                <w:tcPr>
                  <w:tcW w:w="156" w:type="pct"/>
                  <w:shd w:val="clear" w:color="auto" w:fill="FFFFFF"/>
                  <w:tcMar>
                    <w:top w:w="0" w:type="dxa"/>
                    <w:left w:w="0" w:type="dxa"/>
                    <w:bottom w:w="0" w:type="dxa"/>
                    <w:right w:w="0" w:type="dxa"/>
                  </w:tcMar>
                  <w:vAlign w:val="center"/>
                </w:tcPr>
                <w:p w14:paraId="687A54E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358833E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56.3</w:t>
                  </w:r>
                </w:p>
              </w:tc>
              <w:tc>
                <w:tcPr>
                  <w:tcW w:w="400" w:type="pct"/>
                  <w:vMerge w:val="continue"/>
                  <w:shd w:val="clear" w:color="auto" w:fill="FFFFFF"/>
                  <w:tcMar>
                    <w:top w:w="0" w:type="dxa"/>
                    <w:left w:w="0" w:type="dxa"/>
                    <w:bottom w:w="0" w:type="dxa"/>
                    <w:right w:w="0" w:type="dxa"/>
                  </w:tcMar>
                  <w:vAlign w:val="center"/>
                </w:tcPr>
                <w:p w14:paraId="613080A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3E363E62">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601A926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4014E43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30.3</w:t>
                  </w:r>
                </w:p>
              </w:tc>
              <w:tc>
                <w:tcPr>
                  <w:tcW w:w="284" w:type="pct"/>
                  <w:shd w:val="clear" w:color="auto" w:fill="FFFFFF"/>
                  <w:tcMar>
                    <w:top w:w="0" w:type="dxa"/>
                    <w:left w:w="0" w:type="dxa"/>
                    <w:bottom w:w="0" w:type="dxa"/>
                    <w:right w:w="0" w:type="dxa"/>
                  </w:tcMar>
                  <w:vAlign w:val="center"/>
                </w:tcPr>
                <w:p w14:paraId="4ACF88E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0755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6F181BF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082A39D6">
                  <w:pPr>
                    <w:jc w:val="center"/>
                    <w:outlineLvl w:val="9"/>
                    <w:rPr>
                      <w:rFonts w:hint="default" w:ascii="Times New Roman" w:hAnsi="Times New Roman" w:eastAsia="宋体" w:cs="Times New Roman"/>
                      <w:color w:val="auto"/>
                      <w:sz w:val="21"/>
                      <w:szCs w:val="21"/>
                    </w:rPr>
                  </w:pPr>
                </w:p>
              </w:tc>
              <w:tc>
                <w:tcPr>
                  <w:tcW w:w="292" w:type="pct"/>
                  <w:vMerge w:val="continue"/>
                  <w:shd w:val="clear" w:color="auto" w:fill="FFFFFF"/>
                  <w:tcMar>
                    <w:top w:w="0" w:type="dxa"/>
                    <w:left w:w="0" w:type="dxa"/>
                    <w:bottom w:w="0" w:type="dxa"/>
                    <w:right w:w="0" w:type="dxa"/>
                  </w:tcMar>
                  <w:vAlign w:val="center"/>
                </w:tcPr>
                <w:p w14:paraId="4F46BCD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2C8A731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0E19C0B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A3CF79C">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67EED6E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A9F987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1841266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818E2B2">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7D00940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11.8</w:t>
                  </w:r>
                </w:p>
              </w:tc>
              <w:tc>
                <w:tcPr>
                  <w:tcW w:w="156" w:type="pct"/>
                  <w:shd w:val="clear" w:color="auto" w:fill="FFFFFF"/>
                  <w:tcMar>
                    <w:top w:w="0" w:type="dxa"/>
                    <w:left w:w="0" w:type="dxa"/>
                    <w:bottom w:w="0" w:type="dxa"/>
                    <w:right w:w="0" w:type="dxa"/>
                  </w:tcMar>
                  <w:vAlign w:val="center"/>
                </w:tcPr>
                <w:p w14:paraId="0ECA0C64">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79F44CD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56.2</w:t>
                  </w:r>
                </w:p>
              </w:tc>
              <w:tc>
                <w:tcPr>
                  <w:tcW w:w="400" w:type="pct"/>
                  <w:vMerge w:val="continue"/>
                  <w:shd w:val="clear" w:color="auto" w:fill="FFFFFF"/>
                  <w:tcMar>
                    <w:top w:w="0" w:type="dxa"/>
                    <w:left w:w="0" w:type="dxa"/>
                    <w:bottom w:w="0" w:type="dxa"/>
                    <w:right w:w="0" w:type="dxa"/>
                  </w:tcMar>
                  <w:vAlign w:val="center"/>
                </w:tcPr>
                <w:p w14:paraId="409A6E83">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4E540A01">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744B630B">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7769210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30.2</w:t>
                  </w:r>
                </w:p>
              </w:tc>
              <w:tc>
                <w:tcPr>
                  <w:tcW w:w="284" w:type="pct"/>
                  <w:shd w:val="clear" w:color="auto" w:fill="FFFFFF"/>
                  <w:tcMar>
                    <w:top w:w="0" w:type="dxa"/>
                    <w:left w:w="0" w:type="dxa"/>
                    <w:bottom w:w="0" w:type="dxa"/>
                    <w:right w:w="0" w:type="dxa"/>
                  </w:tcMar>
                  <w:vAlign w:val="center"/>
                </w:tcPr>
                <w:p w14:paraId="126016E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9DE4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restart"/>
                  <w:shd w:val="clear" w:color="auto" w:fill="FFFFFF"/>
                  <w:tcMar>
                    <w:top w:w="0" w:type="dxa"/>
                    <w:left w:w="0" w:type="dxa"/>
                    <w:bottom w:w="0" w:type="dxa"/>
                    <w:right w:w="0" w:type="dxa"/>
                  </w:tcMar>
                  <w:vAlign w:val="center"/>
                </w:tcPr>
                <w:p w14:paraId="5DDF790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i w:val="0"/>
                      <w:iCs w:val="0"/>
                      <w:color w:val="auto"/>
                      <w:kern w:val="0"/>
                      <w:sz w:val="21"/>
                      <w:szCs w:val="21"/>
                      <w:u w:val="none"/>
                      <w:lang w:val="en-US" w:eastAsia="zh-CN" w:bidi="ar"/>
                    </w:rPr>
                    <w:t>49</w:t>
                  </w:r>
                </w:p>
              </w:tc>
              <w:tc>
                <w:tcPr>
                  <w:tcW w:w="284" w:type="pct"/>
                  <w:vMerge w:val="restart"/>
                  <w:shd w:val="clear" w:color="auto" w:fill="FFFFFF"/>
                  <w:tcMar>
                    <w:top w:w="0" w:type="dxa"/>
                    <w:left w:w="0" w:type="dxa"/>
                    <w:bottom w:w="0" w:type="dxa"/>
                    <w:right w:w="0" w:type="dxa"/>
                  </w:tcMar>
                  <w:vAlign w:val="center"/>
                </w:tcPr>
                <w:p w14:paraId="0D638514">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成品中转站台</w:t>
                  </w:r>
                </w:p>
              </w:tc>
              <w:tc>
                <w:tcPr>
                  <w:tcW w:w="292" w:type="pct"/>
                  <w:vMerge w:val="restart"/>
                  <w:shd w:val="clear" w:color="auto" w:fill="FFFFFF"/>
                  <w:tcMar>
                    <w:top w:w="0" w:type="dxa"/>
                    <w:left w:w="0" w:type="dxa"/>
                    <w:bottom w:w="0" w:type="dxa"/>
                    <w:right w:w="0" w:type="dxa"/>
                  </w:tcMar>
                  <w:vAlign w:val="center"/>
                </w:tcPr>
                <w:p w14:paraId="377557CB">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装车机器人</w:t>
                  </w:r>
                </w:p>
              </w:tc>
              <w:tc>
                <w:tcPr>
                  <w:tcW w:w="561" w:type="pct"/>
                  <w:vMerge w:val="restart"/>
                  <w:shd w:val="clear" w:color="auto" w:fill="FFFFFF"/>
                  <w:tcMar>
                    <w:top w:w="0" w:type="dxa"/>
                    <w:left w:w="0" w:type="dxa"/>
                    <w:bottom w:w="0" w:type="dxa"/>
                    <w:right w:w="0" w:type="dxa"/>
                  </w:tcMar>
                  <w:vAlign w:val="center"/>
                </w:tcPr>
                <w:p w14:paraId="35078F0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KNACPM</w:t>
                  </w:r>
                </w:p>
              </w:tc>
              <w:tc>
                <w:tcPr>
                  <w:tcW w:w="450" w:type="pct"/>
                  <w:vMerge w:val="restart"/>
                  <w:shd w:val="clear" w:color="auto" w:fill="FFFFFF"/>
                  <w:tcMar>
                    <w:top w:w="0" w:type="dxa"/>
                    <w:left w:w="0" w:type="dxa"/>
                    <w:bottom w:w="0" w:type="dxa"/>
                    <w:right w:w="0" w:type="dxa"/>
                  </w:tcMar>
                  <w:vAlign w:val="center"/>
                </w:tcPr>
                <w:p w14:paraId="238DC64E">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75</w:t>
                  </w:r>
                </w:p>
              </w:tc>
              <w:tc>
                <w:tcPr>
                  <w:tcW w:w="415" w:type="pct"/>
                  <w:vMerge w:val="continue"/>
                  <w:shd w:val="clear" w:color="auto" w:fill="FFFFFF"/>
                  <w:tcMar>
                    <w:top w:w="0" w:type="dxa"/>
                    <w:left w:w="0" w:type="dxa"/>
                    <w:bottom w:w="0" w:type="dxa"/>
                    <w:right w:w="0" w:type="dxa"/>
                  </w:tcMar>
                  <w:vAlign w:val="center"/>
                </w:tcPr>
                <w:p w14:paraId="7FC7A646">
                  <w:pPr>
                    <w:jc w:val="center"/>
                    <w:outlineLvl w:val="9"/>
                    <w:rPr>
                      <w:rFonts w:hint="default" w:ascii="Times New Roman" w:hAnsi="Times New Roman" w:eastAsia="宋体" w:cs="Times New Roman"/>
                      <w:color w:val="auto"/>
                      <w:sz w:val="21"/>
                      <w:szCs w:val="21"/>
                    </w:rPr>
                  </w:pPr>
                </w:p>
              </w:tc>
              <w:tc>
                <w:tcPr>
                  <w:tcW w:w="247" w:type="pct"/>
                  <w:vMerge w:val="restart"/>
                  <w:shd w:val="clear" w:color="auto" w:fill="FFFFFF"/>
                  <w:tcMar>
                    <w:top w:w="0" w:type="dxa"/>
                    <w:left w:w="0" w:type="dxa"/>
                    <w:bottom w:w="0" w:type="dxa"/>
                    <w:right w:w="0" w:type="dxa"/>
                  </w:tcMar>
                  <w:vAlign w:val="center"/>
                </w:tcPr>
                <w:p w14:paraId="5FCED069">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-39.4</w:t>
                  </w:r>
                </w:p>
              </w:tc>
              <w:tc>
                <w:tcPr>
                  <w:tcW w:w="247" w:type="pct"/>
                  <w:vMerge w:val="restart"/>
                  <w:shd w:val="clear" w:color="auto" w:fill="FFFFFF"/>
                  <w:tcMar>
                    <w:top w:w="0" w:type="dxa"/>
                    <w:left w:w="0" w:type="dxa"/>
                    <w:bottom w:w="0" w:type="dxa"/>
                    <w:right w:w="0" w:type="dxa"/>
                  </w:tcMar>
                  <w:vAlign w:val="center"/>
                </w:tcPr>
                <w:p w14:paraId="5B02BC37">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-376.3</w:t>
                  </w:r>
                </w:p>
              </w:tc>
              <w:tc>
                <w:tcPr>
                  <w:tcW w:w="138" w:type="pct"/>
                  <w:vMerge w:val="restart"/>
                  <w:shd w:val="clear" w:color="auto" w:fill="FFFFFF"/>
                  <w:tcMar>
                    <w:top w:w="0" w:type="dxa"/>
                    <w:left w:w="0" w:type="dxa"/>
                    <w:bottom w:w="0" w:type="dxa"/>
                    <w:right w:w="0" w:type="dxa"/>
                  </w:tcMar>
                  <w:vAlign w:val="center"/>
                </w:tcPr>
                <w:p w14:paraId="095E18F3">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8" w:type="pct"/>
                  <w:shd w:val="clear" w:color="auto" w:fill="FFFFFF"/>
                  <w:tcMar>
                    <w:top w:w="0" w:type="dxa"/>
                    <w:left w:w="0" w:type="dxa"/>
                    <w:bottom w:w="0" w:type="dxa"/>
                    <w:right w:w="0" w:type="dxa"/>
                  </w:tcMar>
                  <w:vAlign w:val="center"/>
                </w:tcPr>
                <w:p w14:paraId="18ECAEE6">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东</w:t>
                  </w:r>
                </w:p>
              </w:tc>
              <w:tc>
                <w:tcPr>
                  <w:tcW w:w="190" w:type="pct"/>
                  <w:shd w:val="clear" w:color="auto" w:fill="FFFFFF"/>
                  <w:tcMar>
                    <w:top w:w="0" w:type="dxa"/>
                    <w:left w:w="0" w:type="dxa"/>
                    <w:bottom w:w="0" w:type="dxa"/>
                    <w:right w:w="0" w:type="dxa"/>
                  </w:tcMar>
                  <w:vAlign w:val="center"/>
                </w:tcPr>
                <w:p w14:paraId="27F683D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9.6</w:t>
                  </w:r>
                </w:p>
              </w:tc>
              <w:tc>
                <w:tcPr>
                  <w:tcW w:w="156" w:type="pct"/>
                  <w:shd w:val="clear" w:color="auto" w:fill="FFFFFF"/>
                  <w:tcMar>
                    <w:top w:w="0" w:type="dxa"/>
                    <w:left w:w="0" w:type="dxa"/>
                    <w:bottom w:w="0" w:type="dxa"/>
                    <w:right w:w="0" w:type="dxa"/>
                  </w:tcMar>
                  <w:vAlign w:val="center"/>
                </w:tcPr>
                <w:p w14:paraId="69B68E62">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198" w:type="pct"/>
                  <w:shd w:val="clear" w:color="auto" w:fill="FFFFFF"/>
                  <w:tcMar>
                    <w:top w:w="0" w:type="dxa"/>
                    <w:left w:w="0" w:type="dxa"/>
                    <w:bottom w:w="0" w:type="dxa"/>
                    <w:right w:w="0" w:type="dxa"/>
                  </w:tcMar>
                  <w:vAlign w:val="center"/>
                </w:tcPr>
                <w:p w14:paraId="0A64F64D">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68.9</w:t>
                  </w:r>
                </w:p>
              </w:tc>
              <w:tc>
                <w:tcPr>
                  <w:tcW w:w="400" w:type="pct"/>
                  <w:vMerge w:val="restart"/>
                  <w:shd w:val="clear" w:color="auto" w:fill="FFFFFF"/>
                  <w:tcMar>
                    <w:top w:w="0" w:type="dxa"/>
                    <w:left w:w="0" w:type="dxa"/>
                    <w:bottom w:w="0" w:type="dxa"/>
                    <w:right w:w="0" w:type="dxa"/>
                  </w:tcMar>
                  <w:vAlign w:val="center"/>
                </w:tcPr>
                <w:p w14:paraId="50901D11">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7:00~2:00</w:t>
                  </w:r>
                </w:p>
              </w:tc>
              <w:tc>
                <w:tcPr>
                  <w:tcW w:w="328" w:type="pct"/>
                  <w:vMerge w:val="restart"/>
                  <w:shd w:val="clear" w:color="auto" w:fill="FFFFFF"/>
                  <w:tcMar>
                    <w:top w:w="0" w:type="dxa"/>
                    <w:left w:w="0" w:type="dxa"/>
                    <w:bottom w:w="0" w:type="dxa"/>
                    <w:right w:w="0" w:type="dxa"/>
                  </w:tcMar>
                  <w:vAlign w:val="center"/>
                </w:tcPr>
                <w:p w14:paraId="60B3093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26</w:t>
                  </w:r>
                </w:p>
              </w:tc>
              <w:tc>
                <w:tcPr>
                  <w:tcW w:w="183" w:type="pct"/>
                  <w:shd w:val="clear" w:color="auto" w:fill="FFFFFF"/>
                  <w:tcMar>
                    <w:top w:w="0" w:type="dxa"/>
                    <w:left w:w="0" w:type="dxa"/>
                    <w:bottom w:w="0" w:type="dxa"/>
                    <w:right w:w="0" w:type="dxa"/>
                  </w:tcMar>
                  <w:vAlign w:val="center"/>
                </w:tcPr>
                <w:p w14:paraId="3B6105DE">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东</w:t>
                  </w:r>
                </w:p>
              </w:tc>
              <w:tc>
                <w:tcPr>
                  <w:tcW w:w="240" w:type="pct"/>
                  <w:shd w:val="clear" w:color="auto" w:fill="FFFFFF"/>
                  <w:tcMar>
                    <w:top w:w="0" w:type="dxa"/>
                    <w:left w:w="0" w:type="dxa"/>
                    <w:bottom w:w="0" w:type="dxa"/>
                    <w:right w:w="0" w:type="dxa"/>
                  </w:tcMar>
                  <w:vAlign w:val="center"/>
                </w:tcPr>
                <w:p w14:paraId="2176500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42.9</w:t>
                  </w:r>
                </w:p>
              </w:tc>
              <w:tc>
                <w:tcPr>
                  <w:tcW w:w="284" w:type="pct"/>
                  <w:shd w:val="clear" w:color="auto" w:fill="FFFFFF"/>
                  <w:tcMar>
                    <w:top w:w="0" w:type="dxa"/>
                    <w:left w:w="0" w:type="dxa"/>
                    <w:bottom w:w="0" w:type="dxa"/>
                    <w:right w:w="0" w:type="dxa"/>
                  </w:tcMar>
                  <w:vAlign w:val="center"/>
                </w:tcPr>
                <w:p w14:paraId="50ACCB16">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1019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1B1D039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2B14B2E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57E9B39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A98B80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6175AC9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706BA95F">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3F11B8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1BBB1C98">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E8E21C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1591B335">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南</w:t>
                  </w:r>
                </w:p>
              </w:tc>
              <w:tc>
                <w:tcPr>
                  <w:tcW w:w="190" w:type="pct"/>
                  <w:shd w:val="clear" w:color="auto" w:fill="FFFFFF"/>
                  <w:tcMar>
                    <w:top w:w="0" w:type="dxa"/>
                    <w:left w:w="0" w:type="dxa"/>
                    <w:bottom w:w="0" w:type="dxa"/>
                    <w:right w:w="0" w:type="dxa"/>
                  </w:tcMar>
                  <w:vAlign w:val="center"/>
                </w:tcPr>
                <w:p w14:paraId="2A587DA6">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8.8</w:t>
                  </w:r>
                </w:p>
              </w:tc>
              <w:tc>
                <w:tcPr>
                  <w:tcW w:w="156" w:type="pct"/>
                  <w:shd w:val="clear" w:color="auto" w:fill="FFFFFF"/>
                  <w:tcMar>
                    <w:top w:w="0" w:type="dxa"/>
                    <w:left w:w="0" w:type="dxa"/>
                    <w:bottom w:w="0" w:type="dxa"/>
                    <w:right w:w="0" w:type="dxa"/>
                  </w:tcMar>
                  <w:vAlign w:val="center"/>
                </w:tcPr>
                <w:p w14:paraId="04EA3A6C">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198" w:type="pct"/>
                  <w:shd w:val="clear" w:color="auto" w:fill="FFFFFF"/>
                  <w:tcMar>
                    <w:top w:w="0" w:type="dxa"/>
                    <w:left w:w="0" w:type="dxa"/>
                    <w:bottom w:w="0" w:type="dxa"/>
                    <w:right w:w="0" w:type="dxa"/>
                  </w:tcMar>
                  <w:vAlign w:val="center"/>
                </w:tcPr>
                <w:p w14:paraId="16F4151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68.9</w:t>
                  </w:r>
                </w:p>
              </w:tc>
              <w:tc>
                <w:tcPr>
                  <w:tcW w:w="400" w:type="pct"/>
                  <w:vMerge w:val="continue"/>
                  <w:shd w:val="clear" w:color="auto" w:fill="FFFFFF"/>
                  <w:tcMar>
                    <w:top w:w="0" w:type="dxa"/>
                    <w:left w:w="0" w:type="dxa"/>
                    <w:bottom w:w="0" w:type="dxa"/>
                    <w:right w:w="0" w:type="dxa"/>
                  </w:tcMar>
                  <w:vAlign w:val="center"/>
                </w:tcPr>
                <w:p w14:paraId="58DB1D1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A9941C9">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4F3CC2F">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南</w:t>
                  </w:r>
                </w:p>
              </w:tc>
              <w:tc>
                <w:tcPr>
                  <w:tcW w:w="240" w:type="pct"/>
                  <w:shd w:val="clear" w:color="auto" w:fill="FFFFFF"/>
                  <w:tcMar>
                    <w:top w:w="0" w:type="dxa"/>
                    <w:left w:w="0" w:type="dxa"/>
                    <w:bottom w:w="0" w:type="dxa"/>
                    <w:right w:w="0" w:type="dxa"/>
                  </w:tcMar>
                  <w:vAlign w:val="center"/>
                </w:tcPr>
                <w:p w14:paraId="63F6CE31">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42.9</w:t>
                  </w:r>
                </w:p>
              </w:tc>
              <w:tc>
                <w:tcPr>
                  <w:tcW w:w="284" w:type="pct"/>
                  <w:shd w:val="clear" w:color="auto" w:fill="FFFFFF"/>
                  <w:tcMar>
                    <w:top w:w="0" w:type="dxa"/>
                    <w:left w:w="0" w:type="dxa"/>
                    <w:bottom w:w="0" w:type="dxa"/>
                    <w:right w:w="0" w:type="dxa"/>
                  </w:tcMar>
                  <w:vAlign w:val="center"/>
                </w:tcPr>
                <w:p w14:paraId="5E8D01CD">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9C62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trHeight w:val="90" w:hRule="atLeast"/>
                <w:jc w:val="center"/>
              </w:trPr>
              <w:tc>
                <w:tcPr>
                  <w:tcW w:w="182" w:type="pct"/>
                  <w:vMerge w:val="continue"/>
                  <w:shd w:val="clear" w:color="auto" w:fill="FFFFFF"/>
                  <w:tcMar>
                    <w:top w:w="0" w:type="dxa"/>
                    <w:left w:w="0" w:type="dxa"/>
                    <w:bottom w:w="0" w:type="dxa"/>
                    <w:right w:w="0" w:type="dxa"/>
                  </w:tcMar>
                  <w:vAlign w:val="center"/>
                </w:tcPr>
                <w:p w14:paraId="3195F57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529E97C3">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15E13D2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1871972C">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3C6B70C4">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15830576">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31131B81">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3607C66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76367D0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9366254">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西</w:t>
                  </w:r>
                </w:p>
              </w:tc>
              <w:tc>
                <w:tcPr>
                  <w:tcW w:w="190" w:type="pct"/>
                  <w:shd w:val="clear" w:color="auto" w:fill="FFFFFF"/>
                  <w:tcMar>
                    <w:top w:w="0" w:type="dxa"/>
                    <w:left w:w="0" w:type="dxa"/>
                    <w:bottom w:w="0" w:type="dxa"/>
                    <w:right w:w="0" w:type="dxa"/>
                  </w:tcMar>
                  <w:vAlign w:val="center"/>
                </w:tcPr>
                <w:p w14:paraId="50746D52">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156" w:type="pct"/>
                  <w:shd w:val="clear" w:color="auto" w:fill="FFFFFF"/>
                  <w:tcMar>
                    <w:top w:w="0" w:type="dxa"/>
                    <w:left w:w="0" w:type="dxa"/>
                    <w:bottom w:w="0" w:type="dxa"/>
                    <w:right w:w="0" w:type="dxa"/>
                  </w:tcMar>
                  <w:vAlign w:val="center"/>
                </w:tcPr>
                <w:p w14:paraId="4BE3D29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198" w:type="pct"/>
                  <w:shd w:val="clear" w:color="auto" w:fill="FFFFFF"/>
                  <w:tcMar>
                    <w:top w:w="0" w:type="dxa"/>
                    <w:left w:w="0" w:type="dxa"/>
                    <w:bottom w:w="0" w:type="dxa"/>
                    <w:right w:w="0" w:type="dxa"/>
                  </w:tcMar>
                  <w:vAlign w:val="center"/>
                </w:tcPr>
                <w:p w14:paraId="45C4ED98">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68.9</w:t>
                  </w:r>
                </w:p>
              </w:tc>
              <w:tc>
                <w:tcPr>
                  <w:tcW w:w="400" w:type="pct"/>
                  <w:vMerge w:val="continue"/>
                  <w:shd w:val="clear" w:color="auto" w:fill="FFFFFF"/>
                  <w:tcMar>
                    <w:top w:w="0" w:type="dxa"/>
                    <w:left w:w="0" w:type="dxa"/>
                    <w:bottom w:w="0" w:type="dxa"/>
                    <w:right w:w="0" w:type="dxa"/>
                  </w:tcMar>
                  <w:vAlign w:val="center"/>
                </w:tcPr>
                <w:p w14:paraId="2FD83228">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62429DDA">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30C24378">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西</w:t>
                  </w:r>
                </w:p>
              </w:tc>
              <w:tc>
                <w:tcPr>
                  <w:tcW w:w="240" w:type="pct"/>
                  <w:shd w:val="clear" w:color="auto" w:fill="FFFFFF"/>
                  <w:tcMar>
                    <w:top w:w="0" w:type="dxa"/>
                    <w:left w:w="0" w:type="dxa"/>
                    <w:bottom w:w="0" w:type="dxa"/>
                    <w:right w:w="0" w:type="dxa"/>
                  </w:tcMar>
                  <w:vAlign w:val="center"/>
                </w:tcPr>
                <w:p w14:paraId="61B7E070">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42.9</w:t>
                  </w:r>
                </w:p>
              </w:tc>
              <w:tc>
                <w:tcPr>
                  <w:tcW w:w="284" w:type="pct"/>
                  <w:shd w:val="clear" w:color="auto" w:fill="FFFFFF"/>
                  <w:tcMar>
                    <w:top w:w="0" w:type="dxa"/>
                    <w:left w:w="0" w:type="dxa"/>
                    <w:bottom w:w="0" w:type="dxa"/>
                    <w:right w:w="0" w:type="dxa"/>
                  </w:tcMar>
                  <w:vAlign w:val="center"/>
                </w:tcPr>
                <w:p w14:paraId="2A11DE52">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7DF1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9" w:type="pct"/>
                <w:jc w:val="center"/>
              </w:trPr>
              <w:tc>
                <w:tcPr>
                  <w:tcW w:w="182" w:type="pct"/>
                  <w:vMerge w:val="continue"/>
                  <w:shd w:val="clear" w:color="auto" w:fill="FFFFFF"/>
                  <w:tcMar>
                    <w:top w:w="0" w:type="dxa"/>
                    <w:left w:w="0" w:type="dxa"/>
                    <w:bottom w:w="0" w:type="dxa"/>
                    <w:right w:w="0" w:type="dxa"/>
                  </w:tcMar>
                  <w:vAlign w:val="center"/>
                </w:tcPr>
                <w:p w14:paraId="74830A4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84" w:type="pct"/>
                  <w:vMerge w:val="continue"/>
                  <w:shd w:val="clear" w:color="auto" w:fill="FFFFFF"/>
                  <w:tcMar>
                    <w:top w:w="0" w:type="dxa"/>
                    <w:left w:w="0" w:type="dxa"/>
                    <w:bottom w:w="0" w:type="dxa"/>
                    <w:right w:w="0" w:type="dxa"/>
                  </w:tcMar>
                  <w:vAlign w:val="center"/>
                </w:tcPr>
                <w:p w14:paraId="1FBF0FB9">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92" w:type="pct"/>
                  <w:vMerge w:val="continue"/>
                  <w:shd w:val="clear" w:color="auto" w:fill="FFFFFF"/>
                  <w:tcMar>
                    <w:top w:w="0" w:type="dxa"/>
                    <w:left w:w="0" w:type="dxa"/>
                    <w:bottom w:w="0" w:type="dxa"/>
                    <w:right w:w="0" w:type="dxa"/>
                  </w:tcMar>
                  <w:vAlign w:val="center"/>
                </w:tcPr>
                <w:p w14:paraId="4C50A7D5">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561" w:type="pct"/>
                  <w:vMerge w:val="continue"/>
                  <w:shd w:val="clear" w:color="auto" w:fill="FFFFFF"/>
                  <w:tcMar>
                    <w:top w:w="0" w:type="dxa"/>
                    <w:left w:w="0" w:type="dxa"/>
                    <w:bottom w:w="0" w:type="dxa"/>
                    <w:right w:w="0" w:type="dxa"/>
                  </w:tcMar>
                  <w:vAlign w:val="center"/>
                </w:tcPr>
                <w:p w14:paraId="03F78DEA">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50" w:type="pct"/>
                  <w:vMerge w:val="continue"/>
                  <w:shd w:val="clear" w:color="auto" w:fill="FFFFFF"/>
                  <w:tcMar>
                    <w:top w:w="0" w:type="dxa"/>
                    <w:left w:w="0" w:type="dxa"/>
                    <w:bottom w:w="0" w:type="dxa"/>
                    <w:right w:w="0" w:type="dxa"/>
                  </w:tcMar>
                  <w:vAlign w:val="center"/>
                </w:tcPr>
                <w:p w14:paraId="1207F8FD">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415" w:type="pct"/>
                  <w:vMerge w:val="continue"/>
                  <w:shd w:val="clear" w:color="auto" w:fill="FFFFFF"/>
                  <w:tcMar>
                    <w:top w:w="0" w:type="dxa"/>
                    <w:left w:w="0" w:type="dxa"/>
                    <w:bottom w:w="0" w:type="dxa"/>
                    <w:right w:w="0" w:type="dxa"/>
                  </w:tcMar>
                  <w:vAlign w:val="center"/>
                </w:tcPr>
                <w:p w14:paraId="5B0DFCFF">
                  <w:pPr>
                    <w:jc w:val="center"/>
                    <w:outlineLvl w:val="9"/>
                    <w:rPr>
                      <w:rFonts w:hint="default" w:ascii="Times New Roman" w:hAnsi="Times New Roman" w:eastAsia="宋体" w:cs="Times New Roman"/>
                      <w:color w:val="auto"/>
                      <w:sz w:val="21"/>
                      <w:szCs w:val="21"/>
                    </w:rPr>
                  </w:pPr>
                </w:p>
              </w:tc>
              <w:tc>
                <w:tcPr>
                  <w:tcW w:w="247" w:type="pct"/>
                  <w:vMerge w:val="continue"/>
                  <w:shd w:val="clear" w:color="auto" w:fill="FFFFFF"/>
                  <w:tcMar>
                    <w:top w:w="0" w:type="dxa"/>
                    <w:left w:w="0" w:type="dxa"/>
                    <w:bottom w:w="0" w:type="dxa"/>
                    <w:right w:w="0" w:type="dxa"/>
                  </w:tcMar>
                  <w:vAlign w:val="center"/>
                </w:tcPr>
                <w:p w14:paraId="1ABEC80B">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247" w:type="pct"/>
                  <w:vMerge w:val="continue"/>
                  <w:shd w:val="clear" w:color="auto" w:fill="FFFFFF"/>
                  <w:tcMar>
                    <w:top w:w="0" w:type="dxa"/>
                    <w:left w:w="0" w:type="dxa"/>
                    <w:bottom w:w="0" w:type="dxa"/>
                    <w:right w:w="0" w:type="dxa"/>
                  </w:tcMar>
                  <w:vAlign w:val="center"/>
                </w:tcPr>
                <w:p w14:paraId="270A0BC6">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38" w:type="pct"/>
                  <w:vMerge w:val="continue"/>
                  <w:shd w:val="clear" w:color="auto" w:fill="FFFFFF"/>
                  <w:tcMar>
                    <w:top w:w="0" w:type="dxa"/>
                    <w:left w:w="0" w:type="dxa"/>
                    <w:bottom w:w="0" w:type="dxa"/>
                    <w:right w:w="0" w:type="dxa"/>
                  </w:tcMar>
                  <w:vAlign w:val="center"/>
                </w:tcPr>
                <w:p w14:paraId="41E78C80">
                  <w:pPr>
                    <w:keepNext w:val="0"/>
                    <w:keepLines w:val="0"/>
                    <w:widowControl/>
                    <w:suppressLineNumbers w:val="0"/>
                    <w:jc w:val="center"/>
                    <w:textAlignment w:val="center"/>
                    <w:outlineLvl w:val="9"/>
                    <w:rPr>
                      <w:rFonts w:hint="default" w:ascii="Times New Roman" w:hAnsi="Times New Roman" w:eastAsia="宋体" w:cs="Times New Roman"/>
                      <w:i w:val="0"/>
                      <w:iCs w:val="0"/>
                      <w:color w:val="auto"/>
                      <w:kern w:val="0"/>
                      <w:sz w:val="21"/>
                      <w:szCs w:val="21"/>
                      <w:u w:val="none"/>
                      <w:lang w:val="en-US" w:eastAsia="zh-CN" w:bidi="ar"/>
                    </w:rPr>
                  </w:pPr>
                </w:p>
              </w:tc>
              <w:tc>
                <w:tcPr>
                  <w:tcW w:w="188" w:type="pct"/>
                  <w:shd w:val="clear" w:color="auto" w:fill="FFFFFF"/>
                  <w:tcMar>
                    <w:top w:w="0" w:type="dxa"/>
                    <w:left w:w="0" w:type="dxa"/>
                    <w:bottom w:w="0" w:type="dxa"/>
                    <w:right w:w="0" w:type="dxa"/>
                  </w:tcMar>
                  <w:vAlign w:val="center"/>
                </w:tcPr>
                <w:p w14:paraId="6B165E2F">
                  <w:pPr>
                    <w:widowControl/>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北</w:t>
                  </w:r>
                </w:p>
              </w:tc>
              <w:tc>
                <w:tcPr>
                  <w:tcW w:w="190" w:type="pct"/>
                  <w:shd w:val="clear" w:color="auto" w:fill="FFFFFF"/>
                  <w:tcMar>
                    <w:top w:w="0" w:type="dxa"/>
                    <w:left w:w="0" w:type="dxa"/>
                    <w:bottom w:w="0" w:type="dxa"/>
                    <w:right w:w="0" w:type="dxa"/>
                  </w:tcMar>
                  <w:vAlign w:val="center"/>
                </w:tcPr>
                <w:p w14:paraId="37FDE75F">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5.2</w:t>
                  </w:r>
                </w:p>
              </w:tc>
              <w:tc>
                <w:tcPr>
                  <w:tcW w:w="156" w:type="pct"/>
                  <w:shd w:val="clear" w:color="auto" w:fill="FFFFFF"/>
                  <w:tcMar>
                    <w:top w:w="0" w:type="dxa"/>
                    <w:left w:w="0" w:type="dxa"/>
                    <w:bottom w:w="0" w:type="dxa"/>
                    <w:right w:w="0" w:type="dxa"/>
                  </w:tcMar>
                  <w:vAlign w:val="center"/>
                </w:tcPr>
                <w:p w14:paraId="66DAFC15">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198" w:type="pct"/>
                  <w:shd w:val="clear" w:color="auto" w:fill="FFFFFF"/>
                  <w:tcMar>
                    <w:top w:w="0" w:type="dxa"/>
                    <w:left w:w="0" w:type="dxa"/>
                    <w:bottom w:w="0" w:type="dxa"/>
                    <w:right w:w="0" w:type="dxa"/>
                  </w:tcMar>
                  <w:vAlign w:val="center"/>
                </w:tcPr>
                <w:p w14:paraId="3AA5798C">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69</w:t>
                  </w:r>
                </w:p>
              </w:tc>
              <w:tc>
                <w:tcPr>
                  <w:tcW w:w="400" w:type="pct"/>
                  <w:vMerge w:val="continue"/>
                  <w:shd w:val="clear" w:color="auto" w:fill="FFFFFF"/>
                  <w:tcMar>
                    <w:top w:w="0" w:type="dxa"/>
                    <w:left w:w="0" w:type="dxa"/>
                    <w:bottom w:w="0" w:type="dxa"/>
                    <w:right w:w="0" w:type="dxa"/>
                  </w:tcMar>
                  <w:vAlign w:val="center"/>
                </w:tcPr>
                <w:p w14:paraId="6EAC0E7B">
                  <w:pPr>
                    <w:jc w:val="center"/>
                    <w:outlineLvl w:val="9"/>
                    <w:rPr>
                      <w:rFonts w:hint="default" w:ascii="Times New Roman" w:hAnsi="Times New Roman" w:eastAsia="宋体" w:cs="Times New Roman"/>
                      <w:color w:val="auto"/>
                      <w:sz w:val="21"/>
                      <w:szCs w:val="21"/>
                    </w:rPr>
                  </w:pPr>
                </w:p>
              </w:tc>
              <w:tc>
                <w:tcPr>
                  <w:tcW w:w="328" w:type="pct"/>
                  <w:vMerge w:val="continue"/>
                  <w:shd w:val="clear" w:color="auto" w:fill="FFFFFF"/>
                  <w:tcMar>
                    <w:top w:w="0" w:type="dxa"/>
                    <w:left w:w="0" w:type="dxa"/>
                    <w:bottom w:w="0" w:type="dxa"/>
                    <w:right w:w="0" w:type="dxa"/>
                  </w:tcMar>
                  <w:vAlign w:val="center"/>
                </w:tcPr>
                <w:p w14:paraId="29831265">
                  <w:pPr>
                    <w:jc w:val="center"/>
                    <w:outlineLvl w:val="9"/>
                    <w:rPr>
                      <w:rFonts w:hint="default" w:ascii="Times New Roman" w:hAnsi="Times New Roman" w:eastAsia="宋体" w:cs="Times New Roman"/>
                      <w:color w:val="auto"/>
                      <w:sz w:val="21"/>
                      <w:szCs w:val="21"/>
                    </w:rPr>
                  </w:pPr>
                </w:p>
              </w:tc>
              <w:tc>
                <w:tcPr>
                  <w:tcW w:w="183" w:type="pct"/>
                  <w:shd w:val="clear" w:color="auto" w:fill="FFFFFF"/>
                  <w:tcMar>
                    <w:top w:w="0" w:type="dxa"/>
                    <w:left w:w="0" w:type="dxa"/>
                    <w:bottom w:w="0" w:type="dxa"/>
                    <w:right w:w="0" w:type="dxa"/>
                  </w:tcMar>
                  <w:vAlign w:val="center"/>
                </w:tcPr>
                <w:p w14:paraId="17AC8199">
                  <w:pPr>
                    <w:widowControl/>
                    <w:jc w:val="center"/>
                    <w:textAlignment w:val="center"/>
                    <w:outlineLvl w:val="9"/>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北</w:t>
                  </w:r>
                </w:p>
              </w:tc>
              <w:tc>
                <w:tcPr>
                  <w:tcW w:w="240" w:type="pct"/>
                  <w:shd w:val="clear" w:color="auto" w:fill="FFFFFF"/>
                  <w:tcMar>
                    <w:top w:w="0" w:type="dxa"/>
                    <w:left w:w="0" w:type="dxa"/>
                    <w:bottom w:w="0" w:type="dxa"/>
                    <w:right w:w="0" w:type="dxa"/>
                  </w:tcMar>
                  <w:vAlign w:val="center"/>
                </w:tcPr>
                <w:p w14:paraId="2648B7BA">
                  <w:pPr>
                    <w:keepNext w:val="0"/>
                    <w:keepLines w:val="0"/>
                    <w:widowControl/>
                    <w:suppressLineNumbers w:val="0"/>
                    <w:jc w:val="center"/>
                    <w:textAlignment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43</w:t>
                  </w:r>
                </w:p>
              </w:tc>
              <w:tc>
                <w:tcPr>
                  <w:tcW w:w="284" w:type="pct"/>
                  <w:shd w:val="clear" w:color="auto" w:fill="FFFFFF"/>
                  <w:tcMar>
                    <w:top w:w="0" w:type="dxa"/>
                    <w:left w:w="0" w:type="dxa"/>
                    <w:bottom w:w="0" w:type="dxa"/>
                    <w:right w:w="0" w:type="dxa"/>
                  </w:tcMar>
                  <w:vAlign w:val="center"/>
                </w:tcPr>
                <w:p w14:paraId="39AFB36A">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bookmarkEnd w:id="210"/>
          </w:tbl>
          <w:p w14:paraId="4202D3A7">
            <w:pPr>
              <w:spacing w:line="360" w:lineRule="auto"/>
              <w:outlineLvl w:val="9"/>
              <w:rPr>
                <w:rFonts w:ascii="Times New Roman" w:hAnsi="Times New Roman" w:cs="Times New Roman"/>
                <w:color w:val="auto"/>
              </w:rPr>
            </w:pPr>
            <w:r>
              <w:rPr>
                <w:rFonts w:hint="eastAsia"/>
                <w:bCs/>
                <w:color w:val="auto"/>
                <w:szCs w:val="21"/>
              </w:rPr>
              <w:t>注：</w:t>
            </w:r>
            <w:r>
              <w:rPr>
                <w:rFonts w:hint="default" w:ascii="Times New Roman" w:hAnsi="Times New Roman" w:cs="Times New Roman" w:eastAsiaTheme="minorEastAsia"/>
                <w:b w:val="0"/>
                <w:bCs/>
                <w:color w:val="auto"/>
                <w:sz w:val="21"/>
                <w:szCs w:val="21"/>
                <w:lang w:val="en-US" w:eastAsia="zh-CN"/>
              </w:rPr>
              <w:t>表中坐标以厂界中心（119.717147,41.152107）为坐标原点，正东向为X轴正方向，正北向为Y轴正方向</w:t>
            </w:r>
          </w:p>
          <w:p w14:paraId="792263A0">
            <w:pPr>
              <w:pStyle w:val="112"/>
              <w:spacing w:line="360" w:lineRule="auto"/>
              <w:ind w:firstLine="482"/>
              <w:outlineLvl w:val="9"/>
              <w:rPr>
                <w:b/>
                <w:bCs/>
                <w:color w:val="auto"/>
              </w:rPr>
            </w:pPr>
            <w:r>
              <w:rPr>
                <w:rFonts w:hint="eastAsia"/>
                <w:b/>
                <w:bCs/>
                <w:color w:val="auto"/>
              </w:rPr>
              <w:t>2、</w:t>
            </w:r>
            <w:r>
              <w:rPr>
                <w:b/>
                <w:bCs/>
                <w:color w:val="auto"/>
              </w:rPr>
              <w:t>噪声达标分析</w:t>
            </w:r>
          </w:p>
          <w:p w14:paraId="1C0547EE">
            <w:pPr>
              <w:widowControl/>
              <w:spacing w:line="360" w:lineRule="auto"/>
              <w:ind w:firstLine="480"/>
              <w:jc w:val="left"/>
              <w:outlineLvl w:val="9"/>
              <w:rPr>
                <w:color w:val="auto"/>
              </w:rPr>
            </w:pPr>
            <w:r>
              <w:rPr>
                <w:color w:val="auto"/>
                <w:sz w:val="24"/>
              </w:rPr>
              <w:t>本次评价采用《环境影响评价技术导则 声环境》（HJ2.4-2021）推荐模式计算预测点新增噪声源的污染水平</w:t>
            </w:r>
            <w:r>
              <w:rPr>
                <w:color w:val="auto"/>
                <w:kern w:val="0"/>
                <w:sz w:val="24"/>
                <w:lang w:bidi="ar"/>
              </w:rPr>
              <w:t>。预测模式如下：</w:t>
            </w:r>
          </w:p>
          <w:p w14:paraId="1750105A">
            <w:pPr>
              <w:spacing w:line="360" w:lineRule="auto"/>
              <w:ind w:firstLine="480" w:firstLineChars="200"/>
              <w:outlineLvl w:val="9"/>
              <w:rPr>
                <w:color w:val="auto"/>
                <w:sz w:val="24"/>
              </w:rPr>
            </w:pPr>
            <w:r>
              <w:rPr>
                <w:color w:val="auto"/>
                <w:sz w:val="24"/>
              </w:rPr>
              <w:t>①室外声源在预测点的声压级</w:t>
            </w:r>
          </w:p>
          <w:p w14:paraId="62F96E6F">
            <w:pPr>
              <w:spacing w:line="360" w:lineRule="auto"/>
              <w:jc w:val="center"/>
              <w:outlineLvl w:val="9"/>
              <w:rPr>
                <w:color w:val="auto"/>
                <w:sz w:val="24"/>
              </w:rPr>
            </w:pPr>
            <w:r>
              <w:rPr>
                <w:color w:val="auto"/>
                <w:position w:val="-14"/>
                <w:sz w:val="24"/>
              </w:rPr>
              <w:object>
                <v:shape id="_x0000_i1025" o:spt="75" type="#_x0000_t75" style="height:19pt;width:19pt;" o:ole="t" filled="f" o:preferrelative="t" stroked="f" coordsize="21600,21600">
                  <v:path/>
                  <v:fill on="f" focussize="0,0"/>
                  <v:stroke on="f" joinstyle="miter"/>
                  <v:imagedata r:id="rId41" o:title=""/>
                  <o:lock v:ext="edit" aspectratio="t"/>
                  <w10:wrap type="none"/>
                  <w10:anchorlock/>
                </v:shape>
                <o:OLEObject Type="Embed" ProgID="Equation.3" ShapeID="_x0000_i1025" DrawAspect="Content" ObjectID="_1468075725" r:id="rId40">
                  <o:LockedField>false</o:LockedField>
                </o:OLEObject>
              </w:object>
            </w:r>
            <w:r>
              <w:rPr>
                <w:color w:val="auto"/>
                <w:sz w:val="24"/>
              </w:rPr>
              <w:t>(r)=</w:t>
            </w:r>
            <w:r>
              <w:rPr>
                <w:color w:val="auto"/>
                <w:position w:val="-32"/>
                <w:sz w:val="24"/>
              </w:rPr>
              <w:object>
                <v:shape id="_x0000_i1026" o:spt="75" type="#_x0000_t75" style="height:38.05pt;width:91pt;" o:ole="t" filled="f" o:preferrelative="t" stroked="f" coordsize="21600,21600">
                  <v:path/>
                  <v:fill on="f" focussize="0,0"/>
                  <v:stroke on="f" joinstyle="miter"/>
                  <v:imagedata r:id="rId43" o:title=""/>
                  <o:lock v:ext="edit" aspectratio="t"/>
                  <w10:wrap type="none"/>
                  <w10:anchorlock/>
                </v:shape>
                <o:OLEObject Type="Embed" ProgID="Equation.3" ShapeID="_x0000_i1026" DrawAspect="Content" ObjectID="_1468075726" r:id="rId42">
                  <o:LockedField>false</o:LockedField>
                </o:OLEObject>
              </w:object>
            </w:r>
          </w:p>
          <w:p w14:paraId="19F2516D">
            <w:pPr>
              <w:spacing w:line="360" w:lineRule="auto"/>
              <w:ind w:firstLine="480" w:firstLineChars="200"/>
              <w:outlineLvl w:val="9"/>
              <w:rPr>
                <w:color w:val="auto"/>
                <w:sz w:val="24"/>
              </w:rPr>
            </w:pPr>
            <w:r>
              <w:rPr>
                <w:color w:val="auto"/>
                <w:sz w:val="24"/>
              </w:rPr>
              <w:t>式中：L</w:t>
            </w:r>
            <w:r>
              <w:rPr>
                <w:color w:val="auto"/>
                <w:sz w:val="24"/>
                <w:vertAlign w:val="subscript"/>
              </w:rPr>
              <w:t>p</w:t>
            </w:r>
            <w:r>
              <w:rPr>
                <w:color w:val="auto"/>
                <w:sz w:val="24"/>
              </w:rPr>
              <w:t>(r)—预测点处声压级，dB；</w:t>
            </w:r>
          </w:p>
          <w:p w14:paraId="495BC200">
            <w:pPr>
              <w:spacing w:line="360" w:lineRule="auto"/>
              <w:ind w:firstLine="1200" w:firstLineChars="500"/>
              <w:outlineLvl w:val="9"/>
              <w:rPr>
                <w:color w:val="auto"/>
                <w:sz w:val="24"/>
              </w:rPr>
            </w:pPr>
            <w:r>
              <w:rPr>
                <w:color w:val="auto"/>
                <w:sz w:val="24"/>
              </w:rPr>
              <w:t>L</w:t>
            </w:r>
            <w:r>
              <w:rPr>
                <w:color w:val="auto"/>
                <w:sz w:val="24"/>
                <w:vertAlign w:val="subscript"/>
              </w:rPr>
              <w:t>p</w:t>
            </w:r>
            <w:r>
              <w:rPr>
                <w:color w:val="auto"/>
                <w:sz w:val="24"/>
              </w:rPr>
              <w:t>(r</w:t>
            </w:r>
            <w:r>
              <w:rPr>
                <w:color w:val="auto"/>
                <w:sz w:val="24"/>
                <w:vertAlign w:val="subscript"/>
              </w:rPr>
              <w:t>0</w:t>
            </w:r>
            <w:r>
              <w:rPr>
                <w:color w:val="auto"/>
                <w:sz w:val="24"/>
              </w:rPr>
              <w:t>)—参考位置r</w:t>
            </w:r>
            <w:r>
              <w:rPr>
                <w:color w:val="auto"/>
                <w:sz w:val="24"/>
                <w:vertAlign w:val="subscript"/>
              </w:rPr>
              <w:t>0</w:t>
            </w:r>
            <w:r>
              <w:rPr>
                <w:color w:val="auto"/>
                <w:sz w:val="24"/>
              </w:rPr>
              <w:t>处声压级，dB；</w:t>
            </w:r>
          </w:p>
          <w:p w14:paraId="7FCE8499">
            <w:pPr>
              <w:spacing w:line="360" w:lineRule="auto"/>
              <w:ind w:firstLine="1200" w:firstLineChars="500"/>
              <w:outlineLvl w:val="9"/>
              <w:rPr>
                <w:color w:val="auto"/>
                <w:sz w:val="24"/>
              </w:rPr>
            </w:pPr>
            <w:r>
              <w:rPr>
                <w:color w:val="auto"/>
                <w:sz w:val="24"/>
              </w:rPr>
              <w:t>r—预测点距离声源的距离，m；</w:t>
            </w:r>
          </w:p>
          <w:p w14:paraId="687A45D9">
            <w:pPr>
              <w:spacing w:line="360" w:lineRule="auto"/>
              <w:ind w:firstLine="1200" w:firstLineChars="500"/>
              <w:outlineLvl w:val="9"/>
              <w:rPr>
                <w:color w:val="auto"/>
                <w:sz w:val="24"/>
              </w:rPr>
            </w:pPr>
            <w:r>
              <w:rPr>
                <w:color w:val="auto"/>
                <w:sz w:val="24"/>
              </w:rPr>
              <w:t>r</w:t>
            </w:r>
            <w:r>
              <w:rPr>
                <w:color w:val="auto"/>
                <w:sz w:val="24"/>
                <w:vertAlign w:val="subscript"/>
              </w:rPr>
              <w:t>0</w:t>
            </w:r>
            <w:r>
              <w:rPr>
                <w:color w:val="auto"/>
                <w:sz w:val="24"/>
              </w:rPr>
              <w:t>—参考位置距声源的距离，m。</w:t>
            </w:r>
          </w:p>
          <w:p w14:paraId="36F490BF">
            <w:pPr>
              <w:spacing w:line="360" w:lineRule="auto"/>
              <w:ind w:firstLine="480" w:firstLineChars="200"/>
              <w:outlineLvl w:val="9"/>
              <w:rPr>
                <w:color w:val="auto"/>
                <w:sz w:val="24"/>
              </w:rPr>
            </w:pPr>
            <w:r>
              <w:rPr>
                <w:color w:val="auto"/>
                <w:sz w:val="24"/>
              </w:rPr>
              <w:t>如果已知声源的倍频带声功率级L</w:t>
            </w:r>
            <w:r>
              <w:rPr>
                <w:color w:val="auto"/>
                <w:sz w:val="24"/>
                <w:vertAlign w:val="subscript"/>
              </w:rPr>
              <w:t>w</w:t>
            </w:r>
            <w:r>
              <w:rPr>
                <w:color w:val="auto"/>
                <w:sz w:val="24"/>
              </w:rPr>
              <w:t>，且声源可看作是位于地面上的，则</w:t>
            </w:r>
          </w:p>
          <w:p w14:paraId="08C40FEA">
            <w:pPr>
              <w:spacing w:line="360" w:lineRule="auto"/>
              <w:ind w:firstLine="480" w:firstLineChars="200"/>
              <w:jc w:val="center"/>
              <w:outlineLvl w:val="9"/>
              <w:rPr>
                <w:color w:val="auto"/>
                <w:sz w:val="24"/>
              </w:rPr>
            </w:pPr>
            <w:r>
              <w:rPr>
                <w:color w:val="auto"/>
                <w:position w:val="-14"/>
                <w:sz w:val="24"/>
              </w:rPr>
              <w:object>
                <v:shape id="_x0000_i1027" o:spt="75" type="#_x0000_t75" style="height:19pt;width:16.3pt;" o:ole="t" filled="f" o:preferrelative="t" stroked="f" coordsize="21600,21600">
                  <v:path/>
                  <v:fill on="f" focussize="0,0"/>
                  <v:stroke on="f" joinstyle="miter"/>
                  <v:imagedata r:id="rId45" o:title=""/>
                  <o:lock v:ext="edit" aspectratio="t"/>
                  <w10:wrap type="none"/>
                  <w10:anchorlock/>
                </v:shape>
                <o:OLEObject Type="Embed" ProgID="Equation.3" ShapeID="_x0000_i1027" DrawAspect="Content" ObjectID="_1468075727" r:id="rId44">
                  <o:LockedField>false</o:LockedField>
                </o:OLEObject>
              </w:object>
            </w:r>
            <w:r>
              <w:rPr>
                <w:color w:val="auto"/>
                <w:sz w:val="24"/>
              </w:rPr>
              <w:t>(r)=</w:t>
            </w:r>
            <w:r>
              <w:rPr>
                <w:color w:val="auto"/>
                <w:position w:val="-12"/>
                <w:sz w:val="24"/>
              </w:rPr>
              <w:object>
                <v:shape id="_x0000_i1028" o:spt="75" type="#_x0000_t75" style="height:18.35pt;width:74.05pt;" o:ole="t" filled="f" o:preferrelative="t" stroked="f" coordsize="21600,21600">
                  <v:path/>
                  <v:fill on="f" focussize="0,0"/>
                  <v:stroke on="f" joinstyle="miter"/>
                  <v:imagedata r:id="rId47" o:title=""/>
                  <o:lock v:ext="edit" aspectratio="t"/>
                  <w10:wrap type="none"/>
                  <w10:anchorlock/>
                </v:shape>
                <o:OLEObject Type="Embed" ProgID="Equation.3" ShapeID="_x0000_i1028" DrawAspect="Content" ObjectID="_1468075728" r:id="rId46">
                  <o:LockedField>false</o:LockedField>
                </o:OLEObject>
              </w:object>
            </w:r>
          </w:p>
          <w:p w14:paraId="7181DB8E">
            <w:pPr>
              <w:spacing w:line="360" w:lineRule="auto"/>
              <w:ind w:firstLine="480" w:firstLineChars="200"/>
              <w:outlineLvl w:val="9"/>
              <w:rPr>
                <w:color w:val="auto"/>
                <w:sz w:val="24"/>
              </w:rPr>
            </w:pPr>
            <w:r>
              <w:rPr>
                <w:color w:val="auto"/>
                <w:sz w:val="24"/>
              </w:rPr>
              <w:t>②室内某一声源在靠近围护结构处的声压级</w:t>
            </w:r>
          </w:p>
          <w:p w14:paraId="5CC449DC">
            <w:pPr>
              <w:spacing w:line="360" w:lineRule="auto"/>
              <w:jc w:val="center"/>
              <w:outlineLvl w:val="9"/>
              <w:rPr>
                <w:color w:val="auto"/>
                <w:sz w:val="24"/>
              </w:rPr>
            </w:pPr>
            <w:r>
              <w:rPr>
                <w:color w:val="auto"/>
                <w:position w:val="-28"/>
                <w:sz w:val="24"/>
              </w:rPr>
              <w:object>
                <v:shape id="_x0000_i1029" o:spt="75" type="#_x0000_t75" style="height:33.95pt;width:135.85pt;" o:ole="t" filled="f" o:preferrelative="t" stroked="f" coordsize="21600,21600">
                  <v:path/>
                  <v:fill on="f" focussize="0,0"/>
                  <v:stroke on="f" joinstyle="miter"/>
                  <v:imagedata r:id="rId49" o:title=""/>
                  <o:lock v:ext="edit" aspectratio="t"/>
                  <w10:wrap type="none"/>
                  <w10:anchorlock/>
                </v:shape>
                <o:OLEObject Type="Embed" ProgID="Equation.3" ShapeID="_x0000_i1029" DrawAspect="Content" ObjectID="_1468075729" r:id="rId48">
                  <o:LockedField>false</o:LockedField>
                </o:OLEObject>
              </w:object>
            </w:r>
          </w:p>
          <w:p w14:paraId="65ADA4D4">
            <w:pPr>
              <w:spacing w:line="360" w:lineRule="auto"/>
              <w:ind w:firstLine="720" w:firstLineChars="300"/>
              <w:outlineLvl w:val="9"/>
              <w:rPr>
                <w:color w:val="auto"/>
                <w:sz w:val="24"/>
              </w:rPr>
            </w:pPr>
            <w:r>
              <w:rPr>
                <w:color w:val="auto"/>
                <w:sz w:val="24"/>
              </w:rPr>
              <w:t>式中：L</w:t>
            </w:r>
            <w:r>
              <w:rPr>
                <w:color w:val="auto"/>
                <w:sz w:val="24"/>
                <w:vertAlign w:val="subscript"/>
              </w:rPr>
              <w:t>p1</w:t>
            </w:r>
            <w:r>
              <w:rPr>
                <w:color w:val="auto"/>
                <w:sz w:val="24"/>
              </w:rPr>
              <w:t>—靠近开口处（或窗户）室内某倍频带的声压级或A声级，dB；</w:t>
            </w:r>
          </w:p>
          <w:p w14:paraId="224219E8">
            <w:pPr>
              <w:spacing w:line="360" w:lineRule="auto"/>
              <w:ind w:firstLine="1200" w:firstLineChars="500"/>
              <w:outlineLvl w:val="9"/>
              <w:rPr>
                <w:color w:val="auto"/>
                <w:sz w:val="24"/>
              </w:rPr>
            </w:pPr>
            <w:r>
              <w:rPr>
                <w:color w:val="auto"/>
                <w:sz w:val="24"/>
              </w:rPr>
              <w:t>Lw—点声源的声功率级，dB；</w:t>
            </w:r>
          </w:p>
          <w:p w14:paraId="0F043531">
            <w:pPr>
              <w:spacing w:line="360" w:lineRule="auto"/>
              <w:ind w:firstLine="1200" w:firstLineChars="500"/>
              <w:outlineLvl w:val="9"/>
              <w:rPr>
                <w:color w:val="auto"/>
                <w:sz w:val="24"/>
              </w:rPr>
            </w:pPr>
            <w:r>
              <w:rPr>
                <w:color w:val="auto"/>
                <w:sz w:val="24"/>
              </w:rPr>
              <w:t>r</w:t>
            </w:r>
            <w:r>
              <w:rPr>
                <w:color w:val="auto"/>
                <w:sz w:val="24"/>
                <w:vertAlign w:val="subscript"/>
              </w:rPr>
              <w:t>1</w:t>
            </w:r>
            <w:r>
              <w:rPr>
                <w:color w:val="auto"/>
                <w:sz w:val="24"/>
              </w:rPr>
              <w:t>—为声源与靠近围护结构某点处的距离，m；</w:t>
            </w:r>
          </w:p>
          <w:p w14:paraId="249560C0">
            <w:pPr>
              <w:spacing w:line="360" w:lineRule="auto"/>
              <w:ind w:firstLine="1200" w:firstLineChars="500"/>
              <w:outlineLvl w:val="9"/>
              <w:rPr>
                <w:color w:val="auto"/>
                <w:sz w:val="24"/>
              </w:rPr>
            </w:pPr>
            <w:r>
              <w:rPr>
                <w:color w:val="auto"/>
                <w:sz w:val="24"/>
              </w:rPr>
              <w:t>R—房间常数，</w:t>
            </w:r>
            <w:r>
              <w:rPr>
                <w:color w:val="auto"/>
                <w:position w:val="-24"/>
                <w:sz w:val="24"/>
              </w:rPr>
              <w:object>
                <v:shape id="_x0000_i1030" o:spt="75" type="#_x0000_t75" style="height:31.25pt;width:46.2pt;" o:ole="t" filled="f" o:preferrelative="t" stroked="f" coordsize="21600,21600">
                  <v:path/>
                  <v:fill on="f" focussize="0,0"/>
                  <v:stroke on="f" joinstyle="miter"/>
                  <v:imagedata r:id="rId51" o:title=""/>
                  <o:lock v:ext="edit" aspectratio="t"/>
                  <w10:wrap type="none"/>
                  <w10:anchorlock/>
                </v:shape>
                <o:OLEObject Type="Embed" ProgID="Equation.3" ShapeID="_x0000_i1030" DrawAspect="Content" ObjectID="_1468075730" r:id="rId50">
                  <o:LockedField>false</o:LockedField>
                </o:OLEObject>
              </w:object>
            </w:r>
            <w:r>
              <w:rPr>
                <w:color w:val="auto"/>
                <w:sz w:val="24"/>
              </w:rPr>
              <w:t>；</w:t>
            </w:r>
          </w:p>
          <w:p w14:paraId="33003223">
            <w:pPr>
              <w:spacing w:line="360" w:lineRule="auto"/>
              <w:ind w:firstLine="1200" w:firstLineChars="500"/>
              <w:outlineLvl w:val="9"/>
              <w:rPr>
                <w:color w:val="auto"/>
                <w:sz w:val="24"/>
              </w:rPr>
            </w:pPr>
            <w:r>
              <w:rPr>
                <w:color w:val="auto"/>
                <w:sz w:val="24"/>
              </w:rPr>
              <w:t>S—室内总表面积，m</w:t>
            </w:r>
            <w:r>
              <w:rPr>
                <w:color w:val="auto"/>
                <w:sz w:val="24"/>
                <w:vertAlign w:val="superscript"/>
              </w:rPr>
              <w:t>2</w:t>
            </w:r>
            <w:r>
              <w:rPr>
                <w:color w:val="auto"/>
                <w:sz w:val="24"/>
              </w:rPr>
              <w:t>；</w:t>
            </w:r>
          </w:p>
          <w:p w14:paraId="4F6DECAB">
            <w:pPr>
              <w:spacing w:line="360" w:lineRule="auto"/>
              <w:ind w:firstLine="1200" w:firstLineChars="500"/>
              <w:outlineLvl w:val="9"/>
              <w:rPr>
                <w:color w:val="auto"/>
                <w:sz w:val="24"/>
              </w:rPr>
            </w:pPr>
            <w:r>
              <w:rPr>
                <w:color w:val="auto"/>
                <w:position w:val="-6"/>
                <w:sz w:val="24"/>
              </w:rPr>
              <w:object>
                <v:shape id="_x0000_i1031" o:spt="75" type="#_x0000_t75" style="height:10.85pt;width:12.25pt;" o:ole="t" filled="f" o:preferrelative="t" stroked="f" coordsize="21600,21600">
                  <v:path/>
                  <v:fill on="f" focussize="0,0"/>
                  <v:stroke on="f" joinstyle="miter"/>
                  <v:imagedata r:id="rId53" o:title=""/>
                  <o:lock v:ext="edit" aspectratio="t"/>
                  <w10:wrap type="none"/>
                  <w10:anchorlock/>
                </v:shape>
                <o:OLEObject Type="Embed" ProgID="Equation.3" ShapeID="_x0000_i1031" DrawAspect="Content" ObjectID="_1468075731" r:id="rId52">
                  <o:LockedField>false</o:LockedField>
                </o:OLEObject>
              </w:object>
            </w:r>
            <w:r>
              <w:rPr>
                <w:color w:val="auto"/>
                <w:sz w:val="24"/>
              </w:rPr>
              <w:t>—平均吸声系数，</w:t>
            </w:r>
            <w:r>
              <w:rPr>
                <w:color w:val="auto"/>
                <w:position w:val="-24"/>
                <w:sz w:val="24"/>
              </w:rPr>
              <w:object>
                <v:shape id="_x0000_i1032" o:spt="75" type="#_x0000_t75" style="height:33.95pt;width:55pt;" o:ole="t" filled="f" o:preferrelative="t" stroked="f" coordsize="21600,21600">
                  <v:path/>
                  <v:fill on="f" focussize="0,0"/>
                  <v:stroke on="f" joinstyle="miter"/>
                  <v:imagedata r:id="rId55" o:title=""/>
                  <o:lock v:ext="edit" aspectratio="t"/>
                  <w10:wrap type="none"/>
                  <w10:anchorlock/>
                </v:shape>
                <o:OLEObject Type="Embed" ProgID="Equation.3" ShapeID="_x0000_i1032" DrawAspect="Content" ObjectID="_1468075732" r:id="rId54">
                  <o:LockedField>false</o:LockedField>
                </o:OLEObject>
              </w:object>
            </w:r>
            <w:r>
              <w:rPr>
                <w:color w:val="auto"/>
                <w:sz w:val="24"/>
              </w:rPr>
              <w:t>；</w:t>
            </w:r>
          </w:p>
          <w:p w14:paraId="29CE8902">
            <w:pPr>
              <w:spacing w:line="360" w:lineRule="auto"/>
              <w:ind w:firstLine="1200" w:firstLineChars="500"/>
              <w:outlineLvl w:val="9"/>
              <w:rPr>
                <w:color w:val="auto"/>
                <w:sz w:val="24"/>
              </w:rPr>
            </w:pPr>
            <w:r>
              <w:rPr>
                <w:color w:val="auto"/>
                <w:sz w:val="24"/>
              </w:rPr>
              <w:t>Q—方向性因子。</w:t>
            </w:r>
          </w:p>
          <w:p w14:paraId="6403669B">
            <w:pPr>
              <w:spacing w:line="360" w:lineRule="auto"/>
              <w:ind w:firstLine="480" w:firstLineChars="200"/>
              <w:outlineLvl w:val="9"/>
              <w:rPr>
                <w:color w:val="auto"/>
                <w:sz w:val="24"/>
              </w:rPr>
            </w:pPr>
            <w:r>
              <w:rPr>
                <w:color w:val="auto"/>
                <w:sz w:val="24"/>
              </w:rPr>
              <w:t>③所有室内声源在靠近围护结构处产生的总声压级</w:t>
            </w:r>
          </w:p>
          <w:p w14:paraId="629C43D9">
            <w:pPr>
              <w:spacing w:line="360" w:lineRule="auto"/>
              <w:jc w:val="center"/>
              <w:outlineLvl w:val="9"/>
              <w:rPr>
                <w:color w:val="auto"/>
                <w:sz w:val="24"/>
              </w:rPr>
            </w:pPr>
            <w:r>
              <w:rPr>
                <w:color w:val="auto"/>
                <w:position w:val="-32"/>
                <w:sz w:val="24"/>
              </w:rPr>
              <w:object>
                <v:shape id="_x0000_i1033" o:spt="75" type="#_x0000_t75" style="height:38.05pt;width:129.05pt;" o:ole="t" filled="f" o:preferrelative="t" stroked="f" coordsize="21600,21600">
                  <v:path/>
                  <v:fill on="f" focussize="0,0"/>
                  <v:stroke on="f" joinstyle="miter"/>
                  <v:imagedata r:id="rId57" o:title=""/>
                  <o:lock v:ext="edit" aspectratio="t"/>
                  <w10:wrap type="none"/>
                  <w10:anchorlock/>
                </v:shape>
                <o:OLEObject Type="Embed" ProgID="Equation.3" ShapeID="_x0000_i1033" DrawAspect="Content" ObjectID="_1468075733" r:id="rId56">
                  <o:LockedField>false</o:LockedField>
                </o:OLEObject>
              </w:object>
            </w:r>
          </w:p>
          <w:p w14:paraId="21A061FE">
            <w:pPr>
              <w:spacing w:line="360" w:lineRule="auto"/>
              <w:ind w:firstLine="480" w:firstLineChars="200"/>
              <w:outlineLvl w:val="9"/>
              <w:rPr>
                <w:color w:val="auto"/>
                <w:sz w:val="24"/>
              </w:rPr>
            </w:pPr>
            <w:r>
              <w:rPr>
                <w:color w:val="auto"/>
                <w:sz w:val="24"/>
              </w:rPr>
              <w:t>④所有声源在室外靠近围护结构处产生的声压级</w:t>
            </w:r>
          </w:p>
          <w:p w14:paraId="06A0CFCD">
            <w:pPr>
              <w:spacing w:line="360" w:lineRule="auto"/>
              <w:jc w:val="center"/>
              <w:outlineLvl w:val="9"/>
              <w:rPr>
                <w:color w:val="auto"/>
                <w:sz w:val="24"/>
              </w:rPr>
            </w:pPr>
            <w:r>
              <w:rPr>
                <w:color w:val="auto"/>
                <w:position w:val="-14"/>
                <w:sz w:val="24"/>
              </w:rPr>
              <w:object>
                <v:shape id="_x0000_i1034" o:spt="75" type="#_x0000_t75" style="height:19pt;width:133.15pt;" o:ole="t" filled="f" o:preferrelative="t" stroked="f" coordsize="21600,21600">
                  <v:path/>
                  <v:fill on="f" focussize="0,0"/>
                  <v:stroke on="f" joinstyle="miter"/>
                  <v:imagedata r:id="rId59" o:title=""/>
                  <o:lock v:ext="edit" aspectratio="t"/>
                  <w10:wrap type="none"/>
                  <w10:anchorlock/>
                </v:shape>
                <o:OLEObject Type="Embed" ProgID="Equation.3" ShapeID="_x0000_i1034" DrawAspect="Content" ObjectID="_1468075734" r:id="rId58">
                  <o:LockedField>false</o:LockedField>
                </o:OLEObject>
              </w:object>
            </w:r>
          </w:p>
          <w:p w14:paraId="09806DAD">
            <w:pPr>
              <w:spacing w:line="360" w:lineRule="auto"/>
              <w:ind w:firstLine="480" w:firstLineChars="200"/>
              <w:outlineLvl w:val="9"/>
              <w:rPr>
                <w:color w:val="auto"/>
                <w:sz w:val="24"/>
              </w:rPr>
            </w:pPr>
            <w:r>
              <w:rPr>
                <w:color w:val="auto"/>
                <w:sz w:val="24"/>
              </w:rPr>
              <w:t>式中：TL</w:t>
            </w:r>
            <w:r>
              <w:rPr>
                <w:color w:val="auto"/>
                <w:sz w:val="24"/>
                <w:vertAlign w:val="subscript"/>
              </w:rPr>
              <w:t>oct</w:t>
            </w:r>
            <w:r>
              <w:rPr>
                <w:color w:val="auto"/>
                <w:sz w:val="24"/>
              </w:rPr>
              <w:t>—墙体（等围护结构）的隔声量，dB。</w:t>
            </w:r>
          </w:p>
          <w:p w14:paraId="24345A8E">
            <w:pPr>
              <w:spacing w:line="360" w:lineRule="auto"/>
              <w:ind w:firstLine="480" w:firstLineChars="200"/>
              <w:outlineLvl w:val="9"/>
              <w:rPr>
                <w:color w:val="auto"/>
                <w:sz w:val="24"/>
              </w:rPr>
            </w:pPr>
            <w:r>
              <w:rPr>
                <w:color w:val="auto"/>
                <w:sz w:val="24"/>
              </w:rPr>
              <w:t>⑤等效室外声级</w:t>
            </w:r>
          </w:p>
          <w:p w14:paraId="752F7D4B">
            <w:pPr>
              <w:spacing w:line="360" w:lineRule="auto"/>
              <w:ind w:firstLine="480" w:firstLineChars="200"/>
              <w:outlineLvl w:val="9"/>
              <w:rPr>
                <w:color w:val="auto"/>
                <w:sz w:val="24"/>
              </w:rPr>
            </w:pPr>
            <w:r>
              <w:rPr>
                <w:color w:val="auto"/>
                <w:sz w:val="24"/>
              </w:rPr>
              <w:t xml:space="preserve">将室外声源的声压级和透过面积换算成等效的室外声源，计算出中心位置位于透声面积（S）处的等效声源的倍频带声功率级。 </w:t>
            </w:r>
          </w:p>
          <w:p w14:paraId="3DA0A1F2">
            <w:pPr>
              <w:spacing w:line="360" w:lineRule="auto"/>
              <w:ind w:firstLine="480" w:firstLineChars="200"/>
              <w:jc w:val="center"/>
              <w:outlineLvl w:val="9"/>
              <w:rPr>
                <w:color w:val="auto"/>
                <w:sz w:val="24"/>
              </w:rPr>
            </w:pPr>
            <w:r>
              <w:rPr>
                <w:color w:val="auto"/>
                <w:position w:val="-14"/>
                <w:sz w:val="24"/>
              </w:rPr>
              <w:object>
                <v:shape id="_x0000_i1035" o:spt="75" type="#_x0000_t75" style="height:19pt;width:107.3pt;" o:ole="t" filled="f" o:preferrelative="t" stroked="f" coordsize="21600,21600">
                  <v:path/>
                  <v:fill on="f" focussize="0,0"/>
                  <v:stroke on="f" joinstyle="miter"/>
                  <v:imagedata r:id="rId61" o:title=""/>
                  <o:lock v:ext="edit" aspectratio="t"/>
                  <w10:wrap type="none"/>
                  <w10:anchorlock/>
                </v:shape>
                <o:OLEObject Type="Embed" ProgID="Equation.3" ShapeID="_x0000_i1035" DrawAspect="Content" ObjectID="_1468075735" r:id="rId60">
                  <o:LockedField>false</o:LockedField>
                </o:OLEObject>
              </w:object>
            </w:r>
          </w:p>
          <w:p w14:paraId="54947F68">
            <w:pPr>
              <w:spacing w:line="360" w:lineRule="auto"/>
              <w:ind w:firstLine="480" w:firstLineChars="200"/>
              <w:outlineLvl w:val="9"/>
              <w:rPr>
                <w:color w:val="auto"/>
                <w:sz w:val="24"/>
              </w:rPr>
            </w:pPr>
            <w:r>
              <w:rPr>
                <w:color w:val="auto"/>
                <w:sz w:val="24"/>
              </w:rPr>
              <w:t>⑥各等效声源在预测点处产生的总等效声压级</w:t>
            </w:r>
          </w:p>
          <w:p w14:paraId="4D4C4BB7">
            <w:pPr>
              <w:spacing w:line="360" w:lineRule="auto"/>
              <w:jc w:val="center"/>
              <w:outlineLvl w:val="9"/>
              <w:rPr>
                <w:color w:val="auto"/>
                <w:sz w:val="24"/>
              </w:rPr>
            </w:pPr>
            <w:r>
              <w:rPr>
                <w:color w:val="auto"/>
                <w:position w:val="-32"/>
                <w:sz w:val="24"/>
              </w:rPr>
              <w:object>
                <v:shape id="_x0000_i1036" o:spt="75" type="#_x0000_t75" style="height:38.05pt;width:194.95pt;" o:ole="t" filled="f" o:preferrelative="t" stroked="f" coordsize="21600,21600">
                  <v:path/>
                  <v:fill on="f" focussize="0,0"/>
                  <v:stroke on="f" joinstyle="miter"/>
                  <v:imagedata r:id="rId63" o:title=""/>
                  <o:lock v:ext="edit" aspectratio="t"/>
                  <w10:wrap type="none"/>
                  <w10:anchorlock/>
                </v:shape>
                <o:OLEObject Type="Embed" ProgID="Equation.3" ShapeID="_x0000_i1036" DrawAspect="Content" ObjectID="_1468075736" r:id="rId62">
                  <o:LockedField>false</o:LockedField>
                </o:OLEObject>
              </w:object>
            </w:r>
          </w:p>
          <w:p w14:paraId="00CA139A">
            <w:pPr>
              <w:widowControl/>
              <w:spacing w:line="360" w:lineRule="auto"/>
              <w:ind w:firstLine="480" w:firstLineChars="200"/>
              <w:jc w:val="left"/>
              <w:outlineLvl w:val="9"/>
              <w:rPr>
                <w:color w:val="auto"/>
              </w:rPr>
            </w:pPr>
            <w:r>
              <w:rPr>
                <w:color w:val="auto"/>
                <w:sz w:val="24"/>
              </w:rPr>
              <w:t>式中：L</w:t>
            </w:r>
            <w:r>
              <w:rPr>
                <w:color w:val="auto"/>
                <w:sz w:val="24"/>
                <w:vertAlign w:val="subscript"/>
              </w:rPr>
              <w:t>eqg</w:t>
            </w:r>
            <w:r>
              <w:rPr>
                <w:color w:val="auto"/>
                <w:sz w:val="24"/>
              </w:rPr>
              <w:t>——建设项目声源在预测点产生的噪声贡献值，dB；</w:t>
            </w:r>
          </w:p>
          <w:p w14:paraId="41D1BC7E">
            <w:pPr>
              <w:spacing w:line="360" w:lineRule="auto"/>
              <w:ind w:firstLine="1200" w:firstLineChars="500"/>
              <w:outlineLvl w:val="9"/>
              <w:rPr>
                <w:color w:val="auto"/>
                <w:sz w:val="24"/>
              </w:rPr>
            </w:pPr>
            <w:r>
              <w:rPr>
                <w:color w:val="auto"/>
                <w:sz w:val="24"/>
              </w:rPr>
              <w:t>T—用于计算等效声级的时间，h；</w:t>
            </w:r>
          </w:p>
          <w:p w14:paraId="5F061565">
            <w:pPr>
              <w:spacing w:line="360" w:lineRule="auto"/>
              <w:ind w:firstLine="1200" w:firstLineChars="500"/>
              <w:outlineLvl w:val="9"/>
              <w:rPr>
                <w:color w:val="auto"/>
                <w:sz w:val="24"/>
              </w:rPr>
            </w:pPr>
            <w:r>
              <w:rPr>
                <w:color w:val="auto"/>
                <w:sz w:val="24"/>
              </w:rPr>
              <w:t>N—室外声源数，个；</w:t>
            </w:r>
          </w:p>
          <w:p w14:paraId="3AB0E864">
            <w:pPr>
              <w:spacing w:line="360" w:lineRule="auto"/>
              <w:ind w:firstLine="1200" w:firstLineChars="500"/>
              <w:outlineLvl w:val="9"/>
              <w:rPr>
                <w:color w:val="auto"/>
                <w:sz w:val="24"/>
              </w:rPr>
            </w:pPr>
            <w:r>
              <w:rPr>
                <w:color w:val="auto"/>
                <w:sz w:val="24"/>
              </w:rPr>
              <w:t>t</w:t>
            </w:r>
            <w:r>
              <w:rPr>
                <w:color w:val="auto"/>
                <w:sz w:val="24"/>
                <w:vertAlign w:val="subscript"/>
              </w:rPr>
              <w:t>i</w:t>
            </w:r>
            <w:r>
              <w:rPr>
                <w:color w:val="auto"/>
                <w:sz w:val="24"/>
              </w:rPr>
              <w:t>——在T时间内i声源工作时间，s；</w:t>
            </w:r>
          </w:p>
          <w:p w14:paraId="09FADF7B">
            <w:pPr>
              <w:spacing w:line="360" w:lineRule="auto"/>
              <w:ind w:firstLine="1200" w:firstLineChars="500"/>
              <w:outlineLvl w:val="9"/>
              <w:rPr>
                <w:color w:val="auto"/>
                <w:sz w:val="24"/>
              </w:rPr>
            </w:pPr>
            <w:r>
              <w:rPr>
                <w:color w:val="auto"/>
                <w:sz w:val="24"/>
              </w:rPr>
              <w:t>M—等效室外声源数，个。</w:t>
            </w:r>
          </w:p>
          <w:p w14:paraId="33670C3D">
            <w:pPr>
              <w:spacing w:line="360" w:lineRule="auto"/>
              <w:ind w:firstLine="1200" w:firstLineChars="500"/>
              <w:outlineLvl w:val="9"/>
              <w:rPr>
                <w:color w:val="auto"/>
                <w:sz w:val="24"/>
              </w:rPr>
            </w:pPr>
            <w:r>
              <w:rPr>
                <w:color w:val="auto"/>
                <w:sz w:val="24"/>
              </w:rPr>
              <w:t>t</w:t>
            </w:r>
            <w:r>
              <w:rPr>
                <w:color w:val="auto"/>
                <w:sz w:val="24"/>
                <w:vertAlign w:val="subscript"/>
              </w:rPr>
              <w:t>j</w:t>
            </w:r>
            <w:r>
              <w:rPr>
                <w:color w:val="auto"/>
                <w:sz w:val="24"/>
              </w:rPr>
              <w:t>——在T时间内j声源工作时间，s</w:t>
            </w:r>
          </w:p>
          <w:p w14:paraId="6B2FFD85">
            <w:pPr>
              <w:pStyle w:val="112"/>
              <w:spacing w:line="360" w:lineRule="auto"/>
              <w:ind w:firstLine="482"/>
              <w:outlineLvl w:val="9"/>
              <w:rPr>
                <w:rFonts w:hint="eastAsia" w:eastAsia="宋体"/>
                <w:b/>
                <w:bCs/>
                <w:color w:val="auto"/>
              </w:rPr>
            </w:pPr>
            <w:r>
              <w:rPr>
                <w:rFonts w:hint="eastAsia" w:eastAsia="宋体"/>
                <w:b/>
                <w:bCs/>
                <w:color w:val="auto"/>
                <w:lang w:val="en-US" w:eastAsia="zh-CN"/>
              </w:rPr>
              <w:t>3、</w:t>
            </w:r>
            <w:r>
              <w:rPr>
                <w:rFonts w:hint="eastAsia" w:eastAsia="宋体"/>
                <w:b/>
                <w:bCs/>
                <w:color w:val="auto"/>
              </w:rPr>
              <w:t>噪声预测结果</w:t>
            </w:r>
          </w:p>
          <w:p w14:paraId="015393B8">
            <w:pPr>
              <w:keepNext w:val="0"/>
              <w:keepLines w:val="0"/>
              <w:pageBreakBefore w:val="0"/>
              <w:widowControl w:val="0"/>
              <w:kinsoku/>
              <w:wordWrap/>
              <w:overflowPunct/>
              <w:topLinePunct w:val="0"/>
              <w:autoSpaceDE/>
              <w:autoSpaceDN/>
              <w:bidi w:val="0"/>
              <w:adjustRightInd/>
              <w:snapToGrid w:val="0"/>
              <w:spacing w:before="120" w:beforeLines="50" w:line="360" w:lineRule="auto"/>
              <w:ind w:firstLine="480" w:firstLineChars="200"/>
              <w:textAlignment w:val="auto"/>
              <w:outlineLvl w:val="9"/>
              <w:rPr>
                <w:color w:val="auto"/>
                <w:kern w:val="0"/>
                <w:sz w:val="24"/>
                <w:lang w:bidi="ar"/>
              </w:rPr>
            </w:pPr>
            <w:r>
              <w:rPr>
                <w:rFonts w:hint="eastAsia"/>
                <w:color w:val="auto"/>
                <w:kern w:val="0"/>
                <w:sz w:val="24"/>
                <w:highlight w:val="none"/>
                <w:lang w:val="en-US" w:eastAsia="zh-CN" w:bidi="ar"/>
              </w:rPr>
              <w:t>本次</w:t>
            </w:r>
            <w:r>
              <w:rPr>
                <w:rFonts w:hint="eastAsia"/>
                <w:color w:val="auto"/>
                <w:kern w:val="0"/>
                <w:sz w:val="24"/>
                <w:highlight w:val="none"/>
                <w:lang w:bidi="ar"/>
              </w:rPr>
              <w:t>预测</w:t>
            </w:r>
            <w:r>
              <w:rPr>
                <w:rFonts w:hint="eastAsia"/>
                <w:color w:val="auto"/>
                <w:kern w:val="0"/>
                <w:sz w:val="24"/>
                <w:lang w:bidi="ar"/>
              </w:rPr>
              <w:t>全厂噪声源在厂界的贡献值，厂界</w:t>
            </w:r>
            <w:r>
              <w:rPr>
                <w:color w:val="auto"/>
                <w:kern w:val="0"/>
                <w:sz w:val="24"/>
                <w:lang w:bidi="ar"/>
              </w:rPr>
              <w:t>噪声预测结果见下表。</w:t>
            </w:r>
          </w:p>
          <w:p w14:paraId="63530F5D">
            <w:pPr>
              <w:snapToGrid w:val="0"/>
              <w:jc w:val="center"/>
              <w:outlineLvl w:val="9"/>
              <w:rPr>
                <w:b/>
                <w:color w:val="auto"/>
                <w:szCs w:val="21"/>
              </w:rPr>
            </w:pPr>
            <w:r>
              <w:rPr>
                <w:b/>
                <w:color w:val="auto"/>
                <w:szCs w:val="21"/>
              </w:rPr>
              <w:t>表4-</w:t>
            </w:r>
            <w:r>
              <w:rPr>
                <w:rFonts w:hint="eastAsia"/>
                <w:b/>
                <w:color w:val="auto"/>
                <w:szCs w:val="21"/>
                <w:lang w:val="en-US" w:eastAsia="zh-CN"/>
              </w:rPr>
              <w:t>9</w:t>
            </w:r>
            <w:r>
              <w:rPr>
                <w:b/>
                <w:color w:val="auto"/>
                <w:szCs w:val="21"/>
              </w:rPr>
              <w:t xml:space="preserve"> </w:t>
            </w:r>
            <w:r>
              <w:rPr>
                <w:rFonts w:hint="eastAsia"/>
                <w:b/>
                <w:color w:val="auto"/>
                <w:szCs w:val="21"/>
              </w:rPr>
              <w:t xml:space="preserve"> </w:t>
            </w:r>
            <w:r>
              <w:rPr>
                <w:b/>
                <w:color w:val="auto"/>
                <w:szCs w:val="21"/>
              </w:rPr>
              <w:t>项目厂界噪声预测结果一览表</w:t>
            </w:r>
          </w:p>
          <w:tbl>
            <w:tblPr>
              <w:tblStyle w:val="32"/>
              <w:tblW w:w="499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1346"/>
              <w:gridCol w:w="1283"/>
              <w:gridCol w:w="1145"/>
              <w:gridCol w:w="1363"/>
              <w:gridCol w:w="2088"/>
              <w:gridCol w:w="2023"/>
              <w:gridCol w:w="1229"/>
            </w:tblGrid>
            <w:tr w14:paraId="5D27398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522" w:type="pct"/>
                  <w:vMerge w:val="restart"/>
                  <w:tcBorders>
                    <w:tl2br w:val="nil"/>
                    <w:tr2bl w:val="nil"/>
                  </w:tcBorders>
                  <w:vAlign w:val="center"/>
                </w:tcPr>
                <w:p w14:paraId="1C73C1D5">
                  <w:pPr>
                    <w:jc w:val="center"/>
                    <w:outlineLvl w:val="9"/>
                    <w:rPr>
                      <w:color w:val="auto"/>
                      <w:szCs w:val="21"/>
                    </w:rPr>
                  </w:pPr>
                  <w:r>
                    <w:rPr>
                      <w:b/>
                      <w:color w:val="auto"/>
                      <w:szCs w:val="21"/>
                    </w:rPr>
                    <w:t>预测方位</w:t>
                  </w:r>
                </w:p>
              </w:tc>
              <w:tc>
                <w:tcPr>
                  <w:tcW w:w="1612" w:type="pct"/>
                  <w:gridSpan w:val="3"/>
                  <w:tcBorders>
                    <w:tl2br w:val="nil"/>
                    <w:tr2bl w:val="nil"/>
                  </w:tcBorders>
                  <w:vAlign w:val="center"/>
                </w:tcPr>
                <w:p w14:paraId="7A9DEB17">
                  <w:pPr>
                    <w:jc w:val="center"/>
                    <w:outlineLvl w:val="9"/>
                    <w:rPr>
                      <w:color w:val="auto"/>
                      <w:szCs w:val="21"/>
                    </w:rPr>
                  </w:pPr>
                  <w:r>
                    <w:rPr>
                      <w:b/>
                      <w:color w:val="auto"/>
                      <w:szCs w:val="21"/>
                    </w:rPr>
                    <w:t>最大值点空间相对位置/m</w:t>
                  </w:r>
                </w:p>
              </w:tc>
              <w:tc>
                <w:tcPr>
                  <w:tcW w:w="582" w:type="pct"/>
                  <w:vMerge w:val="restart"/>
                  <w:tcBorders>
                    <w:tl2br w:val="nil"/>
                    <w:tr2bl w:val="nil"/>
                  </w:tcBorders>
                  <w:vAlign w:val="center"/>
                </w:tcPr>
                <w:p w14:paraId="590327C3">
                  <w:pPr>
                    <w:jc w:val="center"/>
                    <w:outlineLvl w:val="9"/>
                    <w:rPr>
                      <w:color w:val="auto"/>
                      <w:szCs w:val="21"/>
                    </w:rPr>
                  </w:pPr>
                  <w:r>
                    <w:rPr>
                      <w:b/>
                      <w:color w:val="auto"/>
                      <w:szCs w:val="21"/>
                    </w:rPr>
                    <w:t>时段</w:t>
                  </w:r>
                </w:p>
              </w:tc>
              <w:tc>
                <w:tcPr>
                  <w:tcW w:w="892" w:type="pct"/>
                  <w:vMerge w:val="restart"/>
                  <w:tcBorders>
                    <w:tl2br w:val="nil"/>
                    <w:tr2bl w:val="nil"/>
                  </w:tcBorders>
                  <w:vAlign w:val="center"/>
                </w:tcPr>
                <w:p w14:paraId="42F534E3">
                  <w:pPr>
                    <w:jc w:val="center"/>
                    <w:outlineLvl w:val="9"/>
                    <w:rPr>
                      <w:color w:val="auto"/>
                      <w:szCs w:val="21"/>
                    </w:rPr>
                  </w:pPr>
                  <w:r>
                    <w:rPr>
                      <w:b/>
                      <w:color w:val="auto"/>
                      <w:szCs w:val="21"/>
                    </w:rPr>
                    <w:t>贡献值（dB(A)）</w:t>
                  </w:r>
                </w:p>
              </w:tc>
              <w:tc>
                <w:tcPr>
                  <w:tcW w:w="864" w:type="pct"/>
                  <w:vMerge w:val="restart"/>
                  <w:tcBorders>
                    <w:tl2br w:val="nil"/>
                    <w:tr2bl w:val="nil"/>
                  </w:tcBorders>
                  <w:vAlign w:val="center"/>
                </w:tcPr>
                <w:p w14:paraId="5FA23F4B">
                  <w:pPr>
                    <w:jc w:val="center"/>
                    <w:outlineLvl w:val="9"/>
                    <w:rPr>
                      <w:color w:val="auto"/>
                      <w:szCs w:val="21"/>
                    </w:rPr>
                  </w:pPr>
                  <w:r>
                    <w:rPr>
                      <w:b/>
                      <w:color w:val="auto"/>
                      <w:szCs w:val="21"/>
                    </w:rPr>
                    <w:t>标准限值（dB(A)）</w:t>
                  </w:r>
                </w:p>
              </w:tc>
              <w:tc>
                <w:tcPr>
                  <w:tcW w:w="525" w:type="pct"/>
                  <w:vMerge w:val="restart"/>
                  <w:tcBorders>
                    <w:tl2br w:val="nil"/>
                    <w:tr2bl w:val="nil"/>
                  </w:tcBorders>
                  <w:vAlign w:val="center"/>
                </w:tcPr>
                <w:p w14:paraId="2FFE8C54">
                  <w:pPr>
                    <w:jc w:val="center"/>
                    <w:outlineLvl w:val="9"/>
                    <w:rPr>
                      <w:color w:val="auto"/>
                      <w:szCs w:val="21"/>
                    </w:rPr>
                  </w:pPr>
                  <w:r>
                    <w:rPr>
                      <w:b/>
                      <w:color w:val="auto"/>
                      <w:szCs w:val="21"/>
                    </w:rPr>
                    <w:t>达标情况</w:t>
                  </w:r>
                </w:p>
              </w:tc>
            </w:tr>
            <w:tr w14:paraId="2723BA6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22" w:type="pct"/>
                  <w:vMerge w:val="continue"/>
                  <w:tcBorders>
                    <w:tl2br w:val="nil"/>
                    <w:tr2bl w:val="nil"/>
                  </w:tcBorders>
                  <w:shd w:val="clear" w:color="auto" w:fill="FFFFFF"/>
                  <w:vAlign w:val="center"/>
                </w:tcPr>
                <w:p w14:paraId="772E1811">
                  <w:pPr>
                    <w:jc w:val="center"/>
                    <w:outlineLvl w:val="9"/>
                    <w:rPr>
                      <w:color w:val="auto"/>
                      <w:szCs w:val="21"/>
                    </w:rPr>
                  </w:pPr>
                </w:p>
              </w:tc>
              <w:tc>
                <w:tcPr>
                  <w:tcW w:w="575" w:type="pct"/>
                  <w:tcBorders>
                    <w:tl2br w:val="nil"/>
                    <w:tr2bl w:val="nil"/>
                  </w:tcBorders>
                  <w:shd w:val="clear" w:color="auto" w:fill="FFFFFF"/>
                  <w:vAlign w:val="center"/>
                </w:tcPr>
                <w:p w14:paraId="1E1BD5DF">
                  <w:pPr>
                    <w:jc w:val="center"/>
                    <w:outlineLvl w:val="9"/>
                    <w:rPr>
                      <w:color w:val="auto"/>
                      <w:szCs w:val="21"/>
                    </w:rPr>
                  </w:pPr>
                  <w:r>
                    <w:rPr>
                      <w:color w:val="auto"/>
                      <w:szCs w:val="21"/>
                    </w:rPr>
                    <w:t>X</w:t>
                  </w:r>
                </w:p>
              </w:tc>
              <w:tc>
                <w:tcPr>
                  <w:tcW w:w="548" w:type="pct"/>
                  <w:tcBorders>
                    <w:tl2br w:val="nil"/>
                    <w:tr2bl w:val="nil"/>
                  </w:tcBorders>
                  <w:shd w:val="clear" w:color="auto" w:fill="FFFFFF"/>
                  <w:vAlign w:val="center"/>
                </w:tcPr>
                <w:p w14:paraId="6A9F5090">
                  <w:pPr>
                    <w:jc w:val="center"/>
                    <w:outlineLvl w:val="9"/>
                    <w:rPr>
                      <w:color w:val="auto"/>
                      <w:szCs w:val="21"/>
                    </w:rPr>
                  </w:pPr>
                  <w:r>
                    <w:rPr>
                      <w:color w:val="auto"/>
                      <w:szCs w:val="21"/>
                    </w:rPr>
                    <w:t>Y</w:t>
                  </w:r>
                </w:p>
              </w:tc>
              <w:tc>
                <w:tcPr>
                  <w:tcW w:w="489" w:type="pct"/>
                  <w:tcBorders>
                    <w:tl2br w:val="nil"/>
                    <w:tr2bl w:val="nil"/>
                  </w:tcBorders>
                  <w:shd w:val="clear" w:color="auto" w:fill="FFFFFF"/>
                  <w:vAlign w:val="center"/>
                </w:tcPr>
                <w:p w14:paraId="0F4A9BD0">
                  <w:pPr>
                    <w:jc w:val="center"/>
                    <w:outlineLvl w:val="9"/>
                    <w:rPr>
                      <w:color w:val="auto"/>
                      <w:szCs w:val="21"/>
                    </w:rPr>
                  </w:pPr>
                  <w:r>
                    <w:rPr>
                      <w:color w:val="auto"/>
                      <w:szCs w:val="21"/>
                    </w:rPr>
                    <w:t>Z</w:t>
                  </w:r>
                </w:p>
              </w:tc>
              <w:tc>
                <w:tcPr>
                  <w:tcW w:w="582" w:type="pct"/>
                  <w:vMerge w:val="continue"/>
                  <w:tcBorders>
                    <w:tl2br w:val="nil"/>
                    <w:tr2bl w:val="nil"/>
                  </w:tcBorders>
                  <w:shd w:val="clear" w:color="auto" w:fill="FFFFFF"/>
                  <w:vAlign w:val="center"/>
                </w:tcPr>
                <w:p w14:paraId="4C0B59C3">
                  <w:pPr>
                    <w:jc w:val="center"/>
                    <w:outlineLvl w:val="9"/>
                    <w:rPr>
                      <w:color w:val="auto"/>
                      <w:szCs w:val="21"/>
                    </w:rPr>
                  </w:pPr>
                </w:p>
              </w:tc>
              <w:tc>
                <w:tcPr>
                  <w:tcW w:w="892" w:type="pct"/>
                  <w:vMerge w:val="continue"/>
                  <w:tcBorders>
                    <w:tl2br w:val="nil"/>
                    <w:tr2bl w:val="nil"/>
                  </w:tcBorders>
                  <w:shd w:val="clear" w:color="auto" w:fill="FFFFFF"/>
                  <w:vAlign w:val="center"/>
                </w:tcPr>
                <w:p w14:paraId="7C85477F">
                  <w:pPr>
                    <w:jc w:val="center"/>
                    <w:outlineLvl w:val="9"/>
                    <w:rPr>
                      <w:color w:val="auto"/>
                      <w:szCs w:val="21"/>
                    </w:rPr>
                  </w:pPr>
                </w:p>
              </w:tc>
              <w:tc>
                <w:tcPr>
                  <w:tcW w:w="864" w:type="pct"/>
                  <w:vMerge w:val="continue"/>
                  <w:tcBorders>
                    <w:tl2br w:val="nil"/>
                    <w:tr2bl w:val="nil"/>
                  </w:tcBorders>
                  <w:shd w:val="clear" w:color="auto" w:fill="FFFFFF"/>
                  <w:vAlign w:val="center"/>
                </w:tcPr>
                <w:p w14:paraId="4BF666DC">
                  <w:pPr>
                    <w:jc w:val="center"/>
                    <w:outlineLvl w:val="9"/>
                    <w:rPr>
                      <w:color w:val="auto"/>
                      <w:szCs w:val="21"/>
                    </w:rPr>
                  </w:pPr>
                </w:p>
              </w:tc>
              <w:tc>
                <w:tcPr>
                  <w:tcW w:w="525" w:type="pct"/>
                  <w:vMerge w:val="continue"/>
                  <w:tcBorders>
                    <w:tl2br w:val="nil"/>
                    <w:tr2bl w:val="nil"/>
                  </w:tcBorders>
                  <w:shd w:val="clear" w:color="auto" w:fill="FFFFFF"/>
                  <w:vAlign w:val="center"/>
                </w:tcPr>
                <w:p w14:paraId="38FC3A0C">
                  <w:pPr>
                    <w:jc w:val="center"/>
                    <w:outlineLvl w:val="9"/>
                    <w:rPr>
                      <w:color w:val="auto"/>
                      <w:szCs w:val="21"/>
                    </w:rPr>
                  </w:pPr>
                </w:p>
              </w:tc>
            </w:tr>
            <w:tr w14:paraId="4FB617E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restart"/>
                  <w:tcBorders>
                    <w:tl2br w:val="nil"/>
                    <w:tr2bl w:val="nil"/>
                  </w:tcBorders>
                  <w:shd w:val="clear" w:color="auto" w:fill="FFFFFF"/>
                  <w:vAlign w:val="center"/>
                </w:tcPr>
                <w:p w14:paraId="1CF81504">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东侧</w:t>
                  </w:r>
                </w:p>
              </w:tc>
              <w:tc>
                <w:tcPr>
                  <w:tcW w:w="1346" w:type="dxa"/>
                  <w:tcBorders>
                    <w:tl2br w:val="nil"/>
                    <w:tr2bl w:val="nil"/>
                  </w:tcBorders>
                  <w:shd w:val="clear" w:color="auto" w:fill="FFFFFF"/>
                  <w:vAlign w:val="center"/>
                </w:tcPr>
                <w:p w14:paraId="0F4CC7BE">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148.7</w:t>
                  </w:r>
                </w:p>
              </w:tc>
              <w:tc>
                <w:tcPr>
                  <w:tcW w:w="1283" w:type="dxa"/>
                  <w:tcBorders>
                    <w:tl2br w:val="nil"/>
                    <w:tr2bl w:val="nil"/>
                  </w:tcBorders>
                  <w:shd w:val="clear" w:color="auto" w:fill="FFFFFF"/>
                  <w:vAlign w:val="center"/>
                </w:tcPr>
                <w:p w14:paraId="1CEA858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34</w:t>
                  </w:r>
                </w:p>
              </w:tc>
              <w:tc>
                <w:tcPr>
                  <w:tcW w:w="1145" w:type="dxa"/>
                  <w:tcBorders>
                    <w:tl2br w:val="nil"/>
                    <w:tr2bl w:val="nil"/>
                  </w:tcBorders>
                  <w:shd w:val="clear" w:color="auto" w:fill="FFFFFF"/>
                  <w:vAlign w:val="center"/>
                </w:tcPr>
                <w:p w14:paraId="4FCF01EC">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1B40C92B">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c>
                <w:tcPr>
                  <w:tcW w:w="2088" w:type="dxa"/>
                  <w:tcBorders>
                    <w:tl2br w:val="nil"/>
                    <w:tr2bl w:val="nil"/>
                  </w:tcBorders>
                  <w:shd w:val="clear" w:color="auto" w:fill="FFFFFF"/>
                  <w:vAlign w:val="center"/>
                </w:tcPr>
                <w:p w14:paraId="487211AF">
                  <w:pPr>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12.1</w:t>
                  </w:r>
                </w:p>
              </w:tc>
              <w:tc>
                <w:tcPr>
                  <w:tcW w:w="2023" w:type="dxa"/>
                  <w:tcBorders>
                    <w:tl2br w:val="nil"/>
                    <w:tr2bl w:val="nil"/>
                  </w:tcBorders>
                  <w:shd w:val="clear" w:color="auto" w:fill="FFFFFF"/>
                  <w:vAlign w:val="center"/>
                </w:tcPr>
                <w:p w14:paraId="6355A9B2">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229" w:type="dxa"/>
                  <w:tcBorders>
                    <w:tl2br w:val="nil"/>
                    <w:tr2bl w:val="nil"/>
                  </w:tcBorders>
                  <w:shd w:val="clear" w:color="auto" w:fill="FFFFFF"/>
                  <w:vAlign w:val="center"/>
                </w:tcPr>
                <w:p w14:paraId="0326137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14:paraId="3D9D3B7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continue"/>
                  <w:tcBorders>
                    <w:tl2br w:val="nil"/>
                    <w:tr2bl w:val="nil"/>
                  </w:tcBorders>
                  <w:shd w:val="clear" w:color="auto" w:fill="FFFFFF"/>
                  <w:vAlign w:val="center"/>
                </w:tcPr>
                <w:p w14:paraId="46D05371">
                  <w:pPr>
                    <w:jc w:val="center"/>
                    <w:outlineLvl w:val="9"/>
                    <w:rPr>
                      <w:rFonts w:ascii="Times New Roman" w:hAnsi="Times New Roman" w:eastAsia="宋体" w:cs="Times New Roman"/>
                      <w:color w:val="auto"/>
                      <w:szCs w:val="21"/>
                    </w:rPr>
                  </w:pPr>
                </w:p>
              </w:tc>
              <w:tc>
                <w:tcPr>
                  <w:tcW w:w="1346" w:type="dxa"/>
                  <w:tcBorders>
                    <w:tl2br w:val="nil"/>
                    <w:tr2bl w:val="nil"/>
                  </w:tcBorders>
                  <w:shd w:val="clear" w:color="auto" w:fill="FFFFFF"/>
                  <w:vAlign w:val="center"/>
                </w:tcPr>
                <w:p w14:paraId="22BDB9CC">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148.7</w:t>
                  </w:r>
                </w:p>
              </w:tc>
              <w:tc>
                <w:tcPr>
                  <w:tcW w:w="1283" w:type="dxa"/>
                  <w:tcBorders>
                    <w:tl2br w:val="nil"/>
                    <w:tr2bl w:val="nil"/>
                  </w:tcBorders>
                  <w:shd w:val="clear" w:color="auto" w:fill="FFFFFF"/>
                  <w:vAlign w:val="center"/>
                </w:tcPr>
                <w:p w14:paraId="3CC6B225">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34</w:t>
                  </w:r>
                </w:p>
              </w:tc>
              <w:tc>
                <w:tcPr>
                  <w:tcW w:w="1145" w:type="dxa"/>
                  <w:tcBorders>
                    <w:tl2br w:val="nil"/>
                    <w:tr2bl w:val="nil"/>
                  </w:tcBorders>
                  <w:shd w:val="clear" w:color="auto" w:fill="FFFFFF"/>
                  <w:vAlign w:val="center"/>
                </w:tcPr>
                <w:p w14:paraId="3C2A2C55">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6550CDC4">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夜间</w:t>
                  </w:r>
                </w:p>
              </w:tc>
              <w:tc>
                <w:tcPr>
                  <w:tcW w:w="2088" w:type="dxa"/>
                  <w:tcBorders>
                    <w:tl2br w:val="nil"/>
                    <w:tr2bl w:val="nil"/>
                  </w:tcBorders>
                  <w:shd w:val="clear" w:color="auto" w:fill="FFFFFF"/>
                  <w:vAlign w:val="center"/>
                </w:tcPr>
                <w:p w14:paraId="6E863F3A">
                  <w:pPr>
                    <w:jc w:val="center"/>
                    <w:outlineLvl w:val="9"/>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12.1</w:t>
                  </w:r>
                </w:p>
              </w:tc>
              <w:tc>
                <w:tcPr>
                  <w:tcW w:w="2023" w:type="dxa"/>
                  <w:tcBorders>
                    <w:tl2br w:val="nil"/>
                    <w:tr2bl w:val="nil"/>
                  </w:tcBorders>
                  <w:shd w:val="clear" w:color="auto" w:fill="FFFFFF"/>
                  <w:vAlign w:val="center"/>
                </w:tcPr>
                <w:p w14:paraId="5D78E84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45</w:t>
                  </w:r>
                </w:p>
              </w:tc>
              <w:tc>
                <w:tcPr>
                  <w:tcW w:w="1229" w:type="dxa"/>
                  <w:tcBorders>
                    <w:tl2br w:val="nil"/>
                    <w:tr2bl w:val="nil"/>
                  </w:tcBorders>
                  <w:shd w:val="clear" w:color="auto" w:fill="FFFFFF"/>
                  <w:vAlign w:val="center"/>
                </w:tcPr>
                <w:p w14:paraId="02F66649">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14:paraId="13AAE9C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restart"/>
                  <w:tcBorders>
                    <w:tl2br w:val="nil"/>
                    <w:tr2bl w:val="nil"/>
                  </w:tcBorders>
                  <w:shd w:val="clear" w:color="auto" w:fill="FFFFFF"/>
                  <w:vAlign w:val="center"/>
                </w:tcPr>
                <w:p w14:paraId="5A05E016">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南侧</w:t>
                  </w:r>
                </w:p>
              </w:tc>
              <w:tc>
                <w:tcPr>
                  <w:tcW w:w="1346" w:type="dxa"/>
                  <w:tcBorders>
                    <w:tl2br w:val="nil"/>
                    <w:tr2bl w:val="nil"/>
                  </w:tcBorders>
                  <w:shd w:val="clear" w:color="auto" w:fill="FFFFFF"/>
                  <w:vAlign w:val="center"/>
                </w:tcPr>
                <w:p w14:paraId="51ACCF5D">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88.8</w:t>
                  </w:r>
                </w:p>
              </w:tc>
              <w:tc>
                <w:tcPr>
                  <w:tcW w:w="1283" w:type="dxa"/>
                  <w:tcBorders>
                    <w:tl2br w:val="nil"/>
                    <w:tr2bl w:val="nil"/>
                  </w:tcBorders>
                  <w:shd w:val="clear" w:color="auto" w:fill="FFFFFF"/>
                  <w:vAlign w:val="center"/>
                </w:tcPr>
                <w:p w14:paraId="4F1130E5">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-194.3</w:t>
                  </w:r>
                </w:p>
              </w:tc>
              <w:tc>
                <w:tcPr>
                  <w:tcW w:w="1145" w:type="dxa"/>
                  <w:tcBorders>
                    <w:tl2br w:val="nil"/>
                    <w:tr2bl w:val="nil"/>
                  </w:tcBorders>
                  <w:shd w:val="clear" w:color="auto" w:fill="FFFFFF"/>
                  <w:vAlign w:val="center"/>
                </w:tcPr>
                <w:p w14:paraId="6A34F1F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5372A355">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c>
                <w:tcPr>
                  <w:tcW w:w="2088" w:type="dxa"/>
                  <w:tcBorders>
                    <w:tl2br w:val="nil"/>
                    <w:tr2bl w:val="nil"/>
                  </w:tcBorders>
                  <w:shd w:val="clear" w:color="auto" w:fill="FFFFFF"/>
                  <w:vAlign w:val="center"/>
                </w:tcPr>
                <w:p w14:paraId="687E5686">
                  <w:pPr>
                    <w:jc w:val="center"/>
                    <w:outlineLvl w:val="9"/>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4</w:t>
                  </w:r>
                  <w:r>
                    <w:rPr>
                      <w:rFonts w:hint="eastAsia" w:cs="Times New Roman"/>
                      <w:color w:val="auto"/>
                      <w:szCs w:val="21"/>
                      <w:lang w:val="en-US" w:eastAsia="zh-CN"/>
                    </w:rPr>
                    <w:t>4</w:t>
                  </w:r>
                  <w:r>
                    <w:rPr>
                      <w:rFonts w:ascii="Times New Roman" w:hAnsi="Times New Roman" w:eastAsia="宋体" w:cs="Times New Roman"/>
                      <w:color w:val="auto"/>
                      <w:szCs w:val="21"/>
                    </w:rPr>
                    <w:t>.</w:t>
                  </w:r>
                  <w:r>
                    <w:rPr>
                      <w:rFonts w:hint="eastAsia" w:cs="Times New Roman"/>
                      <w:color w:val="auto"/>
                      <w:szCs w:val="21"/>
                      <w:lang w:val="en-US" w:eastAsia="zh-CN"/>
                    </w:rPr>
                    <w:t>2</w:t>
                  </w:r>
                </w:p>
              </w:tc>
              <w:tc>
                <w:tcPr>
                  <w:tcW w:w="2023" w:type="dxa"/>
                  <w:tcBorders>
                    <w:tl2br w:val="nil"/>
                    <w:tr2bl w:val="nil"/>
                  </w:tcBorders>
                  <w:shd w:val="clear" w:color="auto" w:fill="FFFFFF"/>
                  <w:vAlign w:val="center"/>
                </w:tcPr>
                <w:p w14:paraId="2087CF1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229" w:type="dxa"/>
                  <w:tcBorders>
                    <w:tl2br w:val="nil"/>
                    <w:tr2bl w:val="nil"/>
                  </w:tcBorders>
                  <w:shd w:val="clear" w:color="auto" w:fill="FFFFFF"/>
                  <w:vAlign w:val="center"/>
                </w:tcPr>
                <w:p w14:paraId="4B861B87">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14:paraId="6323E5D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continue"/>
                  <w:tcBorders>
                    <w:tl2br w:val="nil"/>
                    <w:tr2bl w:val="nil"/>
                  </w:tcBorders>
                  <w:shd w:val="clear" w:color="auto" w:fill="FFFFFF"/>
                  <w:vAlign w:val="center"/>
                </w:tcPr>
                <w:p w14:paraId="367F577B">
                  <w:pPr>
                    <w:jc w:val="center"/>
                    <w:outlineLvl w:val="9"/>
                    <w:rPr>
                      <w:rFonts w:ascii="Times New Roman" w:hAnsi="Times New Roman" w:eastAsia="宋体" w:cs="Times New Roman"/>
                      <w:color w:val="auto"/>
                      <w:szCs w:val="21"/>
                    </w:rPr>
                  </w:pPr>
                </w:p>
              </w:tc>
              <w:tc>
                <w:tcPr>
                  <w:tcW w:w="1346" w:type="dxa"/>
                  <w:tcBorders>
                    <w:tl2br w:val="nil"/>
                    <w:tr2bl w:val="nil"/>
                  </w:tcBorders>
                  <w:shd w:val="clear" w:color="auto" w:fill="FFFFFF"/>
                  <w:vAlign w:val="center"/>
                </w:tcPr>
                <w:p w14:paraId="0D5CFF7F">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88.8</w:t>
                  </w:r>
                </w:p>
              </w:tc>
              <w:tc>
                <w:tcPr>
                  <w:tcW w:w="1283" w:type="dxa"/>
                  <w:tcBorders>
                    <w:tl2br w:val="nil"/>
                    <w:tr2bl w:val="nil"/>
                  </w:tcBorders>
                  <w:shd w:val="clear" w:color="auto" w:fill="FFFFFF"/>
                  <w:vAlign w:val="center"/>
                </w:tcPr>
                <w:p w14:paraId="2D9A1D8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-194.3</w:t>
                  </w:r>
                </w:p>
              </w:tc>
              <w:tc>
                <w:tcPr>
                  <w:tcW w:w="1145" w:type="dxa"/>
                  <w:tcBorders>
                    <w:tl2br w:val="nil"/>
                    <w:tr2bl w:val="nil"/>
                  </w:tcBorders>
                  <w:shd w:val="clear" w:color="auto" w:fill="FFFFFF"/>
                  <w:vAlign w:val="center"/>
                </w:tcPr>
                <w:p w14:paraId="45040B26">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26BBF7A9">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夜间</w:t>
                  </w:r>
                </w:p>
              </w:tc>
              <w:tc>
                <w:tcPr>
                  <w:tcW w:w="2088" w:type="dxa"/>
                  <w:tcBorders>
                    <w:tl2br w:val="nil"/>
                    <w:tr2bl w:val="nil"/>
                  </w:tcBorders>
                  <w:shd w:val="clear" w:color="auto" w:fill="FFFFFF"/>
                  <w:vAlign w:val="center"/>
                </w:tcPr>
                <w:p w14:paraId="22BCDD06">
                  <w:pPr>
                    <w:jc w:val="center"/>
                    <w:outlineLvl w:val="9"/>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4</w:t>
                  </w:r>
                  <w:r>
                    <w:rPr>
                      <w:rFonts w:hint="eastAsia" w:cs="Times New Roman"/>
                      <w:color w:val="auto"/>
                      <w:szCs w:val="21"/>
                      <w:lang w:val="en-US" w:eastAsia="zh-CN"/>
                    </w:rPr>
                    <w:t>4</w:t>
                  </w:r>
                  <w:r>
                    <w:rPr>
                      <w:rFonts w:ascii="Times New Roman" w:hAnsi="Times New Roman" w:eastAsia="宋体" w:cs="Times New Roman"/>
                      <w:color w:val="auto"/>
                      <w:szCs w:val="21"/>
                    </w:rPr>
                    <w:t>.</w:t>
                  </w:r>
                  <w:r>
                    <w:rPr>
                      <w:rFonts w:hint="eastAsia" w:cs="Times New Roman"/>
                      <w:color w:val="auto"/>
                      <w:szCs w:val="21"/>
                      <w:lang w:val="en-US" w:eastAsia="zh-CN"/>
                    </w:rPr>
                    <w:t>2</w:t>
                  </w:r>
                </w:p>
              </w:tc>
              <w:tc>
                <w:tcPr>
                  <w:tcW w:w="2023" w:type="dxa"/>
                  <w:tcBorders>
                    <w:tl2br w:val="nil"/>
                    <w:tr2bl w:val="nil"/>
                  </w:tcBorders>
                  <w:shd w:val="clear" w:color="auto" w:fill="FFFFFF"/>
                  <w:vAlign w:val="center"/>
                </w:tcPr>
                <w:p w14:paraId="63DFCC1C">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45</w:t>
                  </w:r>
                </w:p>
              </w:tc>
              <w:tc>
                <w:tcPr>
                  <w:tcW w:w="1229" w:type="dxa"/>
                  <w:tcBorders>
                    <w:tl2br w:val="nil"/>
                    <w:tr2bl w:val="nil"/>
                  </w:tcBorders>
                  <w:shd w:val="clear" w:color="auto" w:fill="FFFFFF"/>
                  <w:vAlign w:val="center"/>
                </w:tcPr>
                <w:p w14:paraId="2408536D">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14:paraId="646C86A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restart"/>
                  <w:tcBorders>
                    <w:tl2br w:val="nil"/>
                    <w:tr2bl w:val="nil"/>
                  </w:tcBorders>
                  <w:shd w:val="clear" w:color="auto" w:fill="FFFFFF"/>
                  <w:vAlign w:val="center"/>
                </w:tcPr>
                <w:p w14:paraId="449A8146">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西侧</w:t>
                  </w:r>
                </w:p>
              </w:tc>
              <w:tc>
                <w:tcPr>
                  <w:tcW w:w="1346" w:type="dxa"/>
                  <w:tcBorders>
                    <w:tl2br w:val="nil"/>
                    <w:tr2bl w:val="nil"/>
                  </w:tcBorders>
                  <w:shd w:val="clear" w:color="auto" w:fill="FFFFFF"/>
                  <w:vAlign w:val="center"/>
                </w:tcPr>
                <w:p w14:paraId="20B1AF0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-212.4</w:t>
                  </w:r>
                </w:p>
              </w:tc>
              <w:tc>
                <w:tcPr>
                  <w:tcW w:w="1283" w:type="dxa"/>
                  <w:tcBorders>
                    <w:tl2br w:val="nil"/>
                    <w:tr2bl w:val="nil"/>
                  </w:tcBorders>
                  <w:shd w:val="clear" w:color="auto" w:fill="FFFFFF"/>
                  <w:vAlign w:val="center"/>
                </w:tcPr>
                <w:p w14:paraId="7D4A800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159</w:t>
                  </w:r>
                </w:p>
              </w:tc>
              <w:tc>
                <w:tcPr>
                  <w:tcW w:w="1145" w:type="dxa"/>
                  <w:tcBorders>
                    <w:tl2br w:val="nil"/>
                    <w:tr2bl w:val="nil"/>
                  </w:tcBorders>
                  <w:shd w:val="clear" w:color="auto" w:fill="FFFFFF"/>
                  <w:vAlign w:val="center"/>
                </w:tcPr>
                <w:p w14:paraId="2F6CFE69">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1011904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c>
                <w:tcPr>
                  <w:tcW w:w="2088" w:type="dxa"/>
                  <w:tcBorders>
                    <w:tl2br w:val="nil"/>
                    <w:tr2bl w:val="nil"/>
                  </w:tcBorders>
                  <w:shd w:val="clear" w:color="auto" w:fill="FFFFFF"/>
                  <w:vAlign w:val="center"/>
                </w:tcPr>
                <w:p w14:paraId="0BA17EE3">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37.3</w:t>
                  </w:r>
                </w:p>
              </w:tc>
              <w:tc>
                <w:tcPr>
                  <w:tcW w:w="2023" w:type="dxa"/>
                  <w:tcBorders>
                    <w:tl2br w:val="nil"/>
                    <w:tr2bl w:val="nil"/>
                  </w:tcBorders>
                  <w:shd w:val="clear" w:color="auto" w:fill="FFFFFF"/>
                  <w:vAlign w:val="center"/>
                </w:tcPr>
                <w:p w14:paraId="0D7C0E0A">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229" w:type="dxa"/>
                  <w:tcBorders>
                    <w:tl2br w:val="nil"/>
                    <w:tr2bl w:val="nil"/>
                  </w:tcBorders>
                  <w:shd w:val="clear" w:color="auto" w:fill="FFFFFF"/>
                  <w:vAlign w:val="center"/>
                </w:tcPr>
                <w:p w14:paraId="6E1233DB">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14:paraId="04B4941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continue"/>
                  <w:tcBorders>
                    <w:tl2br w:val="nil"/>
                    <w:tr2bl w:val="nil"/>
                  </w:tcBorders>
                  <w:shd w:val="clear" w:color="auto" w:fill="FFFFFF"/>
                  <w:vAlign w:val="center"/>
                </w:tcPr>
                <w:p w14:paraId="630491F6">
                  <w:pPr>
                    <w:jc w:val="center"/>
                    <w:outlineLvl w:val="9"/>
                    <w:rPr>
                      <w:rFonts w:ascii="Times New Roman" w:hAnsi="Times New Roman" w:eastAsia="宋体" w:cs="Times New Roman"/>
                      <w:color w:val="auto"/>
                      <w:szCs w:val="21"/>
                    </w:rPr>
                  </w:pPr>
                </w:p>
              </w:tc>
              <w:tc>
                <w:tcPr>
                  <w:tcW w:w="1346" w:type="dxa"/>
                  <w:tcBorders>
                    <w:tl2br w:val="nil"/>
                    <w:tr2bl w:val="nil"/>
                  </w:tcBorders>
                  <w:shd w:val="clear" w:color="auto" w:fill="FFFFFF"/>
                  <w:vAlign w:val="center"/>
                </w:tcPr>
                <w:p w14:paraId="460DB47E">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-212.4</w:t>
                  </w:r>
                </w:p>
              </w:tc>
              <w:tc>
                <w:tcPr>
                  <w:tcW w:w="1283" w:type="dxa"/>
                  <w:tcBorders>
                    <w:tl2br w:val="nil"/>
                    <w:tr2bl w:val="nil"/>
                  </w:tcBorders>
                  <w:shd w:val="clear" w:color="auto" w:fill="FFFFFF"/>
                  <w:vAlign w:val="center"/>
                </w:tcPr>
                <w:p w14:paraId="01B077DC">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159</w:t>
                  </w:r>
                </w:p>
              </w:tc>
              <w:tc>
                <w:tcPr>
                  <w:tcW w:w="1145" w:type="dxa"/>
                  <w:tcBorders>
                    <w:tl2br w:val="nil"/>
                    <w:tr2bl w:val="nil"/>
                  </w:tcBorders>
                  <w:shd w:val="clear" w:color="auto" w:fill="FFFFFF"/>
                  <w:vAlign w:val="center"/>
                </w:tcPr>
                <w:p w14:paraId="23D347FC">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72F1DBB0">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夜间</w:t>
                  </w:r>
                </w:p>
              </w:tc>
              <w:tc>
                <w:tcPr>
                  <w:tcW w:w="2088" w:type="dxa"/>
                  <w:tcBorders>
                    <w:tl2br w:val="nil"/>
                    <w:tr2bl w:val="nil"/>
                  </w:tcBorders>
                  <w:shd w:val="clear" w:color="auto" w:fill="FFFFFF"/>
                  <w:vAlign w:val="center"/>
                </w:tcPr>
                <w:p w14:paraId="6F55E63C">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37.3</w:t>
                  </w:r>
                </w:p>
              </w:tc>
              <w:tc>
                <w:tcPr>
                  <w:tcW w:w="2023" w:type="dxa"/>
                  <w:tcBorders>
                    <w:tl2br w:val="nil"/>
                    <w:tr2bl w:val="nil"/>
                  </w:tcBorders>
                  <w:shd w:val="clear" w:color="auto" w:fill="FFFFFF"/>
                  <w:vAlign w:val="center"/>
                </w:tcPr>
                <w:p w14:paraId="66A8994F">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45</w:t>
                  </w:r>
                </w:p>
              </w:tc>
              <w:tc>
                <w:tcPr>
                  <w:tcW w:w="1229" w:type="dxa"/>
                  <w:tcBorders>
                    <w:tl2br w:val="nil"/>
                    <w:tr2bl w:val="nil"/>
                  </w:tcBorders>
                  <w:shd w:val="clear" w:color="auto" w:fill="FFFFFF"/>
                  <w:vAlign w:val="center"/>
                </w:tcPr>
                <w:p w14:paraId="0693A391">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14:paraId="2EFA7E3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restart"/>
                  <w:tcBorders>
                    <w:tl2br w:val="nil"/>
                    <w:tr2bl w:val="nil"/>
                  </w:tcBorders>
                  <w:shd w:val="clear" w:color="auto" w:fill="FFFFFF"/>
                  <w:vAlign w:val="center"/>
                </w:tcPr>
                <w:p w14:paraId="0664C16A">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北侧</w:t>
                  </w:r>
                </w:p>
              </w:tc>
              <w:tc>
                <w:tcPr>
                  <w:tcW w:w="1346" w:type="dxa"/>
                  <w:tcBorders>
                    <w:tl2br w:val="nil"/>
                    <w:tr2bl w:val="nil"/>
                  </w:tcBorders>
                  <w:shd w:val="clear" w:color="auto" w:fill="FFFFFF"/>
                  <w:vAlign w:val="center"/>
                </w:tcPr>
                <w:p w14:paraId="30AC5FF0">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321.9</w:t>
                  </w:r>
                </w:p>
              </w:tc>
              <w:tc>
                <w:tcPr>
                  <w:tcW w:w="1283" w:type="dxa"/>
                  <w:tcBorders>
                    <w:tl2br w:val="nil"/>
                    <w:tr2bl w:val="nil"/>
                  </w:tcBorders>
                  <w:shd w:val="clear" w:color="auto" w:fill="FFFFFF"/>
                  <w:vAlign w:val="center"/>
                </w:tcPr>
                <w:p w14:paraId="699AFD1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427.9</w:t>
                  </w:r>
                </w:p>
              </w:tc>
              <w:tc>
                <w:tcPr>
                  <w:tcW w:w="1145" w:type="dxa"/>
                  <w:tcBorders>
                    <w:tl2br w:val="nil"/>
                    <w:tr2bl w:val="nil"/>
                  </w:tcBorders>
                  <w:shd w:val="clear" w:color="auto" w:fill="FFFFFF"/>
                  <w:vAlign w:val="center"/>
                </w:tcPr>
                <w:p w14:paraId="495FCAB3">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057D2075">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昼间</w:t>
                  </w:r>
                </w:p>
              </w:tc>
              <w:tc>
                <w:tcPr>
                  <w:tcW w:w="2088" w:type="dxa"/>
                  <w:tcBorders>
                    <w:tl2br w:val="nil"/>
                    <w:tr2bl w:val="nil"/>
                  </w:tcBorders>
                  <w:shd w:val="clear" w:color="auto" w:fill="FFFFFF"/>
                  <w:vAlign w:val="center"/>
                </w:tcPr>
                <w:p w14:paraId="08F1E23D">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w:t>
                  </w:r>
                </w:p>
              </w:tc>
              <w:tc>
                <w:tcPr>
                  <w:tcW w:w="2023" w:type="dxa"/>
                  <w:tcBorders>
                    <w:tl2br w:val="nil"/>
                    <w:tr2bl w:val="nil"/>
                  </w:tcBorders>
                  <w:shd w:val="clear" w:color="auto" w:fill="FFFFFF"/>
                  <w:vAlign w:val="center"/>
                </w:tcPr>
                <w:p w14:paraId="182EA2C0">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55</w:t>
                  </w:r>
                </w:p>
              </w:tc>
              <w:tc>
                <w:tcPr>
                  <w:tcW w:w="1229" w:type="dxa"/>
                  <w:tcBorders>
                    <w:tl2br w:val="nil"/>
                    <w:tr2bl w:val="nil"/>
                  </w:tcBorders>
                  <w:shd w:val="clear" w:color="auto" w:fill="FFFFFF"/>
                  <w:vAlign w:val="center"/>
                </w:tcPr>
                <w:p w14:paraId="5BFE5BCD">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14:paraId="16E9EDA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222" w:type="dxa"/>
                  <w:vMerge w:val="continue"/>
                  <w:tcBorders>
                    <w:tl2br w:val="nil"/>
                    <w:tr2bl w:val="nil"/>
                  </w:tcBorders>
                  <w:shd w:val="clear" w:color="auto" w:fill="FFFFFF"/>
                  <w:vAlign w:val="center"/>
                </w:tcPr>
                <w:p w14:paraId="4F0FDFB3">
                  <w:pPr>
                    <w:jc w:val="center"/>
                    <w:outlineLvl w:val="9"/>
                    <w:rPr>
                      <w:rFonts w:ascii="Times New Roman" w:hAnsi="Times New Roman" w:eastAsia="宋体" w:cs="Times New Roman"/>
                      <w:color w:val="auto"/>
                      <w:szCs w:val="21"/>
                    </w:rPr>
                  </w:pPr>
                </w:p>
              </w:tc>
              <w:tc>
                <w:tcPr>
                  <w:tcW w:w="1346" w:type="dxa"/>
                  <w:tcBorders>
                    <w:tl2br w:val="nil"/>
                    <w:tr2bl w:val="nil"/>
                  </w:tcBorders>
                  <w:shd w:val="clear" w:color="auto" w:fill="FFFFFF"/>
                  <w:vAlign w:val="center"/>
                </w:tcPr>
                <w:p w14:paraId="395A502A">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321.9</w:t>
                  </w:r>
                </w:p>
              </w:tc>
              <w:tc>
                <w:tcPr>
                  <w:tcW w:w="1283" w:type="dxa"/>
                  <w:tcBorders>
                    <w:tl2br w:val="nil"/>
                    <w:tr2bl w:val="nil"/>
                  </w:tcBorders>
                  <w:shd w:val="clear" w:color="auto" w:fill="FFFFFF"/>
                  <w:vAlign w:val="center"/>
                </w:tcPr>
                <w:p w14:paraId="244FB56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427.9</w:t>
                  </w:r>
                </w:p>
              </w:tc>
              <w:tc>
                <w:tcPr>
                  <w:tcW w:w="1145" w:type="dxa"/>
                  <w:tcBorders>
                    <w:tl2br w:val="nil"/>
                    <w:tr2bl w:val="nil"/>
                  </w:tcBorders>
                  <w:shd w:val="clear" w:color="auto" w:fill="FFFFFF"/>
                  <w:vAlign w:val="center"/>
                </w:tcPr>
                <w:p w14:paraId="301F8838">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1.2</w:t>
                  </w:r>
                </w:p>
              </w:tc>
              <w:tc>
                <w:tcPr>
                  <w:tcW w:w="1363" w:type="dxa"/>
                  <w:tcBorders>
                    <w:tl2br w:val="nil"/>
                    <w:tr2bl w:val="nil"/>
                  </w:tcBorders>
                  <w:shd w:val="clear" w:color="auto" w:fill="FFFFFF"/>
                  <w:vAlign w:val="center"/>
                </w:tcPr>
                <w:p w14:paraId="5B67772F">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夜间</w:t>
                  </w:r>
                </w:p>
              </w:tc>
              <w:tc>
                <w:tcPr>
                  <w:tcW w:w="2088" w:type="dxa"/>
                  <w:tcBorders>
                    <w:tl2br w:val="nil"/>
                    <w:tr2bl w:val="nil"/>
                  </w:tcBorders>
                  <w:shd w:val="clear" w:color="auto" w:fill="FFFFFF"/>
                  <w:vAlign w:val="center"/>
                </w:tcPr>
                <w:p w14:paraId="155347D2">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3</w:t>
                  </w:r>
                </w:p>
              </w:tc>
              <w:tc>
                <w:tcPr>
                  <w:tcW w:w="2023" w:type="dxa"/>
                  <w:tcBorders>
                    <w:tl2br w:val="nil"/>
                    <w:tr2bl w:val="nil"/>
                  </w:tcBorders>
                  <w:shd w:val="clear" w:color="auto" w:fill="FFFFFF"/>
                  <w:vAlign w:val="center"/>
                </w:tcPr>
                <w:p w14:paraId="028CF8E3">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45</w:t>
                  </w:r>
                </w:p>
              </w:tc>
              <w:tc>
                <w:tcPr>
                  <w:tcW w:w="1229" w:type="dxa"/>
                  <w:tcBorders>
                    <w:tl2br w:val="nil"/>
                    <w:tr2bl w:val="nil"/>
                  </w:tcBorders>
                  <w:shd w:val="clear" w:color="auto" w:fill="FFFFFF"/>
                  <w:vAlign w:val="center"/>
                </w:tcPr>
                <w:p w14:paraId="2E594209">
                  <w:pPr>
                    <w:jc w:val="center"/>
                    <w:outlineLvl w:val="9"/>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bl>
          <w:p w14:paraId="11CF698D">
            <w:pPr>
              <w:widowControl/>
              <w:snapToGrid w:val="0"/>
              <w:spacing w:line="360" w:lineRule="auto"/>
              <w:ind w:firstLine="480" w:firstLineChars="200"/>
              <w:outlineLvl w:val="9"/>
              <w:rPr>
                <w:rFonts w:hint="eastAsia"/>
                <w:color w:val="auto"/>
                <w:sz w:val="24"/>
              </w:rPr>
            </w:pPr>
            <w:r>
              <w:rPr>
                <w:color w:val="auto"/>
                <w:sz w:val="24"/>
              </w:rPr>
              <w:t>根据预测结果可知，项目运行后</w:t>
            </w:r>
            <w:r>
              <w:rPr>
                <w:rFonts w:hint="eastAsia"/>
                <w:color w:val="auto"/>
                <w:sz w:val="24"/>
              </w:rPr>
              <w:t>东侧</w:t>
            </w:r>
            <w:r>
              <w:rPr>
                <w:rFonts w:hint="eastAsia"/>
                <w:color w:val="auto"/>
                <w:sz w:val="24"/>
                <w:lang w:eastAsia="zh-CN"/>
              </w:rPr>
              <w:t>、</w:t>
            </w:r>
            <w:r>
              <w:rPr>
                <w:rFonts w:hint="eastAsia"/>
                <w:color w:val="auto"/>
                <w:sz w:val="24"/>
              </w:rPr>
              <w:t>南侧、西侧、北侧厂界</w:t>
            </w:r>
            <w:r>
              <w:rPr>
                <w:color w:val="auto"/>
                <w:sz w:val="24"/>
              </w:rPr>
              <w:t>昼间</w:t>
            </w:r>
            <w:r>
              <w:rPr>
                <w:rFonts w:hint="eastAsia"/>
                <w:color w:val="auto"/>
                <w:sz w:val="24"/>
                <w:lang w:eastAsia="zh-CN"/>
              </w:rPr>
              <w:t>、</w:t>
            </w:r>
            <w:r>
              <w:rPr>
                <w:rFonts w:hint="eastAsia"/>
                <w:color w:val="auto"/>
                <w:sz w:val="24"/>
                <w:lang w:val="en-US" w:eastAsia="zh-CN"/>
              </w:rPr>
              <w:t>夜间</w:t>
            </w:r>
            <w:r>
              <w:rPr>
                <w:color w:val="auto"/>
                <w:sz w:val="24"/>
              </w:rPr>
              <w:t>噪声满足《工业企业厂界环境噪声排放标准》（GB12348-2008）中</w:t>
            </w:r>
            <w:r>
              <w:rPr>
                <w:rFonts w:hint="eastAsia"/>
                <w:color w:val="auto"/>
                <w:sz w:val="24"/>
                <w:lang w:val="en-US" w:eastAsia="zh-CN"/>
              </w:rPr>
              <w:t>1</w:t>
            </w:r>
            <w:r>
              <w:rPr>
                <w:color w:val="auto"/>
                <w:sz w:val="24"/>
              </w:rPr>
              <w:t>类标准要求</w:t>
            </w:r>
            <w:r>
              <w:rPr>
                <w:rFonts w:hint="eastAsia"/>
                <w:color w:val="auto"/>
                <w:sz w:val="24"/>
              </w:rPr>
              <w:t>。</w:t>
            </w:r>
          </w:p>
          <w:p w14:paraId="6BC1E0FD">
            <w:pPr>
              <w:pStyle w:val="112"/>
              <w:ind w:firstLine="482"/>
              <w:outlineLvl w:val="9"/>
              <w:rPr>
                <w:rFonts w:hint="eastAsia"/>
                <w:b/>
                <w:bCs/>
                <w:color w:val="auto"/>
              </w:rPr>
            </w:pPr>
            <w:r>
              <w:rPr>
                <w:rFonts w:hint="eastAsia"/>
                <w:b/>
                <w:bCs/>
                <w:color w:val="auto"/>
                <w:lang w:val="en-US" w:eastAsia="zh-CN"/>
              </w:rPr>
              <w:t xml:space="preserve">4、噪声防治措施的可行性分析 </w:t>
            </w:r>
          </w:p>
          <w:p w14:paraId="5522B3BA">
            <w:pPr>
              <w:keepNext w:val="0"/>
              <w:keepLines w:val="0"/>
              <w:pageBreakBefore w:val="0"/>
              <w:widowControl w:val="0"/>
              <w:kinsoku/>
              <w:wordWrap/>
              <w:overflowPunct/>
              <w:topLinePunct w:val="0"/>
              <w:autoSpaceDE/>
              <w:autoSpaceDN/>
              <w:bidi w:val="0"/>
              <w:adjustRightInd/>
              <w:snapToGrid w:val="0"/>
              <w:spacing w:before="120" w:beforeLines="50" w:line="360" w:lineRule="auto"/>
              <w:ind w:firstLine="480" w:firstLineChars="200"/>
              <w:textAlignment w:val="auto"/>
              <w:outlineLvl w:val="9"/>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本项目采取选用低噪声设备，并通过厂房隔声、</w:t>
            </w:r>
            <w:r>
              <w:rPr>
                <w:rFonts w:hint="eastAsia" w:cs="Times New Roman"/>
                <w:color w:val="auto"/>
                <w:sz w:val="24"/>
                <w:szCs w:val="24"/>
                <w:lang w:val="en-US" w:eastAsia="zh-CN"/>
              </w:rPr>
              <w:t>设置隔声罩、</w:t>
            </w:r>
            <w:r>
              <w:rPr>
                <w:rFonts w:hint="eastAsia" w:ascii="Times New Roman" w:hAnsi="Times New Roman" w:cs="Times New Roman"/>
                <w:color w:val="auto"/>
                <w:sz w:val="24"/>
                <w:szCs w:val="24"/>
                <w:lang w:val="en-US" w:eastAsia="zh-CN"/>
              </w:rPr>
              <w:t>减振基础等措施</w:t>
            </w:r>
            <w:r>
              <w:rPr>
                <w:rFonts w:hint="eastAsia" w:cs="Times New Roman"/>
                <w:color w:val="auto"/>
                <w:sz w:val="24"/>
                <w:szCs w:val="24"/>
                <w:lang w:val="en-US" w:eastAsia="zh-CN"/>
              </w:rPr>
              <w:t>降低噪声影响</w:t>
            </w:r>
            <w:r>
              <w:rPr>
                <w:rFonts w:hint="eastAsia" w:ascii="Times New Roman" w:hAnsi="Times New Roman" w:cs="Times New Roman"/>
                <w:color w:val="auto"/>
                <w:sz w:val="24"/>
                <w:szCs w:val="24"/>
                <w:lang w:val="en-US" w:eastAsia="zh-CN"/>
              </w:rPr>
              <w:t>。</w:t>
            </w:r>
          </w:p>
          <w:p w14:paraId="1679F875">
            <w:pPr>
              <w:spacing w:line="360" w:lineRule="auto"/>
              <w:ind w:firstLine="482" w:firstLineChars="200"/>
              <w:outlineLvl w:val="9"/>
              <w:rPr>
                <w:b/>
                <w:bCs/>
                <w:color w:val="auto"/>
                <w:sz w:val="24"/>
              </w:rPr>
            </w:pPr>
            <w:r>
              <w:rPr>
                <w:rFonts w:hint="eastAsia"/>
                <w:b/>
                <w:bCs/>
                <w:color w:val="auto"/>
                <w:sz w:val="24"/>
                <w:lang w:val="en-US" w:eastAsia="zh-CN"/>
              </w:rPr>
              <w:t>5</w:t>
            </w:r>
            <w:r>
              <w:rPr>
                <w:rFonts w:hint="eastAsia"/>
                <w:b/>
                <w:bCs/>
                <w:color w:val="auto"/>
                <w:sz w:val="24"/>
              </w:rPr>
              <w:t>、监测要求</w:t>
            </w:r>
          </w:p>
          <w:p w14:paraId="7F7A413C">
            <w:pPr>
              <w:widowControl/>
              <w:spacing w:line="360" w:lineRule="auto"/>
              <w:ind w:firstLine="480" w:firstLineChars="200"/>
              <w:outlineLvl w:val="9"/>
              <w:rPr>
                <w:color w:val="auto"/>
                <w:kern w:val="0"/>
                <w:sz w:val="24"/>
                <w:lang w:bidi="ar"/>
              </w:rPr>
            </w:pPr>
            <w:r>
              <w:rPr>
                <w:color w:val="auto"/>
                <w:kern w:val="0"/>
                <w:sz w:val="24"/>
                <w:lang w:bidi="ar"/>
              </w:rPr>
              <w:t>依据《排污单位自行监测技术指南</w:t>
            </w:r>
            <w:r>
              <w:rPr>
                <w:rFonts w:hint="eastAsia"/>
                <w:color w:val="auto"/>
                <w:kern w:val="0"/>
                <w:sz w:val="24"/>
                <w:lang w:bidi="ar"/>
              </w:rPr>
              <w:t xml:space="preserve"> </w:t>
            </w:r>
            <w:r>
              <w:rPr>
                <w:color w:val="auto"/>
                <w:kern w:val="0"/>
                <w:sz w:val="24"/>
                <w:lang w:bidi="ar"/>
              </w:rPr>
              <w:t>总则》（HJ819-2017）</w:t>
            </w:r>
            <w:r>
              <w:rPr>
                <w:rFonts w:hint="eastAsia"/>
                <w:color w:val="auto"/>
                <w:kern w:val="0"/>
                <w:sz w:val="24"/>
                <w:lang w:bidi="ar"/>
              </w:rPr>
              <w:t>和</w:t>
            </w:r>
            <w:r>
              <w:rPr>
                <w:color w:val="auto"/>
                <w:kern w:val="0"/>
                <w:sz w:val="24"/>
                <w:lang w:bidi="ar"/>
              </w:rPr>
              <w:t>《排污许可证申请与核发技术规范</w:t>
            </w:r>
            <w:r>
              <w:rPr>
                <w:rFonts w:hint="eastAsia"/>
                <w:color w:val="auto"/>
                <w:kern w:val="0"/>
                <w:sz w:val="24"/>
                <w:lang w:bidi="ar"/>
              </w:rPr>
              <w:t xml:space="preserve"> </w:t>
            </w:r>
            <w:r>
              <w:rPr>
                <w:color w:val="auto"/>
                <w:kern w:val="0"/>
                <w:sz w:val="24"/>
                <w:lang w:bidi="ar"/>
              </w:rPr>
              <w:t>总则》（HJ942-2018），结合项目所在地环境特征，制定本项目噪声监测计划表。</w:t>
            </w:r>
          </w:p>
          <w:p w14:paraId="64B1FEB1">
            <w:pPr>
              <w:jc w:val="center"/>
              <w:outlineLvl w:val="9"/>
              <w:rPr>
                <w:b/>
                <w:color w:val="auto"/>
                <w:szCs w:val="21"/>
              </w:rPr>
            </w:pPr>
            <w:r>
              <w:rPr>
                <w:b/>
                <w:color w:val="auto"/>
                <w:szCs w:val="21"/>
              </w:rPr>
              <w:t>表4-</w:t>
            </w:r>
            <w:r>
              <w:rPr>
                <w:rFonts w:hint="eastAsia"/>
                <w:b/>
                <w:color w:val="auto"/>
                <w:szCs w:val="21"/>
                <w:lang w:val="en-US" w:eastAsia="zh-CN"/>
              </w:rPr>
              <w:t>10</w:t>
            </w:r>
            <w:r>
              <w:rPr>
                <w:rFonts w:hint="eastAsia"/>
                <w:b/>
                <w:color w:val="auto"/>
                <w:szCs w:val="21"/>
              </w:rPr>
              <w:t xml:space="preserve">  </w:t>
            </w:r>
            <w:r>
              <w:rPr>
                <w:b/>
                <w:color w:val="auto"/>
                <w:szCs w:val="21"/>
              </w:rPr>
              <w:t>噪声源监测计划表</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6"/>
              <w:gridCol w:w="2800"/>
              <w:gridCol w:w="1887"/>
              <w:gridCol w:w="4059"/>
            </w:tblGrid>
            <w:tr w14:paraId="2FF28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263" w:type="pct"/>
                  <w:vAlign w:val="center"/>
                </w:tcPr>
                <w:p w14:paraId="1336D6A1">
                  <w:pPr>
                    <w:jc w:val="center"/>
                    <w:outlineLvl w:val="9"/>
                    <w:rPr>
                      <w:b/>
                      <w:color w:val="auto"/>
                      <w:szCs w:val="21"/>
                    </w:rPr>
                  </w:pPr>
                  <w:r>
                    <w:rPr>
                      <w:b/>
                      <w:color w:val="auto"/>
                      <w:szCs w:val="21"/>
                    </w:rPr>
                    <w:t>监测点位</w:t>
                  </w:r>
                </w:p>
              </w:tc>
              <w:tc>
                <w:tcPr>
                  <w:tcW w:w="1196" w:type="pct"/>
                  <w:vAlign w:val="center"/>
                </w:tcPr>
                <w:p w14:paraId="4659F827">
                  <w:pPr>
                    <w:jc w:val="center"/>
                    <w:outlineLvl w:val="9"/>
                    <w:rPr>
                      <w:b/>
                      <w:color w:val="auto"/>
                      <w:szCs w:val="21"/>
                    </w:rPr>
                  </w:pPr>
                  <w:r>
                    <w:rPr>
                      <w:b/>
                      <w:color w:val="auto"/>
                      <w:szCs w:val="21"/>
                    </w:rPr>
                    <w:t>监测指标</w:t>
                  </w:r>
                </w:p>
              </w:tc>
              <w:tc>
                <w:tcPr>
                  <w:tcW w:w="806" w:type="pct"/>
                  <w:vAlign w:val="center"/>
                </w:tcPr>
                <w:p w14:paraId="1EAF3013">
                  <w:pPr>
                    <w:jc w:val="center"/>
                    <w:outlineLvl w:val="9"/>
                    <w:rPr>
                      <w:b/>
                      <w:color w:val="auto"/>
                      <w:szCs w:val="21"/>
                    </w:rPr>
                  </w:pPr>
                  <w:r>
                    <w:rPr>
                      <w:b/>
                      <w:color w:val="auto"/>
                      <w:szCs w:val="21"/>
                    </w:rPr>
                    <w:t>监测频次</w:t>
                  </w:r>
                </w:p>
              </w:tc>
              <w:tc>
                <w:tcPr>
                  <w:tcW w:w="1734" w:type="pct"/>
                  <w:vAlign w:val="center"/>
                </w:tcPr>
                <w:p w14:paraId="4F6BA12B">
                  <w:pPr>
                    <w:jc w:val="center"/>
                    <w:outlineLvl w:val="9"/>
                    <w:rPr>
                      <w:b/>
                      <w:color w:val="auto"/>
                      <w:szCs w:val="21"/>
                    </w:rPr>
                  </w:pPr>
                  <w:r>
                    <w:rPr>
                      <w:b/>
                      <w:color w:val="auto"/>
                      <w:szCs w:val="21"/>
                    </w:rPr>
                    <w:t>执行标准</w:t>
                  </w:r>
                </w:p>
              </w:tc>
            </w:tr>
            <w:tr w14:paraId="3E043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1263" w:type="pct"/>
                  <w:vAlign w:val="center"/>
                </w:tcPr>
                <w:p w14:paraId="53EE2B1B">
                  <w:pPr>
                    <w:jc w:val="center"/>
                    <w:outlineLvl w:val="9"/>
                    <w:rPr>
                      <w:bCs/>
                      <w:color w:val="auto"/>
                      <w:szCs w:val="21"/>
                    </w:rPr>
                  </w:pPr>
                  <w:r>
                    <w:rPr>
                      <w:bCs/>
                      <w:color w:val="auto"/>
                      <w:szCs w:val="21"/>
                    </w:rPr>
                    <w:t>四周厂界外1m处</w:t>
                  </w:r>
                </w:p>
              </w:tc>
              <w:tc>
                <w:tcPr>
                  <w:tcW w:w="1196" w:type="pct"/>
                  <w:vAlign w:val="center"/>
                </w:tcPr>
                <w:p w14:paraId="586A68B3">
                  <w:pPr>
                    <w:jc w:val="center"/>
                    <w:outlineLvl w:val="9"/>
                    <w:rPr>
                      <w:bCs/>
                      <w:color w:val="auto"/>
                      <w:szCs w:val="21"/>
                    </w:rPr>
                  </w:pPr>
                  <w:r>
                    <w:rPr>
                      <w:bCs/>
                      <w:color w:val="auto"/>
                      <w:szCs w:val="21"/>
                    </w:rPr>
                    <w:t>等效连续A声级</w:t>
                  </w:r>
                </w:p>
              </w:tc>
              <w:tc>
                <w:tcPr>
                  <w:tcW w:w="806" w:type="pct"/>
                  <w:vAlign w:val="center"/>
                </w:tcPr>
                <w:p w14:paraId="056D3DBE">
                  <w:pPr>
                    <w:jc w:val="center"/>
                    <w:outlineLvl w:val="9"/>
                    <w:rPr>
                      <w:bCs/>
                      <w:color w:val="auto"/>
                      <w:szCs w:val="21"/>
                    </w:rPr>
                  </w:pPr>
                  <w:r>
                    <w:rPr>
                      <w:bCs/>
                      <w:color w:val="auto"/>
                      <w:szCs w:val="21"/>
                    </w:rPr>
                    <w:t>1次/</w:t>
                  </w:r>
                  <w:r>
                    <w:rPr>
                      <w:rFonts w:hint="eastAsia"/>
                      <w:bCs/>
                      <w:color w:val="auto"/>
                      <w:szCs w:val="21"/>
                    </w:rPr>
                    <w:t>季度</w:t>
                  </w:r>
                </w:p>
              </w:tc>
              <w:tc>
                <w:tcPr>
                  <w:tcW w:w="1734" w:type="pct"/>
                  <w:vAlign w:val="center"/>
                </w:tcPr>
                <w:p w14:paraId="6E1BB120">
                  <w:pPr>
                    <w:jc w:val="center"/>
                    <w:outlineLvl w:val="9"/>
                    <w:rPr>
                      <w:bCs/>
                      <w:color w:val="auto"/>
                      <w:szCs w:val="21"/>
                    </w:rPr>
                  </w:pPr>
                  <w:r>
                    <w:rPr>
                      <w:rFonts w:hint="eastAsia"/>
                      <w:color w:val="auto"/>
                      <w:szCs w:val="21"/>
                    </w:rPr>
                    <w:t>执行</w:t>
                  </w:r>
                  <w:r>
                    <w:rPr>
                      <w:color w:val="auto"/>
                      <w:szCs w:val="21"/>
                    </w:rPr>
                    <w:t>《工业企业厂界环境噪声排放标准》（GB12348-2008）中</w:t>
                  </w:r>
                  <w:r>
                    <w:rPr>
                      <w:rFonts w:hint="eastAsia"/>
                      <w:color w:val="auto"/>
                      <w:szCs w:val="21"/>
                      <w:lang w:val="en-US" w:eastAsia="zh-CN"/>
                    </w:rPr>
                    <w:t>1</w:t>
                  </w:r>
                  <w:r>
                    <w:rPr>
                      <w:color w:val="auto"/>
                      <w:szCs w:val="21"/>
                    </w:rPr>
                    <w:t>类标准</w:t>
                  </w:r>
                </w:p>
              </w:tc>
            </w:tr>
          </w:tbl>
          <w:p w14:paraId="3A90E580">
            <w:pPr>
              <w:spacing w:line="360" w:lineRule="auto"/>
              <w:outlineLvl w:val="9"/>
              <w:rPr>
                <w:b/>
                <w:bCs/>
                <w:color w:val="auto"/>
                <w:sz w:val="24"/>
                <w:szCs w:val="32"/>
              </w:rPr>
            </w:pPr>
            <w:r>
              <w:rPr>
                <w:rFonts w:hint="eastAsia"/>
                <w:b/>
                <w:bCs/>
                <w:color w:val="auto"/>
                <w:sz w:val="24"/>
                <w:szCs w:val="32"/>
              </w:rPr>
              <w:t>四、固体废物</w:t>
            </w:r>
          </w:p>
          <w:p w14:paraId="33C0982F">
            <w:pPr>
              <w:pStyle w:val="112"/>
              <w:ind w:firstLine="482"/>
              <w:outlineLvl w:val="9"/>
              <w:rPr>
                <w:rFonts w:hint="eastAsia"/>
                <w:b/>
                <w:bCs/>
                <w:color w:val="auto"/>
                <w:lang w:val="en-US" w:eastAsia="zh-CN"/>
              </w:rPr>
            </w:pPr>
            <w:bookmarkStart w:id="212" w:name="_Toc25636"/>
            <w:bookmarkStart w:id="213" w:name="_Toc24581"/>
            <w:r>
              <w:rPr>
                <w:rFonts w:hint="eastAsia"/>
                <w:b/>
                <w:bCs/>
                <w:color w:val="auto"/>
                <w:lang w:val="en-US" w:eastAsia="zh-CN"/>
              </w:rPr>
              <w:t>1、固体废物影响分析</w:t>
            </w:r>
            <w:bookmarkEnd w:id="212"/>
            <w:bookmarkEnd w:id="213"/>
          </w:p>
          <w:p w14:paraId="33C30987">
            <w:pPr>
              <w:adjustRightInd w:val="0"/>
              <w:snapToGrid w:val="0"/>
              <w:spacing w:line="360" w:lineRule="auto"/>
              <w:ind w:firstLine="480" w:firstLineChars="200"/>
              <w:outlineLvl w:val="9"/>
              <w:rPr>
                <w:color w:val="auto"/>
                <w:sz w:val="24"/>
              </w:rPr>
            </w:pPr>
            <w:bookmarkStart w:id="214" w:name="_Toc27313"/>
            <w:bookmarkStart w:id="215" w:name="_Toc18718"/>
            <w:r>
              <w:rPr>
                <w:rFonts w:hint="eastAsia" w:ascii="Times New Roman" w:hAnsi="Times New Roman" w:eastAsia="宋体" w:cs="Times New Roman"/>
                <w:color w:val="auto"/>
                <w:sz w:val="24"/>
                <w:lang w:val="en-US" w:eastAsia="zh-CN"/>
              </w:rPr>
              <w:t>本次扩建不新增劳动定员，故不增加生活垃圾。</w:t>
            </w:r>
            <w:r>
              <w:rPr>
                <w:rFonts w:hint="eastAsia" w:ascii="Times New Roman" w:hAnsi="Times New Roman" w:cs="Times New Roman"/>
                <w:color w:val="auto"/>
                <w:sz w:val="24"/>
                <w:szCs w:val="24"/>
                <w:lang w:val="en-US" w:eastAsia="zh-CN"/>
              </w:rPr>
              <w:t>本项目产生的不合格品全部返回到不合格品处理工房进行加工后作为产品外售，不作为固体废物管理。</w:t>
            </w:r>
            <w:r>
              <w:rPr>
                <w:color w:val="auto"/>
                <w:sz w:val="24"/>
              </w:rPr>
              <w:t>本项目</w:t>
            </w:r>
            <w:r>
              <w:rPr>
                <w:rFonts w:hint="eastAsia"/>
                <w:color w:val="auto"/>
                <w:sz w:val="24"/>
              </w:rPr>
              <w:t>营运期</w:t>
            </w:r>
            <w:r>
              <w:rPr>
                <w:color w:val="auto"/>
                <w:sz w:val="24"/>
              </w:rPr>
              <w:t>产生的固体废物</w:t>
            </w:r>
            <w:r>
              <w:rPr>
                <w:rFonts w:hint="eastAsia"/>
                <w:color w:val="auto"/>
                <w:sz w:val="24"/>
                <w:lang w:val="en-US" w:eastAsia="zh-CN"/>
              </w:rPr>
              <w:t>主要为</w:t>
            </w:r>
            <w:r>
              <w:rPr>
                <w:color w:val="auto"/>
                <w:sz w:val="24"/>
              </w:rPr>
              <w:t>一般固废、危险废物。</w:t>
            </w:r>
            <w:bookmarkEnd w:id="214"/>
            <w:bookmarkEnd w:id="215"/>
          </w:p>
          <w:p w14:paraId="4F7BF5B9">
            <w:pPr>
              <w:pStyle w:val="115"/>
              <w:spacing w:before="39" w:line="360" w:lineRule="auto"/>
              <w:ind w:left="604"/>
              <w:outlineLvl w:val="9"/>
              <w:rPr>
                <w:rFonts w:hint="eastAsia"/>
                <w:color w:val="auto"/>
                <w:lang w:eastAsia="zh-CN"/>
              </w:rPr>
            </w:pPr>
            <w:r>
              <w:rPr>
                <w:b/>
                <w:bCs/>
                <w:color w:val="auto"/>
                <w:spacing w:val="-5"/>
                <w:lang w:eastAsia="zh-CN"/>
              </w:rPr>
              <w:t>（</w:t>
            </w:r>
            <w:r>
              <w:rPr>
                <w:rFonts w:ascii="Times New Roman" w:hAnsi="Times New Roman" w:eastAsia="Times New Roman" w:cs="Times New Roman"/>
                <w:b/>
                <w:bCs/>
                <w:color w:val="auto"/>
                <w:spacing w:val="-5"/>
                <w:lang w:eastAsia="zh-CN"/>
              </w:rPr>
              <w:t>1</w:t>
            </w:r>
            <w:r>
              <w:rPr>
                <w:b/>
                <w:bCs/>
                <w:color w:val="auto"/>
                <w:spacing w:val="-5"/>
                <w:lang w:eastAsia="zh-CN"/>
              </w:rPr>
              <w:t>）一般固废</w:t>
            </w:r>
          </w:p>
          <w:p w14:paraId="130DE6E1">
            <w:pPr>
              <w:adjustRightInd w:val="0"/>
              <w:snapToGrid w:val="0"/>
              <w:spacing w:line="360" w:lineRule="auto"/>
              <w:ind w:firstLine="480" w:firstLineChars="200"/>
              <w:outlineLvl w:val="9"/>
              <w:rPr>
                <w:rFonts w:hint="default" w:ascii="Times New Roman" w:hAnsi="Times New Roman" w:eastAsia="宋体" w:cs="Times New Roman"/>
                <w:color w:val="auto"/>
                <w:sz w:val="24"/>
                <w:lang w:val="en-US" w:eastAsia="zh-CN"/>
              </w:rPr>
            </w:pPr>
            <w:bookmarkStart w:id="216" w:name="_Toc29657"/>
            <w:r>
              <w:rPr>
                <w:rFonts w:hint="default" w:ascii="Times New Roman" w:hAnsi="Times New Roman" w:eastAsia="宋体" w:cs="Times New Roman"/>
                <w:color w:val="auto"/>
                <w:sz w:val="24"/>
                <w:lang w:val="en-US" w:eastAsia="zh-CN"/>
              </w:rPr>
              <w:t>①</w:t>
            </w:r>
            <w:r>
              <w:rPr>
                <w:rFonts w:hint="eastAsia" w:ascii="Times New Roman" w:hAnsi="Times New Roman" w:eastAsia="宋体" w:cs="Times New Roman"/>
                <w:color w:val="auto"/>
                <w:sz w:val="24"/>
                <w:lang w:val="en-US" w:eastAsia="zh-CN"/>
              </w:rPr>
              <w:t>珍珠岩废包装物</w:t>
            </w:r>
            <w:bookmarkEnd w:id="216"/>
          </w:p>
          <w:p w14:paraId="0A747B81">
            <w:pPr>
              <w:adjustRightInd w:val="0"/>
              <w:snapToGrid w:val="0"/>
              <w:spacing w:line="360" w:lineRule="auto"/>
              <w:ind w:firstLine="480" w:firstLineChars="200"/>
              <w:outlineLvl w:val="9"/>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szCs w:val="24"/>
                <w:lang w:val="en-US" w:eastAsia="zh-CN"/>
              </w:rPr>
              <w:t>本项目</w:t>
            </w:r>
            <w:r>
              <w:rPr>
                <w:rFonts w:hint="eastAsia" w:ascii="Times New Roman" w:hAnsi="Times New Roman" w:eastAsia="宋体" w:cs="Times New Roman"/>
                <w:color w:val="auto"/>
                <w:sz w:val="24"/>
                <w:lang w:val="en-US" w:eastAsia="zh-CN"/>
              </w:rPr>
              <w:t>珍珠岩</w:t>
            </w:r>
            <w:r>
              <w:rPr>
                <w:rFonts w:hint="default" w:ascii="Times New Roman" w:hAnsi="Times New Roman" w:cs="Times New Roman"/>
                <w:color w:val="auto"/>
                <w:sz w:val="24"/>
                <w:szCs w:val="24"/>
                <w:lang w:val="en-US" w:eastAsia="zh-CN"/>
              </w:rPr>
              <w:t>产生废包装物</w:t>
            </w:r>
            <w:r>
              <w:rPr>
                <w:rFonts w:hint="eastAsia" w:ascii="Times New Roman" w:hAnsi="Times New Roman" w:cs="Times New Roman"/>
                <w:color w:val="auto"/>
                <w:sz w:val="24"/>
                <w:szCs w:val="24"/>
                <w:lang w:val="en-US" w:eastAsia="zh-CN"/>
              </w:rPr>
              <w:t>，</w:t>
            </w:r>
            <w:r>
              <w:rPr>
                <w:rFonts w:hint="eastAsia" w:ascii="Times New Roman" w:hAnsi="Times New Roman" w:eastAsia="宋体" w:cs="Times New Roman"/>
                <w:color w:val="auto"/>
                <w:sz w:val="24"/>
                <w:lang w:val="en-US" w:eastAsia="zh-CN"/>
              </w:rPr>
              <w:t>根据建设单位提供的资料，珍珠岩的包装规格为15kg/袋，产生废包装袋</w:t>
            </w:r>
            <w:r>
              <w:rPr>
                <w:rFonts w:hint="eastAsia" w:cs="Times New Roman"/>
                <w:color w:val="auto"/>
                <w:sz w:val="24"/>
                <w:lang w:val="en-US" w:eastAsia="zh-CN"/>
              </w:rPr>
              <w:t>17667</w:t>
            </w:r>
            <w:r>
              <w:rPr>
                <w:rFonts w:hint="eastAsia" w:ascii="Times New Roman" w:hAnsi="Times New Roman" w:eastAsia="宋体" w:cs="Times New Roman"/>
                <w:color w:val="auto"/>
                <w:sz w:val="24"/>
                <w:lang w:val="en-US" w:eastAsia="zh-CN"/>
              </w:rPr>
              <w:t>个，单个袋的重量按50g计，则废包装袋的产生量为0.</w:t>
            </w:r>
            <w:r>
              <w:rPr>
                <w:rFonts w:hint="eastAsia" w:cs="Times New Roman"/>
                <w:color w:val="auto"/>
                <w:sz w:val="24"/>
                <w:lang w:val="en-US" w:eastAsia="zh-CN"/>
              </w:rPr>
              <w:t>88</w:t>
            </w:r>
            <w:r>
              <w:rPr>
                <w:rFonts w:hint="eastAsia" w:ascii="Times New Roman" w:hAnsi="Times New Roman" w:eastAsia="宋体" w:cs="Times New Roman"/>
                <w:color w:val="auto"/>
                <w:sz w:val="24"/>
                <w:lang w:val="en-US" w:eastAsia="zh-CN"/>
              </w:rPr>
              <w:t>t/a，属于一般固废，分类代码</w:t>
            </w:r>
            <w:bookmarkStart w:id="217" w:name="OLE_LINK91"/>
            <w:r>
              <w:rPr>
                <w:rFonts w:hint="eastAsia" w:ascii="Times New Roman" w:hAnsi="Times New Roman" w:eastAsia="宋体" w:cs="Times New Roman"/>
                <w:color w:val="auto"/>
                <w:sz w:val="24"/>
                <w:lang w:val="en-US" w:eastAsia="zh-CN"/>
              </w:rPr>
              <w:t>900-003-S17</w:t>
            </w:r>
            <w:bookmarkEnd w:id="217"/>
            <w:r>
              <w:rPr>
                <w:rFonts w:hint="eastAsia" w:ascii="Times New Roman" w:hAnsi="Times New Roman" w:eastAsia="宋体" w:cs="Times New Roman"/>
                <w:color w:val="auto"/>
                <w:sz w:val="24"/>
                <w:lang w:val="en-US" w:eastAsia="zh-CN"/>
              </w:rPr>
              <w:t>，集中收集于车间外的一般固废</w:t>
            </w:r>
            <w:r>
              <w:rPr>
                <w:rFonts w:hint="eastAsia" w:ascii="Times New Roman" w:hAnsi="Times New Roman" w:eastAsia="宋体" w:cs="Times New Roman"/>
                <w:color w:val="auto"/>
                <w:sz w:val="24"/>
                <w:szCs w:val="24"/>
                <w:lang w:val="en-US" w:eastAsia="zh-CN"/>
              </w:rPr>
              <w:t>收集箱，定期外售。</w:t>
            </w:r>
          </w:p>
          <w:p w14:paraId="1DF032B1">
            <w:pPr>
              <w:pStyle w:val="115"/>
              <w:spacing w:before="32" w:line="360" w:lineRule="auto"/>
              <w:ind w:firstLine="462" w:firstLineChars="200"/>
              <w:outlineLvl w:val="9"/>
              <w:rPr>
                <w:rFonts w:hint="eastAsia"/>
                <w:color w:val="auto"/>
                <w:lang w:eastAsia="zh-CN"/>
              </w:rPr>
            </w:pPr>
            <w:r>
              <w:rPr>
                <w:b/>
                <w:bCs/>
                <w:color w:val="auto"/>
                <w:spacing w:val="-5"/>
                <w:lang w:eastAsia="zh-CN"/>
              </w:rPr>
              <w:t>（</w:t>
            </w:r>
            <w:r>
              <w:rPr>
                <w:rFonts w:ascii="Times New Roman" w:hAnsi="Times New Roman" w:eastAsia="Times New Roman" w:cs="Times New Roman"/>
                <w:b/>
                <w:bCs/>
                <w:color w:val="auto"/>
                <w:spacing w:val="-5"/>
                <w:lang w:eastAsia="zh-CN"/>
              </w:rPr>
              <w:t>2</w:t>
            </w:r>
            <w:r>
              <w:rPr>
                <w:b/>
                <w:bCs/>
                <w:color w:val="auto"/>
                <w:spacing w:val="-5"/>
                <w:lang w:eastAsia="zh-CN"/>
              </w:rPr>
              <w:t>）危险废物</w:t>
            </w:r>
          </w:p>
          <w:p w14:paraId="7BA109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218" w:name="_Toc10146"/>
            <w:r>
              <w:rPr>
                <w:rFonts w:hint="default" w:ascii="Times New Roman" w:hAnsi="Times New Roman" w:cs="Times New Roman"/>
                <w:color w:val="auto"/>
                <w:sz w:val="24"/>
                <w:szCs w:val="24"/>
                <w:lang w:val="en-US" w:eastAsia="zh-CN"/>
              </w:rPr>
              <w:t>①硝酸钠废包装物</w:t>
            </w:r>
            <w:bookmarkEnd w:id="218"/>
          </w:p>
          <w:p w14:paraId="52582E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本项目硝酸钠产生废包装物，</w:t>
            </w:r>
            <w:r>
              <w:rPr>
                <w:rFonts w:hint="default" w:ascii="Times New Roman" w:hAnsi="Times New Roman" w:eastAsia="宋体" w:cs="Times New Roman"/>
                <w:color w:val="auto"/>
                <w:sz w:val="24"/>
                <w:lang w:val="en-US" w:eastAsia="zh-CN"/>
              </w:rPr>
              <w:t>根据建设单位提供的资料，</w:t>
            </w:r>
            <w:r>
              <w:rPr>
                <w:rFonts w:hint="default" w:ascii="Times New Roman" w:hAnsi="Times New Roman" w:cs="Times New Roman"/>
                <w:color w:val="auto"/>
                <w:sz w:val="24"/>
                <w:szCs w:val="24"/>
                <w:lang w:val="en-US" w:eastAsia="zh-CN"/>
              </w:rPr>
              <w:t>硝酸钠</w:t>
            </w:r>
            <w:r>
              <w:rPr>
                <w:rFonts w:hint="default" w:ascii="Times New Roman" w:hAnsi="Times New Roman" w:eastAsia="宋体" w:cs="Times New Roman"/>
                <w:color w:val="auto"/>
                <w:sz w:val="24"/>
                <w:lang w:val="en-US" w:eastAsia="zh-CN"/>
              </w:rPr>
              <w:t>的包装规格为</w:t>
            </w:r>
            <w:r>
              <w:rPr>
                <w:rFonts w:hint="default" w:ascii="Times New Roman" w:hAnsi="Times New Roman" w:eastAsia="宋体" w:cs="Times New Roman"/>
                <w:color w:val="auto"/>
                <w:sz w:val="24"/>
                <w:szCs w:val="24"/>
                <w:lang w:val="en-US" w:eastAsia="zh-CN"/>
              </w:rPr>
              <w:t>50kg/袋</w:t>
            </w:r>
            <w:r>
              <w:rPr>
                <w:rFonts w:hint="default" w:ascii="Times New Roman" w:hAnsi="Times New Roman" w:eastAsia="宋体" w:cs="Times New Roman"/>
                <w:color w:val="auto"/>
                <w:sz w:val="24"/>
                <w:lang w:val="en-US" w:eastAsia="zh-CN"/>
              </w:rPr>
              <w:t>，产生废包装袋</w:t>
            </w:r>
            <w:r>
              <w:rPr>
                <w:rFonts w:hint="default" w:ascii="Times New Roman" w:hAnsi="Times New Roman" w:cs="Times New Roman"/>
                <w:color w:val="auto"/>
                <w:sz w:val="24"/>
                <w:lang w:val="en-US" w:eastAsia="zh-CN"/>
              </w:rPr>
              <w:t>15440</w:t>
            </w:r>
            <w:r>
              <w:rPr>
                <w:rFonts w:hint="default" w:ascii="Times New Roman" w:hAnsi="Times New Roman" w:eastAsia="宋体" w:cs="Times New Roman"/>
                <w:color w:val="auto"/>
                <w:sz w:val="24"/>
                <w:lang w:val="en-US" w:eastAsia="zh-CN"/>
              </w:rPr>
              <w:t>个，单个袋的重量按100g计，则废包装袋的产生量为</w:t>
            </w:r>
            <w:r>
              <w:rPr>
                <w:rFonts w:hint="default" w:ascii="Times New Roman" w:hAnsi="Times New Roman" w:cs="Times New Roman"/>
                <w:color w:val="auto"/>
                <w:sz w:val="24"/>
                <w:lang w:val="en-US" w:eastAsia="zh-CN"/>
              </w:rPr>
              <w:t>1.54</w:t>
            </w:r>
            <w:r>
              <w:rPr>
                <w:rFonts w:hint="default" w:ascii="Times New Roman" w:hAnsi="Times New Roman" w:eastAsia="宋体" w:cs="Times New Roman"/>
                <w:color w:val="auto"/>
                <w:sz w:val="24"/>
                <w:lang w:val="en-US" w:eastAsia="zh-CN"/>
              </w:rPr>
              <w:t>t/a，</w:t>
            </w:r>
            <w:r>
              <w:rPr>
                <w:rFonts w:hint="default" w:ascii="Times New Roman" w:hAnsi="Times New Roman" w:cs="Times New Roman"/>
                <w:color w:val="auto"/>
                <w:sz w:val="24"/>
                <w:szCs w:val="24"/>
                <w:lang w:val="en-US" w:eastAsia="zh-CN"/>
              </w:rPr>
              <w:t>属于</w:t>
            </w:r>
            <w:bookmarkStart w:id="219" w:name="OLE_LINK87"/>
            <w:r>
              <w:rPr>
                <w:rFonts w:hint="default" w:ascii="Times New Roman" w:hAnsi="Times New Roman" w:cs="Times New Roman"/>
                <w:color w:val="auto"/>
                <w:sz w:val="24"/>
                <w:szCs w:val="24"/>
                <w:lang w:val="en-US" w:eastAsia="zh-CN"/>
              </w:rPr>
              <w:t>《国家危险废物名录(2025年版)》HW49</w:t>
            </w:r>
            <w:bookmarkEnd w:id="219"/>
            <w:bookmarkStart w:id="220" w:name="OLE_LINK89"/>
            <w:r>
              <w:rPr>
                <w:rFonts w:hint="default" w:ascii="Times New Roman" w:hAnsi="Times New Roman" w:cs="Times New Roman"/>
                <w:color w:val="auto"/>
                <w:sz w:val="24"/>
                <w:szCs w:val="24"/>
                <w:lang w:val="en-US" w:eastAsia="zh-CN"/>
              </w:rPr>
              <w:t>其他废物</w:t>
            </w:r>
            <w:bookmarkStart w:id="221" w:name="OLE_LINK96"/>
            <w:r>
              <w:rPr>
                <w:rFonts w:hint="default" w:ascii="Times New Roman" w:hAnsi="Times New Roman" w:cs="Times New Roman"/>
                <w:color w:val="auto"/>
                <w:sz w:val="24"/>
                <w:szCs w:val="24"/>
                <w:lang w:val="en-US" w:eastAsia="zh-CN"/>
              </w:rPr>
              <w:t>900-041-49</w:t>
            </w:r>
            <w:bookmarkEnd w:id="221"/>
            <w:r>
              <w:rPr>
                <w:rFonts w:hint="default" w:ascii="Times New Roman" w:hAnsi="Times New Roman" w:cs="Times New Roman"/>
                <w:color w:val="auto"/>
                <w:sz w:val="24"/>
                <w:szCs w:val="24"/>
                <w:lang w:val="en-US" w:eastAsia="zh-CN"/>
              </w:rPr>
              <w:t>含有或沾染毒性、感染性危险废物的废弃包装物、容器、过滤吸附介质</w:t>
            </w:r>
            <w:r>
              <w:rPr>
                <w:rFonts w:hint="eastAsia" w:cs="Times New Roman"/>
                <w:color w:val="auto"/>
                <w:sz w:val="24"/>
                <w:szCs w:val="24"/>
                <w:lang w:val="en-US" w:eastAsia="zh-CN"/>
              </w:rPr>
              <w:t>，</w:t>
            </w:r>
            <w:r>
              <w:rPr>
                <w:rFonts w:ascii="宋体" w:hAnsi="宋体" w:eastAsia="宋体" w:cs="宋体"/>
                <w:color w:val="auto"/>
                <w:sz w:val="24"/>
                <w:szCs w:val="24"/>
              </w:rPr>
              <w:t>暂存于</w:t>
            </w:r>
            <w:r>
              <w:rPr>
                <w:rFonts w:hint="default" w:ascii="Times New Roman" w:hAnsi="Times New Roman" w:cs="Times New Roman"/>
                <w:color w:val="auto"/>
                <w:sz w:val="24"/>
                <w:szCs w:val="24"/>
                <w:lang w:val="en-US" w:eastAsia="zh-CN"/>
              </w:rPr>
              <w:t>危险废物贮存点，</w:t>
            </w:r>
            <w:r>
              <w:rPr>
                <w:rFonts w:ascii="宋体" w:hAnsi="宋体" w:eastAsia="宋体" w:cs="宋体"/>
                <w:color w:val="auto"/>
                <w:sz w:val="24"/>
                <w:szCs w:val="24"/>
              </w:rPr>
              <w:t>定期</w:t>
            </w:r>
            <w:r>
              <w:rPr>
                <w:rFonts w:hint="default" w:ascii="Times New Roman" w:hAnsi="Times New Roman" w:cs="Times New Roman"/>
                <w:color w:val="auto"/>
                <w:sz w:val="24"/>
                <w:szCs w:val="24"/>
                <w:lang w:val="en-US" w:eastAsia="zh-CN"/>
              </w:rPr>
              <w:t>交由有资质单位外运处置。</w:t>
            </w:r>
          </w:p>
          <w:bookmarkEnd w:id="220"/>
          <w:p w14:paraId="41E0D9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222" w:name="_Toc21448"/>
            <w:bookmarkStart w:id="223" w:name="OLE_LINK93"/>
            <w:bookmarkStart w:id="224" w:name="OLE_LINK99"/>
            <w:bookmarkStart w:id="225" w:name="_Toc4168"/>
            <w:r>
              <w:rPr>
                <w:rFonts w:hint="default" w:ascii="Times New Roman" w:hAnsi="Times New Roman" w:cs="Times New Roman"/>
                <w:color w:val="auto"/>
                <w:sz w:val="24"/>
                <w:szCs w:val="24"/>
                <w:lang w:val="en-US" w:eastAsia="zh-CN"/>
              </w:rPr>
              <w:t>②废机油和废油桶</w:t>
            </w:r>
            <w:bookmarkEnd w:id="222"/>
            <w:bookmarkEnd w:id="223"/>
          </w:p>
          <w:p w14:paraId="1CCCC3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bookmarkStart w:id="226" w:name="OLE_LINK88"/>
            <w:r>
              <w:rPr>
                <w:rFonts w:hint="default" w:ascii="Times New Roman" w:hAnsi="Times New Roman" w:cs="Times New Roman"/>
                <w:b w:val="0"/>
                <w:bCs w:val="0"/>
                <w:color w:val="auto"/>
                <w:sz w:val="24"/>
                <w:szCs w:val="24"/>
                <w:lang w:val="en-US" w:eastAsia="zh-CN"/>
              </w:rPr>
              <w:t>本项目设备维护</w:t>
            </w:r>
            <w:bookmarkEnd w:id="226"/>
            <w:r>
              <w:rPr>
                <w:rFonts w:hint="default" w:ascii="Times New Roman" w:hAnsi="Times New Roman" w:cs="Times New Roman"/>
                <w:b w:val="0"/>
                <w:bCs w:val="0"/>
                <w:color w:val="auto"/>
                <w:sz w:val="24"/>
                <w:szCs w:val="24"/>
                <w:lang w:val="en-US" w:eastAsia="zh-CN"/>
              </w:rPr>
              <w:t>保养使用机油，会产生废机油和废油桶，废机油年产生量0.2t/a，属于</w:t>
            </w:r>
            <w:r>
              <w:rPr>
                <w:rFonts w:hint="default" w:ascii="Times New Roman" w:hAnsi="Times New Roman" w:cs="Times New Roman"/>
                <w:color w:val="auto"/>
                <w:sz w:val="24"/>
                <w:szCs w:val="24"/>
                <w:lang w:val="en-US" w:eastAsia="zh-CN"/>
              </w:rPr>
              <w:t>《国家危险废物名录(2025年版)》HW08废矿物油与含矿物油废物</w:t>
            </w:r>
            <w:r>
              <w:rPr>
                <w:rFonts w:hint="default" w:ascii="Times New Roman" w:hAnsi="Times New Roman" w:cs="Times New Roman"/>
                <w:b w:val="0"/>
                <w:bCs w:val="0"/>
                <w:color w:val="auto"/>
                <w:sz w:val="24"/>
                <w:szCs w:val="24"/>
                <w:lang w:val="en-US" w:eastAsia="zh-CN"/>
              </w:rPr>
              <w:t>900-214-08车辆、轮船及其它机械维修过程中产生的废发动机油、制动器油、自动变速器油、齿轮油等废润滑油；废油桶年产生量0.1t/a，属于</w:t>
            </w:r>
            <w:r>
              <w:rPr>
                <w:rFonts w:hint="default" w:ascii="Times New Roman" w:hAnsi="Times New Roman" w:cs="Times New Roman"/>
                <w:color w:val="auto"/>
                <w:sz w:val="24"/>
                <w:szCs w:val="24"/>
                <w:lang w:val="en-US" w:eastAsia="zh-CN"/>
              </w:rPr>
              <w:t>《国家危险废物名录2025》HW08废矿物油与含矿物油废物</w:t>
            </w:r>
            <w:bookmarkStart w:id="227" w:name="OLE_LINK97"/>
            <w:r>
              <w:rPr>
                <w:rFonts w:hint="default" w:ascii="Times New Roman" w:hAnsi="Times New Roman" w:cs="Times New Roman"/>
                <w:b w:val="0"/>
                <w:bCs w:val="0"/>
                <w:color w:val="auto"/>
                <w:sz w:val="24"/>
                <w:szCs w:val="24"/>
                <w:lang w:val="en-US" w:eastAsia="zh-CN"/>
              </w:rPr>
              <w:t>900-249-08</w:t>
            </w:r>
            <w:bookmarkEnd w:id="227"/>
            <w:r>
              <w:rPr>
                <w:rFonts w:hint="default" w:ascii="Times New Roman" w:hAnsi="Times New Roman" w:cs="Times New Roman"/>
                <w:b w:val="0"/>
                <w:bCs w:val="0"/>
                <w:color w:val="auto"/>
                <w:sz w:val="24"/>
                <w:szCs w:val="24"/>
                <w:lang w:val="en-US" w:eastAsia="zh-CN"/>
              </w:rPr>
              <w:t>其他生产、销售、使用过程中产生的废矿物油及沾染矿物油的废弃包装物</w:t>
            </w:r>
            <w:r>
              <w:rPr>
                <w:rFonts w:hint="eastAsia" w:cs="Times New Roman"/>
                <w:b w:val="0"/>
                <w:bCs w:val="0"/>
                <w:color w:val="auto"/>
                <w:sz w:val="24"/>
                <w:szCs w:val="24"/>
                <w:lang w:val="en-US" w:eastAsia="zh-CN"/>
              </w:rPr>
              <w:t>，</w:t>
            </w:r>
            <w:r>
              <w:rPr>
                <w:rFonts w:ascii="宋体" w:hAnsi="宋体" w:eastAsia="宋体" w:cs="宋体"/>
                <w:color w:val="auto"/>
                <w:sz w:val="24"/>
                <w:szCs w:val="24"/>
              </w:rPr>
              <w:t>暂存于</w:t>
            </w:r>
            <w:r>
              <w:rPr>
                <w:rFonts w:hint="default" w:ascii="Times New Roman" w:hAnsi="Times New Roman" w:cs="Times New Roman"/>
                <w:color w:val="auto"/>
                <w:sz w:val="24"/>
                <w:szCs w:val="24"/>
                <w:lang w:val="en-US" w:eastAsia="zh-CN"/>
              </w:rPr>
              <w:t>危险废物贮存点，</w:t>
            </w:r>
            <w:r>
              <w:rPr>
                <w:rFonts w:ascii="宋体" w:hAnsi="宋体" w:eastAsia="宋体" w:cs="宋体"/>
                <w:color w:val="auto"/>
                <w:sz w:val="24"/>
                <w:szCs w:val="24"/>
              </w:rPr>
              <w:t>定期</w:t>
            </w:r>
            <w:r>
              <w:rPr>
                <w:rFonts w:hint="default" w:ascii="Times New Roman" w:hAnsi="Times New Roman" w:cs="Times New Roman"/>
                <w:color w:val="auto"/>
                <w:sz w:val="24"/>
                <w:szCs w:val="24"/>
                <w:lang w:val="en-US" w:eastAsia="zh-CN"/>
              </w:rPr>
              <w:t>交由有资质单位外运处置。</w:t>
            </w:r>
          </w:p>
          <w:p w14:paraId="42F2B919">
            <w:pPr>
              <w:spacing w:line="360" w:lineRule="auto"/>
              <w:ind w:firstLine="480" w:firstLineChars="200"/>
              <w:outlineLvl w:val="9"/>
              <w:rPr>
                <w:rFonts w:hint="default" w:ascii="Times New Roman" w:hAnsi="Times New Roman" w:cs="Times New Roman"/>
                <w:b w:val="0"/>
                <w:bCs w:val="0"/>
                <w:color w:val="auto"/>
                <w:sz w:val="24"/>
                <w:szCs w:val="24"/>
                <w:lang w:val="en-US" w:eastAsia="zh-CN"/>
              </w:rPr>
            </w:pPr>
            <w:bookmarkStart w:id="228" w:name="OLE_LINK98"/>
            <w:bookmarkStart w:id="229" w:name="_Toc4148"/>
            <w:r>
              <w:rPr>
                <w:rFonts w:hint="default" w:ascii="Times New Roman" w:hAnsi="Times New Roman" w:cs="Times New Roman"/>
                <w:b w:val="0"/>
                <w:bCs w:val="0"/>
                <w:color w:val="auto"/>
                <w:sz w:val="24"/>
                <w:szCs w:val="24"/>
                <w:lang w:val="en-US" w:eastAsia="zh-CN"/>
              </w:rPr>
              <w:t>③废油抹布</w:t>
            </w:r>
            <w:bookmarkEnd w:id="228"/>
            <w:bookmarkEnd w:id="229"/>
          </w:p>
          <w:p w14:paraId="53395135">
            <w:pPr>
              <w:spacing w:line="360" w:lineRule="auto"/>
              <w:ind w:firstLine="480" w:firstLineChars="200"/>
              <w:outlineLvl w:val="9"/>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本项目设备维护保养过程中产生废油抹布，年产生量0.03t/a，属于</w:t>
            </w:r>
            <w:r>
              <w:rPr>
                <w:rFonts w:hint="default" w:ascii="Times New Roman" w:hAnsi="Times New Roman" w:cs="Times New Roman"/>
                <w:color w:val="auto"/>
                <w:sz w:val="24"/>
                <w:szCs w:val="24"/>
                <w:lang w:val="en-US" w:eastAsia="zh-CN"/>
              </w:rPr>
              <w:t>《国家危险废物名录(2025年版)》HW49其他废物900-041-49废弃的含油抹布</w:t>
            </w:r>
            <w:r>
              <w:rPr>
                <w:rFonts w:hint="eastAsia" w:cs="Times New Roman"/>
                <w:color w:val="auto"/>
                <w:sz w:val="24"/>
                <w:szCs w:val="24"/>
                <w:lang w:val="en-US" w:eastAsia="zh-CN"/>
              </w:rPr>
              <w:t>，</w:t>
            </w:r>
            <w:r>
              <w:rPr>
                <w:rFonts w:ascii="宋体" w:hAnsi="宋体" w:eastAsia="宋体" w:cs="宋体"/>
                <w:color w:val="auto"/>
                <w:sz w:val="24"/>
                <w:szCs w:val="24"/>
              </w:rPr>
              <w:t>暂存于</w:t>
            </w:r>
            <w:r>
              <w:rPr>
                <w:rFonts w:hint="default" w:ascii="Times New Roman" w:hAnsi="Times New Roman" w:cs="Times New Roman"/>
                <w:color w:val="auto"/>
                <w:sz w:val="24"/>
                <w:szCs w:val="24"/>
                <w:lang w:val="en-US" w:eastAsia="zh-CN"/>
              </w:rPr>
              <w:t>危险废物贮存点，</w:t>
            </w:r>
            <w:r>
              <w:rPr>
                <w:rFonts w:ascii="宋体" w:hAnsi="宋体" w:eastAsia="宋体" w:cs="宋体"/>
                <w:color w:val="auto"/>
                <w:sz w:val="24"/>
                <w:szCs w:val="24"/>
              </w:rPr>
              <w:t>定期</w:t>
            </w:r>
            <w:r>
              <w:rPr>
                <w:rFonts w:hint="default" w:ascii="Times New Roman" w:hAnsi="Times New Roman" w:cs="Times New Roman"/>
                <w:color w:val="auto"/>
                <w:sz w:val="24"/>
                <w:szCs w:val="24"/>
                <w:lang w:val="en-US" w:eastAsia="zh-CN"/>
              </w:rPr>
              <w:t>交由有资质单位外运处置。</w:t>
            </w:r>
          </w:p>
          <w:p w14:paraId="22414AD0">
            <w:pPr>
              <w:spacing w:line="360" w:lineRule="auto"/>
              <w:ind w:firstLine="480" w:firstLineChars="200"/>
              <w:outlineLvl w:val="9"/>
              <w:rPr>
                <w:rFonts w:hint="default" w:ascii="Times New Roman" w:hAnsi="Times New Roman" w:cs="Times New Roman"/>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④</w:t>
            </w:r>
            <w:r>
              <w:rPr>
                <w:rFonts w:hint="eastAsia" w:ascii="Times New Roman" w:hAnsi="Times New Roman" w:cs="Times New Roman"/>
                <w:b w:val="0"/>
                <w:bCs w:val="0"/>
                <w:color w:val="auto"/>
                <w:sz w:val="24"/>
                <w:szCs w:val="24"/>
                <w:lang w:val="en-US" w:eastAsia="zh-CN"/>
              </w:rPr>
              <w:t>滤渣、废滤网</w:t>
            </w:r>
          </w:p>
          <w:p w14:paraId="4AC7C5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b w:val="0"/>
                <w:bCs w:val="0"/>
                <w:color w:val="auto"/>
                <w:sz w:val="24"/>
                <w:szCs w:val="24"/>
                <w:lang w:val="en-US" w:eastAsia="zh-CN"/>
              </w:rPr>
              <w:t>本项目过滤器需每日清理，并定期更换过滤网，产生滤渣和废过滤网</w:t>
            </w:r>
            <w:r>
              <w:rPr>
                <w:rFonts w:hint="eastAsia" w:cs="Times New Roman"/>
                <w:b w:val="0"/>
                <w:bCs w:val="0"/>
                <w:color w:val="auto"/>
                <w:sz w:val="24"/>
                <w:szCs w:val="24"/>
                <w:lang w:val="en-US" w:eastAsia="zh-CN"/>
              </w:rPr>
              <w:t>，根据物料平衡，</w:t>
            </w:r>
            <w:r>
              <w:rPr>
                <w:rFonts w:hint="eastAsia" w:ascii="Times New Roman" w:hAnsi="Times New Roman" w:cs="Times New Roman"/>
                <w:b w:val="0"/>
                <w:bCs w:val="0"/>
                <w:color w:val="auto"/>
                <w:sz w:val="24"/>
                <w:szCs w:val="24"/>
                <w:lang w:val="en-US" w:eastAsia="zh-CN"/>
              </w:rPr>
              <w:t>滤渣产生量为0.0</w:t>
            </w:r>
            <w:r>
              <w:rPr>
                <w:rFonts w:hint="eastAsia" w:cs="Times New Roman"/>
                <w:b w:val="0"/>
                <w:bCs w:val="0"/>
                <w:color w:val="auto"/>
                <w:sz w:val="24"/>
                <w:szCs w:val="24"/>
                <w:lang w:val="en-US" w:eastAsia="zh-CN"/>
              </w:rPr>
              <w:t>4</w:t>
            </w:r>
            <w:r>
              <w:rPr>
                <w:rFonts w:hint="eastAsia" w:ascii="Times New Roman" w:hAnsi="Times New Roman" w:cs="Times New Roman"/>
                <w:b w:val="0"/>
                <w:bCs w:val="0"/>
                <w:color w:val="auto"/>
                <w:sz w:val="24"/>
                <w:szCs w:val="24"/>
                <w:lang w:val="en-US" w:eastAsia="zh-CN"/>
              </w:rPr>
              <w:t>t/a，废过滤网产生量为0.01t/a，滤渣和废过滤网总产生量为</w:t>
            </w:r>
            <w:r>
              <w:rPr>
                <w:rFonts w:hint="eastAsia" w:cs="Times New Roman"/>
                <w:b w:val="0"/>
                <w:bCs w:val="0"/>
                <w:color w:val="auto"/>
                <w:sz w:val="24"/>
                <w:szCs w:val="24"/>
                <w:lang w:val="en-US" w:eastAsia="zh-CN"/>
              </w:rPr>
              <w:t>0.05</w:t>
            </w:r>
            <w:r>
              <w:rPr>
                <w:rFonts w:hint="eastAsia" w:ascii="Times New Roman" w:hAnsi="Times New Roman" w:cs="Times New Roman"/>
                <w:b w:val="0"/>
                <w:bCs w:val="0"/>
                <w:color w:val="auto"/>
                <w:sz w:val="24"/>
                <w:szCs w:val="24"/>
                <w:lang w:val="en-US" w:eastAsia="zh-CN"/>
              </w:rPr>
              <w:t>t/a，属于</w:t>
            </w:r>
            <w:r>
              <w:rPr>
                <w:rFonts w:hint="default" w:ascii="Times New Roman" w:hAnsi="Times New Roman" w:cs="Times New Roman"/>
                <w:color w:val="auto"/>
                <w:sz w:val="24"/>
                <w:szCs w:val="24"/>
                <w:lang w:val="en-US" w:eastAsia="zh-CN"/>
              </w:rPr>
              <w:t>《国家危险废物名录</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202</w:t>
            </w:r>
            <w:r>
              <w:rPr>
                <w:rFonts w:hint="eastAsia" w:ascii="Times New Roman" w:hAnsi="Times New Roman" w:cs="Times New Roman"/>
                <w:color w:val="auto"/>
                <w:sz w:val="24"/>
                <w:szCs w:val="24"/>
                <w:lang w:val="en-US" w:eastAsia="zh-CN"/>
              </w:rPr>
              <w:t>5</w:t>
            </w:r>
            <w:r>
              <w:rPr>
                <w:rFonts w:hint="eastAsia" w:cs="Times New Roman"/>
                <w:color w:val="auto"/>
                <w:sz w:val="24"/>
                <w:szCs w:val="24"/>
                <w:lang w:val="en-US" w:eastAsia="zh-CN"/>
              </w:rPr>
              <w:t>年版)</w:t>
            </w:r>
            <w:r>
              <w:rPr>
                <w:rFonts w:hint="default" w:ascii="Times New Roman" w:hAnsi="Times New Roman" w:cs="Times New Roman"/>
                <w:color w:val="auto"/>
                <w:sz w:val="24"/>
                <w:szCs w:val="24"/>
                <w:lang w:val="en-US" w:eastAsia="zh-CN"/>
              </w:rPr>
              <w:t>》HW49其他废物900-041-49含有或沾染毒性、感染性危险废物的废弃包装物、容器、过滤吸附介质</w:t>
            </w:r>
            <w:r>
              <w:rPr>
                <w:rFonts w:hint="eastAsia" w:cs="Times New Roman"/>
                <w:color w:val="auto"/>
                <w:sz w:val="24"/>
                <w:szCs w:val="24"/>
                <w:lang w:val="en-US" w:eastAsia="zh-CN"/>
              </w:rPr>
              <w:t>，</w:t>
            </w:r>
            <w:r>
              <w:rPr>
                <w:rFonts w:ascii="宋体" w:hAnsi="宋体" w:eastAsia="宋体" w:cs="宋体"/>
                <w:color w:val="auto"/>
                <w:sz w:val="24"/>
                <w:szCs w:val="24"/>
              </w:rPr>
              <w:t>暂存于</w:t>
            </w:r>
            <w:r>
              <w:rPr>
                <w:rFonts w:hint="eastAsia" w:ascii="Times New Roman" w:hAnsi="Times New Roman" w:cs="Times New Roman"/>
                <w:color w:val="auto"/>
                <w:sz w:val="24"/>
                <w:szCs w:val="24"/>
                <w:lang w:val="en-US" w:eastAsia="zh-CN"/>
              </w:rPr>
              <w:t>危险废物贮存点，</w:t>
            </w:r>
            <w:r>
              <w:rPr>
                <w:rFonts w:ascii="宋体" w:hAnsi="宋体" w:eastAsia="宋体" w:cs="宋体"/>
                <w:color w:val="auto"/>
                <w:sz w:val="24"/>
                <w:szCs w:val="24"/>
              </w:rPr>
              <w:t>定期</w:t>
            </w:r>
            <w:r>
              <w:rPr>
                <w:rFonts w:hint="eastAsia" w:ascii="Times New Roman" w:hAnsi="Times New Roman" w:cs="Times New Roman"/>
                <w:color w:val="auto"/>
                <w:sz w:val="24"/>
                <w:szCs w:val="24"/>
                <w:lang w:val="en-US" w:eastAsia="zh-CN"/>
              </w:rPr>
              <w:t>交由有资质单位外运处置。</w:t>
            </w:r>
          </w:p>
          <w:p w14:paraId="704BF719">
            <w:pPr>
              <w:spacing w:line="360" w:lineRule="auto"/>
              <w:ind w:firstLine="480" w:firstLineChars="200"/>
              <w:outlineLvl w:val="9"/>
              <w:rPr>
                <w:rFonts w:hint="default" w:ascii="Times New Roman" w:hAnsi="Times New Roman" w:cs="Times New Roman"/>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⑤</w:t>
            </w:r>
            <w:r>
              <w:rPr>
                <w:rFonts w:hint="eastAsia" w:ascii="Times New Roman" w:hAnsi="Times New Roman" w:cs="Times New Roman"/>
                <w:b w:val="0"/>
                <w:bCs w:val="0"/>
                <w:color w:val="auto"/>
                <w:sz w:val="24"/>
                <w:szCs w:val="24"/>
                <w:lang w:val="en-US" w:eastAsia="zh-CN"/>
              </w:rPr>
              <w:t>隔油沉淀池污泥</w:t>
            </w:r>
          </w:p>
          <w:p w14:paraId="000D8755">
            <w:pPr>
              <w:spacing w:line="360" w:lineRule="auto"/>
              <w:ind w:firstLine="480" w:firstLineChars="200"/>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本次环评</w:t>
            </w:r>
            <w:r>
              <w:rPr>
                <w:rFonts w:hint="eastAsia" w:cs="Times New Roman"/>
                <w:color w:val="auto"/>
                <w:sz w:val="24"/>
                <w:szCs w:val="24"/>
                <w:lang w:val="en-US" w:eastAsia="zh-CN"/>
              </w:rPr>
              <w:t>新建2座</w:t>
            </w:r>
            <w:r>
              <w:rPr>
                <w:rFonts w:hint="eastAsia" w:ascii="Times New Roman" w:hAnsi="Times New Roman" w:cs="Times New Roman"/>
                <w:color w:val="auto"/>
                <w:sz w:val="24"/>
                <w:szCs w:val="24"/>
                <w:lang w:val="en-US" w:eastAsia="zh-CN"/>
              </w:rPr>
              <w:t>隔油沉淀池预处理</w:t>
            </w:r>
            <w:r>
              <w:rPr>
                <w:rFonts w:hint="eastAsia" w:cs="Times New Roman"/>
                <w:color w:val="auto"/>
                <w:sz w:val="24"/>
                <w:szCs w:val="24"/>
                <w:lang w:val="en-US" w:eastAsia="zh-CN"/>
              </w:rPr>
              <w:t>本项目产生的</w:t>
            </w:r>
            <w:r>
              <w:rPr>
                <w:rFonts w:hint="eastAsia" w:ascii="Times New Roman" w:hAnsi="Times New Roman" w:cs="Times New Roman"/>
                <w:color w:val="auto"/>
                <w:sz w:val="24"/>
                <w:szCs w:val="24"/>
                <w:lang w:val="en-US" w:eastAsia="zh-CN"/>
              </w:rPr>
              <w:t>生产废水，隔油沉淀池污泥产生量约为</w:t>
            </w:r>
            <w:r>
              <w:rPr>
                <w:rFonts w:hint="eastAsia" w:cs="Times New Roman"/>
                <w:color w:val="auto"/>
                <w:sz w:val="24"/>
                <w:szCs w:val="24"/>
                <w:lang w:val="en-US" w:eastAsia="zh-CN"/>
              </w:rPr>
              <w:t>0.2</w:t>
            </w:r>
            <w:r>
              <w:rPr>
                <w:rFonts w:hint="eastAsia" w:ascii="Times New Roman" w:hAnsi="Times New Roman" w:cs="Times New Roman"/>
                <w:color w:val="auto"/>
                <w:sz w:val="24"/>
                <w:szCs w:val="24"/>
                <w:lang w:val="en-US" w:eastAsia="zh-CN"/>
              </w:rPr>
              <w:t>t/a。对照</w:t>
            </w:r>
            <w:r>
              <w:rPr>
                <w:rFonts w:hint="default" w:ascii="Times New Roman" w:hAnsi="Times New Roman" w:cs="Times New Roman"/>
                <w:color w:val="auto"/>
                <w:sz w:val="24"/>
                <w:szCs w:val="24"/>
                <w:lang w:val="en-US" w:eastAsia="zh-CN"/>
              </w:rPr>
              <w:t>《国家危险废物名录</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202</w:t>
            </w:r>
            <w:r>
              <w:rPr>
                <w:rFonts w:hint="eastAsia" w:ascii="Times New Roman" w:hAnsi="Times New Roman" w:cs="Times New Roman"/>
                <w:color w:val="auto"/>
                <w:sz w:val="24"/>
                <w:szCs w:val="24"/>
                <w:lang w:val="en-US" w:eastAsia="zh-CN"/>
              </w:rPr>
              <w:t>5</w:t>
            </w:r>
            <w:r>
              <w:rPr>
                <w:rFonts w:hint="eastAsia" w:cs="Times New Roman"/>
                <w:color w:val="auto"/>
                <w:sz w:val="24"/>
                <w:szCs w:val="24"/>
                <w:lang w:val="en-US" w:eastAsia="zh-CN"/>
              </w:rPr>
              <w:t>年版)</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，隔油沉淀池污泥属于HW08废矿物油与含矿物油废物中900-210-08含油废水处理中隔油、气浮、沉淀等处理过程中产生的浮油、浮渣和污泥（不包括废水生化处理污泥），</w:t>
            </w:r>
            <w:r>
              <w:rPr>
                <w:rFonts w:ascii="宋体" w:hAnsi="宋体" w:eastAsia="宋体" w:cs="宋体"/>
                <w:color w:val="auto"/>
                <w:sz w:val="24"/>
                <w:szCs w:val="24"/>
              </w:rPr>
              <w:t>暂存于</w:t>
            </w:r>
            <w:r>
              <w:rPr>
                <w:rFonts w:hint="eastAsia" w:ascii="Times New Roman" w:hAnsi="Times New Roman" w:cs="Times New Roman"/>
                <w:color w:val="auto"/>
                <w:sz w:val="24"/>
                <w:szCs w:val="24"/>
                <w:lang w:val="en-US" w:eastAsia="zh-CN"/>
              </w:rPr>
              <w:t>危险废物贮存点，</w:t>
            </w:r>
            <w:r>
              <w:rPr>
                <w:rFonts w:ascii="宋体" w:hAnsi="宋体" w:eastAsia="宋体" w:cs="宋体"/>
                <w:color w:val="auto"/>
                <w:sz w:val="24"/>
                <w:szCs w:val="24"/>
              </w:rPr>
              <w:t>定期</w:t>
            </w:r>
            <w:r>
              <w:rPr>
                <w:rFonts w:hint="eastAsia" w:ascii="Times New Roman" w:hAnsi="Times New Roman" w:cs="Times New Roman"/>
                <w:color w:val="auto"/>
                <w:sz w:val="24"/>
                <w:szCs w:val="24"/>
                <w:lang w:val="en-US" w:eastAsia="zh-CN"/>
              </w:rPr>
              <w:t>交由有资质单位外运处置。</w:t>
            </w:r>
          </w:p>
          <w:p w14:paraId="1D2E6571">
            <w:pPr>
              <w:spacing w:line="360" w:lineRule="auto"/>
              <w:ind w:firstLine="480" w:firstLineChars="200"/>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⑥废包装瓶</w:t>
            </w:r>
          </w:p>
          <w:p w14:paraId="77B21E3C">
            <w:pPr>
              <w:spacing w:line="360" w:lineRule="auto"/>
              <w:ind w:firstLine="480" w:firstLineChars="200"/>
              <w:outlineLvl w:val="9"/>
              <w:rPr>
                <w:rFonts w:hint="eastAsia" w:ascii="Times New Roman" w:hAnsi="Times New Roman" w:cs="Times New Roman"/>
                <w:color w:val="auto"/>
                <w:sz w:val="24"/>
                <w:szCs w:val="24"/>
                <w:lang w:val="en-US" w:eastAsia="zh-CN"/>
              </w:rPr>
            </w:pPr>
            <w:r>
              <w:rPr>
                <w:rFonts w:ascii="宋体" w:hAnsi="宋体" w:eastAsia="宋体" w:cs="宋体"/>
                <w:color w:val="auto"/>
                <w:sz w:val="24"/>
                <w:szCs w:val="24"/>
              </w:rPr>
              <w:t>本项目年用喷码油墨0.00</w:t>
            </w:r>
            <w:r>
              <w:rPr>
                <w:rFonts w:hint="eastAsia" w:ascii="宋体" w:hAnsi="宋体" w:eastAsia="宋体" w:cs="宋体"/>
                <w:color w:val="auto"/>
                <w:sz w:val="24"/>
                <w:szCs w:val="24"/>
                <w:lang w:val="en-US" w:eastAsia="zh-CN"/>
              </w:rPr>
              <w:t>4</w:t>
            </w:r>
            <w:r>
              <w:rPr>
                <w:rFonts w:ascii="宋体" w:hAnsi="宋体" w:eastAsia="宋体" w:cs="宋体"/>
                <w:color w:val="auto"/>
                <w:sz w:val="24"/>
                <w:szCs w:val="24"/>
              </w:rPr>
              <w:t>t/a，油墨添加剂0.0</w:t>
            </w:r>
            <w:r>
              <w:rPr>
                <w:rFonts w:hint="eastAsia" w:ascii="宋体" w:hAnsi="宋体" w:eastAsia="宋体" w:cs="宋体"/>
                <w:color w:val="auto"/>
                <w:sz w:val="24"/>
                <w:szCs w:val="24"/>
                <w:lang w:val="en-US" w:eastAsia="zh-CN"/>
              </w:rPr>
              <w:t>08</w:t>
            </w:r>
            <w:r>
              <w:rPr>
                <w:rFonts w:ascii="宋体" w:hAnsi="宋体" w:eastAsia="宋体" w:cs="宋体"/>
                <w:color w:val="auto"/>
                <w:sz w:val="24"/>
                <w:szCs w:val="24"/>
              </w:rPr>
              <w:t>t/a，包装规格均为1kg/瓶（桶），废油墨瓶产生量为</w:t>
            </w:r>
            <w:r>
              <w:rPr>
                <w:rFonts w:hint="eastAsia" w:ascii="宋体" w:hAnsi="宋体" w:eastAsia="宋体" w:cs="宋体"/>
                <w:color w:val="auto"/>
                <w:sz w:val="24"/>
                <w:szCs w:val="24"/>
                <w:lang w:val="en-US" w:eastAsia="zh-CN"/>
              </w:rPr>
              <w:t>4</w:t>
            </w:r>
            <w:r>
              <w:rPr>
                <w:rFonts w:ascii="宋体" w:hAnsi="宋体" w:eastAsia="宋体" w:cs="宋体"/>
                <w:color w:val="auto"/>
                <w:sz w:val="24"/>
                <w:szCs w:val="24"/>
              </w:rPr>
              <w:t>个/a，油墨添加剂瓶产生量为</w:t>
            </w:r>
            <w:r>
              <w:rPr>
                <w:rFonts w:hint="eastAsia" w:ascii="宋体" w:hAnsi="宋体" w:eastAsia="宋体" w:cs="宋体"/>
                <w:color w:val="auto"/>
                <w:sz w:val="24"/>
                <w:szCs w:val="24"/>
                <w:lang w:val="en-US" w:eastAsia="zh-CN"/>
              </w:rPr>
              <w:t>8</w:t>
            </w:r>
            <w:r>
              <w:rPr>
                <w:rFonts w:ascii="宋体" w:hAnsi="宋体" w:eastAsia="宋体" w:cs="宋体"/>
                <w:color w:val="auto"/>
                <w:sz w:val="24"/>
                <w:szCs w:val="24"/>
              </w:rPr>
              <w:t>个/a，1kg/瓶（桶）约500g，则</w:t>
            </w:r>
            <w:r>
              <w:rPr>
                <w:rFonts w:hint="eastAsia" w:ascii="宋体" w:hAnsi="宋体" w:eastAsia="宋体" w:cs="宋体"/>
                <w:color w:val="auto"/>
                <w:sz w:val="24"/>
                <w:szCs w:val="24"/>
                <w:lang w:val="en-US" w:eastAsia="zh-CN"/>
              </w:rPr>
              <w:t>12</w:t>
            </w:r>
            <w:r>
              <w:rPr>
                <w:rFonts w:ascii="宋体" w:hAnsi="宋体" w:eastAsia="宋体" w:cs="宋体"/>
                <w:color w:val="auto"/>
                <w:sz w:val="24"/>
                <w:szCs w:val="24"/>
              </w:rPr>
              <w:t>个/a为</w:t>
            </w:r>
            <w:r>
              <w:rPr>
                <w:rFonts w:hint="eastAsia" w:ascii="宋体" w:hAnsi="宋体" w:eastAsia="宋体" w:cs="宋体"/>
                <w:color w:val="auto"/>
                <w:sz w:val="24"/>
                <w:szCs w:val="24"/>
                <w:lang w:val="en-US" w:eastAsia="zh-CN"/>
              </w:rPr>
              <w:t>0.006</w:t>
            </w:r>
            <w:r>
              <w:rPr>
                <w:rFonts w:ascii="宋体" w:hAnsi="宋体" w:eastAsia="宋体" w:cs="宋体"/>
                <w:color w:val="auto"/>
                <w:sz w:val="24"/>
                <w:szCs w:val="24"/>
              </w:rPr>
              <w:t>t/a。属于HW49 其他废物900-041-49 含有或沾染毒性、感染性危险废物的废气包装物、容器、过滤吸附介质，暂存于</w:t>
            </w:r>
            <w:r>
              <w:rPr>
                <w:rFonts w:hint="eastAsia" w:ascii="Times New Roman" w:hAnsi="Times New Roman" w:cs="Times New Roman"/>
                <w:color w:val="auto"/>
                <w:sz w:val="24"/>
                <w:szCs w:val="24"/>
                <w:lang w:val="en-US" w:eastAsia="zh-CN"/>
              </w:rPr>
              <w:t>危险废物贮存点，</w:t>
            </w:r>
            <w:r>
              <w:rPr>
                <w:rFonts w:ascii="宋体" w:hAnsi="宋体" w:eastAsia="宋体" w:cs="宋体"/>
                <w:color w:val="auto"/>
                <w:sz w:val="24"/>
                <w:szCs w:val="24"/>
              </w:rPr>
              <w:t>定期交由</w:t>
            </w:r>
            <w:r>
              <w:rPr>
                <w:rFonts w:hint="eastAsia" w:ascii="Times New Roman" w:hAnsi="Times New Roman" w:cs="Times New Roman"/>
                <w:color w:val="auto"/>
                <w:sz w:val="24"/>
                <w:szCs w:val="24"/>
                <w:lang w:val="en-US" w:eastAsia="zh-CN"/>
              </w:rPr>
              <w:t>有资质单位外运处置。</w:t>
            </w:r>
          </w:p>
          <w:p w14:paraId="44D9BF08">
            <w:pPr>
              <w:spacing w:line="360" w:lineRule="auto"/>
              <w:ind w:firstLine="480" w:firstLineChars="200"/>
              <w:outlineLvl w:val="9"/>
              <w:rPr>
                <w:rFonts w:hint="default" w:ascii="Calibri" w:hAnsi="Calibri" w:cs="Calibri"/>
                <w:b w:val="0"/>
                <w:bCs w:val="0"/>
                <w:color w:val="auto"/>
                <w:sz w:val="24"/>
                <w:szCs w:val="24"/>
                <w:lang w:val="en-US" w:eastAsia="zh-CN"/>
              </w:rPr>
            </w:pPr>
            <w:r>
              <w:rPr>
                <w:rFonts w:hint="eastAsia" w:ascii="微软雅黑" w:hAnsi="微软雅黑" w:eastAsia="微软雅黑" w:cs="微软雅黑"/>
                <w:b w:val="0"/>
                <w:bCs w:val="0"/>
                <w:color w:val="auto"/>
                <w:sz w:val="24"/>
                <w:szCs w:val="24"/>
                <w:lang w:val="en-US" w:eastAsia="zh-CN"/>
              </w:rPr>
              <w:t>⑦</w:t>
            </w:r>
            <w:r>
              <w:rPr>
                <w:rFonts w:hint="eastAsia" w:ascii="Calibri" w:hAnsi="Calibri" w:cs="Calibri"/>
                <w:b w:val="0"/>
                <w:bCs w:val="0"/>
                <w:color w:val="auto"/>
                <w:sz w:val="24"/>
                <w:szCs w:val="24"/>
                <w:lang w:val="en-US" w:eastAsia="zh-CN"/>
              </w:rPr>
              <w:t>废炸药包装</w:t>
            </w:r>
          </w:p>
          <w:bookmarkEnd w:id="224"/>
          <w:bookmarkEnd w:id="225"/>
          <w:p w14:paraId="0EEDB203">
            <w:pPr>
              <w:adjustRightInd w:val="0"/>
              <w:snapToGrid w:val="0"/>
              <w:spacing w:line="360" w:lineRule="auto"/>
              <w:ind w:firstLine="472" w:firstLineChars="200"/>
              <w:outlineLvl w:val="9"/>
              <w:rPr>
                <w:color w:val="auto"/>
                <w:spacing w:val="-2"/>
                <w:sz w:val="24"/>
              </w:rPr>
            </w:pPr>
            <w:r>
              <w:rPr>
                <w:rFonts w:hint="eastAsia"/>
                <w:color w:val="auto"/>
                <w:spacing w:val="-2"/>
                <w:sz w:val="24"/>
                <w:lang w:val="en-US" w:eastAsia="zh-CN"/>
              </w:rPr>
              <w:t>本项目不合格品处理过程中会产生废炸药包装，产生量为0.05</w:t>
            </w:r>
            <w:r>
              <w:rPr>
                <w:rFonts w:hint="eastAsia" w:ascii="Times New Roman" w:hAnsi="Times New Roman" w:cs="Times New Roman"/>
                <w:color w:val="auto"/>
                <w:sz w:val="24"/>
                <w:szCs w:val="24"/>
                <w:lang w:val="en-US" w:eastAsia="zh-CN"/>
              </w:rPr>
              <w:t>t/a。</w:t>
            </w:r>
            <w:r>
              <w:rPr>
                <w:rFonts w:hint="default" w:ascii="Times New Roman" w:hAnsi="Times New Roman" w:cs="Times New Roman"/>
                <w:color w:val="auto"/>
                <w:sz w:val="24"/>
                <w:szCs w:val="24"/>
                <w:highlight w:val="none"/>
                <w:lang w:val="en-US" w:eastAsia="zh-CN"/>
              </w:rPr>
              <w:t>属于《国家危险废物名录</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202</w:t>
            </w:r>
            <w:r>
              <w:rPr>
                <w:rFonts w:hint="eastAsia" w:ascii="Times New Roman" w:hAnsi="Times New Roman" w:cs="Times New Roman"/>
                <w:color w:val="auto"/>
                <w:sz w:val="24"/>
                <w:szCs w:val="24"/>
                <w:highlight w:val="none"/>
                <w:lang w:val="en-US" w:eastAsia="zh-CN"/>
              </w:rPr>
              <w:t>5</w:t>
            </w:r>
            <w:r>
              <w:rPr>
                <w:rFonts w:hint="eastAsia" w:cs="Times New Roman"/>
                <w:color w:val="auto"/>
                <w:sz w:val="24"/>
                <w:szCs w:val="24"/>
                <w:highlight w:val="none"/>
                <w:lang w:val="en-US" w:eastAsia="zh-CN"/>
              </w:rPr>
              <w:t>年版)</w:t>
            </w:r>
            <w:r>
              <w:rPr>
                <w:rFonts w:hint="default" w:ascii="Times New Roman" w:hAnsi="Times New Roman" w:cs="Times New Roman"/>
                <w:color w:val="auto"/>
                <w:sz w:val="24"/>
                <w:szCs w:val="24"/>
                <w:highlight w:val="none"/>
                <w:lang w:val="en-US" w:eastAsia="zh-CN"/>
              </w:rPr>
              <w:t>》HW49其他废物900-041-49含有或沾染毒性、感染性危险废物的废弃包装物、容器、过滤吸附介质</w:t>
            </w:r>
            <w:r>
              <w:rPr>
                <w:rFonts w:hint="eastAsia" w:ascii="Times New Roman" w:hAnsi="Times New Roman" w:cs="Times New Roman"/>
                <w:color w:val="auto"/>
                <w:sz w:val="24"/>
                <w:szCs w:val="24"/>
                <w:lang w:val="en-US" w:eastAsia="zh-CN"/>
              </w:rPr>
              <w:t>。由于省内及周边暂无处置此类废物的处置单位，根据企业运行经验及同行业对此类固废的处置措施，废炸药包装在符合《民用爆炸物品工程设计安全标准》（GB50089-2018）的危险品销毁场进行烧毁法销毁。</w:t>
            </w:r>
          </w:p>
          <w:p w14:paraId="3849C426">
            <w:pPr>
              <w:spacing w:line="360" w:lineRule="auto"/>
              <w:ind w:firstLine="482" w:firstLineChars="200"/>
              <w:outlineLvl w:val="9"/>
              <w:rPr>
                <w:rFonts w:hint="default" w:ascii="Times New Roman" w:hAnsi="Times New Roman" w:cs="Times New Roman"/>
                <w:b/>
                <w:bCs/>
                <w:color w:val="auto"/>
                <w:sz w:val="24"/>
                <w:szCs w:val="24"/>
                <w:lang w:val="en-US" w:eastAsia="zh-CN"/>
              </w:rPr>
            </w:pPr>
            <w:r>
              <w:rPr>
                <w:rFonts w:hint="eastAsia" w:cs="Times New Roman"/>
                <w:b/>
                <w:bCs/>
                <w:color w:val="auto"/>
                <w:sz w:val="24"/>
                <w:szCs w:val="24"/>
                <w:lang w:val="en-US" w:eastAsia="zh-CN"/>
              </w:rPr>
              <w:t>（3）</w:t>
            </w:r>
            <w:r>
              <w:rPr>
                <w:rFonts w:hint="eastAsia" w:ascii="Times New Roman" w:hAnsi="Times New Roman" w:cs="Times New Roman"/>
                <w:b/>
                <w:bCs/>
                <w:color w:val="auto"/>
                <w:sz w:val="24"/>
                <w:szCs w:val="24"/>
                <w:lang w:val="en-US" w:eastAsia="zh-CN"/>
              </w:rPr>
              <w:t>不合格品</w:t>
            </w:r>
          </w:p>
          <w:p w14:paraId="37E618AF">
            <w:pPr>
              <w:spacing w:line="360" w:lineRule="auto"/>
              <w:ind w:firstLine="480" w:firstLineChars="200"/>
              <w:outlineLvl w:val="9"/>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color w:val="auto"/>
                <w:sz w:val="24"/>
                <w:szCs w:val="24"/>
                <w:lang w:val="en-US" w:eastAsia="zh-CN"/>
              </w:rPr>
              <w:t>本项目营运期乳化、敏化、</w:t>
            </w:r>
            <w:r>
              <w:rPr>
                <w:rFonts w:hint="eastAsia" w:ascii="Times New Roman" w:hAnsi="Times New Roman" w:eastAsia="宋体" w:cs="Times New Roman"/>
                <w:color w:val="auto"/>
                <w:sz w:val="24"/>
                <w:szCs w:val="24"/>
                <w:lang w:val="en-US" w:eastAsia="zh-CN"/>
              </w:rPr>
              <w:t>装药过</w:t>
            </w:r>
            <w:r>
              <w:rPr>
                <w:rFonts w:hint="eastAsia" w:ascii="Times New Roman" w:hAnsi="Times New Roman" w:cs="Times New Roman"/>
                <w:color w:val="auto"/>
                <w:sz w:val="24"/>
                <w:szCs w:val="24"/>
                <w:lang w:val="en-US" w:eastAsia="zh-CN"/>
              </w:rPr>
              <w:t>程均会产生不合格品，主要危险成分为半成品和成品炸药，年产生</w:t>
            </w:r>
            <w:r>
              <w:rPr>
                <w:rFonts w:hint="eastAsia" w:ascii="Times New Roman" w:hAnsi="Times New Roman" w:cs="Times New Roman"/>
                <w:color w:val="auto"/>
                <w:sz w:val="24"/>
                <w:szCs w:val="24"/>
                <w:highlight w:val="none"/>
                <w:lang w:val="en-US" w:eastAsia="zh-CN"/>
              </w:rPr>
              <w:t>量</w:t>
            </w:r>
            <w:r>
              <w:rPr>
                <w:rFonts w:hint="eastAsia" w:cs="Times New Roman"/>
                <w:color w:val="auto"/>
                <w:sz w:val="24"/>
                <w:szCs w:val="24"/>
                <w:highlight w:val="none"/>
                <w:lang w:val="en-US" w:eastAsia="zh-CN"/>
              </w:rPr>
              <w:t>3.2</w:t>
            </w:r>
            <w:r>
              <w:rPr>
                <w:rFonts w:hint="eastAsia" w:ascii="Times New Roman" w:hAnsi="Times New Roman" w:cs="Times New Roman"/>
                <w:color w:val="auto"/>
                <w:sz w:val="24"/>
                <w:szCs w:val="24"/>
                <w:highlight w:val="none"/>
                <w:lang w:val="en-US" w:eastAsia="zh-CN"/>
              </w:rPr>
              <w:t>t/a</w:t>
            </w:r>
            <w:r>
              <w:rPr>
                <w:rFonts w:hint="eastAsia" w:ascii="Times New Roman" w:hAnsi="Times New Roman" w:cs="Times New Roman"/>
                <w:color w:val="auto"/>
                <w:sz w:val="24"/>
                <w:szCs w:val="24"/>
                <w:lang w:val="en-US" w:eastAsia="zh-CN"/>
              </w:rPr>
              <w:t>。根据</w:t>
            </w:r>
            <w:bookmarkStart w:id="230" w:name="OLE_LINK90"/>
            <w:r>
              <w:rPr>
                <w:rFonts w:hint="eastAsia" w:ascii="Times New Roman" w:hAnsi="Times New Roman" w:cs="Times New Roman"/>
                <w:color w:val="auto"/>
                <w:sz w:val="24"/>
                <w:szCs w:val="24"/>
                <w:lang w:val="en-US" w:eastAsia="zh-CN"/>
              </w:rPr>
              <w:t>《固体废物鉴别标准 通则》</w:t>
            </w:r>
            <w:bookmarkEnd w:id="230"/>
            <w:r>
              <w:rPr>
                <w:rFonts w:hint="eastAsia" w:ascii="Times New Roman" w:hAnsi="Times New Roman" w:cs="Times New Roman"/>
                <w:color w:val="auto"/>
                <w:sz w:val="24"/>
                <w:szCs w:val="24"/>
                <w:lang w:val="en-US" w:eastAsia="zh-CN"/>
              </w:rPr>
              <w:t>中“4.1丧失原有使用价值的物质，在生产过程中产生的因为不符合国家、地方制定或行业通行的产品标准（规范），或者因为质量原因，而不能在市场出售、流通或者不能按照原用途使用的物质，如不合格品、残次品、废品等。但符合国家、地方制定或行业通行的产品标准中等外品级的物质以及在生产企业内进行返工（返修）的物质除外。”的规定，本项目产生的不合格品全部返回到不合格品处理工房进行加工后作为产品外售，因此，不作为固体废物管理。如改变用途去向则严格按照《固体废物鉴别标准 通则》重新划分类别按要求管理。</w:t>
            </w:r>
          </w:p>
          <w:p w14:paraId="67212EAC">
            <w:pPr>
              <w:spacing w:line="360" w:lineRule="auto"/>
              <w:ind w:firstLine="480" w:firstLineChars="200"/>
              <w:outlineLvl w:val="9"/>
              <w:rPr>
                <w:color w:val="auto"/>
                <w:sz w:val="24"/>
              </w:rPr>
            </w:pPr>
            <w:r>
              <w:rPr>
                <w:rFonts w:hint="eastAsia"/>
                <w:color w:val="auto"/>
                <w:sz w:val="24"/>
              </w:rPr>
              <w:t>本项目固体废物产排情况见下表。</w:t>
            </w:r>
          </w:p>
          <w:p w14:paraId="3F5C21B2">
            <w:pPr>
              <w:adjustRightInd w:val="0"/>
              <w:snapToGrid w:val="0"/>
              <w:ind w:firstLine="480"/>
              <w:jc w:val="center"/>
              <w:outlineLvl w:val="9"/>
              <w:rPr>
                <w:color w:val="auto"/>
                <w:szCs w:val="21"/>
              </w:rPr>
            </w:pPr>
            <w:r>
              <w:rPr>
                <w:b/>
                <w:bCs/>
                <w:color w:val="auto"/>
                <w:kern w:val="21"/>
                <w:szCs w:val="21"/>
              </w:rPr>
              <w:t>表4-</w:t>
            </w:r>
            <w:r>
              <w:rPr>
                <w:rFonts w:hint="eastAsia"/>
                <w:b/>
                <w:bCs/>
                <w:color w:val="auto"/>
                <w:kern w:val="21"/>
                <w:szCs w:val="21"/>
              </w:rPr>
              <w:t>1</w:t>
            </w:r>
            <w:r>
              <w:rPr>
                <w:rFonts w:hint="eastAsia"/>
                <w:b/>
                <w:bCs/>
                <w:color w:val="auto"/>
                <w:kern w:val="21"/>
                <w:szCs w:val="21"/>
                <w:lang w:val="en-US" w:eastAsia="zh-CN"/>
              </w:rPr>
              <w:t>1</w:t>
            </w:r>
            <w:r>
              <w:rPr>
                <w:b/>
                <w:bCs/>
                <w:color w:val="auto"/>
                <w:kern w:val="21"/>
                <w:szCs w:val="21"/>
              </w:rPr>
              <w:t xml:space="preserve">  本项目固体废物产排情况</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0"/>
              <w:gridCol w:w="1541"/>
              <w:gridCol w:w="1633"/>
              <w:gridCol w:w="1979"/>
              <w:gridCol w:w="1447"/>
              <w:gridCol w:w="1316"/>
              <w:gridCol w:w="1434"/>
              <w:gridCol w:w="1434"/>
            </w:tblGrid>
            <w:tr w14:paraId="78443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393" w:type="pct"/>
                  <w:tcBorders>
                    <w:tl2br w:val="nil"/>
                    <w:tr2bl w:val="nil"/>
                  </w:tcBorders>
                  <w:vAlign w:val="center"/>
                </w:tcPr>
                <w:p w14:paraId="5BF6F717">
                  <w:pPr>
                    <w:adjustRightInd w:val="0"/>
                    <w:snapToGrid w:val="0"/>
                    <w:jc w:val="center"/>
                    <w:outlineLvl w:val="9"/>
                    <w:rPr>
                      <w:b/>
                      <w:bCs/>
                      <w:color w:val="auto"/>
                      <w:sz w:val="21"/>
                      <w:szCs w:val="21"/>
                    </w:rPr>
                  </w:pPr>
                  <w:r>
                    <w:rPr>
                      <w:b/>
                      <w:bCs/>
                      <w:color w:val="auto"/>
                      <w:sz w:val="21"/>
                      <w:szCs w:val="21"/>
                    </w:rPr>
                    <w:t>属性</w:t>
                  </w:r>
                </w:p>
              </w:tc>
              <w:tc>
                <w:tcPr>
                  <w:tcW w:w="658" w:type="pct"/>
                  <w:tcBorders>
                    <w:tl2br w:val="nil"/>
                    <w:tr2bl w:val="nil"/>
                  </w:tcBorders>
                  <w:vAlign w:val="center"/>
                </w:tcPr>
                <w:p w14:paraId="3357DAAA">
                  <w:pPr>
                    <w:adjustRightInd w:val="0"/>
                    <w:snapToGrid w:val="0"/>
                    <w:jc w:val="center"/>
                    <w:outlineLvl w:val="9"/>
                    <w:rPr>
                      <w:b/>
                      <w:bCs/>
                      <w:color w:val="auto"/>
                      <w:sz w:val="21"/>
                      <w:szCs w:val="21"/>
                    </w:rPr>
                  </w:pPr>
                  <w:r>
                    <w:rPr>
                      <w:b/>
                      <w:bCs/>
                      <w:color w:val="auto"/>
                      <w:sz w:val="21"/>
                      <w:szCs w:val="21"/>
                    </w:rPr>
                    <w:t>产污环节</w:t>
                  </w:r>
                </w:p>
              </w:tc>
              <w:tc>
                <w:tcPr>
                  <w:tcW w:w="697" w:type="pct"/>
                  <w:tcBorders>
                    <w:tl2br w:val="nil"/>
                    <w:tr2bl w:val="nil"/>
                  </w:tcBorders>
                  <w:vAlign w:val="center"/>
                </w:tcPr>
                <w:p w14:paraId="4EBD07F8">
                  <w:pPr>
                    <w:adjustRightInd w:val="0"/>
                    <w:snapToGrid w:val="0"/>
                    <w:jc w:val="center"/>
                    <w:outlineLvl w:val="9"/>
                    <w:rPr>
                      <w:b/>
                      <w:bCs/>
                      <w:color w:val="auto"/>
                      <w:sz w:val="21"/>
                      <w:szCs w:val="21"/>
                    </w:rPr>
                  </w:pPr>
                  <w:r>
                    <w:rPr>
                      <w:b/>
                      <w:bCs/>
                      <w:color w:val="auto"/>
                      <w:sz w:val="21"/>
                      <w:szCs w:val="21"/>
                    </w:rPr>
                    <w:t>名称</w:t>
                  </w:r>
                </w:p>
              </w:tc>
              <w:tc>
                <w:tcPr>
                  <w:tcW w:w="845" w:type="pct"/>
                  <w:tcBorders>
                    <w:tl2br w:val="nil"/>
                    <w:tr2bl w:val="nil"/>
                  </w:tcBorders>
                  <w:vAlign w:val="center"/>
                </w:tcPr>
                <w:p w14:paraId="07F6003A">
                  <w:pPr>
                    <w:adjustRightInd w:val="0"/>
                    <w:snapToGrid w:val="0"/>
                    <w:jc w:val="center"/>
                    <w:outlineLvl w:val="9"/>
                    <w:rPr>
                      <w:b/>
                      <w:bCs/>
                      <w:color w:val="auto"/>
                      <w:sz w:val="21"/>
                      <w:szCs w:val="21"/>
                    </w:rPr>
                  </w:pPr>
                  <w:r>
                    <w:rPr>
                      <w:rFonts w:hint="eastAsia"/>
                      <w:b/>
                      <w:bCs/>
                      <w:color w:val="auto"/>
                      <w:sz w:val="21"/>
                      <w:szCs w:val="21"/>
                      <w:lang w:val="en-US" w:eastAsia="zh-CN"/>
                    </w:rPr>
                    <w:t>类别及</w:t>
                  </w:r>
                  <w:r>
                    <w:rPr>
                      <w:rFonts w:hint="eastAsia"/>
                      <w:b/>
                      <w:bCs/>
                      <w:color w:val="auto"/>
                      <w:sz w:val="21"/>
                      <w:szCs w:val="21"/>
                    </w:rPr>
                    <w:t>代码</w:t>
                  </w:r>
                </w:p>
              </w:tc>
              <w:tc>
                <w:tcPr>
                  <w:tcW w:w="618" w:type="pct"/>
                  <w:tcBorders>
                    <w:tl2br w:val="nil"/>
                    <w:tr2bl w:val="nil"/>
                  </w:tcBorders>
                  <w:vAlign w:val="center"/>
                </w:tcPr>
                <w:p w14:paraId="69693F99">
                  <w:pPr>
                    <w:adjustRightInd w:val="0"/>
                    <w:snapToGrid w:val="0"/>
                    <w:jc w:val="center"/>
                    <w:outlineLvl w:val="9"/>
                    <w:rPr>
                      <w:b/>
                      <w:bCs/>
                      <w:color w:val="auto"/>
                      <w:sz w:val="21"/>
                      <w:szCs w:val="21"/>
                    </w:rPr>
                  </w:pPr>
                  <w:r>
                    <w:rPr>
                      <w:b/>
                      <w:bCs/>
                      <w:color w:val="auto"/>
                      <w:sz w:val="21"/>
                      <w:szCs w:val="21"/>
                    </w:rPr>
                    <w:t>产生量</w:t>
                  </w:r>
                  <w:r>
                    <w:rPr>
                      <w:rFonts w:hint="eastAsia"/>
                      <w:b/>
                      <w:bCs/>
                      <w:color w:val="auto"/>
                      <w:sz w:val="21"/>
                      <w:szCs w:val="21"/>
                    </w:rPr>
                    <w:t>t/a</w:t>
                  </w:r>
                </w:p>
              </w:tc>
              <w:tc>
                <w:tcPr>
                  <w:tcW w:w="562" w:type="pct"/>
                  <w:tcBorders>
                    <w:tl2br w:val="nil"/>
                    <w:tr2bl w:val="nil"/>
                  </w:tcBorders>
                  <w:vAlign w:val="center"/>
                </w:tcPr>
                <w:p w14:paraId="22AFAC64">
                  <w:pPr>
                    <w:adjustRightInd w:val="0"/>
                    <w:snapToGrid w:val="0"/>
                    <w:jc w:val="center"/>
                    <w:outlineLvl w:val="9"/>
                    <w:rPr>
                      <w:b/>
                      <w:bCs/>
                      <w:color w:val="auto"/>
                      <w:sz w:val="21"/>
                      <w:szCs w:val="21"/>
                    </w:rPr>
                  </w:pPr>
                  <w:r>
                    <w:rPr>
                      <w:rFonts w:hint="eastAsia" w:ascii="Times New Roman" w:hAnsi="Times New Roman" w:cs="Times New Roman"/>
                      <w:b/>
                      <w:bCs/>
                      <w:color w:val="auto"/>
                      <w:sz w:val="21"/>
                      <w:szCs w:val="21"/>
                      <w:lang w:val="en-US" w:eastAsia="zh-CN"/>
                    </w:rPr>
                    <w:t>危险特性</w:t>
                  </w:r>
                </w:p>
              </w:tc>
              <w:tc>
                <w:tcPr>
                  <w:tcW w:w="612" w:type="pct"/>
                  <w:tcBorders>
                    <w:tl2br w:val="nil"/>
                    <w:tr2bl w:val="nil"/>
                  </w:tcBorders>
                  <w:vAlign w:val="center"/>
                </w:tcPr>
                <w:p w14:paraId="661B04D4">
                  <w:pPr>
                    <w:adjustRightInd w:val="0"/>
                    <w:snapToGrid w:val="0"/>
                    <w:jc w:val="center"/>
                    <w:outlineLvl w:val="9"/>
                    <w:rPr>
                      <w:b/>
                      <w:bCs/>
                      <w:color w:val="auto"/>
                      <w:sz w:val="21"/>
                      <w:szCs w:val="21"/>
                    </w:rPr>
                  </w:pPr>
                  <w:r>
                    <w:rPr>
                      <w:rFonts w:hint="eastAsia"/>
                      <w:b/>
                      <w:bCs/>
                      <w:color w:val="auto"/>
                      <w:sz w:val="21"/>
                      <w:szCs w:val="21"/>
                    </w:rPr>
                    <w:t>贮存周期</w:t>
                  </w:r>
                </w:p>
              </w:tc>
              <w:tc>
                <w:tcPr>
                  <w:tcW w:w="612" w:type="pct"/>
                  <w:tcBorders>
                    <w:tl2br w:val="nil"/>
                    <w:tr2bl w:val="nil"/>
                  </w:tcBorders>
                  <w:vAlign w:val="center"/>
                </w:tcPr>
                <w:p w14:paraId="7F8B6E13">
                  <w:pPr>
                    <w:adjustRightInd w:val="0"/>
                    <w:snapToGrid w:val="0"/>
                    <w:jc w:val="center"/>
                    <w:outlineLvl w:val="9"/>
                    <w:rPr>
                      <w:b/>
                      <w:bCs/>
                      <w:color w:val="auto"/>
                      <w:sz w:val="21"/>
                      <w:szCs w:val="21"/>
                    </w:rPr>
                  </w:pPr>
                  <w:r>
                    <w:rPr>
                      <w:b/>
                      <w:bCs/>
                      <w:color w:val="auto"/>
                      <w:sz w:val="21"/>
                      <w:szCs w:val="21"/>
                    </w:rPr>
                    <w:t>处理方式</w:t>
                  </w:r>
                </w:p>
              </w:tc>
            </w:tr>
            <w:tr w14:paraId="0940C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393" w:type="pct"/>
                  <w:tcBorders>
                    <w:tl2br w:val="nil"/>
                    <w:tr2bl w:val="nil"/>
                  </w:tcBorders>
                  <w:vAlign w:val="center"/>
                </w:tcPr>
                <w:p w14:paraId="28282C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color w:val="auto"/>
                      <w:sz w:val="21"/>
                      <w:szCs w:val="21"/>
                    </w:rPr>
                    <w:t>一般工业固体废物</w:t>
                  </w:r>
                </w:p>
              </w:tc>
              <w:tc>
                <w:tcPr>
                  <w:tcW w:w="658" w:type="pct"/>
                  <w:tcBorders>
                    <w:tl2br w:val="nil"/>
                    <w:tr2bl w:val="nil"/>
                  </w:tcBorders>
                  <w:vAlign w:val="center"/>
                </w:tcPr>
                <w:p w14:paraId="7818E984">
                  <w:pPr>
                    <w:keepNext w:val="0"/>
                    <w:keepLines w:val="0"/>
                    <w:pageBreakBefore w:val="0"/>
                    <w:widowControl w:val="0"/>
                    <w:tabs>
                      <w:tab w:val="left" w:pos="597"/>
                    </w:tabs>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敏化等</w:t>
                  </w:r>
                </w:p>
              </w:tc>
              <w:tc>
                <w:tcPr>
                  <w:tcW w:w="697" w:type="pct"/>
                  <w:tcBorders>
                    <w:tl2br w:val="nil"/>
                    <w:tr2bl w:val="nil"/>
                  </w:tcBorders>
                  <w:vAlign w:val="center"/>
                </w:tcPr>
                <w:p w14:paraId="03EE04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宋体" w:cs="Times New Roman"/>
                      <w:color w:val="auto"/>
                      <w:sz w:val="21"/>
                      <w:szCs w:val="21"/>
                      <w:lang w:val="en-US" w:eastAsia="zh-CN"/>
                    </w:rPr>
                    <w:t>珍珠岩废包装物</w:t>
                  </w:r>
                </w:p>
              </w:tc>
              <w:tc>
                <w:tcPr>
                  <w:tcW w:w="845" w:type="pct"/>
                  <w:tcBorders>
                    <w:tl2br w:val="nil"/>
                    <w:tr2bl w:val="nil"/>
                  </w:tcBorders>
                  <w:vAlign w:val="center"/>
                </w:tcPr>
                <w:p w14:paraId="1040A6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highlight w:val="none"/>
                    </w:rPr>
                  </w:pPr>
                  <w:r>
                    <w:rPr>
                      <w:color w:val="auto"/>
                      <w:sz w:val="21"/>
                      <w:szCs w:val="21"/>
                      <w:highlight w:val="none"/>
                    </w:rPr>
                    <w:t>SW17</w:t>
                  </w:r>
                </w:p>
                <w:p w14:paraId="77512D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color w:val="auto"/>
                      <w:sz w:val="21"/>
                      <w:szCs w:val="21"/>
                    </w:rPr>
                    <w:t>900-003-S17</w:t>
                  </w:r>
                </w:p>
              </w:tc>
              <w:tc>
                <w:tcPr>
                  <w:tcW w:w="618" w:type="pct"/>
                  <w:tcBorders>
                    <w:tl2br w:val="nil"/>
                    <w:tr2bl w:val="nil"/>
                  </w:tcBorders>
                  <w:vAlign w:val="center"/>
                </w:tcPr>
                <w:p w14:paraId="0B2FF1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88</w:t>
                  </w:r>
                </w:p>
              </w:tc>
              <w:tc>
                <w:tcPr>
                  <w:tcW w:w="562" w:type="pct"/>
                  <w:tcBorders>
                    <w:tl2br w:val="nil"/>
                    <w:tr2bl w:val="nil"/>
                  </w:tcBorders>
                  <w:vAlign w:val="center"/>
                </w:tcPr>
                <w:p w14:paraId="3A4973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宋体"/>
                      <w:color w:val="auto"/>
                      <w:sz w:val="21"/>
                      <w:szCs w:val="21"/>
                      <w:lang w:eastAsia="zh-CN"/>
                    </w:rPr>
                  </w:pPr>
                  <w:r>
                    <w:rPr>
                      <w:rFonts w:hint="eastAsia"/>
                      <w:color w:val="auto"/>
                      <w:sz w:val="21"/>
                      <w:szCs w:val="21"/>
                      <w:lang w:val="en-US" w:eastAsia="zh-CN"/>
                    </w:rPr>
                    <w:t>/</w:t>
                  </w:r>
                </w:p>
              </w:tc>
              <w:tc>
                <w:tcPr>
                  <w:tcW w:w="612" w:type="pct"/>
                  <w:tcBorders>
                    <w:tl2br w:val="nil"/>
                    <w:tr2bl w:val="nil"/>
                  </w:tcBorders>
                  <w:vAlign w:val="center"/>
                </w:tcPr>
                <w:p w14:paraId="0D2910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季度</w:t>
                  </w:r>
                </w:p>
              </w:tc>
              <w:tc>
                <w:tcPr>
                  <w:tcW w:w="612" w:type="pct"/>
                  <w:tcBorders>
                    <w:tl2br w:val="nil"/>
                    <w:tr2bl w:val="nil"/>
                  </w:tcBorders>
                  <w:vAlign w:val="center"/>
                </w:tcPr>
                <w:p w14:paraId="624665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color w:val="auto"/>
                      <w:sz w:val="21"/>
                      <w:szCs w:val="21"/>
                    </w:rPr>
                    <w:t>经收集后暂存在一般固废间，</w:t>
                  </w:r>
                  <w:r>
                    <w:rPr>
                      <w:rFonts w:hint="eastAsia"/>
                      <w:color w:val="auto"/>
                      <w:sz w:val="21"/>
                      <w:szCs w:val="21"/>
                    </w:rPr>
                    <w:t>定期</w:t>
                  </w:r>
                  <w:r>
                    <w:rPr>
                      <w:color w:val="auto"/>
                      <w:sz w:val="21"/>
                      <w:szCs w:val="21"/>
                    </w:rPr>
                    <w:t>外售</w:t>
                  </w:r>
                </w:p>
              </w:tc>
            </w:tr>
            <w:tr w14:paraId="6C2F7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393" w:type="pct"/>
                  <w:vMerge w:val="restart"/>
                  <w:tcBorders>
                    <w:tl2br w:val="nil"/>
                    <w:tr2bl w:val="nil"/>
                  </w:tcBorders>
                  <w:vAlign w:val="center"/>
                </w:tcPr>
                <w:p w14:paraId="5CA88C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color w:val="auto"/>
                      <w:sz w:val="21"/>
                      <w:szCs w:val="21"/>
                    </w:rPr>
                    <w:t>危险废物</w:t>
                  </w:r>
                </w:p>
              </w:tc>
              <w:tc>
                <w:tcPr>
                  <w:tcW w:w="658" w:type="pct"/>
                  <w:tcBorders>
                    <w:tl2br w:val="nil"/>
                    <w:tr2bl w:val="nil"/>
                  </w:tcBorders>
                  <w:vAlign w:val="center"/>
                </w:tcPr>
                <w:p w14:paraId="447929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水相制备</w:t>
                  </w:r>
                </w:p>
              </w:tc>
              <w:tc>
                <w:tcPr>
                  <w:tcW w:w="697" w:type="pct"/>
                  <w:tcBorders>
                    <w:tl2br w:val="nil"/>
                    <w:tr2bl w:val="nil"/>
                  </w:tcBorders>
                  <w:vAlign w:val="center"/>
                </w:tcPr>
                <w:p w14:paraId="29BEF1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Calibri" w:hAnsi="Calibri" w:cs="Calibri"/>
                      <w:color w:val="auto"/>
                      <w:sz w:val="21"/>
                      <w:szCs w:val="21"/>
                      <w:lang w:val="en-US" w:eastAsia="zh-CN"/>
                    </w:rPr>
                    <w:t>硝酸钠</w:t>
                  </w:r>
                  <w:r>
                    <w:rPr>
                      <w:rFonts w:hint="default" w:ascii="Times New Roman" w:hAnsi="Times New Roman" w:cs="Times New Roman"/>
                      <w:color w:val="auto"/>
                      <w:sz w:val="21"/>
                      <w:szCs w:val="21"/>
                      <w:lang w:val="en-US" w:eastAsia="zh-CN"/>
                    </w:rPr>
                    <w:t>废包装物</w:t>
                  </w:r>
                </w:p>
              </w:tc>
              <w:tc>
                <w:tcPr>
                  <w:tcW w:w="845" w:type="pct"/>
                  <w:tcBorders>
                    <w:tl2br w:val="nil"/>
                    <w:tr2bl w:val="nil"/>
                  </w:tcBorders>
                  <w:vAlign w:val="center"/>
                </w:tcPr>
                <w:p w14:paraId="0F9259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HW49</w:t>
                  </w:r>
                </w:p>
                <w:p w14:paraId="539D44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Times New Roman" w:cs="Times New Roman"/>
                      <w:color w:val="auto"/>
                      <w:sz w:val="21"/>
                      <w:szCs w:val="21"/>
                    </w:rPr>
                    <w:t>900-041-49</w:t>
                  </w:r>
                </w:p>
              </w:tc>
              <w:tc>
                <w:tcPr>
                  <w:tcW w:w="618" w:type="pct"/>
                  <w:tcBorders>
                    <w:tl2br w:val="nil"/>
                    <w:tr2bl w:val="nil"/>
                  </w:tcBorders>
                  <w:vAlign w:val="center"/>
                </w:tcPr>
                <w:p w14:paraId="0C43D8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color w:val="auto"/>
                      <w:sz w:val="21"/>
                      <w:szCs w:val="21"/>
                      <w:lang w:val="en-US"/>
                    </w:rPr>
                  </w:pPr>
                  <w:r>
                    <w:rPr>
                      <w:rFonts w:hint="eastAsia" w:cs="Times New Roman"/>
                      <w:color w:val="auto"/>
                      <w:sz w:val="21"/>
                      <w:szCs w:val="21"/>
                      <w:lang w:val="en-US" w:eastAsia="zh-CN"/>
                    </w:rPr>
                    <w:t>1.54</w:t>
                  </w:r>
                </w:p>
              </w:tc>
              <w:tc>
                <w:tcPr>
                  <w:tcW w:w="562" w:type="pct"/>
                  <w:tcBorders>
                    <w:tl2br w:val="nil"/>
                    <w:tr2bl w:val="nil"/>
                  </w:tcBorders>
                  <w:vAlign w:val="center"/>
                </w:tcPr>
                <w:p w14:paraId="640646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Times New Roman" w:cs="Times New Roman"/>
                      <w:color w:val="auto"/>
                      <w:sz w:val="21"/>
                      <w:szCs w:val="21"/>
                    </w:rPr>
                    <w:t>T/In</w:t>
                  </w:r>
                </w:p>
              </w:tc>
              <w:tc>
                <w:tcPr>
                  <w:tcW w:w="612" w:type="pct"/>
                  <w:tcBorders>
                    <w:tl2br w:val="nil"/>
                    <w:tr2bl w:val="nil"/>
                  </w:tcBorders>
                  <w:vAlign w:val="center"/>
                </w:tcPr>
                <w:p w14:paraId="1B43A7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宋体"/>
                      <w:color w:val="auto"/>
                      <w:sz w:val="21"/>
                      <w:szCs w:val="21"/>
                      <w:lang w:val="en-US" w:eastAsia="zh-CN"/>
                    </w:rPr>
                  </w:pPr>
                  <w:r>
                    <w:rPr>
                      <w:rFonts w:hint="eastAsia"/>
                      <w:color w:val="auto"/>
                      <w:sz w:val="21"/>
                      <w:szCs w:val="21"/>
                      <w:lang w:val="en-US" w:eastAsia="zh-CN"/>
                    </w:rPr>
                    <w:t>季度</w:t>
                  </w:r>
                </w:p>
              </w:tc>
              <w:tc>
                <w:tcPr>
                  <w:tcW w:w="612" w:type="pct"/>
                  <w:vMerge w:val="restart"/>
                  <w:tcBorders>
                    <w:tl2br w:val="nil"/>
                    <w:tr2bl w:val="nil"/>
                  </w:tcBorders>
                  <w:vAlign w:val="center"/>
                </w:tcPr>
                <w:p w14:paraId="09C197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color w:val="auto"/>
                      <w:sz w:val="21"/>
                      <w:szCs w:val="21"/>
                    </w:rPr>
                    <w:t>暂存于</w:t>
                  </w:r>
                  <w:r>
                    <w:rPr>
                      <w:rFonts w:hint="eastAsia"/>
                      <w:color w:val="auto"/>
                      <w:sz w:val="21"/>
                      <w:szCs w:val="21"/>
                    </w:rPr>
                    <w:t>危险废物贮存点</w:t>
                  </w:r>
                  <w:r>
                    <w:rPr>
                      <w:color w:val="auto"/>
                      <w:sz w:val="21"/>
                      <w:szCs w:val="21"/>
                    </w:rPr>
                    <w:t>，定期交由有资质单位处理。</w:t>
                  </w:r>
                </w:p>
              </w:tc>
            </w:tr>
            <w:tr w14:paraId="70075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393" w:type="pct"/>
                  <w:vMerge w:val="continue"/>
                  <w:tcBorders>
                    <w:tl2br w:val="nil"/>
                    <w:tr2bl w:val="nil"/>
                  </w:tcBorders>
                  <w:vAlign w:val="center"/>
                </w:tcPr>
                <w:p w14:paraId="0DF834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58" w:type="pct"/>
                  <w:vMerge w:val="restart"/>
                  <w:tcBorders>
                    <w:tl2br w:val="nil"/>
                    <w:tr2bl w:val="nil"/>
                  </w:tcBorders>
                  <w:vAlign w:val="center"/>
                </w:tcPr>
                <w:p w14:paraId="30E58AB0">
                  <w:pPr>
                    <w:pStyle w:val="41"/>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设备维护保养</w:t>
                  </w:r>
                </w:p>
              </w:tc>
              <w:tc>
                <w:tcPr>
                  <w:tcW w:w="697" w:type="pct"/>
                  <w:tcBorders>
                    <w:tl2br w:val="nil"/>
                    <w:tr2bl w:val="nil"/>
                  </w:tcBorders>
                  <w:vAlign w:val="center"/>
                </w:tcPr>
                <w:p w14:paraId="34F84D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cs="Times New Roman"/>
                      <w:color w:val="auto"/>
                      <w:sz w:val="21"/>
                      <w:szCs w:val="21"/>
                      <w:lang w:val="en-US" w:eastAsia="zh-CN"/>
                    </w:rPr>
                    <w:t>废机油</w:t>
                  </w:r>
                </w:p>
              </w:tc>
              <w:tc>
                <w:tcPr>
                  <w:tcW w:w="845" w:type="pct"/>
                  <w:tcBorders>
                    <w:tl2br w:val="nil"/>
                    <w:tr2bl w:val="nil"/>
                  </w:tcBorders>
                  <w:vAlign w:val="center"/>
                </w:tcPr>
                <w:p w14:paraId="4ED52F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HW08</w:t>
                  </w:r>
                </w:p>
                <w:p w14:paraId="7D88E2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pacing w:val="2"/>
                      <w:sz w:val="21"/>
                      <w:szCs w:val="21"/>
                    </w:rPr>
                  </w:pPr>
                  <w:r>
                    <w:rPr>
                      <w:rFonts w:hint="eastAsia" w:ascii="Times New Roman" w:hAnsi="Times New Roman" w:eastAsia="Times New Roman" w:cs="Times New Roman"/>
                      <w:color w:val="auto"/>
                      <w:sz w:val="21"/>
                      <w:szCs w:val="21"/>
                    </w:rPr>
                    <w:t>900-2</w:t>
                  </w:r>
                  <w:r>
                    <w:rPr>
                      <w:rFonts w:hint="eastAsia" w:ascii="Times New Roman" w:hAnsi="Times New Roman" w:eastAsia="宋体" w:cs="Times New Roman"/>
                      <w:color w:val="auto"/>
                      <w:sz w:val="21"/>
                      <w:szCs w:val="21"/>
                      <w:lang w:val="en-US" w:eastAsia="zh-CN"/>
                    </w:rPr>
                    <w:t>14</w:t>
                  </w:r>
                  <w:r>
                    <w:rPr>
                      <w:rFonts w:hint="eastAsia" w:ascii="Times New Roman" w:hAnsi="Times New Roman" w:eastAsia="Times New Roman" w:cs="Times New Roman"/>
                      <w:color w:val="auto"/>
                      <w:sz w:val="21"/>
                      <w:szCs w:val="21"/>
                    </w:rPr>
                    <w:t>-08</w:t>
                  </w:r>
                </w:p>
              </w:tc>
              <w:tc>
                <w:tcPr>
                  <w:tcW w:w="618" w:type="pct"/>
                  <w:tcBorders>
                    <w:tl2br w:val="nil"/>
                    <w:tr2bl w:val="nil"/>
                  </w:tcBorders>
                  <w:vAlign w:val="center"/>
                </w:tcPr>
                <w:p w14:paraId="2D0D77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ascii="Times New Roman" w:hAnsi="Times New Roman" w:cs="Times New Roman"/>
                      <w:b w:val="0"/>
                      <w:bCs w:val="0"/>
                      <w:color w:val="auto"/>
                      <w:sz w:val="21"/>
                      <w:szCs w:val="21"/>
                      <w:lang w:val="en-US" w:eastAsia="zh-CN"/>
                    </w:rPr>
                    <w:t>0.2</w:t>
                  </w:r>
                </w:p>
              </w:tc>
              <w:tc>
                <w:tcPr>
                  <w:tcW w:w="562" w:type="pct"/>
                  <w:tcBorders>
                    <w:tl2br w:val="nil"/>
                    <w:tr2bl w:val="nil"/>
                  </w:tcBorders>
                  <w:vAlign w:val="center"/>
                </w:tcPr>
                <w:p w14:paraId="6ED4ADC1">
                  <w:pPr>
                    <w:spacing w:line="240" w:lineRule="auto"/>
                    <w:ind w:left="0" w:leftChars="0" w:right="0" w:rightChars="0" w:firstLine="0" w:firstLineChars="0"/>
                    <w:jc w:val="center"/>
                    <w:outlineLvl w:val="9"/>
                    <w:rPr>
                      <w:color w:val="auto"/>
                      <w:sz w:val="21"/>
                      <w:szCs w:val="21"/>
                    </w:rPr>
                  </w:pPr>
                  <w:r>
                    <w:rPr>
                      <w:rFonts w:hint="eastAsia" w:ascii="Times New Roman" w:hAnsi="Times New Roman" w:eastAsia="Times New Roman" w:cs="Times New Roman"/>
                      <w:color w:val="auto"/>
                      <w:sz w:val="21"/>
                      <w:szCs w:val="21"/>
                    </w:rPr>
                    <w:t>T</w:t>
                  </w:r>
                  <w:r>
                    <w:rPr>
                      <w:rFonts w:hint="eastAsia" w:ascii="Times New Roman" w:hAnsi="Times New Roman" w:eastAsia="宋体" w:cs="Times New Roman"/>
                      <w:color w:val="auto"/>
                      <w:sz w:val="21"/>
                      <w:szCs w:val="21"/>
                      <w:lang w:eastAsia="zh-CN"/>
                    </w:rPr>
                    <w:t>,</w:t>
                  </w:r>
                  <w:r>
                    <w:rPr>
                      <w:rFonts w:hint="eastAsia" w:ascii="Times New Roman" w:hAnsi="Times New Roman" w:eastAsia="Times New Roman" w:cs="Times New Roman"/>
                      <w:color w:val="auto"/>
                      <w:sz w:val="21"/>
                      <w:szCs w:val="21"/>
                    </w:rPr>
                    <w:t>I</w:t>
                  </w:r>
                </w:p>
              </w:tc>
              <w:tc>
                <w:tcPr>
                  <w:tcW w:w="612" w:type="pct"/>
                  <w:tcBorders>
                    <w:tl2br w:val="nil"/>
                    <w:tr2bl w:val="nil"/>
                  </w:tcBorders>
                  <w:vAlign w:val="center"/>
                </w:tcPr>
                <w:p w14:paraId="01ED27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color w:val="auto"/>
                      <w:sz w:val="21"/>
                      <w:szCs w:val="21"/>
                      <w:lang w:val="en-US" w:eastAsia="zh-CN"/>
                    </w:rPr>
                    <w:t>季度</w:t>
                  </w:r>
                </w:p>
              </w:tc>
              <w:tc>
                <w:tcPr>
                  <w:tcW w:w="612" w:type="pct"/>
                  <w:vMerge w:val="continue"/>
                  <w:tcBorders>
                    <w:tl2br w:val="nil"/>
                    <w:tr2bl w:val="nil"/>
                  </w:tcBorders>
                  <w:vAlign w:val="center"/>
                </w:tcPr>
                <w:p w14:paraId="77BC8C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r>
            <w:tr w14:paraId="139E5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393" w:type="pct"/>
                  <w:vMerge w:val="continue"/>
                  <w:tcBorders>
                    <w:tl2br w:val="nil"/>
                    <w:tr2bl w:val="nil"/>
                  </w:tcBorders>
                  <w:vAlign w:val="center"/>
                </w:tcPr>
                <w:p w14:paraId="6A1580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58" w:type="pct"/>
                  <w:vMerge w:val="continue"/>
                  <w:tcBorders>
                    <w:tl2br w:val="nil"/>
                    <w:tr2bl w:val="nil"/>
                  </w:tcBorders>
                  <w:vAlign w:val="center"/>
                </w:tcPr>
                <w:p w14:paraId="17FBD61B">
                  <w:pPr>
                    <w:pStyle w:val="41"/>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Times New Roman" w:hAnsi="Times New Roman" w:eastAsia="宋体"/>
                      <w:color w:val="auto"/>
                      <w:sz w:val="21"/>
                      <w:szCs w:val="21"/>
                      <w:lang w:val="en-US" w:eastAsia="zh-CN"/>
                    </w:rPr>
                  </w:pPr>
                </w:p>
              </w:tc>
              <w:tc>
                <w:tcPr>
                  <w:tcW w:w="697" w:type="pct"/>
                  <w:tcBorders>
                    <w:tl2br w:val="nil"/>
                    <w:tr2bl w:val="nil"/>
                  </w:tcBorders>
                  <w:vAlign w:val="center"/>
                </w:tcPr>
                <w:p w14:paraId="39F470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废油桶</w:t>
                  </w:r>
                </w:p>
              </w:tc>
              <w:tc>
                <w:tcPr>
                  <w:tcW w:w="845" w:type="pct"/>
                  <w:tcBorders>
                    <w:tl2br w:val="nil"/>
                    <w:tr2bl w:val="nil"/>
                  </w:tcBorders>
                  <w:vAlign w:val="center"/>
                </w:tcPr>
                <w:p w14:paraId="29A683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HW08</w:t>
                  </w:r>
                </w:p>
                <w:p w14:paraId="212AF9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Times New Roman" w:cs="Times New Roman"/>
                      <w:color w:val="auto"/>
                      <w:sz w:val="21"/>
                      <w:szCs w:val="21"/>
                    </w:rPr>
                  </w:pPr>
                  <w:r>
                    <w:rPr>
                      <w:rFonts w:hint="eastAsia" w:ascii="Times New Roman" w:hAnsi="Times New Roman" w:eastAsia="Times New Roman" w:cs="Times New Roman"/>
                      <w:color w:val="auto"/>
                      <w:sz w:val="21"/>
                      <w:szCs w:val="21"/>
                    </w:rPr>
                    <w:t>900-249-08</w:t>
                  </w:r>
                </w:p>
              </w:tc>
              <w:tc>
                <w:tcPr>
                  <w:tcW w:w="618" w:type="pct"/>
                  <w:tcBorders>
                    <w:tl2br w:val="nil"/>
                    <w:tr2bl w:val="nil"/>
                  </w:tcBorders>
                  <w:vAlign w:val="center"/>
                </w:tcPr>
                <w:p w14:paraId="6EA61A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ascii="Times New Roman" w:hAnsi="Times New Roman" w:cs="Times New Roman"/>
                      <w:b w:val="0"/>
                      <w:bCs w:val="0"/>
                      <w:color w:val="auto"/>
                      <w:sz w:val="21"/>
                      <w:szCs w:val="21"/>
                      <w:lang w:val="en-US" w:eastAsia="zh-CN"/>
                    </w:rPr>
                    <w:t>0.1</w:t>
                  </w:r>
                </w:p>
              </w:tc>
              <w:tc>
                <w:tcPr>
                  <w:tcW w:w="562" w:type="pct"/>
                  <w:tcBorders>
                    <w:tl2br w:val="nil"/>
                    <w:tr2bl w:val="nil"/>
                  </w:tcBorders>
                  <w:vAlign w:val="center"/>
                </w:tcPr>
                <w:p w14:paraId="3FC9CC33">
                  <w:pPr>
                    <w:spacing w:line="240" w:lineRule="auto"/>
                    <w:ind w:left="0" w:leftChars="0" w:right="0" w:rightChars="0" w:firstLine="0" w:firstLineChars="0"/>
                    <w:jc w:val="center"/>
                    <w:outlineLvl w:val="9"/>
                    <w:rPr>
                      <w:color w:val="auto"/>
                      <w:sz w:val="21"/>
                      <w:szCs w:val="21"/>
                    </w:rPr>
                  </w:pPr>
                  <w:r>
                    <w:rPr>
                      <w:rFonts w:hint="eastAsia" w:ascii="Times New Roman" w:hAnsi="Times New Roman" w:eastAsia="Times New Roman" w:cs="Times New Roman"/>
                      <w:color w:val="auto"/>
                      <w:sz w:val="21"/>
                      <w:szCs w:val="21"/>
                    </w:rPr>
                    <w:t>T</w:t>
                  </w:r>
                  <w:r>
                    <w:rPr>
                      <w:rFonts w:hint="eastAsia" w:ascii="Times New Roman" w:hAnsi="Times New Roman" w:eastAsia="宋体" w:cs="Times New Roman"/>
                      <w:color w:val="auto"/>
                      <w:sz w:val="21"/>
                      <w:szCs w:val="21"/>
                      <w:lang w:eastAsia="zh-CN"/>
                    </w:rPr>
                    <w:t>,</w:t>
                  </w:r>
                  <w:r>
                    <w:rPr>
                      <w:rFonts w:hint="eastAsia" w:ascii="Times New Roman" w:hAnsi="Times New Roman" w:eastAsia="Times New Roman" w:cs="Times New Roman"/>
                      <w:color w:val="auto"/>
                      <w:sz w:val="21"/>
                      <w:szCs w:val="21"/>
                    </w:rPr>
                    <w:t>I</w:t>
                  </w:r>
                </w:p>
              </w:tc>
              <w:tc>
                <w:tcPr>
                  <w:tcW w:w="612" w:type="pct"/>
                  <w:tcBorders>
                    <w:tl2br w:val="nil"/>
                    <w:tr2bl w:val="nil"/>
                  </w:tcBorders>
                  <w:vAlign w:val="center"/>
                </w:tcPr>
                <w:p w14:paraId="449BF7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olor w:val="auto"/>
                      <w:sz w:val="21"/>
                      <w:szCs w:val="21"/>
                    </w:rPr>
                  </w:pPr>
                  <w:r>
                    <w:rPr>
                      <w:rFonts w:hint="eastAsia"/>
                      <w:color w:val="auto"/>
                      <w:sz w:val="21"/>
                      <w:szCs w:val="21"/>
                      <w:lang w:val="en-US" w:eastAsia="zh-CN"/>
                    </w:rPr>
                    <w:t>季度</w:t>
                  </w:r>
                </w:p>
              </w:tc>
              <w:tc>
                <w:tcPr>
                  <w:tcW w:w="612" w:type="pct"/>
                  <w:vMerge w:val="continue"/>
                  <w:tcBorders>
                    <w:tl2br w:val="nil"/>
                    <w:tr2bl w:val="nil"/>
                  </w:tcBorders>
                  <w:vAlign w:val="center"/>
                </w:tcPr>
                <w:p w14:paraId="22227F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r>
            <w:tr w14:paraId="36C93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4" w:hRule="atLeast"/>
                <w:jc w:val="center"/>
              </w:trPr>
              <w:tc>
                <w:tcPr>
                  <w:tcW w:w="393" w:type="pct"/>
                  <w:vMerge w:val="continue"/>
                  <w:tcBorders>
                    <w:tl2br w:val="nil"/>
                    <w:tr2bl w:val="nil"/>
                  </w:tcBorders>
                  <w:vAlign w:val="center"/>
                </w:tcPr>
                <w:p w14:paraId="6A71FC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58" w:type="pct"/>
                  <w:vMerge w:val="continue"/>
                  <w:tcBorders>
                    <w:tl2br w:val="nil"/>
                    <w:tr2bl w:val="nil"/>
                  </w:tcBorders>
                  <w:vAlign w:val="center"/>
                </w:tcPr>
                <w:p w14:paraId="613011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97" w:type="pct"/>
                  <w:tcBorders>
                    <w:tl2br w:val="nil"/>
                    <w:tr2bl w:val="nil"/>
                  </w:tcBorders>
                  <w:vAlign w:val="center"/>
                </w:tcPr>
                <w:p w14:paraId="487BF9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宋体"/>
                      <w:color w:val="auto"/>
                      <w:spacing w:val="-1"/>
                      <w:sz w:val="21"/>
                      <w:szCs w:val="21"/>
                      <w:lang w:val="en-US" w:eastAsia="zh-CN"/>
                    </w:rPr>
                  </w:pPr>
                  <w:r>
                    <w:rPr>
                      <w:rFonts w:hint="eastAsia" w:ascii="Times New Roman" w:hAnsi="Times New Roman" w:cs="Times New Roman"/>
                      <w:b w:val="0"/>
                      <w:bCs w:val="0"/>
                      <w:color w:val="auto"/>
                      <w:sz w:val="21"/>
                      <w:szCs w:val="21"/>
                      <w:lang w:val="en-US" w:eastAsia="zh-CN"/>
                    </w:rPr>
                    <w:t>废油抹布</w:t>
                  </w:r>
                </w:p>
              </w:tc>
              <w:tc>
                <w:tcPr>
                  <w:tcW w:w="845" w:type="pct"/>
                  <w:tcBorders>
                    <w:tl2br w:val="nil"/>
                    <w:tr2bl w:val="nil"/>
                  </w:tcBorders>
                  <w:vAlign w:val="center"/>
                </w:tcPr>
                <w:p w14:paraId="3505DF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HW49</w:t>
                  </w:r>
                </w:p>
                <w:p w14:paraId="253860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Times New Roman" w:cs="Times New Roman"/>
                      <w:color w:val="auto"/>
                      <w:sz w:val="21"/>
                      <w:szCs w:val="21"/>
                    </w:rPr>
                    <w:t>900-041-49</w:t>
                  </w:r>
                </w:p>
              </w:tc>
              <w:tc>
                <w:tcPr>
                  <w:tcW w:w="618" w:type="pct"/>
                  <w:tcBorders>
                    <w:tl2br w:val="nil"/>
                    <w:tr2bl w:val="nil"/>
                  </w:tcBorders>
                  <w:vAlign w:val="center"/>
                </w:tcPr>
                <w:p w14:paraId="52F846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cs="Times New Roman"/>
                      <w:b w:val="0"/>
                      <w:bCs w:val="0"/>
                      <w:color w:val="auto"/>
                      <w:sz w:val="21"/>
                      <w:szCs w:val="21"/>
                      <w:lang w:val="en-US" w:eastAsia="zh-CN"/>
                    </w:rPr>
                    <w:t>0.03</w:t>
                  </w:r>
                </w:p>
              </w:tc>
              <w:tc>
                <w:tcPr>
                  <w:tcW w:w="562" w:type="pct"/>
                  <w:tcBorders>
                    <w:tl2br w:val="nil"/>
                    <w:tr2bl w:val="nil"/>
                  </w:tcBorders>
                  <w:vAlign w:val="center"/>
                </w:tcPr>
                <w:p w14:paraId="3E0BE4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Times New Roman" w:cs="Times New Roman"/>
                      <w:color w:val="auto"/>
                      <w:sz w:val="21"/>
                      <w:szCs w:val="21"/>
                    </w:rPr>
                    <w:t>T/In</w:t>
                  </w:r>
                </w:p>
              </w:tc>
              <w:tc>
                <w:tcPr>
                  <w:tcW w:w="612" w:type="pct"/>
                  <w:tcBorders>
                    <w:tl2br w:val="nil"/>
                    <w:tr2bl w:val="nil"/>
                  </w:tcBorders>
                  <w:vAlign w:val="center"/>
                </w:tcPr>
                <w:p w14:paraId="4AD5CB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宋体"/>
                      <w:color w:val="auto"/>
                      <w:sz w:val="21"/>
                      <w:szCs w:val="21"/>
                      <w:lang w:eastAsia="zh-CN"/>
                    </w:rPr>
                  </w:pPr>
                  <w:r>
                    <w:rPr>
                      <w:rFonts w:hint="eastAsia"/>
                      <w:color w:val="auto"/>
                      <w:sz w:val="21"/>
                      <w:szCs w:val="21"/>
                      <w:lang w:val="en-US" w:eastAsia="zh-CN"/>
                    </w:rPr>
                    <w:t>季度</w:t>
                  </w:r>
                </w:p>
              </w:tc>
              <w:tc>
                <w:tcPr>
                  <w:tcW w:w="612" w:type="pct"/>
                  <w:vMerge w:val="continue"/>
                  <w:tcBorders>
                    <w:tl2br w:val="nil"/>
                    <w:tr2bl w:val="nil"/>
                  </w:tcBorders>
                  <w:vAlign w:val="center"/>
                </w:tcPr>
                <w:p w14:paraId="15B880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r>
            <w:tr w14:paraId="07168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393" w:type="pct"/>
                  <w:vMerge w:val="continue"/>
                  <w:tcBorders>
                    <w:tl2br w:val="nil"/>
                    <w:tr2bl w:val="nil"/>
                  </w:tcBorders>
                  <w:vAlign w:val="center"/>
                </w:tcPr>
                <w:p w14:paraId="6C0195A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58" w:type="pct"/>
                  <w:tcBorders>
                    <w:tl2br w:val="nil"/>
                    <w:tr2bl w:val="nil"/>
                  </w:tcBorders>
                  <w:vAlign w:val="center"/>
                </w:tcPr>
                <w:p w14:paraId="68E8C1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宋体"/>
                      <w:color w:val="auto"/>
                      <w:sz w:val="21"/>
                      <w:szCs w:val="21"/>
                      <w:lang w:val="en-US" w:eastAsia="zh-CN"/>
                    </w:rPr>
                  </w:pPr>
                  <w:r>
                    <w:rPr>
                      <w:rFonts w:hint="eastAsia"/>
                      <w:color w:val="auto"/>
                      <w:sz w:val="21"/>
                      <w:szCs w:val="21"/>
                      <w:lang w:val="en-US" w:eastAsia="zh-CN"/>
                    </w:rPr>
                    <w:t>过滤</w:t>
                  </w:r>
                </w:p>
              </w:tc>
              <w:tc>
                <w:tcPr>
                  <w:tcW w:w="697" w:type="pct"/>
                  <w:tcBorders>
                    <w:tl2br w:val="nil"/>
                    <w:tr2bl w:val="nil"/>
                  </w:tcBorders>
                  <w:vAlign w:val="center"/>
                </w:tcPr>
                <w:p w14:paraId="44605D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cs="Times New Roman"/>
                      <w:b w:val="0"/>
                      <w:bCs w:val="0"/>
                      <w:color w:val="auto"/>
                      <w:sz w:val="21"/>
                      <w:szCs w:val="21"/>
                      <w:lang w:val="en-US" w:eastAsia="zh-CN"/>
                    </w:rPr>
                    <w:t>滤渣、废滤网</w:t>
                  </w:r>
                </w:p>
              </w:tc>
              <w:tc>
                <w:tcPr>
                  <w:tcW w:w="845" w:type="pct"/>
                  <w:tcBorders>
                    <w:tl2br w:val="nil"/>
                    <w:tr2bl w:val="nil"/>
                  </w:tcBorders>
                  <w:vAlign w:val="center"/>
                </w:tcPr>
                <w:p w14:paraId="37736E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HW49</w:t>
                  </w:r>
                </w:p>
                <w:p w14:paraId="7DE8E1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pacing w:val="1"/>
                      <w:sz w:val="21"/>
                      <w:szCs w:val="21"/>
                    </w:rPr>
                  </w:pPr>
                  <w:r>
                    <w:rPr>
                      <w:rFonts w:hint="eastAsia" w:ascii="Times New Roman" w:hAnsi="Times New Roman" w:eastAsia="Times New Roman" w:cs="Times New Roman"/>
                      <w:color w:val="auto"/>
                      <w:sz w:val="21"/>
                      <w:szCs w:val="21"/>
                    </w:rPr>
                    <w:t>900-041-49</w:t>
                  </w:r>
                </w:p>
              </w:tc>
              <w:tc>
                <w:tcPr>
                  <w:tcW w:w="618" w:type="pct"/>
                  <w:tcBorders>
                    <w:tl2br w:val="nil"/>
                    <w:tr2bl w:val="nil"/>
                  </w:tcBorders>
                  <w:vAlign w:val="center"/>
                </w:tcPr>
                <w:p w14:paraId="739ACA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color w:val="auto"/>
                      <w:sz w:val="21"/>
                      <w:szCs w:val="21"/>
                      <w:lang w:val="en-US"/>
                    </w:rPr>
                  </w:pPr>
                  <w:r>
                    <w:rPr>
                      <w:rFonts w:hint="eastAsia" w:cs="Times New Roman"/>
                      <w:b w:val="0"/>
                      <w:bCs w:val="0"/>
                      <w:color w:val="auto"/>
                      <w:sz w:val="21"/>
                      <w:szCs w:val="21"/>
                      <w:lang w:val="en-US" w:eastAsia="zh-CN"/>
                    </w:rPr>
                    <w:t>0.05</w:t>
                  </w:r>
                </w:p>
              </w:tc>
              <w:tc>
                <w:tcPr>
                  <w:tcW w:w="562" w:type="pct"/>
                  <w:tcBorders>
                    <w:tl2br w:val="nil"/>
                    <w:tr2bl w:val="nil"/>
                  </w:tcBorders>
                  <w:vAlign w:val="center"/>
                </w:tcPr>
                <w:p w14:paraId="3FFB2C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Times New Roman" w:cs="Times New Roman"/>
                      <w:color w:val="auto"/>
                      <w:sz w:val="21"/>
                      <w:szCs w:val="21"/>
                    </w:rPr>
                    <w:t>T/In</w:t>
                  </w:r>
                </w:p>
              </w:tc>
              <w:tc>
                <w:tcPr>
                  <w:tcW w:w="612" w:type="pct"/>
                  <w:tcBorders>
                    <w:tl2br w:val="nil"/>
                    <w:tr2bl w:val="nil"/>
                  </w:tcBorders>
                  <w:vAlign w:val="center"/>
                </w:tcPr>
                <w:p w14:paraId="5E605C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color w:val="auto"/>
                      <w:sz w:val="21"/>
                      <w:szCs w:val="21"/>
                      <w:lang w:val="en-US" w:eastAsia="zh-CN"/>
                    </w:rPr>
                    <w:t>季度</w:t>
                  </w:r>
                </w:p>
              </w:tc>
              <w:tc>
                <w:tcPr>
                  <w:tcW w:w="612" w:type="pct"/>
                  <w:vMerge w:val="continue"/>
                  <w:tcBorders>
                    <w:tl2br w:val="nil"/>
                    <w:tr2bl w:val="nil"/>
                  </w:tcBorders>
                  <w:vAlign w:val="center"/>
                </w:tcPr>
                <w:p w14:paraId="4D4010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r>
            <w:tr w14:paraId="01910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393" w:type="pct"/>
                  <w:vMerge w:val="continue"/>
                  <w:tcBorders>
                    <w:tl2br w:val="nil"/>
                    <w:tr2bl w:val="nil"/>
                  </w:tcBorders>
                  <w:vAlign w:val="center"/>
                </w:tcPr>
                <w:p w14:paraId="0F2914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58" w:type="pct"/>
                  <w:tcBorders>
                    <w:tl2br w:val="nil"/>
                    <w:tr2bl w:val="nil"/>
                  </w:tcBorders>
                  <w:vAlign w:val="center"/>
                </w:tcPr>
                <w:p w14:paraId="58AFC1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喷码</w:t>
                  </w:r>
                </w:p>
              </w:tc>
              <w:tc>
                <w:tcPr>
                  <w:tcW w:w="697" w:type="pct"/>
                  <w:tcBorders>
                    <w:tl2br w:val="nil"/>
                    <w:tr2bl w:val="nil"/>
                  </w:tcBorders>
                  <w:vAlign w:val="center"/>
                </w:tcPr>
                <w:p w14:paraId="7B0DE5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废包装瓶</w:t>
                  </w:r>
                </w:p>
              </w:tc>
              <w:tc>
                <w:tcPr>
                  <w:tcW w:w="845" w:type="pct"/>
                  <w:tcBorders>
                    <w:tl2br w:val="nil"/>
                    <w:tr2bl w:val="nil"/>
                  </w:tcBorders>
                  <w:vAlign w:val="center"/>
                </w:tcPr>
                <w:p w14:paraId="037E4B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HW49</w:t>
                  </w:r>
                </w:p>
                <w:p w14:paraId="6BD0AF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900-041-49</w:t>
                  </w:r>
                </w:p>
              </w:tc>
              <w:tc>
                <w:tcPr>
                  <w:tcW w:w="618" w:type="pct"/>
                  <w:tcBorders>
                    <w:tl2br w:val="nil"/>
                    <w:tr2bl w:val="nil"/>
                  </w:tcBorders>
                  <w:vAlign w:val="center"/>
                </w:tcPr>
                <w:p w14:paraId="572ECA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0.006</w:t>
                  </w:r>
                </w:p>
              </w:tc>
              <w:tc>
                <w:tcPr>
                  <w:tcW w:w="562" w:type="pct"/>
                  <w:tcBorders>
                    <w:tl2br w:val="nil"/>
                    <w:tr2bl w:val="nil"/>
                  </w:tcBorders>
                  <w:vAlign w:val="center"/>
                </w:tcPr>
                <w:p w14:paraId="3BB1F4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T/In</w:t>
                  </w:r>
                </w:p>
              </w:tc>
              <w:tc>
                <w:tcPr>
                  <w:tcW w:w="612" w:type="pct"/>
                  <w:tcBorders>
                    <w:tl2br w:val="nil"/>
                    <w:tr2bl w:val="nil"/>
                  </w:tcBorders>
                  <w:vAlign w:val="center"/>
                </w:tcPr>
                <w:p w14:paraId="4EDC88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季度</w:t>
                  </w:r>
                </w:p>
              </w:tc>
              <w:tc>
                <w:tcPr>
                  <w:tcW w:w="612" w:type="pct"/>
                  <w:vMerge w:val="continue"/>
                  <w:tcBorders>
                    <w:tl2br w:val="nil"/>
                    <w:tr2bl w:val="nil"/>
                  </w:tcBorders>
                  <w:vAlign w:val="center"/>
                </w:tcPr>
                <w:p w14:paraId="047316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r>
            <w:tr w14:paraId="06706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393" w:type="pct"/>
                  <w:vMerge w:val="continue"/>
                  <w:tcBorders>
                    <w:tl2br w:val="nil"/>
                    <w:tr2bl w:val="nil"/>
                  </w:tcBorders>
                  <w:vAlign w:val="center"/>
                </w:tcPr>
                <w:p w14:paraId="58414F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58" w:type="pct"/>
                  <w:tcBorders>
                    <w:tl2br w:val="nil"/>
                    <w:tr2bl w:val="nil"/>
                  </w:tcBorders>
                  <w:vAlign w:val="center"/>
                </w:tcPr>
                <w:p w14:paraId="4D48AF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宋体" w:cs="Times New Roman"/>
                      <w:color w:val="auto"/>
                      <w:sz w:val="21"/>
                      <w:szCs w:val="21"/>
                      <w:lang w:val="en-US" w:eastAsia="zh-CN"/>
                    </w:rPr>
                    <w:t>废水处理</w:t>
                  </w:r>
                </w:p>
              </w:tc>
              <w:tc>
                <w:tcPr>
                  <w:tcW w:w="697" w:type="pct"/>
                  <w:tcBorders>
                    <w:tl2br w:val="nil"/>
                    <w:tr2bl w:val="nil"/>
                  </w:tcBorders>
                  <w:vAlign w:val="center"/>
                </w:tcPr>
                <w:p w14:paraId="40D2C9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pacing w:val="1"/>
                      <w:sz w:val="21"/>
                      <w:szCs w:val="21"/>
                    </w:rPr>
                  </w:pPr>
                  <w:r>
                    <w:rPr>
                      <w:rFonts w:hint="eastAsia" w:ascii="Times New Roman" w:hAnsi="Times New Roman" w:cs="Times New Roman"/>
                      <w:b w:val="0"/>
                      <w:bCs w:val="0"/>
                      <w:color w:val="auto"/>
                      <w:sz w:val="21"/>
                      <w:szCs w:val="21"/>
                      <w:lang w:val="en-US" w:eastAsia="zh-CN"/>
                    </w:rPr>
                    <w:t>隔油沉淀池污泥</w:t>
                  </w:r>
                </w:p>
              </w:tc>
              <w:tc>
                <w:tcPr>
                  <w:tcW w:w="845" w:type="pct"/>
                  <w:tcBorders>
                    <w:tl2br w:val="nil"/>
                    <w:tr2bl w:val="nil"/>
                  </w:tcBorders>
                  <w:vAlign w:val="center"/>
                </w:tcPr>
                <w:p w14:paraId="2B5F4F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HW08</w:t>
                  </w:r>
                </w:p>
                <w:p w14:paraId="6764DB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pacing w:val="1"/>
                      <w:sz w:val="21"/>
                      <w:szCs w:val="21"/>
                    </w:rPr>
                  </w:pPr>
                  <w:r>
                    <w:rPr>
                      <w:rFonts w:hint="eastAsia" w:ascii="Times New Roman" w:hAnsi="Times New Roman" w:eastAsia="Times New Roman" w:cs="Times New Roman"/>
                      <w:color w:val="auto"/>
                      <w:sz w:val="21"/>
                      <w:szCs w:val="21"/>
                    </w:rPr>
                    <w:t>900-210-08</w:t>
                  </w:r>
                </w:p>
              </w:tc>
              <w:tc>
                <w:tcPr>
                  <w:tcW w:w="618" w:type="pct"/>
                  <w:tcBorders>
                    <w:tl2br w:val="nil"/>
                    <w:tr2bl w:val="nil"/>
                  </w:tcBorders>
                  <w:vAlign w:val="center"/>
                </w:tcPr>
                <w:p w14:paraId="3DC795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color w:val="auto"/>
                      <w:spacing w:val="1"/>
                      <w:sz w:val="21"/>
                      <w:szCs w:val="21"/>
                      <w:lang w:val="en-US"/>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w:t>
                  </w:r>
                </w:p>
              </w:tc>
              <w:tc>
                <w:tcPr>
                  <w:tcW w:w="562" w:type="pct"/>
                  <w:tcBorders>
                    <w:tl2br w:val="nil"/>
                    <w:tr2bl w:val="nil"/>
                  </w:tcBorders>
                  <w:vAlign w:val="center"/>
                </w:tcPr>
                <w:p w14:paraId="1725FA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Times New Roman" w:cs="Times New Roman"/>
                      <w:color w:val="auto"/>
                      <w:sz w:val="21"/>
                      <w:szCs w:val="21"/>
                    </w:rPr>
                    <w:t>T</w:t>
                  </w:r>
                  <w:r>
                    <w:rPr>
                      <w:rFonts w:hint="eastAsia" w:ascii="Times New Roman" w:hAnsi="Times New Roman" w:eastAsia="宋体" w:cs="Times New Roman"/>
                      <w:color w:val="auto"/>
                      <w:sz w:val="21"/>
                      <w:szCs w:val="21"/>
                      <w:lang w:eastAsia="zh-CN"/>
                    </w:rPr>
                    <w:t>,</w:t>
                  </w:r>
                  <w:r>
                    <w:rPr>
                      <w:rFonts w:hint="eastAsia" w:ascii="Times New Roman" w:hAnsi="Times New Roman" w:eastAsia="Times New Roman" w:cs="Times New Roman"/>
                      <w:color w:val="auto"/>
                      <w:sz w:val="21"/>
                      <w:szCs w:val="21"/>
                    </w:rPr>
                    <w:t>I</w:t>
                  </w:r>
                </w:p>
              </w:tc>
              <w:tc>
                <w:tcPr>
                  <w:tcW w:w="612" w:type="pct"/>
                  <w:tcBorders>
                    <w:tl2br w:val="nil"/>
                    <w:tr2bl w:val="nil"/>
                  </w:tcBorders>
                  <w:vAlign w:val="center"/>
                </w:tcPr>
                <w:p w14:paraId="17D797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bCs/>
                      <w:color w:val="auto"/>
                      <w:kern w:val="21"/>
                      <w:sz w:val="21"/>
                      <w:szCs w:val="21"/>
                    </w:rPr>
                  </w:pPr>
                  <w:r>
                    <w:rPr>
                      <w:rFonts w:hint="eastAsia"/>
                      <w:color w:val="auto"/>
                      <w:sz w:val="21"/>
                      <w:szCs w:val="21"/>
                      <w:lang w:val="en-US" w:eastAsia="zh-CN"/>
                    </w:rPr>
                    <w:t>季度</w:t>
                  </w:r>
                </w:p>
              </w:tc>
              <w:tc>
                <w:tcPr>
                  <w:tcW w:w="612" w:type="pct"/>
                  <w:vMerge w:val="continue"/>
                  <w:tcBorders>
                    <w:tl2br w:val="nil"/>
                    <w:tr2bl w:val="nil"/>
                  </w:tcBorders>
                  <w:vAlign w:val="center"/>
                </w:tcPr>
                <w:p w14:paraId="740136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r>
            <w:tr w14:paraId="62015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393" w:type="pct"/>
                  <w:vMerge w:val="continue"/>
                  <w:tcBorders>
                    <w:tl2br w:val="nil"/>
                    <w:tr2bl w:val="nil"/>
                  </w:tcBorders>
                  <w:vAlign w:val="center"/>
                </w:tcPr>
                <w:p w14:paraId="03D18F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p>
              </w:tc>
              <w:tc>
                <w:tcPr>
                  <w:tcW w:w="658" w:type="pct"/>
                  <w:tcBorders>
                    <w:tl2br w:val="nil"/>
                    <w:tr2bl w:val="nil"/>
                  </w:tcBorders>
                  <w:vAlign w:val="center"/>
                </w:tcPr>
                <w:p w14:paraId="54655B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不合格品处理</w:t>
                  </w:r>
                </w:p>
              </w:tc>
              <w:tc>
                <w:tcPr>
                  <w:tcW w:w="697" w:type="pct"/>
                  <w:tcBorders>
                    <w:tl2br w:val="nil"/>
                    <w:tr2bl w:val="nil"/>
                  </w:tcBorders>
                  <w:vAlign w:val="center"/>
                </w:tcPr>
                <w:p w14:paraId="00101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pacing w:val="1"/>
                      <w:sz w:val="21"/>
                      <w:szCs w:val="21"/>
                    </w:rPr>
                  </w:pPr>
                  <w:r>
                    <w:rPr>
                      <w:rFonts w:hint="eastAsia" w:ascii="Calibri" w:hAnsi="Calibri" w:cs="Calibri"/>
                      <w:b w:val="0"/>
                      <w:bCs w:val="0"/>
                      <w:color w:val="auto"/>
                      <w:sz w:val="21"/>
                      <w:szCs w:val="21"/>
                      <w:lang w:val="en-US" w:eastAsia="zh-CN"/>
                    </w:rPr>
                    <w:t>废炸药包装</w:t>
                  </w:r>
                </w:p>
              </w:tc>
              <w:tc>
                <w:tcPr>
                  <w:tcW w:w="845" w:type="pct"/>
                  <w:tcBorders>
                    <w:tl2br w:val="nil"/>
                    <w:tr2bl w:val="nil"/>
                  </w:tcBorders>
                  <w:vAlign w:val="center"/>
                </w:tcPr>
                <w:p w14:paraId="25B1A2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HW49</w:t>
                  </w:r>
                </w:p>
                <w:p w14:paraId="7031BC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900-041-49</w:t>
                  </w:r>
                </w:p>
              </w:tc>
              <w:tc>
                <w:tcPr>
                  <w:tcW w:w="618" w:type="pct"/>
                  <w:tcBorders>
                    <w:tl2br w:val="nil"/>
                    <w:tr2bl w:val="nil"/>
                  </w:tcBorders>
                  <w:vAlign w:val="center"/>
                </w:tcPr>
                <w:p w14:paraId="2075E9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color w:val="auto"/>
                      <w:spacing w:val="1"/>
                      <w:sz w:val="21"/>
                      <w:szCs w:val="21"/>
                      <w:lang w:val="en-US"/>
                    </w:rPr>
                  </w:pPr>
                  <w:r>
                    <w:rPr>
                      <w:rFonts w:hint="eastAsia"/>
                      <w:color w:val="auto"/>
                      <w:spacing w:val="-2"/>
                      <w:sz w:val="21"/>
                      <w:szCs w:val="21"/>
                      <w:lang w:val="en-US" w:eastAsia="zh-CN"/>
                    </w:rPr>
                    <w:t>0.05</w:t>
                  </w:r>
                </w:p>
              </w:tc>
              <w:tc>
                <w:tcPr>
                  <w:tcW w:w="562" w:type="pct"/>
                  <w:tcBorders>
                    <w:tl2br w:val="nil"/>
                    <w:tr2bl w:val="nil"/>
                  </w:tcBorders>
                  <w:vAlign w:val="center"/>
                </w:tcPr>
                <w:p w14:paraId="772B73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Times New Roman" w:hAnsi="Times New Roman" w:eastAsia="Times New Roman" w:cs="Times New Roman"/>
                      <w:color w:val="auto"/>
                      <w:sz w:val="21"/>
                      <w:szCs w:val="21"/>
                    </w:rPr>
                    <w:t>T/In</w:t>
                  </w:r>
                </w:p>
              </w:tc>
              <w:tc>
                <w:tcPr>
                  <w:tcW w:w="612" w:type="pct"/>
                  <w:tcBorders>
                    <w:tl2br w:val="nil"/>
                    <w:tr2bl w:val="nil"/>
                  </w:tcBorders>
                  <w:vAlign w:val="center"/>
                </w:tcPr>
                <w:p w14:paraId="336584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宋体"/>
                      <w:bCs/>
                      <w:color w:val="auto"/>
                      <w:kern w:val="21"/>
                      <w:sz w:val="21"/>
                      <w:szCs w:val="21"/>
                      <w:lang w:val="en-US" w:eastAsia="zh-CN"/>
                    </w:rPr>
                  </w:pPr>
                  <w:r>
                    <w:rPr>
                      <w:rFonts w:hint="eastAsia"/>
                      <w:bCs/>
                      <w:color w:val="auto"/>
                      <w:kern w:val="21"/>
                      <w:sz w:val="21"/>
                      <w:szCs w:val="21"/>
                      <w:lang w:val="en-US" w:eastAsia="zh-CN"/>
                    </w:rPr>
                    <w:t>/</w:t>
                  </w:r>
                </w:p>
              </w:tc>
              <w:tc>
                <w:tcPr>
                  <w:tcW w:w="612" w:type="pct"/>
                  <w:tcBorders>
                    <w:tl2br w:val="nil"/>
                    <w:tr2bl w:val="nil"/>
                  </w:tcBorders>
                  <w:vAlign w:val="center"/>
                </w:tcPr>
                <w:p w14:paraId="5DC069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宋体" w:hAnsi="宋体" w:cs="宋体"/>
                      <w:color w:val="auto"/>
                      <w:sz w:val="21"/>
                      <w:szCs w:val="21"/>
                      <w:lang w:val="en-US" w:eastAsia="zh-CN"/>
                    </w:rPr>
                    <w:t>销毁场销毁</w:t>
                  </w:r>
                </w:p>
              </w:tc>
            </w:tr>
            <w:tr w14:paraId="11292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393" w:type="pct"/>
                  <w:tcBorders>
                    <w:tl2br w:val="nil"/>
                    <w:tr2bl w:val="nil"/>
                  </w:tcBorders>
                  <w:vAlign w:val="center"/>
                </w:tcPr>
                <w:p w14:paraId="454B772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宋体"/>
                      <w:color w:val="auto"/>
                      <w:sz w:val="21"/>
                      <w:szCs w:val="21"/>
                      <w:lang w:val="en-US" w:eastAsia="zh-CN"/>
                    </w:rPr>
                  </w:pPr>
                  <w:r>
                    <w:rPr>
                      <w:rFonts w:hint="eastAsia"/>
                      <w:color w:val="auto"/>
                      <w:sz w:val="21"/>
                      <w:szCs w:val="21"/>
                      <w:lang w:val="en-US" w:eastAsia="zh-CN"/>
                    </w:rPr>
                    <w:t>/</w:t>
                  </w:r>
                </w:p>
              </w:tc>
              <w:tc>
                <w:tcPr>
                  <w:tcW w:w="658" w:type="pct"/>
                  <w:tcBorders>
                    <w:tl2br w:val="nil"/>
                    <w:tr2bl w:val="nil"/>
                  </w:tcBorders>
                  <w:vAlign w:val="center"/>
                </w:tcPr>
                <w:p w14:paraId="253E91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color w:val="auto"/>
                      <w:sz w:val="21"/>
                      <w:szCs w:val="21"/>
                      <w:lang w:val="en-US" w:eastAsia="zh-CN"/>
                    </w:rPr>
                    <w:t>/</w:t>
                  </w:r>
                </w:p>
              </w:tc>
              <w:tc>
                <w:tcPr>
                  <w:tcW w:w="697" w:type="pct"/>
                  <w:tcBorders>
                    <w:tl2br w:val="nil"/>
                    <w:tr2bl w:val="nil"/>
                  </w:tcBorders>
                  <w:vAlign w:val="center"/>
                </w:tcPr>
                <w:p w14:paraId="2FE54D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宋体" w:hAnsi="宋体" w:eastAsia="宋体" w:cs="宋体"/>
                      <w:color w:val="auto"/>
                      <w:sz w:val="21"/>
                      <w:szCs w:val="21"/>
                      <w:lang w:val="en-US" w:eastAsia="zh-CN"/>
                    </w:rPr>
                    <w:t>不合格品</w:t>
                  </w:r>
                </w:p>
              </w:tc>
              <w:tc>
                <w:tcPr>
                  <w:tcW w:w="845" w:type="pct"/>
                  <w:tcBorders>
                    <w:tl2br w:val="nil"/>
                    <w:tr2bl w:val="nil"/>
                  </w:tcBorders>
                  <w:vAlign w:val="center"/>
                </w:tcPr>
                <w:p w14:paraId="1C0206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color w:val="auto"/>
                      <w:sz w:val="21"/>
                      <w:szCs w:val="21"/>
                      <w:lang w:val="en-US" w:eastAsia="zh-CN"/>
                    </w:rPr>
                    <w:t>/</w:t>
                  </w:r>
                </w:p>
              </w:tc>
              <w:tc>
                <w:tcPr>
                  <w:tcW w:w="618" w:type="pct"/>
                  <w:tcBorders>
                    <w:tl2br w:val="nil"/>
                    <w:tr2bl w:val="nil"/>
                  </w:tcBorders>
                  <w:vAlign w:val="center"/>
                </w:tcPr>
                <w:p w14:paraId="706743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3.2</w:t>
                  </w:r>
                </w:p>
              </w:tc>
              <w:tc>
                <w:tcPr>
                  <w:tcW w:w="562" w:type="pct"/>
                  <w:tcBorders>
                    <w:tl2br w:val="nil"/>
                    <w:tr2bl w:val="nil"/>
                  </w:tcBorders>
                  <w:vAlign w:val="center"/>
                </w:tcPr>
                <w:p w14:paraId="541966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w:t>
                  </w:r>
                </w:p>
              </w:tc>
              <w:tc>
                <w:tcPr>
                  <w:tcW w:w="612" w:type="pct"/>
                  <w:tcBorders>
                    <w:tl2br w:val="nil"/>
                    <w:tr2bl w:val="nil"/>
                  </w:tcBorders>
                  <w:vAlign w:val="center"/>
                </w:tcPr>
                <w:p w14:paraId="56C2F0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w:t>
                  </w:r>
                </w:p>
              </w:tc>
              <w:tc>
                <w:tcPr>
                  <w:tcW w:w="612" w:type="pct"/>
                  <w:tcBorders>
                    <w:tl2br w:val="nil"/>
                    <w:tr2bl w:val="nil"/>
                  </w:tcBorders>
                  <w:vAlign w:val="center"/>
                </w:tcPr>
                <w:p w14:paraId="5BBCB2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rPr>
                  </w:pPr>
                  <w:r>
                    <w:rPr>
                      <w:rFonts w:hint="eastAsia" w:ascii="宋体" w:hAnsi="宋体" w:eastAsia="宋体" w:cs="宋体"/>
                      <w:color w:val="auto"/>
                      <w:spacing w:val="13"/>
                      <w:sz w:val="21"/>
                      <w:szCs w:val="21"/>
                      <w:lang w:val="en-US" w:eastAsia="zh-CN"/>
                    </w:rPr>
                    <w:t>不合格品处理工房加工后外售</w:t>
                  </w:r>
                </w:p>
              </w:tc>
            </w:tr>
          </w:tbl>
          <w:p w14:paraId="750FFC9C">
            <w:pPr>
              <w:pStyle w:val="112"/>
              <w:numPr>
                <w:ilvl w:val="0"/>
                <w:numId w:val="8"/>
              </w:numPr>
              <w:ind w:firstLine="482"/>
              <w:outlineLvl w:val="9"/>
              <w:rPr>
                <w:rFonts w:hint="eastAsia"/>
                <w:b/>
                <w:bCs/>
                <w:color w:val="auto"/>
                <w:lang w:val="en-US" w:eastAsia="zh-CN"/>
              </w:rPr>
            </w:pPr>
            <w:bookmarkStart w:id="231" w:name="_Toc29319"/>
            <w:bookmarkStart w:id="232" w:name="_Toc25486"/>
            <w:r>
              <w:rPr>
                <w:rFonts w:hint="eastAsia"/>
                <w:b/>
                <w:bCs/>
                <w:color w:val="auto"/>
                <w:lang w:val="en-US" w:eastAsia="zh-CN"/>
              </w:rPr>
              <w:t>环保设施依托可行性</w:t>
            </w:r>
          </w:p>
          <w:p w14:paraId="4C035BE5">
            <w:pPr>
              <w:pStyle w:val="112"/>
              <w:numPr>
                <w:ilvl w:val="0"/>
                <w:numId w:val="0"/>
              </w:numPr>
              <w:ind w:firstLine="480" w:firstLineChars="200"/>
              <w:outlineLvl w:val="9"/>
              <w:rPr>
                <w:rFonts w:hint="default"/>
                <w:b w:val="0"/>
                <w:bCs w:val="0"/>
                <w:color w:val="auto"/>
                <w:lang w:val="en-US" w:eastAsia="zh-CN"/>
              </w:rPr>
            </w:pPr>
            <w:r>
              <w:rPr>
                <w:rFonts w:hint="eastAsia"/>
                <w:b w:val="0"/>
                <w:bCs w:val="0"/>
                <w:color w:val="auto"/>
                <w:lang w:val="en-US" w:eastAsia="zh-CN"/>
              </w:rPr>
              <w:t>1）危险废物贮存点依托可行性</w:t>
            </w:r>
          </w:p>
          <w:p w14:paraId="14AEA765">
            <w:pPr>
              <w:pStyle w:val="41"/>
              <w:spacing w:after="0" w:line="360" w:lineRule="auto"/>
              <w:ind w:left="0" w:leftChars="0" w:firstLine="480" w:firstLineChars="200"/>
              <w:outlineLvl w:val="9"/>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sz w:val="24"/>
                <w:szCs w:val="24"/>
                <w:lang w:val="en-US" w:eastAsia="zh-CN"/>
              </w:rPr>
              <w:t>本项目依托辽宁红山材料库内现有1个15m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的危险废物贮存点，危险废物最大贮存能力为3t，</w:t>
            </w:r>
            <w:r>
              <w:rPr>
                <w:rFonts w:hint="eastAsia" w:ascii="Times New Roman" w:hAnsi="Times New Roman" w:eastAsia="宋体" w:cs="Times New Roman"/>
                <w:color w:val="auto"/>
                <w:sz w:val="24"/>
                <w:szCs w:val="24"/>
                <w:highlight w:val="none"/>
                <w:lang w:val="en-US" w:eastAsia="zh-CN"/>
              </w:rPr>
              <w:t>目前仅用于贮存铵油炸药和乳化炸药生产线产生的危险废物，管理权归属辽宁红山。</w:t>
            </w:r>
            <w:r>
              <w:rPr>
                <w:rFonts w:hint="eastAsia" w:ascii="Times New Roman" w:hAnsi="Times New Roman" w:eastAsia="宋体" w:cs="Times New Roman"/>
                <w:color w:val="auto"/>
                <w:kern w:val="2"/>
                <w:sz w:val="24"/>
                <w:szCs w:val="24"/>
                <w:highlight w:val="none"/>
                <w:lang w:val="en-US" w:eastAsia="zh-CN" w:bidi="ar-SA"/>
              </w:rPr>
              <w:t>本项目危险废物产生量为2.126t/a，年周转4次，故本项目危险废物最大贮存量为0.53t/a。根据现有工程污染物排放量核算，现有工程危险废物产生量为4.10t/a，年周转4次，现有工程危险废物最大贮存量为1.03t/a。本项目建成后，全厂危险废物最大贮存量为1.56t/a，未超过贮存点贮存能力，依托可行。</w:t>
            </w:r>
          </w:p>
          <w:p w14:paraId="11084A5E">
            <w:pPr>
              <w:pStyle w:val="112"/>
              <w:numPr>
                <w:ilvl w:val="0"/>
                <w:numId w:val="0"/>
              </w:numPr>
              <w:ind w:firstLine="480" w:firstLineChars="200"/>
              <w:outlineLvl w:val="9"/>
              <w:rPr>
                <w:rFonts w:hint="eastAsia"/>
                <w:b w:val="0"/>
                <w:bCs w:val="0"/>
                <w:color w:val="auto"/>
                <w:lang w:val="en-US" w:eastAsia="zh-CN"/>
              </w:rPr>
            </w:pPr>
            <w:r>
              <w:rPr>
                <w:rFonts w:hint="eastAsia"/>
                <w:b w:val="0"/>
                <w:bCs w:val="0"/>
                <w:color w:val="auto"/>
                <w:lang w:val="en-US" w:eastAsia="zh-CN"/>
              </w:rPr>
              <w:t>2）销毁场依托可行性</w:t>
            </w:r>
          </w:p>
          <w:p w14:paraId="35636B8F">
            <w:pPr>
              <w:pStyle w:val="41"/>
              <w:spacing w:after="0" w:line="360" w:lineRule="auto"/>
              <w:ind w:left="0" w:leftChars="0" w:firstLine="480" w:firstLineChars="200"/>
              <w:outlineLvl w:val="9"/>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依托辽宁红山销毁场，设置在辽宁红山厂区西侧的山沟里，占地面积约696平方米，主要采用烧毁法销毁，销毁场设置符合《民用爆炸物品工程设计安全标准》（GB50089-2018）。本项目采用烧毁法销毁硝酸铵类炸药包装，沾染少量硝酸铵类炸药，一次销毁药量不超过200kg，依托辽宁红山销毁场可行。</w:t>
            </w:r>
          </w:p>
          <w:p w14:paraId="11670D18">
            <w:pPr>
              <w:pStyle w:val="112"/>
              <w:numPr>
                <w:ilvl w:val="0"/>
                <w:numId w:val="8"/>
              </w:numPr>
              <w:ind w:firstLine="482"/>
              <w:outlineLvl w:val="9"/>
              <w:rPr>
                <w:rFonts w:hint="eastAsia"/>
                <w:b/>
                <w:bCs/>
                <w:color w:val="auto"/>
                <w:lang w:val="en-US" w:eastAsia="zh-CN"/>
              </w:rPr>
            </w:pPr>
            <w:r>
              <w:rPr>
                <w:rFonts w:hint="eastAsia"/>
                <w:b/>
                <w:bCs/>
                <w:color w:val="auto"/>
                <w:lang w:val="en-US" w:eastAsia="zh-CN"/>
              </w:rPr>
              <w:t>环境管理要求</w:t>
            </w:r>
            <w:bookmarkEnd w:id="231"/>
            <w:bookmarkEnd w:id="232"/>
          </w:p>
          <w:p w14:paraId="00AD42D0">
            <w:pPr>
              <w:pStyle w:val="115"/>
              <w:spacing w:line="360" w:lineRule="auto"/>
              <w:ind w:firstLine="464" w:firstLineChars="200"/>
              <w:outlineLvl w:val="9"/>
              <w:rPr>
                <w:rFonts w:hint="eastAsia" w:ascii="Times New Roman" w:hAnsi="Times New Roman" w:eastAsia="Times New Roman" w:cs="Times New Roman"/>
                <w:b/>
                <w:bCs/>
                <w:color w:val="auto"/>
                <w:spacing w:val="-4"/>
                <w:lang w:eastAsia="zh-CN"/>
              </w:rPr>
            </w:pPr>
            <w:r>
              <w:rPr>
                <w:rFonts w:hint="eastAsia" w:ascii="Times New Roman" w:hAnsi="Times New Roman" w:eastAsia="Times New Roman" w:cs="Times New Roman"/>
                <w:b/>
                <w:bCs/>
                <w:color w:val="auto"/>
                <w:spacing w:val="-4"/>
                <w:lang w:eastAsia="zh-CN"/>
              </w:rPr>
              <w:t>1）一般工业固体废物</w:t>
            </w:r>
          </w:p>
          <w:p w14:paraId="708D1B4F">
            <w:pPr>
              <w:spacing w:line="360" w:lineRule="auto"/>
              <w:ind w:firstLine="480"/>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本项目在工房外</w:t>
            </w:r>
            <w:r>
              <w:rPr>
                <w:rFonts w:hint="eastAsia" w:cs="Times New Roman"/>
                <w:color w:val="auto"/>
                <w:sz w:val="24"/>
                <w:szCs w:val="24"/>
                <w:lang w:val="en-US" w:eastAsia="zh-CN"/>
              </w:rPr>
              <w:t>指定位置设置带盖收集桶，</w:t>
            </w:r>
            <w:r>
              <w:rPr>
                <w:rFonts w:hint="eastAsia" w:ascii="Times New Roman" w:hAnsi="Times New Roman" w:eastAsia="宋体" w:cs="Times New Roman"/>
                <w:color w:val="auto"/>
                <w:sz w:val="24"/>
                <w:szCs w:val="24"/>
                <w:lang w:val="en-US" w:eastAsia="zh-CN"/>
              </w:rPr>
              <w:t>容积为1.5m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并设置专用标识，用于分类收集暂存营运期产生的一般固废，暂存后全部外售，满足固体废物“资源化、减量化、无害化”的要求。收集箱为一体防渗漏材质，并加盖封闭，可满足“防风、防雨、防晒”及《一般工业固体废物贮存和填埋污染控制标准》（GB 18599-2020）中的相关要求。</w:t>
            </w:r>
          </w:p>
          <w:p w14:paraId="3EC9002E">
            <w:pPr>
              <w:pStyle w:val="115"/>
              <w:spacing w:line="360" w:lineRule="auto"/>
              <w:ind w:firstLine="464" w:firstLineChars="200"/>
              <w:outlineLvl w:val="9"/>
              <w:rPr>
                <w:rFonts w:ascii="Times New Roman" w:hAnsi="Times New Roman" w:eastAsia="Times New Roman" w:cs="Times New Roman"/>
                <w:b/>
                <w:bCs/>
                <w:color w:val="auto"/>
                <w:spacing w:val="-4"/>
                <w:lang w:eastAsia="zh-CN"/>
              </w:rPr>
            </w:pPr>
            <w:r>
              <w:rPr>
                <w:rFonts w:hint="eastAsia" w:ascii="Times New Roman" w:hAnsi="Times New Roman" w:eastAsia="Times New Roman" w:cs="Times New Roman"/>
                <w:b/>
                <w:bCs/>
                <w:color w:val="auto"/>
                <w:spacing w:val="-4"/>
                <w:lang w:eastAsia="zh-CN"/>
              </w:rPr>
              <w:t>2</w:t>
            </w:r>
            <w:r>
              <w:rPr>
                <w:rFonts w:ascii="Times New Roman" w:hAnsi="Times New Roman" w:eastAsia="Times New Roman" w:cs="Times New Roman"/>
                <w:b/>
                <w:bCs/>
                <w:color w:val="auto"/>
                <w:spacing w:val="-4"/>
                <w:lang w:eastAsia="zh-CN"/>
              </w:rPr>
              <w:t>）危险废物</w:t>
            </w:r>
          </w:p>
          <w:p w14:paraId="48CE315A">
            <w:pPr>
              <w:spacing w:line="360" w:lineRule="auto"/>
              <w:ind w:firstLine="480"/>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本项目依托辽宁红山材料库内现有1个15m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的危险废物贮存点，危险废物最大贮存能力为</w:t>
            </w:r>
            <w:r>
              <w:rPr>
                <w:rFonts w:hint="eastAsia"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t，</w:t>
            </w:r>
            <w:r>
              <w:rPr>
                <w:rFonts w:hint="eastAsia" w:ascii="Times New Roman" w:hAnsi="Times New Roman" w:eastAsia="宋体" w:cs="Times New Roman"/>
                <w:color w:val="auto"/>
                <w:sz w:val="24"/>
                <w:szCs w:val="24"/>
                <w:highlight w:val="none"/>
                <w:lang w:val="en-US" w:eastAsia="zh-CN"/>
              </w:rPr>
              <w:t>目前仅用于贮存铵油炸药和乳化炸药生产线产生的危险废物，管理权归属辽宁红山</w:t>
            </w:r>
            <w:r>
              <w:rPr>
                <w:rFonts w:hint="eastAsia" w:cs="Times New Roman"/>
                <w:color w:val="auto"/>
                <w:sz w:val="24"/>
                <w:szCs w:val="24"/>
                <w:highlight w:val="none"/>
                <w:lang w:val="en-US" w:eastAsia="zh-CN"/>
              </w:rPr>
              <w:t>，已通过环保验收</w:t>
            </w:r>
            <w:r>
              <w:rPr>
                <w:rFonts w:hint="eastAsia" w:ascii="Times New Roman" w:hAnsi="Times New Roman" w:eastAsia="宋体" w:cs="Times New Roman"/>
                <w:color w:val="auto"/>
                <w:sz w:val="24"/>
                <w:szCs w:val="24"/>
                <w:highlight w:val="none"/>
                <w:lang w:val="en-US" w:eastAsia="zh-CN"/>
              </w:rPr>
              <w:t>。现有危废贮存点建设符合《危险废物贮存污染控制标准》（GB18597-2023）的选址和建设要求，具有固定的区域边界，并应采取</w:t>
            </w:r>
            <w:r>
              <w:rPr>
                <w:rFonts w:hint="eastAsia" w:ascii="Times New Roman" w:hAnsi="Times New Roman" w:eastAsia="宋体" w:cs="Times New Roman"/>
                <w:color w:val="auto"/>
                <w:sz w:val="24"/>
                <w:szCs w:val="24"/>
                <w:lang w:val="en-US" w:eastAsia="zh-CN"/>
              </w:rPr>
              <w:t>与其他区域进行隔离的措施；采取防风、防雨、防晒和防止危险废物流失、扬散等措施；贮存的危险废物分类置于密封的容器或包装物中，分区存放；贮存点采取防渗、防漏等污染防治措施，防渗符合重点防渗要求，渗透系数不大于10-10 cm/s），设置堵截泄漏的围堰；按</w:t>
            </w:r>
            <w:bookmarkStart w:id="233" w:name="OLE_LINK165"/>
            <w:bookmarkStart w:id="234" w:name="OLE_LINK166"/>
            <w:r>
              <w:rPr>
                <w:rFonts w:hint="eastAsia" w:ascii="Times New Roman" w:hAnsi="Times New Roman" w:eastAsia="宋体" w:cs="Times New Roman"/>
                <w:color w:val="auto"/>
                <w:sz w:val="24"/>
                <w:szCs w:val="24"/>
                <w:lang w:val="en-US" w:eastAsia="zh-CN"/>
              </w:rPr>
              <w:t>《危险废物识别标志设置技术规范》</w:t>
            </w:r>
            <w:bookmarkEnd w:id="233"/>
            <w:r>
              <w:rPr>
                <w:rFonts w:hint="eastAsia" w:ascii="Times New Roman" w:hAnsi="Times New Roman" w:eastAsia="宋体" w:cs="Times New Roman"/>
                <w:color w:val="auto"/>
                <w:sz w:val="24"/>
                <w:szCs w:val="24"/>
                <w:lang w:val="en-US" w:eastAsia="zh-CN"/>
              </w:rPr>
              <w:t>（HJ 1276—2022）</w:t>
            </w:r>
            <w:bookmarkEnd w:id="234"/>
            <w:r>
              <w:rPr>
                <w:rFonts w:hint="eastAsia" w:ascii="Times New Roman" w:hAnsi="Times New Roman" w:eastAsia="宋体" w:cs="Times New Roman"/>
                <w:color w:val="auto"/>
                <w:sz w:val="24"/>
                <w:szCs w:val="24"/>
                <w:lang w:val="en-US" w:eastAsia="zh-CN"/>
              </w:rPr>
              <w:t>设置标识，专人管理；按《危险废物转移管理办法 部令第23号》管理要求转移危险废物，交由有资质单位定期外运处置，签订委托协议，并形成</w:t>
            </w:r>
            <w:r>
              <w:rPr>
                <w:rFonts w:hint="eastAsia" w:cs="Times New Roman"/>
                <w:color w:val="auto"/>
                <w:sz w:val="24"/>
                <w:szCs w:val="24"/>
                <w:lang w:val="en-US" w:eastAsia="zh-CN"/>
              </w:rPr>
              <w:t>管理台账</w:t>
            </w:r>
            <w:r>
              <w:rPr>
                <w:rFonts w:hint="eastAsia" w:ascii="Times New Roman" w:hAnsi="Times New Roman" w:eastAsia="宋体" w:cs="Times New Roman"/>
                <w:color w:val="auto"/>
                <w:sz w:val="24"/>
                <w:szCs w:val="24"/>
                <w:lang w:val="en-US" w:eastAsia="zh-CN"/>
              </w:rPr>
              <w:t>备查。</w:t>
            </w:r>
          </w:p>
          <w:p w14:paraId="4BF29E1E">
            <w:pPr>
              <w:spacing w:line="360" w:lineRule="auto"/>
              <w:ind w:firstLine="480"/>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为加强环境管理，提出运营期危险废物管理建议如下：</w:t>
            </w:r>
          </w:p>
          <w:p w14:paraId="5CC0FBAE">
            <w:pPr>
              <w:spacing w:line="360" w:lineRule="auto"/>
              <w:ind w:firstLine="480"/>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（1）定期巡逻，检查贮存设施的安全性，防渗层的完整性，确保贮存设施正常运行。</w:t>
            </w:r>
          </w:p>
          <w:p w14:paraId="198DE2DF">
            <w:pPr>
              <w:spacing w:line="360" w:lineRule="auto"/>
              <w:ind w:firstLine="480"/>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（2）危险废物产生后及时转移至贮存设施，转移过程中遵守转移规定，避免造成二次污染。</w:t>
            </w:r>
          </w:p>
          <w:p w14:paraId="76DA5026">
            <w:pPr>
              <w:spacing w:line="360" w:lineRule="auto"/>
              <w:ind w:firstLine="480"/>
              <w:outlineLvl w:val="9"/>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（3）根据生产情况合理安排外运计划，不超量长期贮存，按申报种类贮存。</w:t>
            </w:r>
          </w:p>
          <w:p w14:paraId="210E85C4">
            <w:pPr>
              <w:spacing w:line="360" w:lineRule="auto"/>
              <w:ind w:firstLine="480"/>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（4）危险废物的运输参照《危险废物收集贮存运输技术规范》（HJ2025-2012），建设单位可与危废处置单位共同研究危险废物运输的有关事宜，应</w:t>
            </w:r>
            <w:r>
              <w:rPr>
                <w:rFonts w:hint="eastAsia" w:cs="Times New Roman"/>
                <w:color w:val="auto"/>
                <w:sz w:val="24"/>
                <w:szCs w:val="24"/>
                <w:lang w:val="en-US" w:eastAsia="zh-CN"/>
              </w:rPr>
              <w:t>制定</w:t>
            </w:r>
            <w:r>
              <w:rPr>
                <w:rFonts w:hint="eastAsia" w:ascii="Times New Roman" w:hAnsi="Times New Roman" w:eastAsia="宋体" w:cs="Times New Roman"/>
                <w:color w:val="auto"/>
                <w:sz w:val="24"/>
                <w:szCs w:val="24"/>
                <w:lang w:val="en-US" w:eastAsia="zh-CN"/>
              </w:rPr>
              <w:t>危险废物往返收集网络路线，确保危险废物的运输安全可靠，减少或避免运输过程中的二次污染和可能造成的环境风险。</w:t>
            </w:r>
          </w:p>
          <w:p w14:paraId="5CF6B99D">
            <w:pPr>
              <w:spacing w:line="360" w:lineRule="auto"/>
              <w:ind w:firstLine="480"/>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做好每次外运处置废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w:t>
            </w:r>
            <w:r>
              <w:rPr>
                <w:rFonts w:hint="eastAsia" w:cs="Times New Roman"/>
                <w:color w:val="auto"/>
                <w:sz w:val="24"/>
                <w:szCs w:val="24"/>
                <w:lang w:val="en-US" w:eastAsia="zh-CN"/>
              </w:rPr>
              <w:t>接收单位</w:t>
            </w:r>
            <w:r>
              <w:rPr>
                <w:rFonts w:hint="eastAsia" w:ascii="Times New Roman" w:hAnsi="Times New Roman" w:eastAsia="宋体" w:cs="Times New Roman"/>
                <w:color w:val="auto"/>
                <w:sz w:val="24"/>
                <w:szCs w:val="24"/>
                <w:lang w:val="en-US" w:eastAsia="zh-CN"/>
              </w:rPr>
              <w:t xml:space="preserve">，第五联交接受地生态环境局。 </w:t>
            </w:r>
          </w:p>
          <w:p w14:paraId="26EA2252">
            <w:pPr>
              <w:spacing w:line="360" w:lineRule="auto"/>
              <w:ind w:firstLine="480" w:firstLineChars="200"/>
              <w:outlineLvl w:val="9"/>
              <w:rPr>
                <w:color w:val="auto"/>
                <w:sz w:val="24"/>
              </w:rPr>
            </w:pPr>
            <w:r>
              <w:rPr>
                <w:color w:val="auto"/>
                <w:sz w:val="24"/>
              </w:rPr>
              <w:t>综上，本项目固体废物均按要求暂存和处置，对环境影响较小。</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52"/>
              <w:gridCol w:w="5859"/>
            </w:tblGrid>
            <w:tr w14:paraId="7DB28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0" w:type="dxa"/>
                  <w:vAlign w:val="center"/>
                </w:tcPr>
                <w:p w14:paraId="12023A3C">
                  <w:pPr>
                    <w:pStyle w:val="41"/>
                    <w:ind w:left="0" w:leftChars="0" w:firstLine="0" w:firstLineChars="0"/>
                    <w:rPr>
                      <w:rFonts w:hint="default"/>
                      <w:color w:val="auto"/>
                      <w:vertAlign w:val="baseline"/>
                      <w:lang w:val="en-US" w:eastAsia="zh-CN"/>
                    </w:rPr>
                  </w:pPr>
                  <w:r>
                    <w:rPr>
                      <w:color w:val="auto"/>
                    </w:rPr>
                    <w:drawing>
                      <wp:inline distT="0" distB="0" distL="114300" distR="114300">
                        <wp:extent cx="3044190" cy="2339975"/>
                        <wp:effectExtent l="0" t="0" r="3810" b="3175"/>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pic:cNvPicPr>
                              </pic:nvPicPr>
                              <pic:blipFill>
                                <a:blip r:embed="rId64"/>
                                <a:stretch>
                                  <a:fillRect/>
                                </a:stretch>
                              </pic:blipFill>
                              <pic:spPr>
                                <a:xfrm>
                                  <a:off x="0" y="0"/>
                                  <a:ext cx="3044190" cy="2339975"/>
                                </a:xfrm>
                                <a:prstGeom prst="rect">
                                  <a:avLst/>
                                </a:prstGeom>
                                <a:noFill/>
                                <a:ln>
                                  <a:noFill/>
                                </a:ln>
                              </pic:spPr>
                            </pic:pic>
                          </a:graphicData>
                        </a:graphic>
                      </wp:inline>
                    </w:drawing>
                  </w:r>
                </w:p>
              </w:tc>
              <w:tc>
                <w:tcPr>
                  <w:tcW w:w="5861" w:type="dxa"/>
                  <w:vAlign w:val="center"/>
                </w:tcPr>
                <w:p w14:paraId="199D7175">
                  <w:pPr>
                    <w:pStyle w:val="41"/>
                    <w:ind w:left="0" w:leftChars="0" w:firstLine="0" w:firstLineChars="0"/>
                    <w:rPr>
                      <w:rFonts w:hint="default"/>
                      <w:color w:val="auto"/>
                      <w:vertAlign w:val="baseline"/>
                      <w:lang w:val="en-US" w:eastAsia="zh-CN"/>
                    </w:rPr>
                  </w:pPr>
                  <w:r>
                    <w:rPr>
                      <w:color w:val="auto"/>
                    </w:rPr>
                    <w:drawing>
                      <wp:inline distT="0" distB="0" distL="114300" distR="114300">
                        <wp:extent cx="3440430" cy="2339975"/>
                        <wp:effectExtent l="0" t="0" r="7620" b="3175"/>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65"/>
                                <a:stretch>
                                  <a:fillRect/>
                                </a:stretch>
                              </pic:blipFill>
                              <pic:spPr>
                                <a:xfrm>
                                  <a:off x="0" y="0"/>
                                  <a:ext cx="3440430" cy="2339975"/>
                                </a:xfrm>
                                <a:prstGeom prst="rect">
                                  <a:avLst/>
                                </a:prstGeom>
                                <a:noFill/>
                                <a:ln>
                                  <a:noFill/>
                                </a:ln>
                              </pic:spPr>
                            </pic:pic>
                          </a:graphicData>
                        </a:graphic>
                      </wp:inline>
                    </w:drawing>
                  </w:r>
                </w:p>
              </w:tc>
            </w:tr>
            <w:tr w14:paraId="100D7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60" w:type="dxa"/>
                  <w:vAlign w:val="center"/>
                </w:tcPr>
                <w:p w14:paraId="0CE84B04">
                  <w:pPr>
                    <w:pStyle w:val="41"/>
                    <w:keepNext w:val="0"/>
                    <w:keepLines w:val="0"/>
                    <w:pageBreakBefore w:val="0"/>
                    <w:widowControl w:val="0"/>
                    <w:kinsoku/>
                    <w:wordWrap/>
                    <w:overflowPunct/>
                    <w:topLinePunct w:val="0"/>
                    <w:autoSpaceDE/>
                    <w:autoSpaceDN/>
                    <w:bidi w:val="0"/>
                    <w:adjustRightInd/>
                    <w:snapToGrid/>
                    <w:spacing w:after="0"/>
                    <w:ind w:left="0" w:leftChars="0"/>
                    <w:jc w:val="center"/>
                    <w:textAlignment w:val="auto"/>
                    <w:rPr>
                      <w:rFonts w:hint="default"/>
                      <w:color w:val="auto"/>
                      <w:vertAlign w:val="baseline"/>
                      <w:lang w:val="en-US" w:eastAsia="zh-CN"/>
                    </w:rPr>
                  </w:pPr>
                  <w:r>
                    <w:rPr>
                      <w:rFonts w:hint="eastAsia"/>
                      <w:color w:val="auto"/>
                      <w:vertAlign w:val="baseline"/>
                      <w:lang w:val="en-US" w:eastAsia="zh-CN"/>
                    </w:rPr>
                    <w:t>危险废物贮存点（外部）</w:t>
                  </w:r>
                </w:p>
              </w:tc>
              <w:tc>
                <w:tcPr>
                  <w:tcW w:w="5861" w:type="dxa"/>
                  <w:vAlign w:val="center"/>
                </w:tcPr>
                <w:p w14:paraId="76638B7E">
                  <w:pPr>
                    <w:pStyle w:val="41"/>
                    <w:keepNext w:val="0"/>
                    <w:keepLines w:val="0"/>
                    <w:pageBreakBefore w:val="0"/>
                    <w:widowControl w:val="0"/>
                    <w:kinsoku/>
                    <w:wordWrap/>
                    <w:overflowPunct/>
                    <w:topLinePunct w:val="0"/>
                    <w:autoSpaceDE/>
                    <w:autoSpaceDN/>
                    <w:bidi w:val="0"/>
                    <w:adjustRightInd/>
                    <w:snapToGrid/>
                    <w:spacing w:after="0"/>
                    <w:ind w:left="0" w:leftChars="0"/>
                    <w:jc w:val="center"/>
                    <w:textAlignment w:val="auto"/>
                    <w:rPr>
                      <w:rFonts w:hint="default"/>
                      <w:color w:val="auto"/>
                      <w:vertAlign w:val="baseline"/>
                      <w:lang w:val="en-US" w:eastAsia="zh-CN"/>
                    </w:rPr>
                  </w:pPr>
                  <w:r>
                    <w:rPr>
                      <w:rFonts w:hint="eastAsia"/>
                      <w:color w:val="auto"/>
                      <w:vertAlign w:val="baseline"/>
                      <w:lang w:val="en-US" w:eastAsia="zh-CN"/>
                    </w:rPr>
                    <w:t>危险废物贮存点（内部）</w:t>
                  </w:r>
                </w:p>
              </w:tc>
            </w:tr>
          </w:tbl>
          <w:p w14:paraId="1C248F22">
            <w:pPr>
              <w:pStyle w:val="56"/>
              <w:spacing w:line="360" w:lineRule="auto"/>
              <w:outlineLvl w:val="9"/>
              <w:rPr>
                <w:rFonts w:hint="default" w:ascii="Times New Roman" w:hAnsi="Times New Roman"/>
                <w:b/>
                <w:color w:val="auto"/>
                <w:szCs w:val="24"/>
              </w:rPr>
            </w:pPr>
            <w:bookmarkStart w:id="235" w:name="_Toc23233"/>
            <w:bookmarkStart w:id="236" w:name="_Toc3695"/>
            <w:bookmarkStart w:id="237" w:name="_Toc22441"/>
            <w:bookmarkStart w:id="238" w:name="_Toc703"/>
            <w:bookmarkStart w:id="239" w:name="_Toc19706"/>
            <w:bookmarkStart w:id="240" w:name="_Toc16849"/>
            <w:r>
              <w:rPr>
                <w:rFonts w:hint="default" w:ascii="Times New Roman" w:hAnsi="Times New Roman"/>
                <w:b/>
                <w:color w:val="auto"/>
                <w:szCs w:val="24"/>
              </w:rPr>
              <w:t>五、地下水、土壤环境影响分析及防控措施</w:t>
            </w:r>
            <w:bookmarkEnd w:id="235"/>
            <w:bookmarkEnd w:id="236"/>
            <w:bookmarkEnd w:id="237"/>
            <w:bookmarkEnd w:id="238"/>
            <w:bookmarkEnd w:id="239"/>
            <w:bookmarkEnd w:id="240"/>
          </w:p>
          <w:p w14:paraId="3B376FED">
            <w:pPr>
              <w:widowControl/>
              <w:snapToGrid w:val="0"/>
              <w:spacing w:line="360" w:lineRule="auto"/>
              <w:ind w:firstLine="480" w:firstLineChars="200"/>
              <w:outlineLvl w:val="9"/>
              <w:rPr>
                <w:color w:val="auto"/>
                <w:sz w:val="24"/>
              </w:rPr>
            </w:pPr>
            <w:r>
              <w:rPr>
                <w:color w:val="auto"/>
                <w:sz w:val="24"/>
              </w:rPr>
              <w:t>土壤、地下水污染具有不易发现和一旦污染很难治理的特点，因此，土壤</w:t>
            </w:r>
            <w:r>
              <w:rPr>
                <w:rFonts w:hint="eastAsia"/>
                <w:color w:val="auto"/>
                <w:sz w:val="24"/>
                <w:lang w:eastAsia="zh-CN"/>
              </w:rPr>
              <w:t>地下水</w:t>
            </w:r>
            <w:r>
              <w:rPr>
                <w:color w:val="auto"/>
                <w:sz w:val="24"/>
              </w:rPr>
              <w:t>污染的环境管理应采取主动的预防保护和被动的防渗治理相结合。本项目污染途径为</w:t>
            </w:r>
            <w:r>
              <w:rPr>
                <w:rFonts w:hint="eastAsia"/>
                <w:color w:val="auto"/>
                <w:sz w:val="24"/>
              </w:rPr>
              <w:t>物料散落随降水入渗，</w:t>
            </w:r>
            <w:r>
              <w:rPr>
                <w:color w:val="auto"/>
                <w:sz w:val="24"/>
              </w:rPr>
              <w:t>而对地下水和土壤产生污染。本项目土壤和地下水污染防治措施按照“源头控制、分区防治、污染监控、应急响应”相结合的原则，从污染物的产生、入渗、扩散、应急响应进行控制。</w:t>
            </w:r>
          </w:p>
          <w:p w14:paraId="59A4D05A">
            <w:pPr>
              <w:widowControl/>
              <w:snapToGrid w:val="0"/>
              <w:spacing w:line="360" w:lineRule="auto"/>
              <w:ind w:firstLine="480" w:firstLineChars="200"/>
              <w:outlineLvl w:val="9"/>
              <w:rPr>
                <w:color w:val="auto"/>
                <w:sz w:val="24"/>
              </w:rPr>
            </w:pPr>
            <w:r>
              <w:rPr>
                <w:color w:val="auto"/>
                <w:sz w:val="24"/>
              </w:rPr>
              <w:t xml:space="preserve">（1）源头控制措施 </w:t>
            </w:r>
          </w:p>
          <w:p w14:paraId="760008E9">
            <w:pPr>
              <w:spacing w:line="360" w:lineRule="auto"/>
              <w:ind w:firstLine="480" w:firstLineChars="200"/>
              <w:outlineLvl w:val="9"/>
              <w:rPr>
                <w:color w:val="auto"/>
                <w:sz w:val="24"/>
              </w:rPr>
            </w:pPr>
            <w:r>
              <w:rPr>
                <w:color w:val="auto"/>
                <w:sz w:val="24"/>
              </w:rPr>
              <w:t>建设单位严格按照国家相关规范要求，对工艺、管道、设备、污水储存构筑物采取相应的措施，以防止可能发生的污染物跑、冒、滴、漏，将废水泄漏的环境风险事故降低到最低程度。</w:t>
            </w:r>
          </w:p>
          <w:p w14:paraId="2B4E66E3">
            <w:pPr>
              <w:widowControl/>
              <w:snapToGrid w:val="0"/>
              <w:spacing w:line="360" w:lineRule="auto"/>
              <w:ind w:firstLine="480" w:firstLineChars="200"/>
              <w:outlineLvl w:val="9"/>
              <w:rPr>
                <w:color w:val="auto"/>
                <w:sz w:val="24"/>
              </w:rPr>
            </w:pPr>
            <w:r>
              <w:rPr>
                <w:color w:val="auto"/>
                <w:sz w:val="24"/>
              </w:rPr>
              <w:t>对厂址区可能泄漏污染物的地面进行防渗处理，可有效防治污染物渗入地下，并及时将泄漏、渗漏的污染物收集并进行集中处理。</w:t>
            </w:r>
          </w:p>
          <w:p w14:paraId="17D2E958">
            <w:pPr>
              <w:widowControl/>
              <w:snapToGrid w:val="0"/>
              <w:spacing w:line="360" w:lineRule="auto"/>
              <w:ind w:left="420" w:leftChars="200"/>
              <w:outlineLvl w:val="9"/>
              <w:rPr>
                <w:color w:val="auto"/>
                <w:sz w:val="24"/>
              </w:rPr>
            </w:pPr>
            <w:r>
              <w:rPr>
                <w:rFonts w:hint="eastAsia"/>
                <w:color w:val="auto"/>
                <w:sz w:val="24"/>
              </w:rPr>
              <w:t>（2）</w:t>
            </w:r>
            <w:r>
              <w:rPr>
                <w:color w:val="auto"/>
                <w:sz w:val="24"/>
              </w:rPr>
              <w:t xml:space="preserve">分区控制措施 </w:t>
            </w:r>
          </w:p>
          <w:p w14:paraId="7FAE25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eastAsia="宋体"/>
                <w:color w:val="auto"/>
                <w:sz w:val="24"/>
                <w:szCs w:val="24"/>
                <w:lang w:val="en-US" w:eastAsia="zh-CN"/>
              </w:rPr>
            </w:pPr>
            <w:r>
              <w:rPr>
                <w:rFonts w:hint="eastAsia"/>
                <w:color w:val="auto"/>
                <w:sz w:val="24"/>
                <w:szCs w:val="24"/>
              </w:rPr>
              <w:t>系数</w:t>
            </w:r>
            <w:r>
              <w:rPr>
                <w:color w:val="auto"/>
                <w:sz w:val="24"/>
                <w:szCs w:val="24"/>
                <w:highlight w:val="none"/>
              </w:rPr>
              <w:t>根据</w:t>
            </w:r>
            <w:r>
              <w:rPr>
                <w:rFonts w:hint="eastAsia"/>
                <w:color w:val="auto"/>
                <w:sz w:val="24"/>
                <w:szCs w:val="24"/>
                <w:highlight w:val="none"/>
              </w:rPr>
              <w:t>本项目</w:t>
            </w:r>
            <w:r>
              <w:rPr>
                <w:color w:val="auto"/>
                <w:sz w:val="24"/>
                <w:szCs w:val="24"/>
                <w:highlight w:val="none"/>
              </w:rPr>
              <w:t>各生产单元划分为重点防渗区、</w:t>
            </w:r>
            <w:r>
              <w:rPr>
                <w:rFonts w:hint="eastAsia"/>
                <w:color w:val="auto"/>
                <w:sz w:val="24"/>
                <w:szCs w:val="24"/>
                <w:highlight w:val="none"/>
              </w:rPr>
              <w:t>一般</w:t>
            </w:r>
            <w:r>
              <w:rPr>
                <w:color w:val="auto"/>
                <w:sz w:val="24"/>
                <w:szCs w:val="24"/>
                <w:highlight w:val="none"/>
              </w:rPr>
              <w:t>防渗区</w:t>
            </w:r>
            <w:r>
              <w:rPr>
                <w:rFonts w:hint="eastAsia"/>
                <w:color w:val="auto"/>
                <w:sz w:val="24"/>
                <w:szCs w:val="24"/>
                <w:highlight w:val="none"/>
                <w:lang w:val="en-US" w:eastAsia="zh-CN"/>
              </w:rPr>
              <w:t>和简单防渗区</w:t>
            </w:r>
            <w:r>
              <w:rPr>
                <w:rFonts w:hint="eastAsia"/>
                <w:color w:val="auto"/>
                <w:sz w:val="24"/>
                <w:szCs w:val="24"/>
                <w:highlight w:val="none"/>
              </w:rPr>
              <w:t>。</w:t>
            </w:r>
            <w:r>
              <w:rPr>
                <w:color w:val="auto"/>
                <w:sz w:val="24"/>
                <w:szCs w:val="24"/>
                <w:highlight w:val="none"/>
              </w:rPr>
              <w:t>重点防渗区主要为</w:t>
            </w:r>
            <w:r>
              <w:rPr>
                <w:rFonts w:hint="eastAsia" w:ascii="宋体" w:hAnsi="宋体" w:eastAsia="宋体" w:cs="宋体"/>
                <w:color w:val="auto"/>
                <w:kern w:val="0"/>
                <w:sz w:val="24"/>
                <w:szCs w:val="24"/>
                <w:highlight w:val="none"/>
                <w:lang w:val="en-US" w:eastAsia="zh-CN" w:bidi="ar"/>
              </w:rPr>
              <w:t>水油相制备工房</w:t>
            </w:r>
            <w:r>
              <w:rPr>
                <w:rFonts w:hint="eastAsia"/>
                <w:color w:val="auto"/>
                <w:sz w:val="24"/>
                <w:szCs w:val="24"/>
                <w:highlight w:val="none"/>
              </w:rPr>
              <w:t>、</w:t>
            </w:r>
            <w:r>
              <w:rPr>
                <w:rFonts w:hint="eastAsia" w:ascii="宋体" w:hAnsi="宋体" w:eastAsia="宋体" w:cs="宋体"/>
                <w:color w:val="auto"/>
                <w:kern w:val="0"/>
                <w:sz w:val="24"/>
                <w:szCs w:val="24"/>
                <w:highlight w:val="none"/>
                <w:lang w:val="en-US" w:eastAsia="zh-CN" w:bidi="ar"/>
              </w:rPr>
              <w:t>乳化炸药震源药柱生产工房、硝酸铵（硝酸钠）库、硝酸铵溶液储罐区、</w:t>
            </w:r>
            <w:r>
              <w:rPr>
                <w:rFonts w:hint="eastAsia"/>
                <w:color w:val="auto"/>
                <w:sz w:val="24"/>
                <w:szCs w:val="24"/>
                <w:highlight w:val="none"/>
                <w:lang w:val="en-US" w:eastAsia="zh-CN"/>
              </w:rPr>
              <w:t>隔油沉淀池、危废贮存点、事故池、初期雨水池等，</w:t>
            </w:r>
            <w:r>
              <w:rPr>
                <w:rFonts w:hint="eastAsia"/>
                <w:color w:val="auto"/>
                <w:sz w:val="24"/>
                <w:szCs w:val="24"/>
                <w:highlight w:val="none"/>
              </w:rPr>
              <w:t>危废贮存点按照《</w:t>
            </w:r>
            <w:r>
              <w:rPr>
                <w:color w:val="auto"/>
                <w:sz w:val="24"/>
                <w:szCs w:val="24"/>
                <w:highlight w:val="none"/>
              </w:rPr>
              <w:t>危险废物贮存污染控制标准</w:t>
            </w:r>
            <w:r>
              <w:rPr>
                <w:rFonts w:hint="eastAsia"/>
                <w:color w:val="auto"/>
                <w:sz w:val="24"/>
                <w:szCs w:val="24"/>
                <w:highlight w:val="none"/>
              </w:rPr>
              <w:t>》（GB 18597-</w:t>
            </w:r>
            <w:r>
              <w:rPr>
                <w:color w:val="auto"/>
                <w:sz w:val="24"/>
                <w:szCs w:val="24"/>
                <w:highlight w:val="none"/>
              </w:rPr>
              <w:t>2023</w:t>
            </w:r>
            <w:r>
              <w:rPr>
                <w:rFonts w:hint="eastAsia"/>
                <w:color w:val="auto"/>
                <w:sz w:val="24"/>
                <w:szCs w:val="24"/>
                <w:highlight w:val="none"/>
              </w:rPr>
              <w:t>）中防渗技术要求为“防渗层为至少</w:t>
            </w:r>
            <w:r>
              <w:rPr>
                <w:color w:val="auto"/>
                <w:sz w:val="24"/>
                <w:szCs w:val="24"/>
                <w:highlight w:val="none"/>
              </w:rPr>
              <w:t>1 m</w:t>
            </w:r>
            <w:r>
              <w:rPr>
                <w:rFonts w:hint="eastAsia"/>
                <w:color w:val="auto"/>
                <w:sz w:val="24"/>
                <w:szCs w:val="24"/>
                <w:highlight w:val="none"/>
              </w:rPr>
              <w:t>厚黏土层（渗透</w:t>
            </w:r>
            <w:r>
              <w:rPr>
                <w:rFonts w:hint="eastAsia"/>
                <w:color w:val="auto"/>
                <w:sz w:val="24"/>
                <w:szCs w:val="24"/>
              </w:rPr>
              <w:t>不大于</w:t>
            </w:r>
            <w:r>
              <w:rPr>
                <w:color w:val="auto"/>
                <w:sz w:val="24"/>
                <w:szCs w:val="24"/>
              </w:rPr>
              <w:t>10</w:t>
            </w:r>
            <w:r>
              <w:rPr>
                <w:color w:val="auto"/>
                <w:sz w:val="24"/>
                <w:szCs w:val="24"/>
                <w:vertAlign w:val="superscript"/>
              </w:rPr>
              <w:t>-7</w:t>
            </w:r>
            <w:r>
              <w:rPr>
                <w:color w:val="auto"/>
                <w:sz w:val="24"/>
                <w:szCs w:val="24"/>
              </w:rPr>
              <w:t>cm/s</w:t>
            </w:r>
            <w:r>
              <w:rPr>
                <w:rFonts w:hint="eastAsia"/>
                <w:color w:val="auto"/>
                <w:sz w:val="24"/>
                <w:szCs w:val="24"/>
              </w:rPr>
              <w:t>），或至少</w:t>
            </w:r>
            <w:r>
              <w:rPr>
                <w:color w:val="auto"/>
                <w:sz w:val="24"/>
                <w:szCs w:val="24"/>
              </w:rPr>
              <w:t>2mm</w:t>
            </w:r>
            <w:r>
              <w:rPr>
                <w:rFonts w:hint="eastAsia"/>
                <w:color w:val="auto"/>
                <w:sz w:val="24"/>
                <w:szCs w:val="24"/>
              </w:rPr>
              <w:t>厚高密度聚乙烯膜等人工防渗材料（渗透系数不大于</w:t>
            </w:r>
            <w:r>
              <w:rPr>
                <w:color w:val="auto"/>
                <w:sz w:val="24"/>
                <w:szCs w:val="24"/>
              </w:rPr>
              <w:t>10</w:t>
            </w:r>
            <w:r>
              <w:rPr>
                <w:color w:val="auto"/>
                <w:sz w:val="24"/>
                <w:szCs w:val="24"/>
                <w:vertAlign w:val="superscript"/>
              </w:rPr>
              <w:t>-10</w:t>
            </w:r>
            <w:r>
              <w:rPr>
                <w:color w:val="auto"/>
                <w:sz w:val="24"/>
                <w:szCs w:val="24"/>
              </w:rPr>
              <w:t>cm/s</w:t>
            </w:r>
            <w:r>
              <w:rPr>
                <w:rFonts w:hint="eastAsia"/>
                <w:color w:val="auto"/>
                <w:sz w:val="24"/>
                <w:szCs w:val="24"/>
              </w:rPr>
              <w:t>），或其他防渗性能等效的材料”</w:t>
            </w:r>
            <w:r>
              <w:rPr>
                <w:rFonts w:hint="eastAsia"/>
                <w:color w:val="auto"/>
                <w:sz w:val="24"/>
                <w:szCs w:val="24"/>
                <w:lang w:eastAsia="zh-CN"/>
              </w:rPr>
              <w:t>，</w:t>
            </w:r>
            <w:r>
              <w:rPr>
                <w:rFonts w:hint="eastAsia"/>
                <w:color w:val="auto"/>
                <w:sz w:val="24"/>
                <w:szCs w:val="24"/>
                <w:lang w:val="en-US" w:eastAsia="zh-CN"/>
              </w:rPr>
              <w:t>其他建构筑物</w:t>
            </w:r>
            <w:r>
              <w:rPr>
                <w:rFonts w:hint="eastAsia"/>
                <w:color w:val="auto"/>
                <w:sz w:val="24"/>
                <w:szCs w:val="24"/>
              </w:rPr>
              <w:t>按照《环境影响评价技术导则 地下水环境》（HJ 610-2016）中防渗技术要求为</w:t>
            </w:r>
            <w:r>
              <w:rPr>
                <w:color w:val="auto"/>
                <w:sz w:val="24"/>
                <w:szCs w:val="24"/>
              </w:rPr>
              <w:t>“等效黏土防渗层 Mb≥6.0m，K≤10</w:t>
            </w:r>
            <w:r>
              <w:rPr>
                <w:color w:val="auto"/>
                <w:sz w:val="24"/>
                <w:szCs w:val="24"/>
                <w:vertAlign w:val="superscript"/>
              </w:rPr>
              <w:t>-7</w:t>
            </w:r>
            <w:r>
              <w:rPr>
                <w:color w:val="auto"/>
                <w:sz w:val="24"/>
                <w:szCs w:val="24"/>
              </w:rPr>
              <w:t>cm/s”；</w:t>
            </w:r>
            <w:r>
              <w:rPr>
                <w:rFonts w:hint="eastAsia" w:ascii="宋体" w:hAnsi="宋体" w:eastAsia="宋体" w:cs="宋体"/>
                <w:color w:val="auto"/>
                <w:kern w:val="0"/>
                <w:sz w:val="24"/>
                <w:szCs w:val="24"/>
                <w:highlight w:val="none"/>
                <w:lang w:val="en-US" w:eastAsia="zh-CN" w:bidi="ar"/>
              </w:rPr>
              <w:t>管壳输送工房及综合材料库</w:t>
            </w:r>
            <w:r>
              <w:rPr>
                <w:rFonts w:hint="eastAsia"/>
                <w:color w:val="auto"/>
                <w:sz w:val="24"/>
                <w:szCs w:val="24"/>
              </w:rPr>
              <w:t>、</w:t>
            </w:r>
            <w:r>
              <w:rPr>
                <w:rFonts w:hint="eastAsia" w:cs="Times New Roman"/>
                <w:snapToGrid w:val="0"/>
                <w:color w:val="auto"/>
                <w:sz w:val="24"/>
                <w:szCs w:val="24"/>
                <w:highlight w:val="none"/>
                <w:lang w:val="en-US" w:eastAsia="zh-CN" w:bidi="ar-SA"/>
              </w:rPr>
              <w:t>控制室、</w:t>
            </w:r>
            <w:r>
              <w:rPr>
                <w:rFonts w:hint="default" w:ascii="Times New Roman" w:hAnsi="Times New Roman" w:cs="Times New Roman"/>
                <w:color w:val="auto"/>
                <w:sz w:val="24"/>
                <w:szCs w:val="24"/>
                <w:highlight w:val="none"/>
              </w:rPr>
              <w:t>成品中转站台</w:t>
            </w:r>
            <w:r>
              <w:rPr>
                <w:rFonts w:hint="eastAsia" w:ascii="Times New Roman" w:hAnsi="Times New Roman" w:cs="Times New Roman"/>
                <w:color w:val="auto"/>
                <w:sz w:val="24"/>
                <w:szCs w:val="24"/>
                <w:highlight w:val="none"/>
                <w:lang w:val="en-US" w:eastAsia="zh-CN"/>
              </w:rPr>
              <w:t>等</w:t>
            </w:r>
            <w:r>
              <w:rPr>
                <w:rFonts w:hint="eastAsia"/>
                <w:color w:val="auto"/>
                <w:sz w:val="24"/>
                <w:szCs w:val="24"/>
              </w:rPr>
              <w:t>为一般防渗区</w:t>
            </w:r>
            <w:r>
              <w:rPr>
                <w:color w:val="auto"/>
                <w:sz w:val="24"/>
                <w:szCs w:val="24"/>
              </w:rPr>
              <w:t>，防渗技术要求为“等效粘土防渗层Mb≥1.5m，K≤1×10</w:t>
            </w:r>
            <w:r>
              <w:rPr>
                <w:color w:val="auto"/>
                <w:sz w:val="24"/>
                <w:szCs w:val="24"/>
                <w:vertAlign w:val="superscript"/>
              </w:rPr>
              <w:t>-7</w:t>
            </w:r>
            <w:r>
              <w:rPr>
                <w:color w:val="auto"/>
                <w:sz w:val="24"/>
                <w:szCs w:val="24"/>
              </w:rPr>
              <w:t>cm/s ”。</w:t>
            </w:r>
            <w:r>
              <w:rPr>
                <w:snapToGrid/>
                <w:color w:val="auto"/>
                <w:kern w:val="2"/>
                <w:sz w:val="24"/>
                <w:szCs w:val="24"/>
                <w:highlight w:val="none"/>
              </w:rPr>
              <w:t>厂区道路、办公</w:t>
            </w:r>
            <w:r>
              <w:rPr>
                <w:rFonts w:hint="eastAsia"/>
                <w:snapToGrid/>
                <w:color w:val="auto"/>
                <w:kern w:val="2"/>
                <w:sz w:val="24"/>
                <w:szCs w:val="24"/>
                <w:highlight w:val="none"/>
                <w:lang w:val="en-US" w:eastAsia="zh-CN"/>
              </w:rPr>
              <w:t>区</w:t>
            </w:r>
            <w:r>
              <w:rPr>
                <w:snapToGrid/>
                <w:color w:val="auto"/>
                <w:kern w:val="2"/>
                <w:sz w:val="24"/>
                <w:szCs w:val="24"/>
                <w:highlight w:val="none"/>
              </w:rPr>
              <w:t>等</w:t>
            </w:r>
            <w:r>
              <w:rPr>
                <w:rFonts w:hint="eastAsia"/>
                <w:snapToGrid/>
                <w:color w:val="auto"/>
                <w:kern w:val="2"/>
                <w:sz w:val="24"/>
                <w:szCs w:val="24"/>
                <w:highlight w:val="none"/>
                <w:lang w:val="en-US" w:eastAsia="zh-CN"/>
              </w:rPr>
              <w:t>为简单防渗区，防渗技术要求为“</w:t>
            </w:r>
            <w:r>
              <w:rPr>
                <w:color w:val="auto"/>
                <w:sz w:val="24"/>
                <w:szCs w:val="24"/>
                <w:highlight w:val="none"/>
              </w:rPr>
              <w:t>一般地面硬化</w:t>
            </w:r>
            <w:r>
              <w:rPr>
                <w:rFonts w:hint="eastAsia"/>
                <w:snapToGrid/>
                <w:color w:val="auto"/>
                <w:kern w:val="2"/>
                <w:sz w:val="24"/>
                <w:szCs w:val="24"/>
                <w:highlight w:val="none"/>
                <w:lang w:val="en-US" w:eastAsia="zh-CN"/>
              </w:rPr>
              <w:t>”。</w:t>
            </w:r>
          </w:p>
          <w:p w14:paraId="51E36A87">
            <w:pPr>
              <w:autoSpaceDE w:val="0"/>
              <w:autoSpaceDN w:val="0"/>
              <w:spacing w:line="360" w:lineRule="auto"/>
              <w:ind w:firstLine="480"/>
              <w:outlineLvl w:val="9"/>
              <w:rPr>
                <w:color w:val="auto"/>
                <w:sz w:val="24"/>
              </w:rPr>
            </w:pPr>
            <w:r>
              <w:rPr>
                <w:color w:val="auto"/>
                <w:sz w:val="24"/>
              </w:rPr>
              <w:t>防渗分区及防渗要求详见下表。</w:t>
            </w:r>
          </w:p>
          <w:p w14:paraId="1C3D0291">
            <w:pPr>
              <w:adjustRightInd w:val="0"/>
              <w:snapToGrid w:val="0"/>
              <w:ind w:firstLine="480"/>
              <w:jc w:val="center"/>
              <w:outlineLvl w:val="9"/>
              <w:rPr>
                <w:b/>
                <w:bCs/>
                <w:color w:val="auto"/>
                <w:kern w:val="21"/>
                <w:szCs w:val="21"/>
              </w:rPr>
            </w:pPr>
            <w:bookmarkStart w:id="241" w:name="_Toc7577"/>
            <w:bookmarkStart w:id="242" w:name="_Toc13245"/>
            <w:bookmarkStart w:id="243" w:name="_Toc9638"/>
            <w:bookmarkStart w:id="244" w:name="_Toc3545"/>
            <w:bookmarkStart w:id="245" w:name="_Toc708"/>
            <w:bookmarkStart w:id="246" w:name="_Toc8279"/>
            <w:bookmarkStart w:id="247" w:name="_Toc2737"/>
            <w:bookmarkStart w:id="248" w:name="_Toc18955"/>
            <w:bookmarkStart w:id="249" w:name="_Toc27451"/>
            <w:bookmarkStart w:id="250" w:name="_Toc2869"/>
            <w:bookmarkStart w:id="251" w:name="_Toc27135"/>
            <w:bookmarkStart w:id="252" w:name="_Toc19266"/>
            <w:bookmarkStart w:id="253" w:name="_Toc23497"/>
            <w:bookmarkStart w:id="254" w:name="_Toc2589"/>
            <w:bookmarkStart w:id="255" w:name="_Toc16185"/>
            <w:bookmarkStart w:id="256" w:name="_Toc15974"/>
            <w:bookmarkStart w:id="257" w:name="_Toc10124"/>
            <w:r>
              <w:rPr>
                <w:b/>
                <w:bCs/>
                <w:color w:val="auto"/>
                <w:kern w:val="21"/>
                <w:szCs w:val="21"/>
              </w:rPr>
              <w:t>表4-</w:t>
            </w:r>
            <w:r>
              <w:rPr>
                <w:rFonts w:hint="eastAsia"/>
                <w:b/>
                <w:bCs/>
                <w:color w:val="auto"/>
                <w:kern w:val="21"/>
                <w:szCs w:val="21"/>
              </w:rPr>
              <w:t>1</w:t>
            </w:r>
            <w:r>
              <w:rPr>
                <w:rFonts w:hint="eastAsia"/>
                <w:b/>
                <w:bCs/>
                <w:color w:val="auto"/>
                <w:kern w:val="21"/>
                <w:szCs w:val="21"/>
                <w:lang w:val="en-US" w:eastAsia="zh-CN"/>
              </w:rPr>
              <w:t>2</w:t>
            </w:r>
            <w:r>
              <w:rPr>
                <w:b/>
                <w:bCs/>
                <w:color w:val="auto"/>
                <w:kern w:val="21"/>
                <w:szCs w:val="21"/>
              </w:rPr>
              <w:t xml:space="preserve">  防渗分区及防渗要求</w:t>
            </w:r>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tbl>
            <w:tblPr>
              <w:tblStyle w:val="33"/>
              <w:tblW w:w="4995"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1715"/>
              <w:gridCol w:w="2467"/>
              <w:gridCol w:w="4004"/>
              <w:gridCol w:w="2600"/>
            </w:tblGrid>
            <w:tr w14:paraId="09DED90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8" w:type="pct"/>
                  <w:tcBorders>
                    <w:tl2br w:val="nil"/>
                    <w:tr2bl w:val="nil"/>
                  </w:tcBorders>
                  <w:vAlign w:val="center"/>
                </w:tcPr>
                <w:p w14:paraId="14E79951">
                  <w:pPr>
                    <w:autoSpaceDE w:val="0"/>
                    <w:autoSpaceDN w:val="0"/>
                    <w:jc w:val="center"/>
                    <w:outlineLvl w:val="9"/>
                    <w:rPr>
                      <w:color w:val="auto"/>
                      <w:sz w:val="21"/>
                      <w:szCs w:val="21"/>
                    </w:rPr>
                  </w:pPr>
                  <w:r>
                    <w:rPr>
                      <w:color w:val="auto"/>
                      <w:sz w:val="21"/>
                      <w:szCs w:val="21"/>
                    </w:rPr>
                    <w:t>序号</w:t>
                  </w:r>
                </w:p>
              </w:tc>
              <w:tc>
                <w:tcPr>
                  <w:tcW w:w="733" w:type="pct"/>
                  <w:tcBorders>
                    <w:tl2br w:val="nil"/>
                    <w:tr2bl w:val="nil"/>
                  </w:tcBorders>
                  <w:vAlign w:val="center"/>
                </w:tcPr>
                <w:p w14:paraId="627A4E4F">
                  <w:pPr>
                    <w:autoSpaceDE w:val="0"/>
                    <w:autoSpaceDN w:val="0"/>
                    <w:jc w:val="center"/>
                    <w:outlineLvl w:val="9"/>
                    <w:rPr>
                      <w:color w:val="auto"/>
                      <w:sz w:val="21"/>
                      <w:szCs w:val="21"/>
                    </w:rPr>
                  </w:pPr>
                  <w:r>
                    <w:rPr>
                      <w:color w:val="auto"/>
                      <w:sz w:val="21"/>
                      <w:szCs w:val="21"/>
                    </w:rPr>
                    <w:t>污染防控分区</w:t>
                  </w:r>
                </w:p>
              </w:tc>
              <w:tc>
                <w:tcPr>
                  <w:tcW w:w="1054" w:type="pct"/>
                  <w:tcBorders>
                    <w:tl2br w:val="nil"/>
                    <w:tr2bl w:val="nil"/>
                  </w:tcBorders>
                  <w:vAlign w:val="center"/>
                </w:tcPr>
                <w:p w14:paraId="2CFC8C5B">
                  <w:pPr>
                    <w:autoSpaceDE w:val="0"/>
                    <w:autoSpaceDN w:val="0"/>
                    <w:jc w:val="center"/>
                    <w:outlineLvl w:val="9"/>
                    <w:rPr>
                      <w:color w:val="auto"/>
                      <w:sz w:val="21"/>
                      <w:szCs w:val="21"/>
                    </w:rPr>
                  </w:pPr>
                  <w:r>
                    <w:rPr>
                      <w:color w:val="auto"/>
                      <w:sz w:val="21"/>
                      <w:szCs w:val="21"/>
                    </w:rPr>
                    <w:t>防渗区域</w:t>
                  </w:r>
                </w:p>
              </w:tc>
              <w:tc>
                <w:tcPr>
                  <w:tcW w:w="1711" w:type="pct"/>
                  <w:tcBorders>
                    <w:tl2br w:val="nil"/>
                    <w:tr2bl w:val="nil"/>
                  </w:tcBorders>
                  <w:vAlign w:val="center"/>
                </w:tcPr>
                <w:p w14:paraId="2E02DA16">
                  <w:pPr>
                    <w:autoSpaceDE w:val="0"/>
                    <w:autoSpaceDN w:val="0"/>
                    <w:jc w:val="center"/>
                    <w:outlineLvl w:val="9"/>
                    <w:rPr>
                      <w:color w:val="auto"/>
                      <w:sz w:val="21"/>
                      <w:szCs w:val="21"/>
                    </w:rPr>
                  </w:pPr>
                  <w:r>
                    <w:rPr>
                      <w:color w:val="auto"/>
                      <w:sz w:val="21"/>
                      <w:szCs w:val="21"/>
                    </w:rPr>
                    <w:t>防渗内容要求</w:t>
                  </w:r>
                </w:p>
              </w:tc>
              <w:tc>
                <w:tcPr>
                  <w:tcW w:w="1111" w:type="pct"/>
                  <w:tcBorders>
                    <w:tl2br w:val="nil"/>
                    <w:tr2bl w:val="nil"/>
                  </w:tcBorders>
                  <w:vAlign w:val="center"/>
                </w:tcPr>
                <w:p w14:paraId="6728CFE6">
                  <w:pPr>
                    <w:autoSpaceDE w:val="0"/>
                    <w:autoSpaceDN w:val="0"/>
                    <w:jc w:val="center"/>
                    <w:outlineLvl w:val="9"/>
                    <w:rPr>
                      <w:color w:val="auto"/>
                      <w:sz w:val="21"/>
                      <w:szCs w:val="21"/>
                    </w:rPr>
                  </w:pPr>
                  <w:r>
                    <w:rPr>
                      <w:rFonts w:hint="eastAsia"/>
                      <w:color w:val="auto"/>
                      <w:sz w:val="21"/>
                      <w:szCs w:val="21"/>
                    </w:rPr>
                    <w:t>标准来源</w:t>
                  </w:r>
                </w:p>
              </w:tc>
            </w:tr>
            <w:tr w14:paraId="40FA98F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8" w:type="pct"/>
                  <w:vMerge w:val="restart"/>
                  <w:tcBorders>
                    <w:tl2br w:val="nil"/>
                    <w:tr2bl w:val="nil"/>
                  </w:tcBorders>
                  <w:vAlign w:val="center"/>
                </w:tcPr>
                <w:p w14:paraId="6F4D09D8">
                  <w:pPr>
                    <w:autoSpaceDE w:val="0"/>
                    <w:autoSpaceDN w:val="0"/>
                    <w:jc w:val="center"/>
                    <w:outlineLvl w:val="9"/>
                    <w:rPr>
                      <w:color w:val="auto"/>
                      <w:sz w:val="21"/>
                      <w:szCs w:val="21"/>
                    </w:rPr>
                  </w:pPr>
                  <w:r>
                    <w:rPr>
                      <w:color w:val="auto"/>
                      <w:sz w:val="21"/>
                      <w:szCs w:val="21"/>
                    </w:rPr>
                    <w:t>1</w:t>
                  </w:r>
                </w:p>
              </w:tc>
              <w:tc>
                <w:tcPr>
                  <w:tcW w:w="733" w:type="pct"/>
                  <w:vMerge w:val="restart"/>
                  <w:tcBorders>
                    <w:tl2br w:val="nil"/>
                    <w:tr2bl w:val="nil"/>
                  </w:tcBorders>
                  <w:vAlign w:val="center"/>
                </w:tcPr>
                <w:p w14:paraId="45755080">
                  <w:pPr>
                    <w:autoSpaceDE w:val="0"/>
                    <w:autoSpaceDN w:val="0"/>
                    <w:jc w:val="center"/>
                    <w:outlineLvl w:val="9"/>
                    <w:rPr>
                      <w:color w:val="auto"/>
                      <w:sz w:val="21"/>
                      <w:szCs w:val="21"/>
                    </w:rPr>
                  </w:pPr>
                  <w:r>
                    <w:rPr>
                      <w:rFonts w:hint="eastAsia"/>
                      <w:color w:val="auto"/>
                      <w:sz w:val="21"/>
                      <w:szCs w:val="21"/>
                    </w:rPr>
                    <w:t>重</w:t>
                  </w:r>
                  <w:r>
                    <w:rPr>
                      <w:color w:val="auto"/>
                      <w:sz w:val="21"/>
                      <w:szCs w:val="21"/>
                    </w:rPr>
                    <w:t>点防渗区</w:t>
                  </w:r>
                </w:p>
              </w:tc>
              <w:tc>
                <w:tcPr>
                  <w:tcW w:w="1054" w:type="pct"/>
                  <w:tcBorders>
                    <w:tl2br w:val="nil"/>
                    <w:tr2bl w:val="nil"/>
                  </w:tcBorders>
                  <w:vAlign w:val="center"/>
                </w:tcPr>
                <w:p w14:paraId="0E6B0DCB">
                  <w:pPr>
                    <w:autoSpaceDE w:val="0"/>
                    <w:autoSpaceDN w:val="0"/>
                    <w:jc w:val="center"/>
                    <w:outlineLvl w:val="9"/>
                    <w:rPr>
                      <w:color w:val="auto"/>
                      <w:sz w:val="21"/>
                      <w:szCs w:val="21"/>
                      <w:highlight w:val="none"/>
                    </w:rPr>
                  </w:pPr>
                  <w:r>
                    <w:rPr>
                      <w:rFonts w:hint="eastAsia" w:ascii="宋体" w:hAnsi="宋体" w:eastAsia="宋体" w:cs="宋体"/>
                      <w:color w:val="auto"/>
                      <w:kern w:val="0"/>
                      <w:sz w:val="21"/>
                      <w:szCs w:val="21"/>
                      <w:highlight w:val="none"/>
                      <w:lang w:val="en-US" w:eastAsia="zh-CN" w:bidi="ar"/>
                    </w:rPr>
                    <w:t>水油相制备工房</w:t>
                  </w:r>
                  <w:r>
                    <w:rPr>
                      <w:rFonts w:hint="eastAsia"/>
                      <w:color w:val="auto"/>
                      <w:sz w:val="21"/>
                      <w:szCs w:val="21"/>
                      <w:highlight w:val="none"/>
                    </w:rPr>
                    <w:t>、</w:t>
                  </w:r>
                  <w:r>
                    <w:rPr>
                      <w:rFonts w:hint="eastAsia" w:ascii="宋体" w:hAnsi="宋体" w:eastAsia="宋体" w:cs="宋体"/>
                      <w:color w:val="auto"/>
                      <w:kern w:val="0"/>
                      <w:sz w:val="21"/>
                      <w:szCs w:val="21"/>
                      <w:highlight w:val="none"/>
                      <w:lang w:val="en-US" w:eastAsia="zh-CN" w:bidi="ar"/>
                    </w:rPr>
                    <w:t>乳化炸药震源药柱生产工房、硝酸铵（硝酸钠）库、硝酸铵溶液储罐区、</w:t>
                  </w:r>
                  <w:r>
                    <w:rPr>
                      <w:rFonts w:hint="eastAsia"/>
                      <w:color w:val="auto"/>
                      <w:sz w:val="21"/>
                      <w:szCs w:val="21"/>
                      <w:highlight w:val="none"/>
                      <w:lang w:val="en-US" w:eastAsia="zh-CN"/>
                    </w:rPr>
                    <w:t>隔油沉淀池、事故池、初期雨水池、污水输送管道等</w:t>
                  </w:r>
                </w:p>
              </w:tc>
              <w:tc>
                <w:tcPr>
                  <w:tcW w:w="1711" w:type="pct"/>
                  <w:tcBorders>
                    <w:tl2br w:val="nil"/>
                    <w:tr2bl w:val="nil"/>
                  </w:tcBorders>
                  <w:vAlign w:val="center"/>
                </w:tcPr>
                <w:p w14:paraId="39CA71FC">
                  <w:pPr>
                    <w:autoSpaceDE w:val="0"/>
                    <w:autoSpaceDN w:val="0"/>
                    <w:jc w:val="center"/>
                    <w:outlineLvl w:val="9"/>
                    <w:rPr>
                      <w:color w:val="auto"/>
                      <w:sz w:val="21"/>
                      <w:szCs w:val="21"/>
                    </w:rPr>
                  </w:pPr>
                  <w:r>
                    <w:rPr>
                      <w:color w:val="auto"/>
                      <w:sz w:val="21"/>
                      <w:szCs w:val="21"/>
                    </w:rPr>
                    <w:t>等效黏土防渗层 Mb≥6.0m， K≤10</w:t>
                  </w:r>
                  <w:r>
                    <w:rPr>
                      <w:color w:val="auto"/>
                      <w:sz w:val="21"/>
                      <w:szCs w:val="21"/>
                      <w:vertAlign w:val="superscript"/>
                    </w:rPr>
                    <w:t>-7</w:t>
                  </w:r>
                  <w:r>
                    <w:rPr>
                      <w:color w:val="auto"/>
                      <w:sz w:val="21"/>
                      <w:szCs w:val="21"/>
                    </w:rPr>
                    <w:t>cm/s</w:t>
                  </w:r>
                </w:p>
              </w:tc>
              <w:tc>
                <w:tcPr>
                  <w:tcW w:w="1111" w:type="pct"/>
                  <w:tcBorders>
                    <w:tl2br w:val="nil"/>
                    <w:tr2bl w:val="nil"/>
                  </w:tcBorders>
                  <w:vAlign w:val="center"/>
                </w:tcPr>
                <w:p w14:paraId="012264E0">
                  <w:pPr>
                    <w:autoSpaceDE w:val="0"/>
                    <w:autoSpaceDN w:val="0"/>
                    <w:jc w:val="center"/>
                    <w:outlineLvl w:val="9"/>
                    <w:rPr>
                      <w:color w:val="auto"/>
                      <w:sz w:val="21"/>
                      <w:szCs w:val="21"/>
                    </w:rPr>
                  </w:pPr>
                  <w:r>
                    <w:rPr>
                      <w:rFonts w:hint="eastAsia"/>
                      <w:color w:val="auto"/>
                      <w:sz w:val="21"/>
                      <w:szCs w:val="21"/>
                    </w:rPr>
                    <w:t>《环境影响评价技术导则 地下水环境》</w:t>
                  </w:r>
                </w:p>
                <w:p w14:paraId="02527518">
                  <w:pPr>
                    <w:autoSpaceDE w:val="0"/>
                    <w:autoSpaceDN w:val="0"/>
                    <w:jc w:val="center"/>
                    <w:outlineLvl w:val="9"/>
                    <w:rPr>
                      <w:color w:val="auto"/>
                      <w:sz w:val="21"/>
                      <w:szCs w:val="21"/>
                    </w:rPr>
                  </w:pPr>
                  <w:r>
                    <w:rPr>
                      <w:rFonts w:hint="eastAsia"/>
                      <w:color w:val="auto"/>
                      <w:sz w:val="21"/>
                      <w:szCs w:val="21"/>
                    </w:rPr>
                    <w:t>（HJ 610-2016）</w:t>
                  </w:r>
                </w:p>
              </w:tc>
            </w:tr>
            <w:tr w14:paraId="05020D3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388" w:type="pct"/>
                  <w:vMerge w:val="continue"/>
                  <w:tcBorders>
                    <w:tl2br w:val="nil"/>
                    <w:tr2bl w:val="nil"/>
                  </w:tcBorders>
                  <w:vAlign w:val="center"/>
                </w:tcPr>
                <w:p w14:paraId="67E0AFA7">
                  <w:pPr>
                    <w:autoSpaceDE w:val="0"/>
                    <w:autoSpaceDN w:val="0"/>
                    <w:jc w:val="center"/>
                    <w:outlineLvl w:val="9"/>
                    <w:rPr>
                      <w:color w:val="auto"/>
                      <w:sz w:val="21"/>
                      <w:szCs w:val="21"/>
                    </w:rPr>
                  </w:pPr>
                </w:p>
              </w:tc>
              <w:tc>
                <w:tcPr>
                  <w:tcW w:w="733" w:type="pct"/>
                  <w:vMerge w:val="continue"/>
                  <w:tcBorders>
                    <w:tl2br w:val="nil"/>
                    <w:tr2bl w:val="nil"/>
                  </w:tcBorders>
                  <w:vAlign w:val="center"/>
                </w:tcPr>
                <w:p w14:paraId="38ABB28B">
                  <w:pPr>
                    <w:autoSpaceDE w:val="0"/>
                    <w:autoSpaceDN w:val="0"/>
                    <w:jc w:val="center"/>
                    <w:outlineLvl w:val="9"/>
                    <w:rPr>
                      <w:color w:val="auto"/>
                      <w:sz w:val="21"/>
                      <w:szCs w:val="21"/>
                    </w:rPr>
                  </w:pPr>
                </w:p>
              </w:tc>
              <w:tc>
                <w:tcPr>
                  <w:tcW w:w="1054" w:type="pct"/>
                  <w:tcBorders>
                    <w:tl2br w:val="nil"/>
                    <w:tr2bl w:val="nil"/>
                  </w:tcBorders>
                  <w:vAlign w:val="center"/>
                </w:tcPr>
                <w:p w14:paraId="075EDEB5">
                  <w:pPr>
                    <w:autoSpaceDE w:val="0"/>
                    <w:autoSpaceDN w:val="0"/>
                    <w:jc w:val="center"/>
                    <w:outlineLvl w:val="9"/>
                    <w:rPr>
                      <w:color w:val="auto"/>
                      <w:sz w:val="21"/>
                      <w:szCs w:val="21"/>
                    </w:rPr>
                  </w:pPr>
                  <w:r>
                    <w:rPr>
                      <w:rFonts w:hint="eastAsia"/>
                      <w:color w:val="auto"/>
                      <w:sz w:val="21"/>
                      <w:szCs w:val="21"/>
                    </w:rPr>
                    <w:t>危废贮存点</w:t>
                  </w:r>
                </w:p>
              </w:tc>
              <w:tc>
                <w:tcPr>
                  <w:tcW w:w="1711" w:type="pct"/>
                  <w:tcBorders>
                    <w:tl2br w:val="nil"/>
                    <w:tr2bl w:val="nil"/>
                  </w:tcBorders>
                  <w:vAlign w:val="center"/>
                </w:tcPr>
                <w:p w14:paraId="2D30121C">
                  <w:pPr>
                    <w:autoSpaceDE w:val="0"/>
                    <w:autoSpaceDN w:val="0"/>
                    <w:jc w:val="center"/>
                    <w:outlineLvl w:val="9"/>
                    <w:rPr>
                      <w:color w:val="auto"/>
                      <w:sz w:val="21"/>
                      <w:szCs w:val="21"/>
                    </w:rPr>
                  </w:pPr>
                  <w:r>
                    <w:rPr>
                      <w:rFonts w:hint="eastAsia"/>
                      <w:color w:val="auto"/>
                      <w:sz w:val="21"/>
                      <w:szCs w:val="21"/>
                    </w:rPr>
                    <w:t>防渗层为至少</w:t>
                  </w:r>
                  <w:r>
                    <w:rPr>
                      <w:color w:val="auto"/>
                      <w:sz w:val="21"/>
                      <w:szCs w:val="21"/>
                    </w:rPr>
                    <w:t>1 m</w:t>
                  </w:r>
                  <w:r>
                    <w:rPr>
                      <w:rFonts w:hint="eastAsia"/>
                      <w:color w:val="auto"/>
                      <w:sz w:val="21"/>
                      <w:szCs w:val="21"/>
                    </w:rPr>
                    <w:t>厚黏土层（渗透系数不大于</w:t>
                  </w:r>
                  <w:r>
                    <w:rPr>
                      <w:color w:val="auto"/>
                      <w:sz w:val="21"/>
                      <w:szCs w:val="21"/>
                    </w:rPr>
                    <w:t>10</w:t>
                  </w:r>
                  <w:r>
                    <w:rPr>
                      <w:color w:val="auto"/>
                      <w:sz w:val="21"/>
                      <w:szCs w:val="21"/>
                      <w:vertAlign w:val="superscript"/>
                    </w:rPr>
                    <w:t>-7</w:t>
                  </w:r>
                  <w:r>
                    <w:rPr>
                      <w:color w:val="auto"/>
                      <w:sz w:val="21"/>
                      <w:szCs w:val="21"/>
                    </w:rPr>
                    <w:t>cm/s</w:t>
                  </w:r>
                  <w:r>
                    <w:rPr>
                      <w:rFonts w:hint="eastAsia"/>
                      <w:color w:val="auto"/>
                      <w:sz w:val="21"/>
                      <w:szCs w:val="21"/>
                    </w:rPr>
                    <w:t>），或至少</w:t>
                  </w:r>
                  <w:r>
                    <w:rPr>
                      <w:color w:val="auto"/>
                      <w:sz w:val="21"/>
                      <w:szCs w:val="21"/>
                    </w:rPr>
                    <w:t>2mm</w:t>
                  </w:r>
                  <w:r>
                    <w:rPr>
                      <w:rFonts w:hint="eastAsia"/>
                      <w:color w:val="auto"/>
                      <w:sz w:val="21"/>
                      <w:szCs w:val="21"/>
                    </w:rPr>
                    <w:t>厚高密度聚乙烯膜等人工防渗材料（渗透系数不大于</w:t>
                  </w:r>
                  <w:r>
                    <w:rPr>
                      <w:color w:val="auto"/>
                      <w:sz w:val="21"/>
                      <w:szCs w:val="21"/>
                    </w:rPr>
                    <w:t>10</w:t>
                  </w:r>
                  <w:r>
                    <w:rPr>
                      <w:color w:val="auto"/>
                      <w:sz w:val="21"/>
                      <w:szCs w:val="21"/>
                      <w:vertAlign w:val="superscript"/>
                    </w:rPr>
                    <w:t>-10</w:t>
                  </w:r>
                  <w:r>
                    <w:rPr>
                      <w:color w:val="auto"/>
                      <w:sz w:val="21"/>
                      <w:szCs w:val="21"/>
                    </w:rPr>
                    <w:t>cm/s</w:t>
                  </w:r>
                  <w:r>
                    <w:rPr>
                      <w:rFonts w:hint="eastAsia"/>
                      <w:color w:val="auto"/>
                      <w:sz w:val="21"/>
                      <w:szCs w:val="21"/>
                    </w:rPr>
                    <w:t>），或其他防渗性能等效的材料</w:t>
                  </w:r>
                </w:p>
              </w:tc>
              <w:tc>
                <w:tcPr>
                  <w:tcW w:w="1111" w:type="pct"/>
                  <w:tcBorders>
                    <w:tl2br w:val="nil"/>
                    <w:tr2bl w:val="nil"/>
                  </w:tcBorders>
                  <w:vAlign w:val="center"/>
                </w:tcPr>
                <w:p w14:paraId="598FEE12">
                  <w:pPr>
                    <w:autoSpaceDE w:val="0"/>
                    <w:autoSpaceDN w:val="0"/>
                    <w:jc w:val="center"/>
                    <w:outlineLvl w:val="9"/>
                    <w:rPr>
                      <w:color w:val="auto"/>
                      <w:sz w:val="21"/>
                      <w:szCs w:val="21"/>
                    </w:rPr>
                  </w:pPr>
                  <w:r>
                    <w:rPr>
                      <w:rFonts w:hint="eastAsia"/>
                      <w:color w:val="auto"/>
                      <w:sz w:val="21"/>
                      <w:szCs w:val="21"/>
                    </w:rPr>
                    <w:t>《</w:t>
                  </w:r>
                  <w:r>
                    <w:rPr>
                      <w:color w:val="auto"/>
                      <w:sz w:val="21"/>
                      <w:szCs w:val="21"/>
                    </w:rPr>
                    <w:t>危险废物贮存污染控制标准</w:t>
                  </w:r>
                  <w:r>
                    <w:rPr>
                      <w:rFonts w:hint="eastAsia"/>
                      <w:color w:val="auto"/>
                      <w:sz w:val="21"/>
                      <w:szCs w:val="21"/>
                    </w:rPr>
                    <w:t>》（GB 18597-</w:t>
                  </w:r>
                  <w:r>
                    <w:rPr>
                      <w:color w:val="auto"/>
                      <w:sz w:val="21"/>
                      <w:szCs w:val="21"/>
                    </w:rPr>
                    <w:t>2023</w:t>
                  </w:r>
                  <w:r>
                    <w:rPr>
                      <w:rFonts w:hint="eastAsia"/>
                      <w:color w:val="auto"/>
                      <w:sz w:val="21"/>
                      <w:szCs w:val="21"/>
                    </w:rPr>
                    <w:t>）</w:t>
                  </w:r>
                </w:p>
              </w:tc>
            </w:tr>
            <w:tr w14:paraId="0D93A63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8" w:type="pct"/>
                  <w:tcBorders>
                    <w:tl2br w:val="nil"/>
                    <w:tr2bl w:val="nil"/>
                  </w:tcBorders>
                  <w:vAlign w:val="center"/>
                </w:tcPr>
                <w:p w14:paraId="54A37671">
                  <w:pPr>
                    <w:autoSpaceDE w:val="0"/>
                    <w:autoSpaceDN w:val="0"/>
                    <w:jc w:val="center"/>
                    <w:outlineLvl w:val="9"/>
                    <w:rPr>
                      <w:rFonts w:hint="eastAsia" w:eastAsia="宋体"/>
                      <w:color w:val="auto"/>
                      <w:sz w:val="21"/>
                      <w:szCs w:val="21"/>
                      <w:lang w:eastAsia="zh-CN"/>
                    </w:rPr>
                  </w:pPr>
                  <w:r>
                    <w:rPr>
                      <w:rFonts w:hint="eastAsia"/>
                      <w:color w:val="auto"/>
                      <w:sz w:val="21"/>
                      <w:szCs w:val="21"/>
                      <w:lang w:val="en-US" w:eastAsia="zh-CN"/>
                    </w:rPr>
                    <w:t>2</w:t>
                  </w:r>
                </w:p>
              </w:tc>
              <w:tc>
                <w:tcPr>
                  <w:tcW w:w="733" w:type="pct"/>
                  <w:tcBorders>
                    <w:tl2br w:val="nil"/>
                    <w:tr2bl w:val="nil"/>
                  </w:tcBorders>
                  <w:vAlign w:val="center"/>
                </w:tcPr>
                <w:p w14:paraId="03E59A79">
                  <w:pPr>
                    <w:autoSpaceDE w:val="0"/>
                    <w:autoSpaceDN w:val="0"/>
                    <w:jc w:val="center"/>
                    <w:outlineLvl w:val="9"/>
                    <w:rPr>
                      <w:color w:val="auto"/>
                      <w:sz w:val="21"/>
                      <w:szCs w:val="21"/>
                    </w:rPr>
                  </w:pPr>
                  <w:r>
                    <w:rPr>
                      <w:rFonts w:hint="eastAsia"/>
                      <w:color w:val="auto"/>
                      <w:sz w:val="21"/>
                      <w:szCs w:val="21"/>
                    </w:rPr>
                    <w:t>一</w:t>
                  </w:r>
                  <w:r>
                    <w:rPr>
                      <w:rFonts w:hint="eastAsia"/>
                      <w:color w:val="auto"/>
                      <w:sz w:val="21"/>
                      <w:szCs w:val="21"/>
                      <w:lang w:val="en-US" w:eastAsia="zh-CN"/>
                    </w:rPr>
                    <w:t>般</w:t>
                  </w:r>
                  <w:r>
                    <w:rPr>
                      <w:color w:val="auto"/>
                      <w:sz w:val="21"/>
                      <w:szCs w:val="21"/>
                    </w:rPr>
                    <w:t>防渗区</w:t>
                  </w:r>
                </w:p>
              </w:tc>
              <w:tc>
                <w:tcPr>
                  <w:tcW w:w="1054" w:type="pct"/>
                  <w:tcBorders>
                    <w:tl2br w:val="nil"/>
                    <w:tr2bl w:val="nil"/>
                  </w:tcBorders>
                  <w:vAlign w:val="center"/>
                </w:tcPr>
                <w:p w14:paraId="3992CDD4">
                  <w:pPr>
                    <w:autoSpaceDE w:val="0"/>
                    <w:autoSpaceDN w:val="0"/>
                    <w:jc w:val="center"/>
                    <w:outlineLvl w:val="9"/>
                    <w:rPr>
                      <w:color w:val="auto"/>
                      <w:sz w:val="21"/>
                      <w:szCs w:val="21"/>
                    </w:rPr>
                  </w:pPr>
                  <w:r>
                    <w:rPr>
                      <w:rFonts w:hint="eastAsia" w:ascii="宋体" w:hAnsi="宋体" w:eastAsia="宋体" w:cs="宋体"/>
                      <w:color w:val="auto"/>
                      <w:kern w:val="0"/>
                      <w:sz w:val="21"/>
                      <w:szCs w:val="21"/>
                      <w:highlight w:val="none"/>
                      <w:lang w:val="en-US" w:eastAsia="zh-CN" w:bidi="ar"/>
                    </w:rPr>
                    <w:t>管壳输送工房及综合材料库</w:t>
                  </w:r>
                  <w:r>
                    <w:rPr>
                      <w:rFonts w:hint="eastAsia"/>
                      <w:color w:val="auto"/>
                      <w:sz w:val="21"/>
                      <w:szCs w:val="21"/>
                    </w:rPr>
                    <w:t>、</w:t>
                  </w:r>
                  <w:r>
                    <w:rPr>
                      <w:rFonts w:hint="eastAsia" w:cs="Times New Roman"/>
                      <w:snapToGrid w:val="0"/>
                      <w:color w:val="auto"/>
                      <w:sz w:val="21"/>
                      <w:szCs w:val="21"/>
                      <w:highlight w:val="none"/>
                      <w:lang w:val="en-US" w:eastAsia="zh-CN" w:bidi="ar-SA"/>
                    </w:rPr>
                    <w:t>控制室、</w:t>
                  </w:r>
                  <w:r>
                    <w:rPr>
                      <w:rFonts w:hint="default" w:ascii="Times New Roman" w:hAnsi="Times New Roman" w:cs="Times New Roman"/>
                      <w:color w:val="auto"/>
                      <w:sz w:val="21"/>
                      <w:szCs w:val="21"/>
                      <w:highlight w:val="none"/>
                    </w:rPr>
                    <w:t>成品中转站台</w:t>
                  </w:r>
                  <w:r>
                    <w:rPr>
                      <w:rFonts w:hint="eastAsia" w:ascii="Times New Roman" w:hAnsi="Times New Roman" w:cs="Times New Roman"/>
                      <w:color w:val="auto"/>
                      <w:sz w:val="21"/>
                      <w:szCs w:val="21"/>
                      <w:highlight w:val="none"/>
                      <w:lang w:val="en-US" w:eastAsia="zh-CN"/>
                    </w:rPr>
                    <w:t>等</w:t>
                  </w:r>
                </w:p>
              </w:tc>
              <w:tc>
                <w:tcPr>
                  <w:tcW w:w="1711" w:type="pct"/>
                  <w:tcBorders>
                    <w:tl2br w:val="nil"/>
                    <w:tr2bl w:val="nil"/>
                  </w:tcBorders>
                  <w:vAlign w:val="center"/>
                </w:tcPr>
                <w:p w14:paraId="758C8944">
                  <w:pPr>
                    <w:autoSpaceDE w:val="0"/>
                    <w:autoSpaceDN w:val="0"/>
                    <w:jc w:val="center"/>
                    <w:outlineLvl w:val="9"/>
                    <w:rPr>
                      <w:color w:val="auto"/>
                      <w:sz w:val="21"/>
                      <w:szCs w:val="21"/>
                    </w:rPr>
                  </w:pPr>
                  <w:r>
                    <w:rPr>
                      <w:color w:val="auto"/>
                      <w:sz w:val="21"/>
                      <w:szCs w:val="21"/>
                    </w:rPr>
                    <w:t>等效粘土防渗层 Mb≥1.5m ，K≤1×10</w:t>
                  </w:r>
                  <w:r>
                    <w:rPr>
                      <w:color w:val="auto"/>
                      <w:sz w:val="21"/>
                      <w:szCs w:val="21"/>
                      <w:vertAlign w:val="superscript"/>
                    </w:rPr>
                    <w:t>-7</w:t>
                  </w:r>
                  <w:r>
                    <w:rPr>
                      <w:color w:val="auto"/>
                      <w:sz w:val="21"/>
                      <w:szCs w:val="21"/>
                    </w:rPr>
                    <w:t xml:space="preserve">cm/s </w:t>
                  </w:r>
                </w:p>
              </w:tc>
              <w:tc>
                <w:tcPr>
                  <w:tcW w:w="1111" w:type="pct"/>
                  <w:tcBorders>
                    <w:tl2br w:val="nil"/>
                    <w:tr2bl w:val="nil"/>
                  </w:tcBorders>
                  <w:vAlign w:val="center"/>
                </w:tcPr>
                <w:p w14:paraId="73CAB860">
                  <w:pPr>
                    <w:autoSpaceDE w:val="0"/>
                    <w:autoSpaceDN w:val="0"/>
                    <w:jc w:val="center"/>
                    <w:outlineLvl w:val="9"/>
                    <w:rPr>
                      <w:color w:val="auto"/>
                      <w:sz w:val="21"/>
                      <w:szCs w:val="21"/>
                    </w:rPr>
                  </w:pPr>
                  <w:r>
                    <w:rPr>
                      <w:rFonts w:hint="eastAsia"/>
                      <w:color w:val="auto"/>
                      <w:sz w:val="21"/>
                      <w:szCs w:val="21"/>
                    </w:rPr>
                    <w:t>《环境影响评价技术导则 地下水环境》</w:t>
                  </w:r>
                </w:p>
                <w:p w14:paraId="6F8601FD">
                  <w:pPr>
                    <w:autoSpaceDE w:val="0"/>
                    <w:autoSpaceDN w:val="0"/>
                    <w:jc w:val="center"/>
                    <w:outlineLvl w:val="9"/>
                    <w:rPr>
                      <w:color w:val="auto"/>
                      <w:sz w:val="21"/>
                      <w:szCs w:val="21"/>
                    </w:rPr>
                  </w:pPr>
                  <w:r>
                    <w:rPr>
                      <w:rFonts w:hint="eastAsia"/>
                      <w:color w:val="auto"/>
                      <w:sz w:val="21"/>
                      <w:szCs w:val="21"/>
                    </w:rPr>
                    <w:t>（HJ 610-2016）</w:t>
                  </w:r>
                </w:p>
              </w:tc>
            </w:tr>
            <w:tr w14:paraId="0457203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8" w:type="pct"/>
                  <w:tcBorders>
                    <w:tl2br w:val="nil"/>
                    <w:tr2bl w:val="nil"/>
                  </w:tcBorders>
                  <w:vAlign w:val="center"/>
                </w:tcPr>
                <w:p w14:paraId="479B3D36">
                  <w:pPr>
                    <w:autoSpaceDE w:val="0"/>
                    <w:autoSpaceDN w:val="0"/>
                    <w:jc w:val="center"/>
                    <w:outlineLvl w:val="9"/>
                    <w:rPr>
                      <w:rFonts w:hint="eastAsia" w:eastAsia="宋体"/>
                      <w:color w:val="auto"/>
                      <w:sz w:val="21"/>
                      <w:szCs w:val="21"/>
                      <w:lang w:val="en-US" w:eastAsia="zh-CN"/>
                    </w:rPr>
                  </w:pPr>
                  <w:r>
                    <w:rPr>
                      <w:rFonts w:hint="eastAsia"/>
                      <w:color w:val="auto"/>
                      <w:sz w:val="21"/>
                      <w:szCs w:val="21"/>
                      <w:lang w:val="en-US" w:eastAsia="zh-CN"/>
                    </w:rPr>
                    <w:t>3</w:t>
                  </w:r>
                </w:p>
              </w:tc>
              <w:tc>
                <w:tcPr>
                  <w:tcW w:w="733" w:type="pct"/>
                  <w:tcBorders>
                    <w:tl2br w:val="nil"/>
                    <w:tr2bl w:val="nil"/>
                  </w:tcBorders>
                  <w:vAlign w:val="center"/>
                </w:tcPr>
                <w:p w14:paraId="0682B250">
                  <w:pPr>
                    <w:autoSpaceDE w:val="0"/>
                    <w:autoSpaceDN w:val="0"/>
                    <w:jc w:val="center"/>
                    <w:outlineLvl w:val="9"/>
                    <w:rPr>
                      <w:rFonts w:hint="eastAsia"/>
                      <w:color w:val="auto"/>
                      <w:sz w:val="21"/>
                      <w:szCs w:val="21"/>
                    </w:rPr>
                  </w:pPr>
                  <w:r>
                    <w:rPr>
                      <w:rFonts w:hint="eastAsia"/>
                      <w:snapToGrid/>
                      <w:color w:val="auto"/>
                      <w:kern w:val="2"/>
                      <w:sz w:val="21"/>
                      <w:szCs w:val="21"/>
                      <w:highlight w:val="none"/>
                      <w:lang w:val="en-US" w:eastAsia="zh-CN"/>
                    </w:rPr>
                    <w:t>简单防渗区</w:t>
                  </w:r>
                </w:p>
              </w:tc>
              <w:tc>
                <w:tcPr>
                  <w:tcW w:w="1054" w:type="pct"/>
                  <w:tcBorders>
                    <w:tl2br w:val="nil"/>
                    <w:tr2bl w:val="nil"/>
                  </w:tcBorders>
                  <w:vAlign w:val="center"/>
                </w:tcPr>
                <w:p w14:paraId="05EA1B34">
                  <w:pPr>
                    <w:autoSpaceDE w:val="0"/>
                    <w:autoSpaceDN w:val="0"/>
                    <w:jc w:val="center"/>
                    <w:outlineLvl w:val="9"/>
                    <w:rPr>
                      <w:rFonts w:hint="eastAsia" w:ascii="宋体" w:hAnsi="宋体" w:eastAsia="宋体" w:cs="宋体"/>
                      <w:color w:val="auto"/>
                      <w:kern w:val="0"/>
                      <w:sz w:val="21"/>
                      <w:szCs w:val="21"/>
                      <w:highlight w:val="none"/>
                      <w:lang w:val="en-US" w:eastAsia="zh-CN" w:bidi="ar"/>
                    </w:rPr>
                  </w:pPr>
                  <w:r>
                    <w:rPr>
                      <w:snapToGrid/>
                      <w:color w:val="auto"/>
                      <w:kern w:val="2"/>
                      <w:sz w:val="21"/>
                      <w:szCs w:val="21"/>
                      <w:highlight w:val="none"/>
                    </w:rPr>
                    <w:t>厂区道路、办公区等</w:t>
                  </w:r>
                </w:p>
              </w:tc>
              <w:tc>
                <w:tcPr>
                  <w:tcW w:w="1711" w:type="pct"/>
                  <w:tcBorders>
                    <w:tl2br w:val="nil"/>
                    <w:tr2bl w:val="nil"/>
                  </w:tcBorders>
                  <w:vAlign w:val="center"/>
                </w:tcPr>
                <w:p w14:paraId="3715997C">
                  <w:pPr>
                    <w:autoSpaceDE w:val="0"/>
                    <w:autoSpaceDN w:val="0"/>
                    <w:jc w:val="center"/>
                    <w:outlineLvl w:val="9"/>
                    <w:rPr>
                      <w:color w:val="auto"/>
                      <w:sz w:val="21"/>
                      <w:szCs w:val="21"/>
                    </w:rPr>
                  </w:pPr>
                  <w:r>
                    <w:rPr>
                      <w:color w:val="auto"/>
                      <w:sz w:val="21"/>
                      <w:szCs w:val="21"/>
                      <w:highlight w:val="none"/>
                    </w:rPr>
                    <w:t>一般地面硬化</w:t>
                  </w:r>
                </w:p>
              </w:tc>
              <w:tc>
                <w:tcPr>
                  <w:tcW w:w="1111" w:type="pct"/>
                  <w:tcBorders>
                    <w:tl2br w:val="nil"/>
                    <w:tr2bl w:val="nil"/>
                  </w:tcBorders>
                  <w:vAlign w:val="center"/>
                </w:tcPr>
                <w:p w14:paraId="1BE62A49">
                  <w:pPr>
                    <w:autoSpaceDE w:val="0"/>
                    <w:autoSpaceDN w:val="0"/>
                    <w:jc w:val="center"/>
                    <w:outlineLvl w:val="9"/>
                    <w:rPr>
                      <w:color w:val="auto"/>
                      <w:sz w:val="21"/>
                      <w:szCs w:val="21"/>
                    </w:rPr>
                  </w:pPr>
                  <w:r>
                    <w:rPr>
                      <w:rFonts w:hint="eastAsia"/>
                      <w:color w:val="auto"/>
                      <w:sz w:val="21"/>
                      <w:szCs w:val="21"/>
                    </w:rPr>
                    <w:t>《环境影响评价技术导则 地下水环境》</w:t>
                  </w:r>
                </w:p>
                <w:p w14:paraId="167CC7A4">
                  <w:pPr>
                    <w:autoSpaceDE w:val="0"/>
                    <w:autoSpaceDN w:val="0"/>
                    <w:jc w:val="center"/>
                    <w:outlineLvl w:val="9"/>
                    <w:rPr>
                      <w:rFonts w:hint="eastAsia"/>
                      <w:color w:val="auto"/>
                      <w:sz w:val="21"/>
                      <w:szCs w:val="21"/>
                    </w:rPr>
                  </w:pPr>
                  <w:r>
                    <w:rPr>
                      <w:rFonts w:hint="eastAsia"/>
                      <w:color w:val="auto"/>
                      <w:sz w:val="21"/>
                      <w:szCs w:val="21"/>
                    </w:rPr>
                    <w:t>（HJ 610-2016）</w:t>
                  </w:r>
                </w:p>
              </w:tc>
            </w:tr>
          </w:tbl>
          <w:p w14:paraId="6691F199">
            <w:pPr>
              <w:widowControl/>
              <w:snapToGrid w:val="0"/>
              <w:spacing w:line="360" w:lineRule="auto"/>
              <w:ind w:firstLine="480" w:firstLineChars="200"/>
              <w:outlineLvl w:val="9"/>
              <w:rPr>
                <w:color w:val="auto"/>
                <w:sz w:val="24"/>
              </w:rPr>
            </w:pPr>
            <w:r>
              <w:rPr>
                <w:rFonts w:hint="eastAsia"/>
                <w:color w:val="auto"/>
                <w:sz w:val="24"/>
              </w:rPr>
              <w:t>经采取上述防渗措施后，正常情况不会对地下水和土壤造成影响，因此本项目未针对土壤及地下水设置跟踪监测计划。</w:t>
            </w:r>
          </w:p>
          <w:p w14:paraId="13B5D15D">
            <w:pPr>
              <w:spacing w:line="360" w:lineRule="auto"/>
              <w:outlineLvl w:val="9"/>
              <w:rPr>
                <w:rFonts w:hint="default" w:eastAsia="宋体"/>
                <w:b/>
                <w:bCs/>
                <w:color w:val="auto"/>
                <w:sz w:val="24"/>
                <w:szCs w:val="32"/>
                <w:lang w:val="en-US" w:eastAsia="zh-CN"/>
              </w:rPr>
            </w:pPr>
            <w:r>
              <w:rPr>
                <w:rFonts w:hint="eastAsia"/>
                <w:b/>
                <w:bCs/>
                <w:color w:val="auto"/>
                <w:sz w:val="24"/>
                <w:szCs w:val="32"/>
                <w:lang w:val="en-US" w:eastAsia="zh-CN"/>
              </w:rPr>
              <w:t>六、运营期对保护区的影响分析</w:t>
            </w:r>
          </w:p>
          <w:p w14:paraId="68707E04">
            <w:pPr>
              <w:spacing w:line="360" w:lineRule="auto"/>
              <w:ind w:firstLine="480"/>
              <w:outlineLvl w:val="9"/>
              <w:rPr>
                <w:rFonts w:hint="eastAsia"/>
                <w:b w:val="0"/>
                <w:bCs w:val="0"/>
                <w:color w:val="auto"/>
                <w:sz w:val="24"/>
                <w:szCs w:val="32"/>
                <w:lang w:val="en-US" w:eastAsia="zh-CN"/>
              </w:rPr>
            </w:pPr>
            <w:r>
              <w:rPr>
                <w:rFonts w:hint="eastAsia"/>
                <w:b w:val="0"/>
                <w:bCs w:val="0"/>
                <w:color w:val="auto"/>
                <w:sz w:val="24"/>
                <w:szCs w:val="32"/>
                <w:lang w:val="en-US" w:eastAsia="zh-CN"/>
              </w:rPr>
              <w:t>本项目运营期采取合理的废气治理措施，废气厂界均可达标排放，且项目位于朝阳古生物化石群自然保护区、辽宁朝阳鸟化石国家地质公园的上风向，对保护目标影响较小。</w:t>
            </w:r>
          </w:p>
          <w:p w14:paraId="58E24075">
            <w:pPr>
              <w:spacing w:line="360" w:lineRule="auto"/>
              <w:ind w:firstLine="480"/>
              <w:outlineLvl w:val="9"/>
              <w:rPr>
                <w:rFonts w:hint="default"/>
                <w:b w:val="0"/>
                <w:bCs w:val="0"/>
                <w:color w:val="auto"/>
                <w:sz w:val="24"/>
                <w:szCs w:val="32"/>
                <w:lang w:val="en-US" w:eastAsia="zh-CN"/>
              </w:rPr>
            </w:pPr>
            <w:r>
              <w:rPr>
                <w:rFonts w:hint="eastAsia"/>
                <w:b w:val="0"/>
                <w:bCs w:val="0"/>
                <w:color w:val="auto"/>
                <w:sz w:val="24"/>
                <w:szCs w:val="32"/>
                <w:lang w:val="en-US" w:eastAsia="zh-CN"/>
              </w:rPr>
              <w:t>根据征地审批手续及朝阳古生物化石群自然保护区、辽宁朝阳鸟化石国家地质公园划分范围可知，本项目不占用自然保护区及国家地质公园保护范围，运营期厂区均进行分区防渗，加强管理。因此运营期土壤和地下水影响较小，不会对自然保护区和国家地质公园造成不良影响。</w:t>
            </w:r>
          </w:p>
          <w:p w14:paraId="3E82B8BA">
            <w:pPr>
              <w:spacing w:line="360" w:lineRule="auto"/>
              <w:outlineLvl w:val="9"/>
              <w:rPr>
                <w:b/>
                <w:bCs/>
                <w:color w:val="auto"/>
                <w:sz w:val="24"/>
                <w:szCs w:val="32"/>
              </w:rPr>
            </w:pPr>
            <w:r>
              <w:rPr>
                <w:rFonts w:hint="eastAsia"/>
                <w:b/>
                <w:bCs/>
                <w:color w:val="auto"/>
                <w:sz w:val="24"/>
                <w:szCs w:val="32"/>
                <w:lang w:val="en-US" w:eastAsia="zh-CN"/>
              </w:rPr>
              <w:t>七</w:t>
            </w:r>
            <w:r>
              <w:rPr>
                <w:rFonts w:hint="eastAsia"/>
                <w:b/>
                <w:bCs/>
                <w:color w:val="auto"/>
                <w:sz w:val="24"/>
                <w:szCs w:val="32"/>
              </w:rPr>
              <w:t>、环境风险</w:t>
            </w:r>
          </w:p>
          <w:p w14:paraId="73DDE04E">
            <w:pPr>
              <w:adjustRightInd/>
              <w:snapToGrid/>
              <w:spacing w:line="360" w:lineRule="auto"/>
              <w:ind w:firstLine="480" w:firstLineChars="200"/>
              <w:textAlignment w:val="auto"/>
              <w:outlineLvl w:val="9"/>
              <w:rPr>
                <w:rFonts w:hint="default" w:ascii="Times New Roman" w:hAnsi="Times New Roman" w:cs="Times New Roman"/>
                <w:snapToGrid/>
                <w:color w:val="auto"/>
                <w:kern w:val="2"/>
                <w:sz w:val="24"/>
                <w:szCs w:val="24"/>
                <w:highlight w:val="none"/>
                <w:lang w:val="en-US" w:eastAsia="zh-CN"/>
              </w:rPr>
            </w:pPr>
            <w:r>
              <w:rPr>
                <w:rFonts w:ascii="Times New Roman" w:hAnsi="Times New Roman" w:eastAsia="宋体" w:cs="Times New Roman"/>
                <w:color w:val="auto"/>
                <w:sz w:val="24"/>
                <w:highlight w:val="none"/>
              </w:rPr>
              <w:t>环境风险影响分析具体见本报告《环境风险专项评价》。</w:t>
            </w:r>
            <w:r>
              <w:rPr>
                <w:rFonts w:hint="eastAsia" w:cs="Times New Roman"/>
                <w:color w:val="auto"/>
                <w:sz w:val="24"/>
                <w:highlight w:val="none"/>
                <w:lang w:val="en-US" w:eastAsia="zh-CN"/>
              </w:rPr>
              <w:t>环境风险专题评价结论为：</w:t>
            </w:r>
            <w:r>
              <w:rPr>
                <w:rFonts w:hint="default" w:ascii="Times New Roman" w:hAnsi="Times New Roman" w:cs="Times New Roman"/>
                <w:snapToGrid/>
                <w:color w:val="auto"/>
                <w:kern w:val="2"/>
                <w:sz w:val="24"/>
                <w:szCs w:val="24"/>
                <w:highlight w:val="none"/>
              </w:rPr>
              <w:t>在综合落实拟采取的污染控制措施和风险防范措施的基础上，本项目和公司现有工程对周围环境的环境风险影响较小，对周围环境的环境风险可控</w:t>
            </w:r>
            <w:r>
              <w:rPr>
                <w:rFonts w:hint="eastAsia" w:cs="Times New Roman"/>
                <w:snapToGrid/>
                <w:color w:val="auto"/>
                <w:kern w:val="2"/>
                <w:sz w:val="24"/>
                <w:szCs w:val="24"/>
                <w:highlight w:val="none"/>
                <w:lang w:eastAsia="zh-CN"/>
              </w:rPr>
              <w:t>，</w:t>
            </w:r>
            <w:r>
              <w:rPr>
                <w:rFonts w:hint="eastAsia" w:cs="Times New Roman"/>
                <w:snapToGrid/>
                <w:color w:val="auto"/>
                <w:kern w:val="2"/>
                <w:sz w:val="24"/>
                <w:szCs w:val="24"/>
                <w:highlight w:val="none"/>
                <w:lang w:val="en-US" w:eastAsia="zh-CN"/>
              </w:rPr>
              <w:t>风险水平可以接受</w:t>
            </w:r>
            <w:r>
              <w:rPr>
                <w:rFonts w:hint="default" w:ascii="Times New Roman" w:hAnsi="Times New Roman" w:cs="Times New Roman"/>
                <w:snapToGrid/>
                <w:color w:val="auto"/>
                <w:kern w:val="2"/>
                <w:sz w:val="24"/>
                <w:szCs w:val="24"/>
                <w:highlight w:val="none"/>
              </w:rPr>
              <w:t>。</w:t>
            </w:r>
          </w:p>
          <w:p w14:paraId="237F614E">
            <w:pPr>
              <w:spacing w:line="360" w:lineRule="auto"/>
              <w:outlineLvl w:val="9"/>
              <w:rPr>
                <w:rFonts w:hint="eastAsia"/>
                <w:b/>
                <w:bCs/>
                <w:color w:val="auto"/>
                <w:sz w:val="24"/>
                <w:szCs w:val="32"/>
              </w:rPr>
            </w:pPr>
            <w:bookmarkStart w:id="258" w:name="_Toc28195"/>
            <w:bookmarkStart w:id="259" w:name="_Toc22153"/>
            <w:bookmarkStart w:id="260" w:name="_Toc32658"/>
            <w:bookmarkStart w:id="261" w:name="_Toc16424"/>
            <w:bookmarkStart w:id="262" w:name="_Toc27638"/>
            <w:bookmarkStart w:id="263" w:name="_Toc16446"/>
            <w:bookmarkStart w:id="264" w:name="_Toc11875"/>
            <w:bookmarkStart w:id="265" w:name="_Toc9133"/>
            <w:bookmarkStart w:id="266" w:name="_Toc21913"/>
            <w:bookmarkStart w:id="267" w:name="_Toc22562"/>
            <w:bookmarkStart w:id="268" w:name="_Toc27090"/>
            <w:bookmarkStart w:id="269" w:name="_Toc22139"/>
            <w:bookmarkStart w:id="270" w:name="_Toc3952"/>
            <w:bookmarkStart w:id="271" w:name="_Toc9195"/>
            <w:bookmarkStart w:id="272" w:name="_Toc7320"/>
            <w:bookmarkStart w:id="273" w:name="_Toc11360"/>
            <w:bookmarkStart w:id="274" w:name="_Toc14290"/>
            <w:bookmarkStart w:id="275" w:name="_Toc20797"/>
            <w:bookmarkStart w:id="276" w:name="_Toc23838"/>
            <w:bookmarkStart w:id="277" w:name="_Toc10983"/>
            <w:r>
              <w:rPr>
                <w:rFonts w:hint="eastAsia"/>
                <w:b/>
                <w:bCs/>
                <w:color w:val="auto"/>
                <w:sz w:val="24"/>
                <w:szCs w:val="32"/>
                <w:lang w:val="en-US" w:eastAsia="zh-CN"/>
              </w:rPr>
              <w:t>八</w:t>
            </w:r>
            <w:r>
              <w:rPr>
                <w:rFonts w:hint="eastAsia"/>
                <w:b/>
                <w:bCs/>
                <w:color w:val="auto"/>
                <w:sz w:val="24"/>
                <w:szCs w:val="32"/>
              </w:rPr>
              <w:t>、环保投资</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14:paraId="3623E420">
            <w:pPr>
              <w:adjustRightInd w:val="0"/>
              <w:snapToGrid w:val="0"/>
              <w:spacing w:line="360" w:lineRule="auto"/>
              <w:ind w:firstLine="480" w:firstLineChars="200"/>
              <w:outlineLvl w:val="9"/>
              <w:rPr>
                <w:color w:val="auto"/>
                <w:sz w:val="24"/>
                <w:szCs w:val="21"/>
                <w:highlight w:val="none"/>
              </w:rPr>
            </w:pPr>
            <w:r>
              <w:rPr>
                <w:color w:val="auto"/>
                <w:sz w:val="24"/>
                <w:szCs w:val="21"/>
              </w:rPr>
              <w:t>本项目总投资</w:t>
            </w:r>
            <w:r>
              <w:rPr>
                <w:rFonts w:hint="eastAsia"/>
                <w:bCs/>
                <w:color w:val="auto"/>
                <w:kern w:val="0"/>
                <w:sz w:val="24"/>
                <w:lang w:val="en-US" w:eastAsia="zh-CN"/>
              </w:rPr>
              <w:t>6000</w:t>
            </w:r>
            <w:r>
              <w:rPr>
                <w:color w:val="auto"/>
                <w:sz w:val="24"/>
                <w:szCs w:val="21"/>
              </w:rPr>
              <w:t>万元，环保</w:t>
            </w:r>
            <w:r>
              <w:rPr>
                <w:color w:val="auto"/>
                <w:sz w:val="24"/>
                <w:szCs w:val="21"/>
                <w:highlight w:val="none"/>
              </w:rPr>
              <w:t>投资</w:t>
            </w:r>
            <w:r>
              <w:rPr>
                <w:rFonts w:hint="eastAsia"/>
                <w:color w:val="auto"/>
                <w:sz w:val="24"/>
                <w:szCs w:val="21"/>
                <w:highlight w:val="none"/>
                <w:lang w:val="en-US" w:eastAsia="zh-CN"/>
              </w:rPr>
              <w:t>126</w:t>
            </w:r>
            <w:r>
              <w:rPr>
                <w:rFonts w:hint="eastAsia"/>
                <w:color w:val="auto"/>
                <w:sz w:val="24"/>
                <w:szCs w:val="21"/>
                <w:highlight w:val="none"/>
              </w:rPr>
              <w:t>万</w:t>
            </w:r>
            <w:r>
              <w:rPr>
                <w:color w:val="auto"/>
                <w:sz w:val="24"/>
                <w:szCs w:val="21"/>
                <w:highlight w:val="none"/>
              </w:rPr>
              <w:t>元，占总投资</w:t>
            </w:r>
            <w:r>
              <w:rPr>
                <w:rFonts w:hint="eastAsia"/>
                <w:color w:val="auto"/>
                <w:sz w:val="24"/>
                <w:szCs w:val="21"/>
                <w:highlight w:val="none"/>
                <w:lang w:val="en-US" w:eastAsia="zh-CN"/>
              </w:rPr>
              <w:t>2.1</w:t>
            </w:r>
            <w:r>
              <w:rPr>
                <w:color w:val="auto"/>
                <w:sz w:val="24"/>
                <w:szCs w:val="21"/>
                <w:highlight w:val="none"/>
              </w:rPr>
              <w:t>%。</w:t>
            </w:r>
          </w:p>
          <w:p w14:paraId="3EFA263E">
            <w:pPr>
              <w:adjustRightInd w:val="0"/>
              <w:snapToGrid w:val="0"/>
              <w:jc w:val="center"/>
              <w:outlineLvl w:val="9"/>
              <w:rPr>
                <w:rFonts w:hint="eastAsia"/>
                <w:b/>
                <w:bCs/>
                <w:color w:val="auto"/>
                <w:szCs w:val="21"/>
              </w:rPr>
            </w:pPr>
            <w:r>
              <w:rPr>
                <w:b/>
                <w:bCs/>
                <w:color w:val="auto"/>
                <w:szCs w:val="21"/>
              </w:rPr>
              <w:t>表</w:t>
            </w:r>
            <w:r>
              <w:rPr>
                <w:rFonts w:hint="eastAsia"/>
                <w:b/>
                <w:color w:val="auto"/>
                <w:szCs w:val="21"/>
              </w:rPr>
              <w:t>4-1</w:t>
            </w:r>
            <w:r>
              <w:rPr>
                <w:rFonts w:hint="eastAsia"/>
                <w:b/>
                <w:color w:val="auto"/>
                <w:szCs w:val="21"/>
                <w:lang w:val="en-US" w:eastAsia="zh-CN"/>
              </w:rPr>
              <w:t>3</w:t>
            </w:r>
            <w:r>
              <w:rPr>
                <w:rFonts w:hint="eastAsia"/>
                <w:b/>
                <w:color w:val="auto"/>
                <w:szCs w:val="21"/>
              </w:rPr>
              <w:t xml:space="preserve">  </w:t>
            </w:r>
            <w:r>
              <w:rPr>
                <w:rFonts w:hint="eastAsia"/>
                <w:b/>
                <w:bCs/>
                <w:color w:val="auto"/>
                <w:szCs w:val="21"/>
              </w:rPr>
              <w:t>本</w:t>
            </w:r>
            <w:r>
              <w:rPr>
                <w:b/>
                <w:bCs/>
                <w:color w:val="auto"/>
                <w:szCs w:val="21"/>
              </w:rPr>
              <w:t>项目环保投资</w:t>
            </w:r>
            <w:r>
              <w:rPr>
                <w:rFonts w:hint="eastAsia"/>
                <w:b/>
                <w:bCs/>
                <w:color w:val="auto"/>
                <w:szCs w:val="21"/>
              </w:rPr>
              <w:t>一览表</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19"/>
              <w:gridCol w:w="6012"/>
              <w:gridCol w:w="1587"/>
              <w:gridCol w:w="1586"/>
            </w:tblGrid>
            <w:tr w14:paraId="06DFF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076" w:type="pct"/>
                  <w:vAlign w:val="center"/>
                </w:tcPr>
                <w:p w14:paraId="10003F13">
                  <w:pPr>
                    <w:pStyle w:val="12"/>
                    <w:spacing w:line="240" w:lineRule="auto"/>
                    <w:ind w:left="0" w:leftChars="0" w:right="0" w:rightChars="0" w:firstLine="0" w:firstLineChars="0"/>
                    <w:jc w:val="center"/>
                    <w:outlineLvl w:val="9"/>
                    <w:rPr>
                      <w:b/>
                      <w:bCs/>
                      <w:color w:val="auto"/>
                      <w:sz w:val="21"/>
                      <w:szCs w:val="21"/>
                    </w:rPr>
                  </w:pPr>
                  <w:r>
                    <w:rPr>
                      <w:rFonts w:hint="eastAsia"/>
                      <w:b/>
                      <w:bCs/>
                      <w:color w:val="auto"/>
                      <w:sz w:val="21"/>
                      <w:szCs w:val="21"/>
                    </w:rPr>
                    <w:t>项目</w:t>
                  </w:r>
                </w:p>
              </w:tc>
              <w:tc>
                <w:tcPr>
                  <w:tcW w:w="2568" w:type="pct"/>
                  <w:vAlign w:val="center"/>
                </w:tcPr>
                <w:p w14:paraId="7B53C4A3">
                  <w:pPr>
                    <w:pStyle w:val="12"/>
                    <w:spacing w:line="240" w:lineRule="auto"/>
                    <w:ind w:left="0" w:leftChars="0" w:right="0" w:rightChars="0" w:firstLine="0" w:firstLineChars="0"/>
                    <w:jc w:val="center"/>
                    <w:outlineLvl w:val="9"/>
                    <w:rPr>
                      <w:b/>
                      <w:bCs/>
                      <w:color w:val="auto"/>
                      <w:sz w:val="21"/>
                      <w:szCs w:val="21"/>
                    </w:rPr>
                  </w:pPr>
                  <w:r>
                    <w:rPr>
                      <w:rFonts w:hint="eastAsia"/>
                      <w:b/>
                      <w:bCs/>
                      <w:color w:val="auto"/>
                      <w:sz w:val="21"/>
                      <w:szCs w:val="21"/>
                    </w:rPr>
                    <w:t>环保措施</w:t>
                  </w:r>
                </w:p>
              </w:tc>
              <w:tc>
                <w:tcPr>
                  <w:tcW w:w="677" w:type="pct"/>
                  <w:vAlign w:val="center"/>
                </w:tcPr>
                <w:p w14:paraId="00961841">
                  <w:pPr>
                    <w:pStyle w:val="12"/>
                    <w:spacing w:line="240" w:lineRule="auto"/>
                    <w:ind w:left="0" w:leftChars="0" w:right="0" w:rightChars="0" w:firstLine="0" w:firstLineChars="0"/>
                    <w:jc w:val="center"/>
                    <w:outlineLvl w:val="9"/>
                    <w:rPr>
                      <w:b/>
                      <w:bCs/>
                      <w:color w:val="auto"/>
                      <w:sz w:val="21"/>
                      <w:szCs w:val="21"/>
                    </w:rPr>
                  </w:pPr>
                  <w:r>
                    <w:rPr>
                      <w:b/>
                      <w:bCs/>
                      <w:color w:val="auto"/>
                      <w:sz w:val="21"/>
                      <w:szCs w:val="21"/>
                    </w:rPr>
                    <w:t>数量</w:t>
                  </w:r>
                </w:p>
              </w:tc>
              <w:tc>
                <w:tcPr>
                  <w:tcW w:w="677" w:type="pct"/>
                  <w:vAlign w:val="center"/>
                </w:tcPr>
                <w:p w14:paraId="675E018F">
                  <w:pPr>
                    <w:pStyle w:val="12"/>
                    <w:spacing w:line="240" w:lineRule="auto"/>
                    <w:ind w:left="0" w:leftChars="0" w:right="0" w:rightChars="0" w:firstLine="0" w:firstLineChars="0"/>
                    <w:jc w:val="center"/>
                    <w:outlineLvl w:val="9"/>
                    <w:rPr>
                      <w:b/>
                      <w:bCs/>
                      <w:color w:val="auto"/>
                      <w:sz w:val="21"/>
                      <w:szCs w:val="21"/>
                    </w:rPr>
                  </w:pPr>
                  <w:r>
                    <w:rPr>
                      <w:rFonts w:hint="eastAsia"/>
                      <w:b/>
                      <w:bCs/>
                      <w:color w:val="auto"/>
                      <w:sz w:val="21"/>
                      <w:szCs w:val="21"/>
                    </w:rPr>
                    <w:t>投资（万元）</w:t>
                  </w:r>
                </w:p>
              </w:tc>
            </w:tr>
            <w:tr w14:paraId="3B3C6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1076" w:type="pct"/>
                  <w:vAlign w:val="center"/>
                </w:tcPr>
                <w:p w14:paraId="1652C387">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rPr>
                    <w:t>废气处理</w:t>
                  </w:r>
                </w:p>
              </w:tc>
              <w:tc>
                <w:tcPr>
                  <w:tcW w:w="2568" w:type="pct"/>
                  <w:vAlign w:val="center"/>
                </w:tcPr>
                <w:p w14:paraId="4FCD8486">
                  <w:pPr>
                    <w:pStyle w:val="1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eastAsia="宋体"/>
                      <w:color w:val="auto"/>
                      <w:sz w:val="21"/>
                      <w:szCs w:val="21"/>
                      <w:lang w:val="en-US" w:eastAsia="zh-CN"/>
                    </w:rPr>
                  </w:pPr>
                  <w:r>
                    <w:rPr>
                      <w:rFonts w:hint="eastAsia"/>
                      <w:color w:val="auto"/>
                      <w:sz w:val="21"/>
                      <w:szCs w:val="21"/>
                      <w:lang w:val="en-US" w:eastAsia="zh-CN"/>
                    </w:rPr>
                    <w:t>封闭工房</w:t>
                  </w:r>
                </w:p>
              </w:tc>
              <w:tc>
                <w:tcPr>
                  <w:tcW w:w="677" w:type="pct"/>
                  <w:vAlign w:val="center"/>
                </w:tcPr>
                <w:p w14:paraId="695B707D">
                  <w:pPr>
                    <w:pStyle w:val="12"/>
                    <w:spacing w:line="240" w:lineRule="auto"/>
                    <w:ind w:left="0" w:leftChars="0" w:right="0" w:rightChars="0" w:firstLine="0" w:firstLineChars="0"/>
                    <w:jc w:val="center"/>
                    <w:outlineLvl w:val="9"/>
                    <w:rPr>
                      <w:rFonts w:hint="eastAsia" w:eastAsia="宋体"/>
                      <w:color w:val="auto"/>
                      <w:sz w:val="21"/>
                      <w:szCs w:val="21"/>
                      <w:lang w:eastAsia="zh-CN"/>
                    </w:rPr>
                  </w:pPr>
                  <w:r>
                    <w:rPr>
                      <w:rFonts w:hint="eastAsia"/>
                      <w:color w:val="auto"/>
                      <w:sz w:val="21"/>
                      <w:szCs w:val="21"/>
                      <w:lang w:val="en-US" w:eastAsia="zh-CN"/>
                    </w:rPr>
                    <w:t>/</w:t>
                  </w:r>
                </w:p>
              </w:tc>
              <w:tc>
                <w:tcPr>
                  <w:tcW w:w="677" w:type="pct"/>
                  <w:vAlign w:val="center"/>
                </w:tcPr>
                <w:p w14:paraId="24DFCD5E">
                  <w:pPr>
                    <w:pStyle w:val="12"/>
                    <w:spacing w:line="240" w:lineRule="auto"/>
                    <w:ind w:left="0" w:leftChars="0" w:right="0" w:rightChars="0" w:firstLine="0" w:firstLineChars="0"/>
                    <w:jc w:val="center"/>
                    <w:outlineLvl w:val="9"/>
                    <w:rPr>
                      <w:rFonts w:hint="default" w:eastAsia="宋体"/>
                      <w:color w:val="auto"/>
                      <w:sz w:val="21"/>
                      <w:szCs w:val="21"/>
                      <w:lang w:val="en-US" w:eastAsia="zh-CN"/>
                    </w:rPr>
                  </w:pPr>
                  <w:r>
                    <w:rPr>
                      <w:rFonts w:hint="eastAsia"/>
                      <w:color w:val="auto"/>
                      <w:sz w:val="21"/>
                      <w:szCs w:val="21"/>
                      <w:lang w:val="en-US" w:eastAsia="zh-CN"/>
                    </w:rPr>
                    <w:t>50</w:t>
                  </w:r>
                </w:p>
              </w:tc>
            </w:tr>
            <w:tr w14:paraId="1DF1F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076" w:type="pct"/>
                  <w:vMerge w:val="restart"/>
                  <w:vAlign w:val="center"/>
                </w:tcPr>
                <w:p w14:paraId="6C51DC84">
                  <w:pPr>
                    <w:pStyle w:val="111"/>
                    <w:bidi w:val="0"/>
                    <w:outlineLvl w:val="9"/>
                    <w:rPr>
                      <w:rFonts w:hint="eastAsia"/>
                      <w:color w:val="auto"/>
                      <w:sz w:val="21"/>
                      <w:szCs w:val="21"/>
                      <w:lang w:eastAsia="zh-CN"/>
                    </w:rPr>
                  </w:pPr>
                  <w:r>
                    <w:rPr>
                      <w:rFonts w:hint="eastAsia"/>
                      <w:color w:val="auto"/>
                      <w:sz w:val="21"/>
                      <w:szCs w:val="21"/>
                      <w:lang w:eastAsia="zh-CN"/>
                    </w:rPr>
                    <w:t>废水处理</w:t>
                  </w:r>
                </w:p>
              </w:tc>
              <w:tc>
                <w:tcPr>
                  <w:tcW w:w="2568" w:type="pct"/>
                  <w:vAlign w:val="center"/>
                </w:tcPr>
                <w:p w14:paraId="090AD786">
                  <w:pPr>
                    <w:pStyle w:val="115"/>
                    <w:keepNext w:val="0"/>
                    <w:keepLines w:val="0"/>
                    <w:pageBreakBefore w:val="0"/>
                    <w:widowControl w:val="0"/>
                    <w:kinsoku/>
                    <w:wordWrap/>
                    <w:overflowPunct/>
                    <w:topLinePunct w:val="0"/>
                    <w:autoSpaceDE/>
                    <w:autoSpaceDN/>
                    <w:bidi w:val="0"/>
                    <w:adjustRightInd/>
                    <w:snapToGrid/>
                    <w:jc w:val="center"/>
                    <w:textAlignment w:val="auto"/>
                    <w:outlineLvl w:val="9"/>
                    <w:rPr>
                      <w:rFonts w:ascii="Times New Roman" w:hAnsi="Times New Roman" w:cs="Times New Roman"/>
                      <w:color w:val="auto"/>
                      <w:sz w:val="21"/>
                      <w:szCs w:val="21"/>
                      <w:lang w:eastAsia="zh-CN"/>
                    </w:rPr>
                  </w:pPr>
                  <w:r>
                    <w:rPr>
                      <w:rFonts w:hint="eastAsia" w:ascii="Times New Roman" w:hAnsi="Times New Roman" w:cs="Times New Roman"/>
                      <w:color w:val="auto"/>
                      <w:spacing w:val="8"/>
                      <w:sz w:val="21"/>
                      <w:szCs w:val="21"/>
                      <w:lang w:val="en-US" w:eastAsia="zh-CN"/>
                    </w:rPr>
                    <w:t>隔油沉淀池</w:t>
                  </w:r>
                </w:p>
              </w:tc>
              <w:tc>
                <w:tcPr>
                  <w:tcW w:w="677" w:type="pct"/>
                  <w:vAlign w:val="center"/>
                </w:tcPr>
                <w:p w14:paraId="799D5F3D">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2</w:t>
                  </w:r>
                  <w:r>
                    <w:rPr>
                      <w:rFonts w:hint="eastAsia"/>
                      <w:color w:val="auto"/>
                      <w:sz w:val="21"/>
                      <w:szCs w:val="21"/>
                    </w:rPr>
                    <w:t>座</w:t>
                  </w:r>
                </w:p>
              </w:tc>
              <w:tc>
                <w:tcPr>
                  <w:tcW w:w="677" w:type="pct"/>
                  <w:vAlign w:val="center"/>
                </w:tcPr>
                <w:p w14:paraId="4D3B9E1F">
                  <w:pPr>
                    <w:pStyle w:val="12"/>
                    <w:spacing w:line="240" w:lineRule="auto"/>
                    <w:ind w:left="0" w:leftChars="0" w:right="0" w:rightChars="0" w:firstLine="0" w:firstLineChars="0"/>
                    <w:jc w:val="center"/>
                    <w:outlineLvl w:val="9"/>
                    <w:rPr>
                      <w:rFonts w:hint="eastAsia" w:eastAsia="宋体"/>
                      <w:color w:val="auto"/>
                      <w:sz w:val="21"/>
                      <w:szCs w:val="21"/>
                      <w:lang w:eastAsia="zh-CN"/>
                    </w:rPr>
                  </w:pPr>
                  <w:r>
                    <w:rPr>
                      <w:rFonts w:hint="eastAsia"/>
                      <w:color w:val="auto"/>
                      <w:sz w:val="21"/>
                      <w:szCs w:val="21"/>
                      <w:lang w:val="en-US" w:eastAsia="zh-CN"/>
                    </w:rPr>
                    <w:t>5</w:t>
                  </w:r>
                </w:p>
              </w:tc>
            </w:tr>
            <w:tr w14:paraId="1345D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076" w:type="pct"/>
                  <w:vMerge w:val="continue"/>
                  <w:vAlign w:val="center"/>
                </w:tcPr>
                <w:p w14:paraId="1D49FD2B">
                  <w:pPr>
                    <w:pStyle w:val="115"/>
                    <w:jc w:val="center"/>
                    <w:outlineLvl w:val="9"/>
                    <w:rPr>
                      <w:rFonts w:hint="eastAsia"/>
                      <w:color w:val="auto"/>
                      <w:sz w:val="21"/>
                      <w:szCs w:val="21"/>
                      <w:lang w:eastAsia="zh-CN"/>
                    </w:rPr>
                  </w:pPr>
                </w:p>
              </w:tc>
              <w:tc>
                <w:tcPr>
                  <w:tcW w:w="2568" w:type="pct"/>
                  <w:vAlign w:val="center"/>
                </w:tcPr>
                <w:p w14:paraId="29983221">
                  <w:pPr>
                    <w:pStyle w:val="115"/>
                    <w:keepNext w:val="0"/>
                    <w:keepLines w:val="0"/>
                    <w:pageBreakBefore w:val="0"/>
                    <w:widowControl w:val="0"/>
                    <w:kinsoku/>
                    <w:wordWrap/>
                    <w:overflowPunct/>
                    <w:topLinePunct w:val="0"/>
                    <w:autoSpaceDE/>
                    <w:autoSpaceDN/>
                    <w:bidi w:val="0"/>
                    <w:adjustRightInd/>
                    <w:snapToGrid/>
                    <w:jc w:val="center"/>
                    <w:textAlignment w:val="auto"/>
                    <w:outlineLvl w:val="9"/>
                    <w:rPr>
                      <w:rFonts w:hint="eastAsia" w:ascii="Times New Roman" w:hAnsi="Times New Roman" w:cs="Times New Roman"/>
                      <w:color w:val="auto"/>
                      <w:spacing w:val="8"/>
                      <w:sz w:val="21"/>
                      <w:szCs w:val="21"/>
                      <w:lang w:val="en-US" w:eastAsia="zh-CN"/>
                    </w:rPr>
                  </w:pPr>
                  <w:r>
                    <w:rPr>
                      <w:rFonts w:hint="eastAsia" w:ascii="Times New Roman" w:hAnsi="Times New Roman" w:cs="Times New Roman"/>
                      <w:color w:val="auto"/>
                      <w:spacing w:val="8"/>
                      <w:sz w:val="21"/>
                      <w:szCs w:val="21"/>
                      <w:lang w:val="en-US" w:eastAsia="zh-CN"/>
                    </w:rPr>
                    <w:t>辽宁红山</w:t>
                  </w:r>
                  <w:r>
                    <w:rPr>
                      <w:rFonts w:hint="default" w:ascii="Times New Roman" w:hAnsi="Times New Roman" w:cs="Times New Roman" w:eastAsiaTheme="minorEastAsia"/>
                      <w:color w:val="auto"/>
                      <w:spacing w:val="8"/>
                      <w:sz w:val="21"/>
                      <w:szCs w:val="21"/>
                    </w:rPr>
                    <w:t>污水处理</w:t>
                  </w:r>
                  <w:r>
                    <w:rPr>
                      <w:rFonts w:hint="default" w:ascii="Times New Roman" w:hAnsi="Times New Roman" w:cs="Times New Roman" w:eastAsiaTheme="minorEastAsia"/>
                      <w:color w:val="auto"/>
                      <w:spacing w:val="7"/>
                      <w:sz w:val="21"/>
                      <w:szCs w:val="21"/>
                    </w:rPr>
                    <w:t>站</w:t>
                  </w:r>
                </w:p>
              </w:tc>
              <w:tc>
                <w:tcPr>
                  <w:tcW w:w="677" w:type="pct"/>
                  <w:vAlign w:val="center"/>
                </w:tcPr>
                <w:p w14:paraId="65957F5E">
                  <w:pPr>
                    <w:pStyle w:val="12"/>
                    <w:spacing w:line="240" w:lineRule="auto"/>
                    <w:ind w:left="0" w:leftChars="0" w:right="0" w:rightChars="0" w:firstLine="0" w:firstLineChars="0"/>
                    <w:jc w:val="center"/>
                    <w:outlineLvl w:val="9"/>
                    <w:rPr>
                      <w:rFonts w:hint="default"/>
                      <w:color w:val="auto"/>
                      <w:sz w:val="21"/>
                      <w:szCs w:val="21"/>
                      <w:lang w:val="en-US" w:eastAsia="zh-CN"/>
                    </w:rPr>
                  </w:pPr>
                  <w:r>
                    <w:rPr>
                      <w:rFonts w:hint="eastAsia"/>
                      <w:color w:val="auto"/>
                      <w:sz w:val="21"/>
                      <w:szCs w:val="21"/>
                      <w:lang w:val="en-US" w:eastAsia="zh-CN"/>
                    </w:rPr>
                    <w:t>1座</w:t>
                  </w:r>
                </w:p>
              </w:tc>
              <w:tc>
                <w:tcPr>
                  <w:tcW w:w="677" w:type="pct"/>
                  <w:vAlign w:val="center"/>
                </w:tcPr>
                <w:p w14:paraId="797BD8E7">
                  <w:pPr>
                    <w:pStyle w:val="12"/>
                    <w:spacing w:line="240" w:lineRule="auto"/>
                    <w:ind w:left="0" w:leftChars="0" w:right="0" w:rightChars="0" w:firstLine="0" w:firstLineChars="0"/>
                    <w:jc w:val="center"/>
                    <w:outlineLvl w:val="9"/>
                    <w:rPr>
                      <w:rFonts w:hint="default"/>
                      <w:color w:val="auto"/>
                      <w:sz w:val="21"/>
                      <w:szCs w:val="21"/>
                      <w:lang w:val="en-US" w:eastAsia="zh-CN"/>
                    </w:rPr>
                  </w:pPr>
                  <w:r>
                    <w:rPr>
                      <w:rFonts w:hint="eastAsia"/>
                      <w:color w:val="auto"/>
                      <w:sz w:val="21"/>
                      <w:szCs w:val="21"/>
                      <w:lang w:val="en-US" w:eastAsia="zh-CN"/>
                    </w:rPr>
                    <w:t>0（依托）</w:t>
                  </w:r>
                </w:p>
              </w:tc>
            </w:tr>
            <w:tr w14:paraId="35199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076" w:type="pct"/>
                  <w:vAlign w:val="center"/>
                </w:tcPr>
                <w:p w14:paraId="6306054E">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rPr>
                    <w:t>噪声处理</w:t>
                  </w:r>
                </w:p>
              </w:tc>
              <w:tc>
                <w:tcPr>
                  <w:tcW w:w="2568" w:type="pct"/>
                  <w:vAlign w:val="center"/>
                </w:tcPr>
                <w:p w14:paraId="4AD189B6">
                  <w:pPr>
                    <w:pStyle w:val="115"/>
                    <w:keepNext w:val="0"/>
                    <w:keepLines w:val="0"/>
                    <w:pageBreakBefore w:val="0"/>
                    <w:widowControl w:val="0"/>
                    <w:kinsoku/>
                    <w:wordWrap/>
                    <w:overflowPunct/>
                    <w:topLinePunct w:val="0"/>
                    <w:autoSpaceDE/>
                    <w:autoSpaceDN/>
                    <w:bidi w:val="0"/>
                    <w:adjustRightInd/>
                    <w:snapToGrid/>
                    <w:jc w:val="center"/>
                    <w:textAlignment w:val="auto"/>
                    <w:outlineLvl w:val="9"/>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低噪</w:t>
                  </w:r>
                  <w:r>
                    <w:rPr>
                      <w:rFonts w:hint="eastAsia" w:ascii="Times New Roman" w:hAnsi="Times New Roman" w:cs="Times New Roman"/>
                      <w:color w:val="auto"/>
                      <w:sz w:val="21"/>
                      <w:szCs w:val="21"/>
                      <w:lang w:eastAsia="zh-CN"/>
                    </w:rPr>
                    <w:t>设备、基础减振</w:t>
                  </w:r>
                  <w:r>
                    <w:rPr>
                      <w:rFonts w:ascii="Times New Roman" w:hAnsi="Times New Roman" w:cs="Times New Roman"/>
                      <w:color w:val="auto"/>
                      <w:sz w:val="21"/>
                      <w:szCs w:val="21"/>
                      <w:lang w:eastAsia="zh-CN"/>
                    </w:rPr>
                    <w:t>、厂房隔声</w:t>
                  </w:r>
                </w:p>
              </w:tc>
              <w:tc>
                <w:tcPr>
                  <w:tcW w:w="677" w:type="pct"/>
                  <w:vAlign w:val="center"/>
                </w:tcPr>
                <w:p w14:paraId="75A5DC8D">
                  <w:pPr>
                    <w:pStyle w:val="12"/>
                    <w:spacing w:line="240" w:lineRule="auto"/>
                    <w:ind w:left="0" w:leftChars="0" w:right="0" w:rightChars="0" w:firstLine="0" w:firstLineChars="0"/>
                    <w:jc w:val="center"/>
                    <w:outlineLvl w:val="9"/>
                    <w:rPr>
                      <w:color w:val="auto"/>
                      <w:sz w:val="21"/>
                      <w:szCs w:val="21"/>
                    </w:rPr>
                  </w:pPr>
                  <w:r>
                    <w:rPr>
                      <w:color w:val="auto"/>
                      <w:sz w:val="21"/>
                      <w:szCs w:val="21"/>
                    </w:rPr>
                    <w:t>/</w:t>
                  </w:r>
                </w:p>
              </w:tc>
              <w:tc>
                <w:tcPr>
                  <w:tcW w:w="677" w:type="pct"/>
                  <w:vAlign w:val="center"/>
                </w:tcPr>
                <w:p w14:paraId="1F18BBB9">
                  <w:pPr>
                    <w:pStyle w:val="12"/>
                    <w:spacing w:line="240" w:lineRule="auto"/>
                    <w:ind w:left="0" w:leftChars="0" w:right="0" w:rightChars="0" w:firstLine="0" w:firstLineChars="0"/>
                    <w:jc w:val="center"/>
                    <w:outlineLvl w:val="9"/>
                    <w:rPr>
                      <w:rFonts w:hint="default" w:eastAsia="宋体"/>
                      <w:color w:val="auto"/>
                      <w:sz w:val="21"/>
                      <w:szCs w:val="21"/>
                      <w:lang w:val="en-US" w:eastAsia="zh-CN"/>
                    </w:rPr>
                  </w:pPr>
                  <w:r>
                    <w:rPr>
                      <w:rFonts w:hint="eastAsia"/>
                      <w:color w:val="auto"/>
                      <w:sz w:val="21"/>
                      <w:szCs w:val="21"/>
                      <w:lang w:val="en-US" w:eastAsia="zh-CN"/>
                    </w:rPr>
                    <w:t>15</w:t>
                  </w:r>
                </w:p>
              </w:tc>
            </w:tr>
            <w:tr w14:paraId="53B49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076" w:type="pct"/>
                  <w:vMerge w:val="restart"/>
                  <w:vAlign w:val="center"/>
                </w:tcPr>
                <w:p w14:paraId="38B770B1">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rPr>
                    <w:t>固废处理</w:t>
                  </w:r>
                </w:p>
              </w:tc>
              <w:tc>
                <w:tcPr>
                  <w:tcW w:w="2568" w:type="pct"/>
                  <w:vAlign w:val="center"/>
                </w:tcPr>
                <w:p w14:paraId="6C11EA9F">
                  <w:pPr>
                    <w:pStyle w:val="115"/>
                    <w:keepNext w:val="0"/>
                    <w:keepLines w:val="0"/>
                    <w:pageBreakBefore w:val="0"/>
                    <w:widowControl w:val="0"/>
                    <w:kinsoku/>
                    <w:wordWrap/>
                    <w:overflowPunct/>
                    <w:topLinePunct w:val="0"/>
                    <w:autoSpaceDE/>
                    <w:autoSpaceDN/>
                    <w:bidi w:val="0"/>
                    <w:adjustRightInd/>
                    <w:snapToGrid/>
                    <w:jc w:val="center"/>
                    <w:textAlignment w:val="auto"/>
                    <w:outlineLvl w:val="9"/>
                    <w:rPr>
                      <w:rFonts w:ascii="Times New Roman" w:hAnsi="Times New Roman" w:cs="Times New Roman"/>
                      <w:color w:val="auto"/>
                      <w:sz w:val="21"/>
                      <w:szCs w:val="21"/>
                      <w:lang w:eastAsia="zh-CN"/>
                    </w:rPr>
                  </w:pPr>
                  <w:r>
                    <w:rPr>
                      <w:rFonts w:hint="eastAsia" w:ascii="Times New Roman" w:hAnsi="Times New Roman" w:eastAsia="宋体" w:cs="Times New Roman"/>
                      <w:color w:val="auto"/>
                      <w:sz w:val="21"/>
                      <w:szCs w:val="21"/>
                      <w:lang w:val="en-US" w:eastAsia="zh-CN"/>
                    </w:rPr>
                    <w:t>一般固废收集箱</w:t>
                  </w:r>
                </w:p>
              </w:tc>
              <w:tc>
                <w:tcPr>
                  <w:tcW w:w="677" w:type="pct"/>
                  <w:vAlign w:val="center"/>
                </w:tcPr>
                <w:p w14:paraId="2BD4BBA6">
                  <w:pPr>
                    <w:pStyle w:val="12"/>
                    <w:spacing w:line="240" w:lineRule="auto"/>
                    <w:ind w:left="0" w:leftChars="0" w:right="0" w:rightChars="0" w:firstLine="0" w:firstLineChars="0"/>
                    <w:jc w:val="center"/>
                    <w:outlineLvl w:val="9"/>
                    <w:rPr>
                      <w:color w:val="auto"/>
                      <w:sz w:val="21"/>
                      <w:szCs w:val="21"/>
                    </w:rPr>
                  </w:pPr>
                  <w:r>
                    <w:rPr>
                      <w:color w:val="auto"/>
                      <w:sz w:val="21"/>
                      <w:szCs w:val="21"/>
                    </w:rPr>
                    <w:t>/</w:t>
                  </w:r>
                </w:p>
              </w:tc>
              <w:tc>
                <w:tcPr>
                  <w:tcW w:w="677" w:type="pct"/>
                  <w:vAlign w:val="center"/>
                </w:tcPr>
                <w:p w14:paraId="3E13AE44">
                  <w:pPr>
                    <w:pStyle w:val="12"/>
                    <w:spacing w:line="240" w:lineRule="auto"/>
                    <w:ind w:left="0" w:leftChars="0" w:right="0" w:rightChars="0" w:firstLine="0" w:firstLineChars="0"/>
                    <w:jc w:val="center"/>
                    <w:outlineLvl w:val="9"/>
                    <w:rPr>
                      <w:rFonts w:hint="eastAsia" w:eastAsia="宋体"/>
                      <w:color w:val="auto"/>
                      <w:sz w:val="21"/>
                      <w:szCs w:val="21"/>
                      <w:lang w:eastAsia="zh-CN"/>
                    </w:rPr>
                  </w:pPr>
                  <w:r>
                    <w:rPr>
                      <w:rFonts w:hint="eastAsia"/>
                      <w:color w:val="auto"/>
                      <w:sz w:val="21"/>
                      <w:szCs w:val="21"/>
                      <w:lang w:val="en-US" w:eastAsia="zh-CN"/>
                    </w:rPr>
                    <w:t>1</w:t>
                  </w:r>
                </w:p>
              </w:tc>
            </w:tr>
            <w:tr w14:paraId="5D1B6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076" w:type="pct"/>
                  <w:vMerge w:val="continue"/>
                  <w:vAlign w:val="center"/>
                </w:tcPr>
                <w:p w14:paraId="1796C088">
                  <w:pPr>
                    <w:pStyle w:val="12"/>
                    <w:spacing w:line="240" w:lineRule="auto"/>
                    <w:ind w:left="0" w:leftChars="0" w:right="0" w:rightChars="0" w:firstLine="0" w:firstLineChars="0"/>
                    <w:jc w:val="center"/>
                    <w:outlineLvl w:val="9"/>
                    <w:rPr>
                      <w:color w:val="auto"/>
                      <w:sz w:val="21"/>
                      <w:szCs w:val="21"/>
                    </w:rPr>
                  </w:pPr>
                </w:p>
              </w:tc>
              <w:tc>
                <w:tcPr>
                  <w:tcW w:w="2568" w:type="pct"/>
                  <w:vAlign w:val="center"/>
                </w:tcPr>
                <w:p w14:paraId="5EDBAF31">
                  <w:pPr>
                    <w:pStyle w:val="115"/>
                    <w:keepNext w:val="0"/>
                    <w:keepLines w:val="0"/>
                    <w:pageBreakBefore w:val="0"/>
                    <w:widowControl w:val="0"/>
                    <w:kinsoku/>
                    <w:wordWrap/>
                    <w:overflowPunct/>
                    <w:topLinePunct w:val="0"/>
                    <w:autoSpaceDE/>
                    <w:autoSpaceDN/>
                    <w:bidi w:val="0"/>
                    <w:adjustRightInd/>
                    <w:snapToGrid/>
                    <w:jc w:val="center"/>
                    <w:textAlignment w:val="auto"/>
                    <w:outlineLvl w:val="9"/>
                    <w:rPr>
                      <w:color w:val="auto"/>
                      <w:sz w:val="21"/>
                      <w:szCs w:val="21"/>
                    </w:rPr>
                  </w:pPr>
                  <w:bookmarkStart w:id="278" w:name="_Toc17916"/>
                  <w:bookmarkStart w:id="279" w:name="_Toc20384"/>
                  <w:r>
                    <w:rPr>
                      <w:rFonts w:ascii="Times New Roman" w:hAnsi="Times New Roman" w:cs="Times New Roman"/>
                      <w:color w:val="auto"/>
                      <w:sz w:val="21"/>
                      <w:szCs w:val="21"/>
                      <w:lang w:eastAsia="zh-CN"/>
                    </w:rPr>
                    <w:t>危险废物贮存点</w:t>
                  </w:r>
                  <w:bookmarkEnd w:id="278"/>
                  <w:bookmarkEnd w:id="279"/>
                </w:p>
              </w:tc>
              <w:tc>
                <w:tcPr>
                  <w:tcW w:w="677" w:type="pct"/>
                  <w:vAlign w:val="center"/>
                </w:tcPr>
                <w:p w14:paraId="0B8E61F7">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rPr>
                    <w:t>1座</w:t>
                  </w:r>
                </w:p>
              </w:tc>
              <w:tc>
                <w:tcPr>
                  <w:tcW w:w="677" w:type="pct"/>
                  <w:vAlign w:val="center"/>
                </w:tcPr>
                <w:p w14:paraId="6A1416DF">
                  <w:pPr>
                    <w:pStyle w:val="12"/>
                    <w:spacing w:line="240" w:lineRule="auto"/>
                    <w:ind w:left="0" w:leftChars="0" w:right="0" w:rightChars="0" w:firstLine="0" w:firstLineChars="0"/>
                    <w:jc w:val="center"/>
                    <w:outlineLvl w:val="9"/>
                    <w:rPr>
                      <w:rFonts w:hint="eastAsia" w:eastAsia="宋体"/>
                      <w:color w:val="auto"/>
                      <w:sz w:val="21"/>
                      <w:szCs w:val="21"/>
                      <w:lang w:eastAsia="zh-CN"/>
                    </w:rPr>
                  </w:pPr>
                  <w:r>
                    <w:rPr>
                      <w:rFonts w:hint="eastAsia"/>
                      <w:color w:val="auto"/>
                      <w:sz w:val="21"/>
                      <w:szCs w:val="21"/>
                      <w:lang w:val="en-US" w:eastAsia="zh-CN"/>
                    </w:rPr>
                    <w:t>0（依托）</w:t>
                  </w:r>
                </w:p>
              </w:tc>
            </w:tr>
            <w:tr w14:paraId="606EB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076" w:type="pct"/>
                  <w:vAlign w:val="center"/>
                </w:tcPr>
                <w:p w14:paraId="429A0D77">
                  <w:pPr>
                    <w:pStyle w:val="12"/>
                    <w:spacing w:line="240" w:lineRule="auto"/>
                    <w:ind w:left="0" w:leftChars="0" w:right="0" w:rightChars="0" w:firstLine="0" w:firstLineChars="0"/>
                    <w:jc w:val="center"/>
                    <w:outlineLvl w:val="9"/>
                    <w:rPr>
                      <w:rFonts w:hint="eastAsia" w:eastAsia="宋体"/>
                      <w:color w:val="auto"/>
                      <w:sz w:val="21"/>
                      <w:szCs w:val="21"/>
                      <w:lang w:eastAsia="zh-CN"/>
                    </w:rPr>
                  </w:pPr>
                  <w:r>
                    <w:rPr>
                      <w:rFonts w:hint="eastAsia"/>
                      <w:color w:val="auto"/>
                      <w:sz w:val="21"/>
                      <w:szCs w:val="21"/>
                      <w:lang w:val="en-US" w:eastAsia="zh-CN"/>
                    </w:rPr>
                    <w:t>地下水</w:t>
                  </w:r>
                </w:p>
              </w:tc>
              <w:tc>
                <w:tcPr>
                  <w:tcW w:w="2568" w:type="pct"/>
                  <w:vAlign w:val="center"/>
                </w:tcPr>
                <w:p w14:paraId="6A6535A3">
                  <w:pPr>
                    <w:pStyle w:val="1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color w:val="auto"/>
                      <w:sz w:val="21"/>
                      <w:szCs w:val="21"/>
                    </w:rPr>
                  </w:pPr>
                  <w:r>
                    <w:rPr>
                      <w:rFonts w:hint="eastAsia"/>
                      <w:color w:val="auto"/>
                      <w:sz w:val="21"/>
                      <w:szCs w:val="21"/>
                    </w:rPr>
                    <w:t>分区防渗</w:t>
                  </w:r>
                </w:p>
              </w:tc>
              <w:tc>
                <w:tcPr>
                  <w:tcW w:w="677" w:type="pct"/>
                  <w:vAlign w:val="center"/>
                </w:tcPr>
                <w:p w14:paraId="77704A29">
                  <w:pPr>
                    <w:pStyle w:val="12"/>
                    <w:spacing w:line="240" w:lineRule="auto"/>
                    <w:ind w:left="0" w:leftChars="0" w:right="0" w:rightChars="0" w:firstLine="0" w:firstLineChars="0"/>
                    <w:jc w:val="center"/>
                    <w:outlineLvl w:val="9"/>
                    <w:rPr>
                      <w:color w:val="auto"/>
                      <w:sz w:val="21"/>
                      <w:szCs w:val="21"/>
                    </w:rPr>
                  </w:pPr>
                  <w:r>
                    <w:rPr>
                      <w:color w:val="auto"/>
                      <w:sz w:val="21"/>
                      <w:szCs w:val="21"/>
                    </w:rPr>
                    <w:t>/</w:t>
                  </w:r>
                </w:p>
              </w:tc>
              <w:tc>
                <w:tcPr>
                  <w:tcW w:w="677" w:type="pct"/>
                  <w:vAlign w:val="center"/>
                </w:tcPr>
                <w:p w14:paraId="30262E73">
                  <w:pPr>
                    <w:pStyle w:val="12"/>
                    <w:spacing w:line="240" w:lineRule="auto"/>
                    <w:ind w:left="0" w:leftChars="0" w:right="0" w:rightChars="0" w:firstLine="0" w:firstLineChars="0"/>
                    <w:jc w:val="center"/>
                    <w:outlineLvl w:val="9"/>
                    <w:rPr>
                      <w:rFonts w:hint="default" w:eastAsia="宋体"/>
                      <w:color w:val="auto"/>
                      <w:sz w:val="21"/>
                      <w:szCs w:val="21"/>
                      <w:lang w:val="en-US" w:eastAsia="zh-CN"/>
                    </w:rPr>
                  </w:pPr>
                  <w:r>
                    <w:rPr>
                      <w:rFonts w:hint="eastAsia"/>
                      <w:color w:val="auto"/>
                      <w:sz w:val="21"/>
                      <w:szCs w:val="21"/>
                      <w:lang w:val="en-US" w:eastAsia="zh-CN"/>
                    </w:rPr>
                    <w:t>25</w:t>
                  </w:r>
                </w:p>
              </w:tc>
            </w:tr>
            <w:tr w14:paraId="35578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76" w:type="pct"/>
                  <w:vAlign w:val="center"/>
                </w:tcPr>
                <w:p w14:paraId="025ACE95">
                  <w:pPr>
                    <w:pStyle w:val="12"/>
                    <w:spacing w:line="240" w:lineRule="auto"/>
                    <w:ind w:left="0" w:leftChars="0" w:right="0" w:rightChars="0" w:firstLine="0" w:firstLineChars="0"/>
                    <w:jc w:val="center"/>
                    <w:outlineLvl w:val="9"/>
                    <w:rPr>
                      <w:rFonts w:hint="eastAsia"/>
                      <w:color w:val="auto"/>
                      <w:sz w:val="21"/>
                      <w:szCs w:val="21"/>
                      <w:lang w:val="en-US" w:eastAsia="zh-CN"/>
                    </w:rPr>
                  </w:pPr>
                  <w:r>
                    <w:rPr>
                      <w:rFonts w:hint="default" w:ascii="Times New Roman" w:hAnsi="Times New Roman" w:cs="Times New Roman" w:eastAsiaTheme="minorEastAsia"/>
                      <w:color w:val="auto"/>
                      <w:spacing w:val="8"/>
                      <w:sz w:val="21"/>
                      <w:szCs w:val="21"/>
                    </w:rPr>
                    <w:t>环</w:t>
                  </w:r>
                  <w:r>
                    <w:rPr>
                      <w:rFonts w:hint="default" w:ascii="Times New Roman" w:hAnsi="Times New Roman" w:cs="Times New Roman" w:eastAsiaTheme="minorEastAsia"/>
                      <w:color w:val="auto"/>
                      <w:spacing w:val="7"/>
                      <w:sz w:val="21"/>
                      <w:szCs w:val="21"/>
                    </w:rPr>
                    <w:t>境风险</w:t>
                  </w:r>
                </w:p>
              </w:tc>
              <w:tc>
                <w:tcPr>
                  <w:tcW w:w="2568" w:type="pct"/>
                  <w:vAlign w:val="center"/>
                </w:tcPr>
                <w:p w14:paraId="142D4FD2">
                  <w:pPr>
                    <w:keepNext w:val="0"/>
                    <w:keepLines w:val="0"/>
                    <w:pageBreakBefore w:val="0"/>
                    <w:widowControl w:val="0"/>
                    <w:kinsoku/>
                    <w:wordWrap/>
                    <w:overflowPunct/>
                    <w:topLinePunct w:val="0"/>
                    <w:autoSpaceDE/>
                    <w:autoSpaceDN/>
                    <w:bidi w:val="0"/>
                    <w:adjustRightInd/>
                    <w:snapToGrid/>
                    <w:spacing w:line="223" w:lineRule="auto"/>
                    <w:jc w:val="center"/>
                    <w:textAlignment w:val="auto"/>
                    <w:outlineLvl w:val="9"/>
                    <w:rPr>
                      <w:rFonts w:hint="default" w:eastAsiaTheme="minorEastAsia"/>
                      <w:color w:val="auto"/>
                      <w:sz w:val="21"/>
                      <w:szCs w:val="21"/>
                      <w:lang w:val="en-US" w:eastAsia="zh-CN"/>
                    </w:rPr>
                  </w:pPr>
                  <w:r>
                    <w:rPr>
                      <w:rFonts w:hint="eastAsia" w:cs="Times New Roman" w:eastAsiaTheme="minorEastAsia"/>
                      <w:color w:val="auto"/>
                      <w:spacing w:val="9"/>
                      <w:sz w:val="21"/>
                      <w:szCs w:val="21"/>
                      <w:lang w:val="en-US" w:eastAsia="zh-CN"/>
                    </w:rPr>
                    <w:t>围堰</w:t>
                  </w:r>
                  <w:r>
                    <w:rPr>
                      <w:rFonts w:hint="default" w:ascii="Times New Roman" w:hAnsi="Times New Roman" w:cs="Times New Roman" w:eastAsiaTheme="minorEastAsia"/>
                      <w:color w:val="auto"/>
                      <w:spacing w:val="9"/>
                      <w:sz w:val="21"/>
                      <w:szCs w:val="21"/>
                    </w:rPr>
                    <w:t>、</w:t>
                  </w:r>
                  <w:r>
                    <w:rPr>
                      <w:rFonts w:hint="eastAsia" w:ascii="Times New Roman" w:hAnsi="Times New Roman" w:cs="Times New Roman"/>
                      <w:color w:val="auto"/>
                      <w:spacing w:val="9"/>
                      <w:sz w:val="21"/>
                      <w:szCs w:val="21"/>
                      <w:highlight w:val="none"/>
                      <w:lang w:val="en-US" w:eastAsia="zh-CN"/>
                    </w:rPr>
                    <w:t>初期雨水池</w:t>
                  </w:r>
                  <w:r>
                    <w:rPr>
                      <w:rFonts w:hint="default" w:ascii="Times New Roman" w:hAnsi="Times New Roman" w:cs="Times New Roman" w:eastAsiaTheme="minorEastAsia"/>
                      <w:color w:val="auto"/>
                      <w:spacing w:val="9"/>
                      <w:sz w:val="21"/>
                      <w:szCs w:val="21"/>
                      <w:highlight w:val="none"/>
                    </w:rPr>
                    <w:t>等</w:t>
                  </w:r>
                  <w:r>
                    <w:rPr>
                      <w:rFonts w:hint="eastAsia" w:cs="Times New Roman" w:eastAsiaTheme="minorEastAsia"/>
                      <w:color w:val="auto"/>
                      <w:spacing w:val="9"/>
                      <w:sz w:val="21"/>
                      <w:szCs w:val="21"/>
                      <w:highlight w:val="none"/>
                      <w:lang w:val="en-US" w:eastAsia="zh-CN"/>
                    </w:rPr>
                    <w:t>风险防范措施</w:t>
                  </w:r>
                </w:p>
              </w:tc>
              <w:tc>
                <w:tcPr>
                  <w:tcW w:w="677" w:type="pct"/>
                  <w:vAlign w:val="center"/>
                </w:tcPr>
                <w:p w14:paraId="2F4F7664">
                  <w:pPr>
                    <w:pStyle w:val="12"/>
                    <w:spacing w:line="240" w:lineRule="auto"/>
                    <w:ind w:left="0" w:leftChars="0" w:right="0" w:rightChars="0" w:firstLine="0" w:firstLineChars="0"/>
                    <w:jc w:val="center"/>
                    <w:outlineLvl w:val="9"/>
                    <w:rPr>
                      <w:rFonts w:hint="eastAsia" w:eastAsia="宋体"/>
                      <w:color w:val="auto"/>
                      <w:sz w:val="21"/>
                      <w:szCs w:val="21"/>
                      <w:lang w:val="en-US" w:eastAsia="zh-CN"/>
                    </w:rPr>
                  </w:pPr>
                  <w:r>
                    <w:rPr>
                      <w:rFonts w:hint="eastAsia"/>
                      <w:color w:val="auto"/>
                      <w:sz w:val="21"/>
                      <w:szCs w:val="21"/>
                      <w:lang w:val="en-US" w:eastAsia="zh-CN"/>
                    </w:rPr>
                    <w:t>/</w:t>
                  </w:r>
                </w:p>
              </w:tc>
              <w:tc>
                <w:tcPr>
                  <w:tcW w:w="677" w:type="pct"/>
                  <w:vAlign w:val="center"/>
                </w:tcPr>
                <w:p w14:paraId="068C3E33">
                  <w:pPr>
                    <w:pStyle w:val="12"/>
                    <w:spacing w:line="240" w:lineRule="auto"/>
                    <w:ind w:left="0" w:leftChars="0" w:right="0" w:rightChars="0" w:firstLine="0" w:firstLineChars="0"/>
                    <w:jc w:val="center"/>
                    <w:outlineLvl w:val="9"/>
                    <w:rPr>
                      <w:rFonts w:hint="default"/>
                      <w:color w:val="auto"/>
                      <w:sz w:val="21"/>
                      <w:szCs w:val="21"/>
                      <w:lang w:val="en-US" w:eastAsia="zh-CN"/>
                    </w:rPr>
                  </w:pPr>
                  <w:r>
                    <w:rPr>
                      <w:rFonts w:hint="eastAsia"/>
                      <w:color w:val="auto"/>
                      <w:sz w:val="21"/>
                      <w:szCs w:val="21"/>
                      <w:lang w:val="en-US" w:eastAsia="zh-CN"/>
                    </w:rPr>
                    <w:t>20</w:t>
                  </w:r>
                </w:p>
              </w:tc>
            </w:tr>
            <w:tr w14:paraId="7FB87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076" w:type="pct"/>
                  <w:vAlign w:val="center"/>
                </w:tcPr>
                <w:p w14:paraId="44C280C1">
                  <w:pPr>
                    <w:pStyle w:val="12"/>
                    <w:spacing w:line="240" w:lineRule="auto"/>
                    <w:ind w:left="0" w:leftChars="0" w:right="0" w:rightChars="0" w:firstLine="0" w:firstLineChars="0"/>
                    <w:jc w:val="center"/>
                    <w:outlineLvl w:val="9"/>
                    <w:rPr>
                      <w:rFonts w:hint="default" w:ascii="Times New Roman" w:hAnsi="Times New Roman" w:cs="Times New Roman" w:eastAsiaTheme="minorEastAsia"/>
                      <w:color w:val="auto"/>
                      <w:spacing w:val="8"/>
                      <w:sz w:val="21"/>
                      <w:szCs w:val="21"/>
                      <w:lang w:val="en-US" w:eastAsia="zh-CN"/>
                    </w:rPr>
                  </w:pPr>
                  <w:r>
                    <w:rPr>
                      <w:rFonts w:hint="eastAsia" w:cs="Times New Roman" w:eastAsiaTheme="minorEastAsia"/>
                      <w:color w:val="auto"/>
                      <w:spacing w:val="8"/>
                      <w:sz w:val="21"/>
                      <w:szCs w:val="21"/>
                      <w:lang w:val="en-US" w:eastAsia="zh-CN"/>
                    </w:rPr>
                    <w:t>其他</w:t>
                  </w:r>
                </w:p>
              </w:tc>
              <w:tc>
                <w:tcPr>
                  <w:tcW w:w="2568" w:type="pct"/>
                  <w:vAlign w:val="center"/>
                </w:tcPr>
                <w:p w14:paraId="68C2C29C">
                  <w:pPr>
                    <w:keepNext w:val="0"/>
                    <w:keepLines w:val="0"/>
                    <w:pageBreakBefore w:val="0"/>
                    <w:widowControl w:val="0"/>
                    <w:kinsoku/>
                    <w:wordWrap/>
                    <w:overflowPunct/>
                    <w:topLinePunct w:val="0"/>
                    <w:autoSpaceDE/>
                    <w:autoSpaceDN/>
                    <w:bidi w:val="0"/>
                    <w:adjustRightInd/>
                    <w:snapToGrid/>
                    <w:spacing w:line="223" w:lineRule="auto"/>
                    <w:jc w:val="center"/>
                    <w:textAlignment w:val="auto"/>
                    <w:outlineLvl w:val="9"/>
                    <w:rPr>
                      <w:rFonts w:hint="default" w:ascii="Times New Roman" w:hAnsi="Times New Roman" w:cs="Times New Roman"/>
                      <w:color w:val="auto"/>
                      <w:spacing w:val="9"/>
                      <w:sz w:val="21"/>
                      <w:szCs w:val="21"/>
                      <w:lang w:val="en-US" w:eastAsia="zh-CN"/>
                    </w:rPr>
                  </w:pPr>
                  <w:r>
                    <w:rPr>
                      <w:rFonts w:hint="eastAsia" w:ascii="Times New Roman" w:hAnsi="Times New Roman" w:cs="Times New Roman"/>
                      <w:color w:val="auto"/>
                      <w:spacing w:val="9"/>
                      <w:sz w:val="21"/>
                      <w:szCs w:val="21"/>
                      <w:lang w:val="en-US" w:eastAsia="zh-CN"/>
                    </w:rPr>
                    <w:t>环境管理</w:t>
                  </w:r>
                </w:p>
              </w:tc>
              <w:tc>
                <w:tcPr>
                  <w:tcW w:w="677" w:type="pct"/>
                  <w:vAlign w:val="center"/>
                </w:tcPr>
                <w:p w14:paraId="38AFD73E">
                  <w:pPr>
                    <w:pStyle w:val="12"/>
                    <w:spacing w:line="240" w:lineRule="auto"/>
                    <w:ind w:left="0" w:leftChars="0" w:right="0" w:rightChars="0" w:firstLine="0" w:firstLineChars="0"/>
                    <w:jc w:val="center"/>
                    <w:outlineLvl w:val="9"/>
                    <w:rPr>
                      <w:rFonts w:hint="eastAsia" w:eastAsia="宋体"/>
                      <w:color w:val="auto"/>
                      <w:sz w:val="21"/>
                      <w:szCs w:val="21"/>
                      <w:lang w:val="en-US" w:eastAsia="zh-CN"/>
                    </w:rPr>
                  </w:pPr>
                  <w:r>
                    <w:rPr>
                      <w:rFonts w:hint="eastAsia"/>
                      <w:color w:val="auto"/>
                      <w:sz w:val="21"/>
                      <w:szCs w:val="21"/>
                      <w:lang w:val="en-US" w:eastAsia="zh-CN"/>
                    </w:rPr>
                    <w:t>/</w:t>
                  </w:r>
                </w:p>
              </w:tc>
              <w:tc>
                <w:tcPr>
                  <w:tcW w:w="677" w:type="pct"/>
                  <w:vAlign w:val="center"/>
                </w:tcPr>
                <w:p w14:paraId="496F943E">
                  <w:pPr>
                    <w:pStyle w:val="12"/>
                    <w:spacing w:line="240" w:lineRule="auto"/>
                    <w:ind w:left="0" w:leftChars="0" w:right="0" w:rightChars="0" w:firstLine="0" w:firstLineChars="0"/>
                    <w:jc w:val="center"/>
                    <w:outlineLvl w:val="9"/>
                    <w:rPr>
                      <w:rFonts w:hint="default"/>
                      <w:color w:val="auto"/>
                      <w:sz w:val="21"/>
                      <w:szCs w:val="21"/>
                      <w:lang w:val="en-US" w:eastAsia="zh-CN"/>
                    </w:rPr>
                  </w:pPr>
                  <w:r>
                    <w:rPr>
                      <w:rFonts w:hint="eastAsia"/>
                      <w:color w:val="auto"/>
                      <w:sz w:val="21"/>
                      <w:szCs w:val="21"/>
                      <w:lang w:val="en-US" w:eastAsia="zh-CN"/>
                    </w:rPr>
                    <w:t>10</w:t>
                  </w:r>
                </w:p>
              </w:tc>
            </w:tr>
            <w:tr w14:paraId="6D298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4322" w:type="pct"/>
                  <w:gridSpan w:val="3"/>
                  <w:vAlign w:val="center"/>
                </w:tcPr>
                <w:p w14:paraId="7ECA35E3">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rPr>
                    <w:t>合计</w:t>
                  </w:r>
                </w:p>
              </w:tc>
              <w:tc>
                <w:tcPr>
                  <w:tcW w:w="677" w:type="pct"/>
                  <w:vAlign w:val="center"/>
                </w:tcPr>
                <w:p w14:paraId="4680C96C">
                  <w:pPr>
                    <w:pStyle w:val="12"/>
                    <w:spacing w:line="240" w:lineRule="auto"/>
                    <w:ind w:left="0" w:leftChars="0" w:right="0" w:rightChars="0" w:firstLine="0" w:firstLineChars="0"/>
                    <w:jc w:val="center"/>
                    <w:outlineLvl w:val="9"/>
                    <w:rPr>
                      <w:rFonts w:hint="default" w:eastAsia="宋体"/>
                      <w:color w:val="auto"/>
                      <w:sz w:val="21"/>
                      <w:szCs w:val="21"/>
                      <w:lang w:val="en-US" w:eastAsia="zh-CN"/>
                    </w:rPr>
                  </w:pPr>
                  <w:r>
                    <w:rPr>
                      <w:rFonts w:hint="eastAsia"/>
                      <w:color w:val="auto"/>
                      <w:sz w:val="21"/>
                      <w:szCs w:val="21"/>
                      <w:lang w:val="en-US" w:eastAsia="zh-CN"/>
                    </w:rPr>
                    <w:t>126</w:t>
                  </w:r>
                </w:p>
              </w:tc>
            </w:tr>
          </w:tbl>
          <w:p w14:paraId="791C42FE">
            <w:pPr>
              <w:spacing w:line="360" w:lineRule="auto"/>
              <w:outlineLvl w:val="9"/>
              <w:rPr>
                <w:rFonts w:hint="eastAsia"/>
                <w:b/>
                <w:bCs/>
                <w:color w:val="auto"/>
                <w:sz w:val="24"/>
                <w:szCs w:val="32"/>
              </w:rPr>
            </w:pPr>
            <w:bookmarkStart w:id="280" w:name="_Toc11842"/>
            <w:bookmarkStart w:id="281" w:name="_Toc17133"/>
            <w:bookmarkStart w:id="282" w:name="_Toc10974"/>
            <w:bookmarkStart w:id="283" w:name="_Toc31519"/>
            <w:bookmarkStart w:id="284" w:name="_Toc18281"/>
            <w:bookmarkStart w:id="285" w:name="_Toc19952"/>
            <w:bookmarkStart w:id="286" w:name="_Toc11407"/>
            <w:bookmarkStart w:id="287" w:name="_Toc13972"/>
            <w:bookmarkStart w:id="288" w:name="_Toc28732"/>
            <w:bookmarkStart w:id="289" w:name="_Toc30949"/>
            <w:bookmarkStart w:id="290" w:name="_Toc28033"/>
            <w:bookmarkStart w:id="291" w:name="_Toc19743"/>
            <w:bookmarkStart w:id="292" w:name="_Toc7040"/>
            <w:bookmarkStart w:id="293" w:name="_Toc32382"/>
            <w:bookmarkStart w:id="294" w:name="_Toc3140"/>
            <w:r>
              <w:rPr>
                <w:rFonts w:hint="eastAsia"/>
                <w:b/>
                <w:bCs/>
                <w:color w:val="auto"/>
                <w:sz w:val="24"/>
                <w:szCs w:val="32"/>
                <w:lang w:val="en-US" w:eastAsia="zh-CN"/>
              </w:rPr>
              <w:t>九</w:t>
            </w:r>
            <w:r>
              <w:rPr>
                <w:rFonts w:hint="eastAsia"/>
                <w:b/>
                <w:bCs/>
                <w:color w:val="auto"/>
                <w:sz w:val="24"/>
                <w:szCs w:val="32"/>
              </w:rPr>
              <w:t>、“三同时”情况一览表</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p w14:paraId="304818DE">
            <w:pPr>
              <w:adjustRightInd w:val="0"/>
              <w:snapToGrid w:val="0"/>
              <w:spacing w:line="360" w:lineRule="auto"/>
              <w:ind w:firstLine="480" w:firstLineChars="200"/>
              <w:outlineLvl w:val="9"/>
              <w:rPr>
                <w:color w:val="auto"/>
                <w:sz w:val="24"/>
              </w:rPr>
            </w:pPr>
            <w:r>
              <w:rPr>
                <w:rFonts w:hint="eastAsia"/>
                <w:color w:val="auto"/>
                <w:sz w:val="24"/>
              </w:rPr>
              <w:t>本项目的环境保护“三同时”验收一览表如下。</w:t>
            </w:r>
          </w:p>
          <w:p w14:paraId="58BF96A3">
            <w:pPr>
              <w:adjustRightInd w:val="0"/>
              <w:snapToGrid w:val="0"/>
              <w:jc w:val="center"/>
              <w:outlineLvl w:val="9"/>
              <w:rPr>
                <w:b/>
                <w:bCs/>
                <w:color w:val="auto"/>
                <w:szCs w:val="21"/>
              </w:rPr>
            </w:pPr>
            <w:r>
              <w:rPr>
                <w:b/>
                <w:bCs/>
                <w:color w:val="auto"/>
                <w:szCs w:val="21"/>
              </w:rPr>
              <w:t>表</w:t>
            </w:r>
            <w:r>
              <w:rPr>
                <w:rFonts w:hint="eastAsia"/>
                <w:b/>
                <w:color w:val="auto"/>
                <w:szCs w:val="21"/>
              </w:rPr>
              <w:t>4-1</w:t>
            </w:r>
            <w:r>
              <w:rPr>
                <w:rFonts w:hint="eastAsia"/>
                <w:b/>
                <w:color w:val="auto"/>
                <w:szCs w:val="21"/>
                <w:lang w:val="en-US" w:eastAsia="zh-CN"/>
              </w:rPr>
              <w:t>4</w:t>
            </w:r>
            <w:r>
              <w:rPr>
                <w:rFonts w:hint="eastAsia"/>
                <w:b/>
                <w:color w:val="auto"/>
                <w:szCs w:val="21"/>
              </w:rPr>
              <w:t xml:space="preserve">  </w:t>
            </w:r>
            <w:r>
              <w:rPr>
                <w:rFonts w:hint="eastAsia"/>
                <w:b/>
                <w:bCs/>
                <w:color w:val="auto"/>
                <w:szCs w:val="21"/>
              </w:rPr>
              <w:t>本</w:t>
            </w:r>
            <w:r>
              <w:rPr>
                <w:b/>
                <w:bCs/>
                <w:color w:val="auto"/>
                <w:szCs w:val="21"/>
              </w:rPr>
              <w:t>项目</w:t>
            </w:r>
            <w:r>
              <w:rPr>
                <w:rFonts w:hint="eastAsia"/>
                <w:b/>
                <w:bCs/>
                <w:color w:val="auto"/>
                <w:szCs w:val="21"/>
              </w:rPr>
              <w:t>“三同时”验收一览表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2531"/>
              <w:gridCol w:w="1438"/>
              <w:gridCol w:w="1438"/>
              <w:gridCol w:w="2918"/>
              <w:gridCol w:w="2536"/>
            </w:tblGrid>
            <w:tr w14:paraId="00D6A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Align w:val="center"/>
                </w:tcPr>
                <w:p w14:paraId="342EDC5C">
                  <w:pPr>
                    <w:pStyle w:val="12"/>
                    <w:spacing w:line="240" w:lineRule="auto"/>
                    <w:ind w:left="0" w:leftChars="0" w:right="0" w:rightChars="0" w:firstLine="0" w:firstLineChars="0"/>
                    <w:jc w:val="center"/>
                    <w:outlineLvl w:val="9"/>
                    <w:rPr>
                      <w:b/>
                      <w:bCs/>
                      <w:color w:val="auto"/>
                      <w:sz w:val="21"/>
                      <w:szCs w:val="21"/>
                    </w:rPr>
                  </w:pPr>
                  <w:r>
                    <w:rPr>
                      <w:b/>
                      <w:bCs/>
                      <w:color w:val="auto"/>
                      <w:sz w:val="21"/>
                      <w:szCs w:val="21"/>
                    </w:rPr>
                    <w:t>项目</w:t>
                  </w:r>
                </w:p>
              </w:tc>
              <w:tc>
                <w:tcPr>
                  <w:tcW w:w="1081" w:type="pct"/>
                  <w:vAlign w:val="center"/>
                </w:tcPr>
                <w:p w14:paraId="4E7F62BF">
                  <w:pPr>
                    <w:pStyle w:val="12"/>
                    <w:spacing w:line="240" w:lineRule="auto"/>
                    <w:ind w:left="0" w:leftChars="0" w:right="0" w:rightChars="0" w:firstLine="0" w:firstLineChars="0"/>
                    <w:jc w:val="center"/>
                    <w:outlineLvl w:val="9"/>
                    <w:rPr>
                      <w:b/>
                      <w:bCs/>
                      <w:color w:val="auto"/>
                      <w:sz w:val="21"/>
                      <w:szCs w:val="21"/>
                    </w:rPr>
                  </w:pPr>
                  <w:r>
                    <w:rPr>
                      <w:b/>
                      <w:bCs/>
                      <w:color w:val="auto"/>
                      <w:sz w:val="21"/>
                      <w:szCs w:val="21"/>
                    </w:rPr>
                    <w:t>污染源</w:t>
                  </w:r>
                </w:p>
              </w:tc>
              <w:tc>
                <w:tcPr>
                  <w:tcW w:w="614" w:type="pct"/>
                  <w:vAlign w:val="center"/>
                </w:tcPr>
                <w:p w14:paraId="3A4DC106">
                  <w:pPr>
                    <w:pStyle w:val="12"/>
                    <w:spacing w:line="240" w:lineRule="auto"/>
                    <w:ind w:left="0" w:leftChars="0" w:right="0" w:rightChars="0" w:firstLine="0" w:firstLineChars="0"/>
                    <w:jc w:val="center"/>
                    <w:outlineLvl w:val="9"/>
                    <w:rPr>
                      <w:rFonts w:hint="default" w:eastAsia="宋体"/>
                      <w:b/>
                      <w:bCs/>
                      <w:color w:val="auto"/>
                      <w:sz w:val="21"/>
                      <w:szCs w:val="21"/>
                      <w:lang w:val="en-US" w:eastAsia="zh-CN"/>
                    </w:rPr>
                  </w:pPr>
                  <w:r>
                    <w:rPr>
                      <w:rFonts w:hint="eastAsia"/>
                      <w:b/>
                      <w:bCs/>
                      <w:color w:val="auto"/>
                      <w:sz w:val="21"/>
                      <w:szCs w:val="21"/>
                      <w:lang w:val="en-US" w:eastAsia="zh-CN"/>
                    </w:rPr>
                    <w:t>监测点位</w:t>
                  </w:r>
                </w:p>
              </w:tc>
              <w:tc>
                <w:tcPr>
                  <w:tcW w:w="614" w:type="pct"/>
                  <w:vAlign w:val="center"/>
                </w:tcPr>
                <w:p w14:paraId="52C61E67">
                  <w:pPr>
                    <w:pStyle w:val="12"/>
                    <w:spacing w:line="240" w:lineRule="auto"/>
                    <w:ind w:left="0" w:leftChars="0" w:right="0" w:rightChars="0" w:firstLine="0" w:firstLineChars="0"/>
                    <w:jc w:val="center"/>
                    <w:outlineLvl w:val="9"/>
                    <w:rPr>
                      <w:b/>
                      <w:bCs/>
                      <w:color w:val="auto"/>
                      <w:sz w:val="21"/>
                      <w:szCs w:val="21"/>
                    </w:rPr>
                  </w:pPr>
                  <w:r>
                    <w:rPr>
                      <w:b/>
                      <w:bCs/>
                      <w:color w:val="auto"/>
                      <w:sz w:val="21"/>
                      <w:szCs w:val="21"/>
                    </w:rPr>
                    <w:t>污染因子</w:t>
                  </w:r>
                </w:p>
              </w:tc>
              <w:tc>
                <w:tcPr>
                  <w:tcW w:w="1246" w:type="pct"/>
                  <w:vAlign w:val="center"/>
                </w:tcPr>
                <w:p w14:paraId="5BACC33A">
                  <w:pPr>
                    <w:pStyle w:val="12"/>
                    <w:spacing w:line="240" w:lineRule="auto"/>
                    <w:ind w:left="0" w:leftChars="0" w:right="0" w:rightChars="0" w:firstLine="0" w:firstLineChars="0"/>
                    <w:jc w:val="center"/>
                    <w:outlineLvl w:val="9"/>
                    <w:rPr>
                      <w:rFonts w:hint="default" w:eastAsia="宋体"/>
                      <w:b/>
                      <w:bCs/>
                      <w:color w:val="auto"/>
                      <w:sz w:val="21"/>
                      <w:szCs w:val="21"/>
                      <w:lang w:val="en-US" w:eastAsia="zh-CN"/>
                    </w:rPr>
                  </w:pPr>
                  <w:r>
                    <w:rPr>
                      <w:rFonts w:hint="eastAsia"/>
                      <w:b/>
                      <w:bCs/>
                      <w:color w:val="auto"/>
                      <w:sz w:val="21"/>
                      <w:szCs w:val="21"/>
                      <w:lang w:val="en-US" w:eastAsia="zh-CN"/>
                    </w:rPr>
                    <w:t>治理措施</w:t>
                  </w:r>
                </w:p>
              </w:tc>
              <w:tc>
                <w:tcPr>
                  <w:tcW w:w="1083" w:type="pct"/>
                  <w:vAlign w:val="center"/>
                </w:tcPr>
                <w:p w14:paraId="49DB91FC">
                  <w:pPr>
                    <w:pStyle w:val="12"/>
                    <w:spacing w:line="240" w:lineRule="auto"/>
                    <w:ind w:left="0" w:leftChars="0" w:right="0" w:rightChars="0" w:firstLine="0" w:firstLineChars="0"/>
                    <w:jc w:val="center"/>
                    <w:outlineLvl w:val="9"/>
                    <w:rPr>
                      <w:b/>
                      <w:bCs/>
                      <w:color w:val="auto"/>
                      <w:sz w:val="21"/>
                      <w:szCs w:val="21"/>
                    </w:rPr>
                  </w:pPr>
                  <w:r>
                    <w:rPr>
                      <w:b/>
                      <w:bCs/>
                      <w:color w:val="auto"/>
                      <w:sz w:val="21"/>
                      <w:szCs w:val="21"/>
                    </w:rPr>
                    <w:t>验收标准</w:t>
                  </w:r>
                </w:p>
              </w:tc>
            </w:tr>
            <w:tr w14:paraId="13423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restart"/>
                  <w:vAlign w:val="center"/>
                </w:tcPr>
                <w:p w14:paraId="16B50F35">
                  <w:pPr>
                    <w:pStyle w:val="12"/>
                    <w:spacing w:line="240" w:lineRule="auto"/>
                    <w:ind w:left="0" w:leftChars="0" w:right="0" w:rightChars="0" w:firstLine="0" w:firstLineChars="0"/>
                    <w:jc w:val="center"/>
                    <w:outlineLvl w:val="9"/>
                    <w:rPr>
                      <w:color w:val="auto"/>
                      <w:sz w:val="21"/>
                      <w:szCs w:val="21"/>
                    </w:rPr>
                  </w:pPr>
                  <w:r>
                    <w:rPr>
                      <w:color w:val="auto"/>
                      <w:sz w:val="21"/>
                      <w:szCs w:val="21"/>
                    </w:rPr>
                    <w:t>废气</w:t>
                  </w:r>
                </w:p>
              </w:tc>
              <w:tc>
                <w:tcPr>
                  <w:tcW w:w="1081" w:type="pct"/>
                  <w:vAlign w:val="center"/>
                </w:tcPr>
                <w:p w14:paraId="36F1F5A8">
                  <w:pPr>
                    <w:adjustRightInd w:val="0"/>
                    <w:snapToGrid w:val="0"/>
                    <w:jc w:val="center"/>
                    <w:outlineLvl w:val="9"/>
                    <w:rPr>
                      <w:rFonts w:hint="default"/>
                      <w:color w:val="auto"/>
                      <w:sz w:val="21"/>
                      <w:szCs w:val="21"/>
                      <w:lang w:val="en-US"/>
                    </w:rPr>
                  </w:pPr>
                  <w:r>
                    <w:rPr>
                      <w:rFonts w:hint="eastAsia" w:ascii="宋体" w:hAnsi="宋体" w:eastAsia="宋体" w:cs="宋体"/>
                      <w:color w:val="auto"/>
                      <w:kern w:val="0"/>
                      <w:sz w:val="21"/>
                      <w:szCs w:val="21"/>
                      <w:highlight w:val="none"/>
                      <w:lang w:val="en-US" w:eastAsia="zh-CN" w:bidi="ar"/>
                    </w:rPr>
                    <w:t>上料、钢带冷却、</w:t>
                  </w:r>
                  <w:r>
                    <w:rPr>
                      <w:rFonts w:hint="eastAsia" w:ascii="Times New Roman" w:hAnsi="Times New Roman" w:eastAsia="宋体" w:cs="Times New Roman"/>
                      <w:color w:val="auto"/>
                      <w:sz w:val="21"/>
                      <w:szCs w:val="21"/>
                      <w:lang w:val="en-US" w:eastAsia="zh-CN"/>
                    </w:rPr>
                    <w:t>散料输送</w:t>
                  </w:r>
                </w:p>
              </w:tc>
              <w:tc>
                <w:tcPr>
                  <w:tcW w:w="614" w:type="pct"/>
                  <w:shd w:val="clear" w:color="auto" w:fill="FFFFFF"/>
                  <w:vAlign w:val="center"/>
                </w:tcPr>
                <w:p w14:paraId="00A97D3F">
                  <w:pPr>
                    <w:adjustRightInd w:val="0"/>
                    <w:snapToGrid w:val="0"/>
                    <w:jc w:val="center"/>
                    <w:outlineLvl w:val="9"/>
                    <w:rPr>
                      <w:rFonts w:hint="default"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厂界</w:t>
                  </w:r>
                </w:p>
              </w:tc>
              <w:tc>
                <w:tcPr>
                  <w:tcW w:w="614" w:type="pct"/>
                  <w:shd w:val="clear" w:color="auto" w:fill="FFFFFF"/>
                  <w:vAlign w:val="center"/>
                </w:tcPr>
                <w:p w14:paraId="5FE2FF2D">
                  <w:pPr>
                    <w:widowControl/>
                    <w:jc w:val="center"/>
                    <w:outlineLvl w:val="9"/>
                    <w:rPr>
                      <w:rFonts w:hint="eastAsia" w:eastAsia="宋体"/>
                      <w:color w:val="auto"/>
                      <w:sz w:val="21"/>
                      <w:szCs w:val="21"/>
                      <w:lang w:eastAsia="zh-CN"/>
                    </w:rPr>
                  </w:pPr>
                  <w:r>
                    <w:rPr>
                      <w:color w:val="auto"/>
                      <w:sz w:val="21"/>
                      <w:szCs w:val="21"/>
                    </w:rPr>
                    <w:t>颗粒物</w:t>
                  </w:r>
                  <w:r>
                    <w:rPr>
                      <w:rFonts w:hint="eastAsia"/>
                      <w:color w:val="auto"/>
                      <w:sz w:val="21"/>
                      <w:szCs w:val="21"/>
                      <w:lang w:eastAsia="zh-CN"/>
                    </w:rPr>
                    <w:t>、</w:t>
                  </w:r>
                  <w:r>
                    <w:rPr>
                      <w:bCs/>
                      <w:color w:val="auto"/>
                      <w:spacing w:val="-10"/>
                      <w:sz w:val="21"/>
                      <w:szCs w:val="21"/>
                    </w:rPr>
                    <w:t>非甲烷总烃</w:t>
                  </w:r>
                </w:p>
              </w:tc>
              <w:tc>
                <w:tcPr>
                  <w:tcW w:w="1246" w:type="pct"/>
                  <w:vAlign w:val="center"/>
                </w:tcPr>
                <w:p w14:paraId="192E15E6">
                  <w:pPr>
                    <w:pStyle w:val="12"/>
                    <w:spacing w:line="240" w:lineRule="auto"/>
                    <w:ind w:left="0" w:leftChars="0" w:right="0" w:rightChars="0" w:firstLine="0" w:firstLineChars="0"/>
                    <w:jc w:val="center"/>
                    <w:outlineLvl w:val="9"/>
                    <w:rPr>
                      <w:color w:val="auto"/>
                      <w:sz w:val="21"/>
                      <w:szCs w:val="21"/>
                    </w:rPr>
                  </w:pPr>
                  <w:r>
                    <w:rPr>
                      <w:rFonts w:hint="eastAsia" w:ascii="Times New Roman" w:hAnsi="Times New Roman" w:cs="Times New Roman"/>
                      <w:color w:val="auto"/>
                      <w:spacing w:val="14"/>
                      <w:sz w:val="21"/>
                      <w:szCs w:val="21"/>
                      <w:lang w:val="en-US" w:eastAsia="zh-CN"/>
                    </w:rPr>
                    <w:t>封闭工房</w:t>
                  </w:r>
                </w:p>
              </w:tc>
              <w:tc>
                <w:tcPr>
                  <w:tcW w:w="1083" w:type="pct"/>
                  <w:vAlign w:val="center"/>
                </w:tcPr>
                <w:p w14:paraId="3F1864F9">
                  <w:pPr>
                    <w:pStyle w:val="114"/>
                    <w:spacing w:before="31" w:after="31"/>
                    <w:ind w:firstLine="0" w:firstLineChars="0"/>
                    <w:outlineLvl w:val="9"/>
                    <w:rPr>
                      <w:rFonts w:ascii="Times New Roman" w:hAnsi="Times New Roman" w:cs="Times New Roman"/>
                      <w:color w:val="auto"/>
                      <w:spacing w:val="5"/>
                      <w:position w:val="3"/>
                      <w:sz w:val="21"/>
                      <w:szCs w:val="21"/>
                      <w:lang w:eastAsia="zh-CN"/>
                    </w:rPr>
                  </w:pPr>
                  <w:r>
                    <w:rPr>
                      <w:rFonts w:hint="default" w:ascii="Times New Roman" w:hAnsi="Times New Roman" w:cs="Times New Roman" w:eastAsiaTheme="minorEastAsia"/>
                      <w:color w:val="auto"/>
                      <w:sz w:val="21"/>
                      <w:szCs w:val="21"/>
                      <w:lang w:val="en-US" w:eastAsia="zh-CN"/>
                    </w:rPr>
                    <w:t>《大气污染物综合排放标准》(GB16297- 1996)中表2</w:t>
                  </w:r>
                </w:p>
              </w:tc>
            </w:tr>
            <w:tr w14:paraId="1CF43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Merge w:val="continue"/>
                  <w:vAlign w:val="center"/>
                </w:tcPr>
                <w:p w14:paraId="417F9328">
                  <w:pPr>
                    <w:pStyle w:val="12"/>
                    <w:spacing w:line="240" w:lineRule="auto"/>
                    <w:ind w:left="0" w:leftChars="0" w:right="0" w:rightChars="0" w:firstLine="0" w:firstLineChars="0"/>
                    <w:jc w:val="center"/>
                    <w:outlineLvl w:val="9"/>
                    <w:rPr>
                      <w:color w:val="auto"/>
                      <w:sz w:val="21"/>
                      <w:szCs w:val="21"/>
                    </w:rPr>
                  </w:pPr>
                </w:p>
              </w:tc>
              <w:tc>
                <w:tcPr>
                  <w:tcW w:w="1081" w:type="pct"/>
                  <w:vAlign w:val="center"/>
                </w:tcPr>
                <w:p w14:paraId="13B36D79">
                  <w:pPr>
                    <w:adjustRightInd w:val="0"/>
                    <w:snapToGrid w:val="0"/>
                    <w:jc w:val="center"/>
                    <w:outlineLvl w:val="9"/>
                    <w:rPr>
                      <w:color w:val="auto"/>
                      <w:sz w:val="21"/>
                      <w:szCs w:val="21"/>
                    </w:rPr>
                  </w:pPr>
                  <w:r>
                    <w:rPr>
                      <w:rFonts w:hint="eastAsia" w:ascii="宋体" w:hAnsi="宋体" w:eastAsia="宋体" w:cs="宋体"/>
                      <w:color w:val="auto"/>
                      <w:kern w:val="0"/>
                      <w:sz w:val="21"/>
                      <w:szCs w:val="21"/>
                      <w:highlight w:val="none"/>
                      <w:lang w:val="en-US" w:eastAsia="zh-CN" w:bidi="ar"/>
                    </w:rPr>
                    <w:t>水油相制备工房</w:t>
                  </w:r>
                  <w:r>
                    <w:rPr>
                      <w:rFonts w:hint="eastAsia" w:ascii="宋体" w:hAnsi="宋体" w:cs="宋体"/>
                      <w:color w:val="auto"/>
                      <w:kern w:val="0"/>
                      <w:sz w:val="21"/>
                      <w:szCs w:val="21"/>
                      <w:highlight w:val="none"/>
                      <w:lang w:val="en-US" w:eastAsia="zh-CN" w:bidi="ar"/>
                    </w:rPr>
                    <w:t>、</w:t>
                  </w:r>
                  <w:r>
                    <w:rPr>
                      <w:rFonts w:hint="default" w:ascii="宋体" w:hAnsi="宋体" w:eastAsia="宋体" w:cs="宋体"/>
                      <w:color w:val="auto"/>
                      <w:sz w:val="21"/>
                      <w:szCs w:val="21"/>
                      <w:lang w:val="en-US" w:eastAsia="zh-CN"/>
                    </w:rPr>
                    <w:t>乳化炸药震源药柱生产工房</w:t>
                  </w:r>
                </w:p>
              </w:tc>
              <w:tc>
                <w:tcPr>
                  <w:tcW w:w="614" w:type="pct"/>
                  <w:shd w:val="clear" w:color="auto" w:fill="FFFFFF"/>
                  <w:vAlign w:val="center"/>
                </w:tcPr>
                <w:p w14:paraId="57141F30">
                  <w:pPr>
                    <w:adjustRightInd w:val="0"/>
                    <w:snapToGrid w:val="0"/>
                    <w:jc w:val="center"/>
                    <w:outlineLvl w:val="9"/>
                    <w:rPr>
                      <w:rFonts w:hint="default"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厂房外</w:t>
                  </w:r>
                </w:p>
              </w:tc>
              <w:tc>
                <w:tcPr>
                  <w:tcW w:w="614" w:type="pct"/>
                  <w:shd w:val="clear" w:color="auto" w:fill="FFFFFF"/>
                  <w:vAlign w:val="center"/>
                </w:tcPr>
                <w:p w14:paraId="4B24D872">
                  <w:pPr>
                    <w:widowControl/>
                    <w:jc w:val="center"/>
                    <w:outlineLvl w:val="9"/>
                    <w:rPr>
                      <w:bCs/>
                      <w:color w:val="auto"/>
                      <w:spacing w:val="-10"/>
                      <w:sz w:val="21"/>
                      <w:szCs w:val="21"/>
                    </w:rPr>
                  </w:pPr>
                  <w:r>
                    <w:rPr>
                      <w:bCs/>
                      <w:color w:val="auto"/>
                      <w:spacing w:val="-10"/>
                      <w:sz w:val="21"/>
                      <w:szCs w:val="21"/>
                    </w:rPr>
                    <w:t>非甲烷总烃</w:t>
                  </w:r>
                </w:p>
              </w:tc>
              <w:tc>
                <w:tcPr>
                  <w:tcW w:w="1246" w:type="pct"/>
                  <w:vAlign w:val="center"/>
                </w:tcPr>
                <w:p w14:paraId="63FE970F">
                  <w:pPr>
                    <w:pStyle w:val="12"/>
                    <w:spacing w:line="240" w:lineRule="auto"/>
                    <w:ind w:left="0" w:leftChars="0" w:right="0" w:rightChars="0" w:firstLine="0" w:firstLineChars="0"/>
                    <w:jc w:val="center"/>
                    <w:outlineLvl w:val="9"/>
                    <w:rPr>
                      <w:color w:val="auto"/>
                      <w:sz w:val="21"/>
                      <w:szCs w:val="21"/>
                    </w:rPr>
                  </w:pPr>
                  <w:r>
                    <w:rPr>
                      <w:rFonts w:hint="eastAsia" w:ascii="Times New Roman" w:hAnsi="Times New Roman" w:cs="Times New Roman"/>
                      <w:color w:val="auto"/>
                      <w:spacing w:val="14"/>
                      <w:sz w:val="21"/>
                      <w:szCs w:val="21"/>
                      <w:lang w:val="en-US" w:eastAsia="zh-CN"/>
                    </w:rPr>
                    <w:t>封闭工房</w:t>
                  </w:r>
                </w:p>
              </w:tc>
              <w:tc>
                <w:tcPr>
                  <w:tcW w:w="1083" w:type="pct"/>
                  <w:vAlign w:val="center"/>
                </w:tcPr>
                <w:p w14:paraId="17661EC4">
                  <w:pPr>
                    <w:pStyle w:val="115"/>
                    <w:spacing w:before="34" w:line="237" w:lineRule="auto"/>
                    <w:ind w:left="645" w:leftChars="0" w:right="115" w:rightChars="0" w:hanging="518" w:firstLineChars="0"/>
                    <w:jc w:val="center"/>
                    <w:outlineLvl w:val="9"/>
                    <w:rPr>
                      <w:rFonts w:ascii="Times New Roman" w:hAnsi="Times New Roman" w:cs="Times New Roman"/>
                      <w:color w:val="auto"/>
                      <w:sz w:val="21"/>
                      <w:szCs w:val="21"/>
                      <w:lang w:eastAsia="zh-CN"/>
                    </w:rPr>
                  </w:pPr>
                  <w:r>
                    <w:rPr>
                      <w:rFonts w:ascii="Times New Roman" w:hAnsi="Times New Roman" w:cs="Times New Roman"/>
                      <w:color w:val="auto"/>
                      <w:spacing w:val="8"/>
                      <w:sz w:val="21"/>
                      <w:szCs w:val="21"/>
                      <w:lang w:eastAsia="zh-CN"/>
                    </w:rPr>
                    <w:t>《挥发性有机物无组织排放控制标准》(GB37822-2019)附录 A</w:t>
                  </w:r>
                </w:p>
              </w:tc>
            </w:tr>
            <w:tr w14:paraId="0F170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Align w:val="center"/>
                </w:tcPr>
                <w:p w14:paraId="06A78FB0">
                  <w:pPr>
                    <w:pStyle w:val="12"/>
                    <w:spacing w:line="240" w:lineRule="auto"/>
                    <w:ind w:left="0" w:leftChars="0" w:right="0" w:rightChars="0" w:firstLine="0" w:firstLineChars="0"/>
                    <w:jc w:val="center"/>
                    <w:outlineLvl w:val="9"/>
                    <w:rPr>
                      <w:color w:val="auto"/>
                      <w:sz w:val="21"/>
                      <w:szCs w:val="21"/>
                    </w:rPr>
                  </w:pPr>
                  <w:r>
                    <w:rPr>
                      <w:color w:val="auto"/>
                      <w:sz w:val="21"/>
                      <w:szCs w:val="21"/>
                    </w:rPr>
                    <w:t>废水</w:t>
                  </w:r>
                </w:p>
              </w:tc>
              <w:tc>
                <w:tcPr>
                  <w:tcW w:w="1081" w:type="pct"/>
                  <w:vAlign w:val="center"/>
                </w:tcPr>
                <w:p w14:paraId="21CCE758">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生产废水</w:t>
                  </w:r>
                </w:p>
              </w:tc>
              <w:tc>
                <w:tcPr>
                  <w:tcW w:w="614" w:type="pct"/>
                  <w:vAlign w:val="center"/>
                </w:tcPr>
                <w:p w14:paraId="093E5711">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辽宁红山污水处理站出口（消毒池）</w:t>
                  </w:r>
                </w:p>
              </w:tc>
              <w:tc>
                <w:tcPr>
                  <w:tcW w:w="614" w:type="pct"/>
                  <w:vAlign w:val="center"/>
                </w:tcPr>
                <w:p w14:paraId="23488203">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pH</w:t>
                  </w:r>
                </w:p>
                <w:p w14:paraId="738F84B0">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BOD</w:t>
                  </w:r>
                  <w:r>
                    <w:rPr>
                      <w:rFonts w:hint="default" w:ascii="Times New Roman" w:hAnsi="Times New Roman" w:eastAsia="宋体" w:cs="Times New Roman"/>
                      <w:color w:val="auto"/>
                      <w:spacing w:val="13"/>
                      <w:sz w:val="21"/>
                      <w:szCs w:val="21"/>
                      <w:vertAlign w:val="subscript"/>
                      <w:lang w:val="en-US" w:eastAsia="zh-CN"/>
                    </w:rPr>
                    <w:t>5</w:t>
                  </w:r>
                </w:p>
                <w:p w14:paraId="563FA45A">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SS/浊度</w:t>
                  </w:r>
                </w:p>
                <w:p w14:paraId="08D77CBE">
                  <w:pPr>
                    <w:spacing w:line="240" w:lineRule="auto"/>
                    <w:ind w:left="0"/>
                    <w:jc w:val="center"/>
                    <w:outlineLvl w:val="9"/>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氨氮</w:t>
                  </w:r>
                </w:p>
                <w:p w14:paraId="14E0A83D">
                  <w:pPr>
                    <w:adjustRightInd w:val="0"/>
                    <w:snapToGrid w:val="0"/>
                    <w:jc w:val="center"/>
                    <w:outlineLvl w:val="9"/>
                    <w:rPr>
                      <w:color w:val="auto"/>
                      <w:sz w:val="21"/>
                      <w:szCs w:val="21"/>
                    </w:rPr>
                  </w:pPr>
                  <w:r>
                    <w:rPr>
                      <w:rFonts w:hint="default" w:ascii="Times New Roman" w:hAnsi="Times New Roman" w:eastAsia="宋体" w:cs="Times New Roman"/>
                      <w:color w:val="auto"/>
                      <w:spacing w:val="13"/>
                      <w:sz w:val="21"/>
                      <w:szCs w:val="21"/>
                      <w:lang w:val="en-US" w:eastAsia="zh-CN"/>
                    </w:rPr>
                    <w:t>总氯</w:t>
                  </w:r>
                </w:p>
              </w:tc>
              <w:tc>
                <w:tcPr>
                  <w:tcW w:w="1246" w:type="pct"/>
                  <w:vAlign w:val="center"/>
                </w:tcPr>
                <w:p w14:paraId="7059E4AD">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隔油沉淀池+辽宁红山污水处理设施</w:t>
                  </w:r>
                </w:p>
              </w:tc>
              <w:tc>
                <w:tcPr>
                  <w:tcW w:w="1083" w:type="pct"/>
                  <w:vAlign w:val="center"/>
                </w:tcPr>
                <w:p w14:paraId="289F5D94">
                  <w:pPr>
                    <w:pStyle w:val="12"/>
                    <w:spacing w:line="240" w:lineRule="auto"/>
                    <w:ind w:left="0" w:leftChars="0" w:right="0" w:rightChars="0" w:firstLine="0" w:firstLineChars="0"/>
                    <w:jc w:val="center"/>
                    <w:outlineLvl w:val="9"/>
                    <w:rPr>
                      <w:color w:val="auto"/>
                      <w:sz w:val="21"/>
                      <w:szCs w:val="21"/>
                    </w:rPr>
                  </w:pPr>
                  <w:r>
                    <w:rPr>
                      <w:rFonts w:hint="default" w:ascii="Times New Roman" w:hAnsi="Times New Roman" w:eastAsia="宋体" w:cs="Times New Roman"/>
                      <w:b w:val="0"/>
                      <w:bCs w:val="0"/>
                      <w:color w:val="auto"/>
                      <w:sz w:val="21"/>
                      <w:szCs w:val="21"/>
                      <w:highlight w:val="none"/>
                      <w:lang w:val="en-US" w:eastAsia="zh-CN"/>
                    </w:rPr>
                    <w:t>《城市污水再生利用 城市杂用水水质》（GB/T 18920-2020）城市绿化、道路洒扫标准</w:t>
                  </w:r>
                </w:p>
              </w:tc>
            </w:tr>
            <w:tr w14:paraId="0026D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Align w:val="center"/>
                </w:tcPr>
                <w:p w14:paraId="6C5C53A2">
                  <w:pPr>
                    <w:pStyle w:val="12"/>
                    <w:spacing w:line="240" w:lineRule="auto"/>
                    <w:ind w:left="0" w:leftChars="0" w:right="0" w:rightChars="0" w:firstLine="0" w:firstLineChars="0"/>
                    <w:jc w:val="center"/>
                    <w:outlineLvl w:val="9"/>
                    <w:rPr>
                      <w:color w:val="auto"/>
                      <w:sz w:val="21"/>
                      <w:szCs w:val="21"/>
                    </w:rPr>
                  </w:pPr>
                  <w:r>
                    <w:rPr>
                      <w:color w:val="auto"/>
                      <w:sz w:val="21"/>
                      <w:szCs w:val="21"/>
                    </w:rPr>
                    <w:t>噪声</w:t>
                  </w:r>
                </w:p>
              </w:tc>
              <w:tc>
                <w:tcPr>
                  <w:tcW w:w="1081" w:type="pct"/>
                  <w:vAlign w:val="center"/>
                </w:tcPr>
                <w:p w14:paraId="2D38346C">
                  <w:pPr>
                    <w:pStyle w:val="12"/>
                    <w:spacing w:line="240" w:lineRule="auto"/>
                    <w:ind w:left="0" w:leftChars="0" w:right="0" w:rightChars="0" w:firstLine="0" w:firstLineChars="0"/>
                    <w:jc w:val="center"/>
                    <w:outlineLvl w:val="9"/>
                    <w:rPr>
                      <w:color w:val="auto"/>
                      <w:sz w:val="21"/>
                      <w:szCs w:val="21"/>
                    </w:rPr>
                  </w:pPr>
                  <w:r>
                    <w:rPr>
                      <w:color w:val="auto"/>
                      <w:sz w:val="21"/>
                      <w:szCs w:val="21"/>
                    </w:rPr>
                    <w:t>设备</w:t>
                  </w:r>
                </w:p>
              </w:tc>
              <w:tc>
                <w:tcPr>
                  <w:tcW w:w="614" w:type="pct"/>
                  <w:vAlign w:val="center"/>
                </w:tcPr>
                <w:p w14:paraId="2874B8DD">
                  <w:pPr>
                    <w:pStyle w:val="12"/>
                    <w:spacing w:line="240" w:lineRule="auto"/>
                    <w:ind w:left="0" w:leftChars="0" w:right="0" w:rightChars="0" w:firstLine="0" w:firstLineChars="0"/>
                    <w:jc w:val="center"/>
                    <w:outlineLvl w:val="9"/>
                    <w:rPr>
                      <w:rFonts w:hint="default"/>
                      <w:color w:val="auto"/>
                      <w:sz w:val="21"/>
                      <w:szCs w:val="21"/>
                      <w:lang w:val="en-US"/>
                    </w:rPr>
                  </w:pPr>
                  <w:r>
                    <w:rPr>
                      <w:rFonts w:hint="eastAsia" w:ascii="宋体" w:hAnsi="宋体" w:eastAsia="宋体" w:cs="宋体"/>
                      <w:color w:val="auto"/>
                      <w:kern w:val="0"/>
                      <w:sz w:val="21"/>
                      <w:szCs w:val="21"/>
                      <w:highlight w:val="none"/>
                      <w:lang w:val="en-US" w:eastAsia="zh-CN" w:bidi="ar"/>
                    </w:rPr>
                    <w:t>厂界四周</w:t>
                  </w:r>
                </w:p>
              </w:tc>
              <w:tc>
                <w:tcPr>
                  <w:tcW w:w="614" w:type="pct"/>
                  <w:vAlign w:val="center"/>
                </w:tcPr>
                <w:p w14:paraId="54A691B6">
                  <w:pPr>
                    <w:pStyle w:val="12"/>
                    <w:spacing w:line="240" w:lineRule="auto"/>
                    <w:ind w:left="0" w:leftChars="0" w:right="0" w:rightChars="0" w:firstLine="0" w:firstLineChars="0"/>
                    <w:jc w:val="center"/>
                    <w:outlineLvl w:val="9"/>
                    <w:rPr>
                      <w:color w:val="auto"/>
                      <w:sz w:val="21"/>
                      <w:szCs w:val="21"/>
                    </w:rPr>
                  </w:pPr>
                  <w:r>
                    <w:rPr>
                      <w:color w:val="auto"/>
                      <w:sz w:val="21"/>
                      <w:szCs w:val="21"/>
                    </w:rPr>
                    <w:t>Leq</w:t>
                  </w:r>
                </w:p>
              </w:tc>
              <w:tc>
                <w:tcPr>
                  <w:tcW w:w="1246" w:type="pct"/>
                  <w:vAlign w:val="center"/>
                </w:tcPr>
                <w:p w14:paraId="6BC2A685">
                  <w:pPr>
                    <w:pStyle w:val="12"/>
                    <w:spacing w:line="240" w:lineRule="auto"/>
                    <w:ind w:left="0" w:leftChars="0" w:right="0" w:rightChars="0" w:firstLine="0" w:firstLineChars="0"/>
                    <w:jc w:val="center"/>
                    <w:outlineLvl w:val="9"/>
                    <w:rPr>
                      <w:color w:val="auto"/>
                      <w:sz w:val="21"/>
                      <w:szCs w:val="21"/>
                    </w:rPr>
                  </w:pPr>
                  <w:r>
                    <w:rPr>
                      <w:color w:val="auto"/>
                      <w:sz w:val="21"/>
                      <w:szCs w:val="21"/>
                    </w:rPr>
                    <w:t>基础减振、隔声</w:t>
                  </w:r>
                </w:p>
              </w:tc>
              <w:tc>
                <w:tcPr>
                  <w:tcW w:w="1083" w:type="pct"/>
                  <w:vAlign w:val="center"/>
                </w:tcPr>
                <w:p w14:paraId="43EBF14F">
                  <w:pPr>
                    <w:pStyle w:val="12"/>
                    <w:spacing w:line="240" w:lineRule="auto"/>
                    <w:ind w:left="0" w:leftChars="0" w:right="0" w:rightChars="0" w:firstLine="0" w:firstLineChars="0"/>
                    <w:jc w:val="center"/>
                    <w:outlineLvl w:val="9"/>
                    <w:rPr>
                      <w:color w:val="auto"/>
                      <w:sz w:val="21"/>
                      <w:szCs w:val="21"/>
                    </w:rPr>
                  </w:pPr>
                  <w:r>
                    <w:rPr>
                      <w:color w:val="auto"/>
                      <w:sz w:val="21"/>
                      <w:szCs w:val="21"/>
                    </w:rPr>
                    <w:t>《工业企业厂界环境噪声排放标准》（GB12348-2008）中</w:t>
                  </w:r>
                  <w:r>
                    <w:rPr>
                      <w:rFonts w:hint="eastAsia"/>
                      <w:color w:val="auto"/>
                      <w:sz w:val="21"/>
                      <w:szCs w:val="21"/>
                      <w:lang w:val="en-US" w:eastAsia="zh-CN"/>
                    </w:rPr>
                    <w:t>1</w:t>
                  </w:r>
                  <w:r>
                    <w:rPr>
                      <w:color w:val="auto"/>
                      <w:sz w:val="21"/>
                      <w:szCs w:val="21"/>
                    </w:rPr>
                    <w:t>类标准。</w:t>
                  </w:r>
                </w:p>
              </w:tc>
            </w:tr>
            <w:tr w14:paraId="64CDF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restart"/>
                  <w:vAlign w:val="center"/>
                </w:tcPr>
                <w:p w14:paraId="26ADEFCA">
                  <w:pPr>
                    <w:pStyle w:val="12"/>
                    <w:spacing w:line="240" w:lineRule="auto"/>
                    <w:ind w:left="0" w:leftChars="0" w:right="0" w:rightChars="0" w:firstLine="0" w:firstLineChars="0"/>
                    <w:jc w:val="center"/>
                    <w:outlineLvl w:val="9"/>
                    <w:rPr>
                      <w:rFonts w:hint="eastAsia" w:eastAsia="宋体"/>
                      <w:color w:val="auto"/>
                      <w:sz w:val="21"/>
                      <w:szCs w:val="21"/>
                      <w:lang w:val="en-US" w:eastAsia="zh-CN"/>
                    </w:rPr>
                  </w:pPr>
                  <w:r>
                    <w:rPr>
                      <w:rFonts w:hint="eastAsia"/>
                      <w:color w:val="auto"/>
                      <w:sz w:val="21"/>
                      <w:szCs w:val="21"/>
                      <w:lang w:val="en-US" w:eastAsia="zh-CN"/>
                    </w:rPr>
                    <w:t>固废</w:t>
                  </w:r>
                </w:p>
              </w:tc>
              <w:tc>
                <w:tcPr>
                  <w:tcW w:w="1081" w:type="pct"/>
                  <w:vMerge w:val="restart"/>
                  <w:vAlign w:val="center"/>
                </w:tcPr>
                <w:p w14:paraId="0F43CFCB">
                  <w:pPr>
                    <w:pStyle w:val="12"/>
                    <w:spacing w:line="240" w:lineRule="auto"/>
                    <w:ind w:left="0" w:leftChars="0" w:right="0" w:rightChars="0" w:firstLine="0" w:firstLineChars="0"/>
                    <w:jc w:val="center"/>
                    <w:outlineLvl w:val="9"/>
                    <w:rPr>
                      <w:color w:val="auto"/>
                      <w:sz w:val="21"/>
                      <w:szCs w:val="21"/>
                    </w:rPr>
                  </w:pPr>
                  <w:r>
                    <w:rPr>
                      <w:color w:val="auto"/>
                      <w:sz w:val="21"/>
                      <w:szCs w:val="21"/>
                    </w:rPr>
                    <w:t>生产过程</w:t>
                  </w:r>
                </w:p>
              </w:tc>
              <w:tc>
                <w:tcPr>
                  <w:tcW w:w="614" w:type="pct"/>
                  <w:vAlign w:val="center"/>
                </w:tcPr>
                <w:p w14:paraId="019CA2E7">
                  <w:pPr>
                    <w:pStyle w:val="12"/>
                    <w:spacing w:line="240" w:lineRule="auto"/>
                    <w:ind w:left="0" w:leftChars="0" w:right="0" w:rightChars="0" w:firstLine="0" w:firstLineChars="0"/>
                    <w:jc w:val="center"/>
                    <w:outlineLvl w:val="9"/>
                    <w:rPr>
                      <w:rFonts w:hint="eastAsia" w:eastAsia="宋体"/>
                      <w:color w:val="auto"/>
                      <w:sz w:val="21"/>
                      <w:szCs w:val="21"/>
                      <w:lang w:val="en-US" w:eastAsia="zh-CN"/>
                    </w:rPr>
                  </w:pPr>
                  <w:r>
                    <w:rPr>
                      <w:rFonts w:hint="eastAsia"/>
                      <w:color w:val="auto"/>
                      <w:sz w:val="21"/>
                      <w:szCs w:val="21"/>
                      <w:lang w:val="en-US" w:eastAsia="zh-CN"/>
                    </w:rPr>
                    <w:t>/</w:t>
                  </w:r>
                </w:p>
              </w:tc>
              <w:tc>
                <w:tcPr>
                  <w:tcW w:w="614" w:type="pct"/>
                  <w:shd w:val="clear" w:color="auto" w:fill="auto"/>
                  <w:vAlign w:val="center"/>
                </w:tcPr>
                <w:p w14:paraId="7F2843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珍珠岩废包装物</w:t>
                  </w:r>
                </w:p>
              </w:tc>
              <w:tc>
                <w:tcPr>
                  <w:tcW w:w="1246" w:type="pct"/>
                  <w:shd w:val="clear" w:color="auto" w:fill="auto"/>
                  <w:vAlign w:val="center"/>
                </w:tcPr>
                <w:p w14:paraId="354BBA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color w:val="auto"/>
                      <w:sz w:val="21"/>
                      <w:szCs w:val="21"/>
                    </w:rPr>
                    <w:t>收集后</w:t>
                  </w:r>
                  <w:r>
                    <w:rPr>
                      <w:rFonts w:hint="eastAsia"/>
                      <w:color w:val="auto"/>
                      <w:sz w:val="21"/>
                      <w:szCs w:val="21"/>
                    </w:rPr>
                    <w:t>定期</w:t>
                  </w:r>
                  <w:r>
                    <w:rPr>
                      <w:color w:val="auto"/>
                      <w:sz w:val="21"/>
                      <w:szCs w:val="21"/>
                    </w:rPr>
                    <w:t>外售</w:t>
                  </w:r>
                </w:p>
              </w:tc>
              <w:tc>
                <w:tcPr>
                  <w:tcW w:w="1083" w:type="pct"/>
                  <w:vAlign w:val="center"/>
                </w:tcPr>
                <w:p w14:paraId="1CE44203">
                  <w:pPr>
                    <w:pStyle w:val="12"/>
                    <w:spacing w:line="240" w:lineRule="auto"/>
                    <w:ind w:left="0" w:leftChars="0" w:right="0" w:rightChars="0" w:firstLine="0" w:firstLineChars="0"/>
                    <w:jc w:val="center"/>
                    <w:outlineLvl w:val="9"/>
                    <w:rPr>
                      <w:color w:val="auto"/>
                      <w:sz w:val="21"/>
                      <w:szCs w:val="21"/>
                    </w:rPr>
                  </w:pPr>
                  <w:r>
                    <w:rPr>
                      <w:color w:val="auto"/>
                      <w:sz w:val="21"/>
                      <w:szCs w:val="21"/>
                    </w:rPr>
                    <w:t>《一般工业固体废物贮存和填埋污染控制标准》（GB18599-2020）</w:t>
                  </w:r>
                </w:p>
              </w:tc>
            </w:tr>
            <w:tr w14:paraId="3A3C9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26CFFA23">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26426FFE">
                  <w:pPr>
                    <w:pStyle w:val="12"/>
                    <w:spacing w:line="240" w:lineRule="auto"/>
                    <w:ind w:left="0" w:leftChars="0" w:right="0" w:rightChars="0" w:firstLine="0" w:firstLineChars="0"/>
                    <w:jc w:val="center"/>
                    <w:outlineLvl w:val="9"/>
                    <w:rPr>
                      <w:color w:val="auto"/>
                      <w:sz w:val="21"/>
                      <w:szCs w:val="21"/>
                    </w:rPr>
                  </w:pPr>
                </w:p>
              </w:tc>
              <w:tc>
                <w:tcPr>
                  <w:tcW w:w="614" w:type="pct"/>
                  <w:vAlign w:val="center"/>
                </w:tcPr>
                <w:p w14:paraId="1FEFF42C">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4ADEB1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rFonts w:hint="eastAsia" w:ascii="Calibri" w:hAnsi="Calibri" w:cs="Calibri"/>
                      <w:color w:val="auto"/>
                      <w:sz w:val="21"/>
                      <w:szCs w:val="21"/>
                      <w:lang w:val="en-US" w:eastAsia="zh-CN"/>
                    </w:rPr>
                    <w:t>硝酸钠</w:t>
                  </w:r>
                  <w:r>
                    <w:rPr>
                      <w:rFonts w:hint="default" w:ascii="Times New Roman" w:hAnsi="Times New Roman" w:cs="Times New Roman"/>
                      <w:color w:val="auto"/>
                      <w:sz w:val="21"/>
                      <w:szCs w:val="21"/>
                      <w:lang w:val="en-US" w:eastAsia="zh-CN"/>
                    </w:rPr>
                    <w:t>废包装物</w:t>
                  </w:r>
                </w:p>
              </w:tc>
              <w:tc>
                <w:tcPr>
                  <w:tcW w:w="1246" w:type="pct"/>
                  <w:vMerge w:val="restart"/>
                  <w:shd w:val="clear" w:color="auto" w:fill="auto"/>
                  <w:vAlign w:val="center"/>
                </w:tcPr>
                <w:p w14:paraId="5E77E1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color w:val="auto"/>
                      <w:sz w:val="21"/>
                      <w:szCs w:val="21"/>
                    </w:rPr>
                    <w:t>交由有资质单位处理</w:t>
                  </w:r>
                </w:p>
              </w:tc>
              <w:tc>
                <w:tcPr>
                  <w:tcW w:w="1083" w:type="pct"/>
                  <w:vMerge w:val="restart"/>
                  <w:vAlign w:val="center"/>
                </w:tcPr>
                <w:p w14:paraId="1686AA7E">
                  <w:pPr>
                    <w:pStyle w:val="12"/>
                    <w:spacing w:line="240" w:lineRule="auto"/>
                    <w:ind w:left="0" w:leftChars="0" w:right="0" w:rightChars="0" w:firstLine="0" w:firstLineChars="0"/>
                    <w:jc w:val="center"/>
                    <w:outlineLvl w:val="9"/>
                    <w:rPr>
                      <w:color w:val="auto"/>
                      <w:sz w:val="21"/>
                      <w:szCs w:val="21"/>
                    </w:rPr>
                  </w:pPr>
                  <w:r>
                    <w:rPr>
                      <w:color w:val="auto"/>
                      <w:sz w:val="21"/>
                      <w:szCs w:val="21"/>
                    </w:rPr>
                    <w:t>《危险废物贮存污染控制标准》（GB18597-2023）</w:t>
                  </w:r>
                </w:p>
              </w:tc>
            </w:tr>
            <w:tr w14:paraId="78FF3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71794792">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45D5D8BC">
                  <w:pPr>
                    <w:pStyle w:val="12"/>
                    <w:spacing w:line="240" w:lineRule="auto"/>
                    <w:ind w:left="0" w:leftChars="0" w:right="0" w:rightChars="0" w:firstLine="0" w:firstLineChars="0"/>
                    <w:jc w:val="center"/>
                    <w:outlineLvl w:val="9"/>
                    <w:rPr>
                      <w:color w:val="auto"/>
                      <w:sz w:val="21"/>
                      <w:szCs w:val="21"/>
                    </w:rPr>
                  </w:pPr>
                </w:p>
              </w:tc>
              <w:tc>
                <w:tcPr>
                  <w:tcW w:w="614" w:type="pct"/>
                  <w:vAlign w:val="center"/>
                </w:tcPr>
                <w:p w14:paraId="12ACE98E">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725B85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废机油</w:t>
                  </w:r>
                </w:p>
              </w:tc>
              <w:tc>
                <w:tcPr>
                  <w:tcW w:w="1246" w:type="pct"/>
                  <w:vMerge w:val="continue"/>
                  <w:vAlign w:val="center"/>
                </w:tcPr>
                <w:p w14:paraId="1E6FAA07">
                  <w:pPr>
                    <w:pStyle w:val="12"/>
                    <w:spacing w:line="240" w:lineRule="auto"/>
                    <w:ind w:left="0" w:leftChars="0" w:right="0" w:rightChars="0" w:firstLine="0" w:firstLineChars="0"/>
                    <w:jc w:val="center"/>
                    <w:outlineLvl w:val="9"/>
                    <w:rPr>
                      <w:color w:val="auto"/>
                      <w:sz w:val="21"/>
                      <w:szCs w:val="21"/>
                    </w:rPr>
                  </w:pPr>
                </w:p>
              </w:tc>
              <w:tc>
                <w:tcPr>
                  <w:tcW w:w="1083" w:type="pct"/>
                  <w:vMerge w:val="continue"/>
                  <w:vAlign w:val="center"/>
                </w:tcPr>
                <w:p w14:paraId="79350DA7">
                  <w:pPr>
                    <w:pStyle w:val="12"/>
                    <w:spacing w:line="240" w:lineRule="auto"/>
                    <w:ind w:left="0" w:leftChars="0" w:right="0" w:rightChars="0" w:firstLine="0" w:firstLineChars="0"/>
                    <w:jc w:val="center"/>
                    <w:outlineLvl w:val="9"/>
                    <w:rPr>
                      <w:color w:val="auto"/>
                      <w:sz w:val="21"/>
                      <w:szCs w:val="21"/>
                    </w:rPr>
                  </w:pPr>
                </w:p>
              </w:tc>
            </w:tr>
            <w:tr w14:paraId="32F95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27DD2826">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1CC5C69A">
                  <w:pPr>
                    <w:pStyle w:val="12"/>
                    <w:spacing w:line="240" w:lineRule="auto"/>
                    <w:ind w:left="0" w:leftChars="0" w:right="0" w:rightChars="0" w:firstLine="0" w:firstLineChars="0"/>
                    <w:jc w:val="center"/>
                    <w:outlineLvl w:val="9"/>
                    <w:rPr>
                      <w:color w:val="auto"/>
                      <w:sz w:val="21"/>
                      <w:szCs w:val="21"/>
                    </w:rPr>
                  </w:pPr>
                </w:p>
              </w:tc>
              <w:tc>
                <w:tcPr>
                  <w:tcW w:w="614" w:type="pct"/>
                  <w:vAlign w:val="center"/>
                </w:tcPr>
                <w:p w14:paraId="17560FC9">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1FB334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废油桶</w:t>
                  </w:r>
                </w:p>
              </w:tc>
              <w:tc>
                <w:tcPr>
                  <w:tcW w:w="1246" w:type="pct"/>
                  <w:vMerge w:val="continue"/>
                  <w:vAlign w:val="center"/>
                </w:tcPr>
                <w:p w14:paraId="2B82A58C">
                  <w:pPr>
                    <w:pStyle w:val="12"/>
                    <w:spacing w:line="240" w:lineRule="auto"/>
                    <w:ind w:left="0" w:leftChars="0" w:right="0" w:rightChars="0" w:firstLine="0" w:firstLineChars="0"/>
                    <w:jc w:val="center"/>
                    <w:outlineLvl w:val="9"/>
                    <w:rPr>
                      <w:color w:val="auto"/>
                      <w:sz w:val="21"/>
                      <w:szCs w:val="21"/>
                    </w:rPr>
                  </w:pPr>
                </w:p>
              </w:tc>
              <w:tc>
                <w:tcPr>
                  <w:tcW w:w="1083" w:type="pct"/>
                  <w:vMerge w:val="continue"/>
                  <w:vAlign w:val="center"/>
                </w:tcPr>
                <w:p w14:paraId="24FE3B89">
                  <w:pPr>
                    <w:pStyle w:val="12"/>
                    <w:spacing w:line="240" w:lineRule="auto"/>
                    <w:ind w:left="0" w:leftChars="0" w:right="0" w:rightChars="0" w:firstLine="0" w:firstLineChars="0"/>
                    <w:jc w:val="center"/>
                    <w:outlineLvl w:val="9"/>
                    <w:rPr>
                      <w:color w:val="auto"/>
                      <w:sz w:val="21"/>
                      <w:szCs w:val="21"/>
                    </w:rPr>
                  </w:pPr>
                </w:p>
              </w:tc>
            </w:tr>
            <w:tr w14:paraId="1521A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7D27D73C">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0F438447">
                  <w:pPr>
                    <w:pStyle w:val="12"/>
                    <w:spacing w:line="240" w:lineRule="auto"/>
                    <w:ind w:left="0" w:leftChars="0" w:right="0" w:rightChars="0" w:firstLine="0" w:firstLineChars="0"/>
                    <w:jc w:val="center"/>
                    <w:outlineLvl w:val="9"/>
                    <w:rPr>
                      <w:color w:val="auto"/>
                      <w:sz w:val="21"/>
                      <w:szCs w:val="21"/>
                    </w:rPr>
                  </w:pPr>
                </w:p>
              </w:tc>
              <w:tc>
                <w:tcPr>
                  <w:tcW w:w="614" w:type="pct"/>
                  <w:shd w:val="clear" w:color="auto" w:fill="auto"/>
                  <w:vAlign w:val="center"/>
                </w:tcPr>
                <w:p w14:paraId="0565C624">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68EEB3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spacing w:val="-1"/>
                      <w:kern w:val="2"/>
                      <w:sz w:val="21"/>
                      <w:szCs w:val="21"/>
                      <w:lang w:val="en-US" w:eastAsia="zh-CN" w:bidi="ar-SA"/>
                    </w:rPr>
                  </w:pPr>
                  <w:r>
                    <w:rPr>
                      <w:rFonts w:hint="eastAsia" w:ascii="Times New Roman" w:hAnsi="Times New Roman" w:cs="Times New Roman"/>
                      <w:b w:val="0"/>
                      <w:bCs w:val="0"/>
                      <w:color w:val="auto"/>
                      <w:sz w:val="21"/>
                      <w:szCs w:val="21"/>
                      <w:lang w:val="en-US" w:eastAsia="zh-CN"/>
                    </w:rPr>
                    <w:t>废油抹布</w:t>
                  </w:r>
                </w:p>
              </w:tc>
              <w:tc>
                <w:tcPr>
                  <w:tcW w:w="1246" w:type="pct"/>
                  <w:vMerge w:val="continue"/>
                  <w:vAlign w:val="center"/>
                </w:tcPr>
                <w:p w14:paraId="15152F3A">
                  <w:pPr>
                    <w:pStyle w:val="12"/>
                    <w:spacing w:line="240" w:lineRule="auto"/>
                    <w:ind w:left="0" w:leftChars="0" w:right="0" w:rightChars="0" w:firstLine="0" w:firstLineChars="0"/>
                    <w:jc w:val="center"/>
                    <w:outlineLvl w:val="9"/>
                    <w:rPr>
                      <w:color w:val="auto"/>
                      <w:sz w:val="21"/>
                      <w:szCs w:val="21"/>
                    </w:rPr>
                  </w:pPr>
                </w:p>
              </w:tc>
              <w:tc>
                <w:tcPr>
                  <w:tcW w:w="1083" w:type="pct"/>
                  <w:vMerge w:val="continue"/>
                  <w:vAlign w:val="center"/>
                </w:tcPr>
                <w:p w14:paraId="3DF8C66E">
                  <w:pPr>
                    <w:pStyle w:val="12"/>
                    <w:spacing w:line="240" w:lineRule="auto"/>
                    <w:ind w:left="0" w:leftChars="0" w:right="0" w:rightChars="0" w:firstLine="0" w:firstLineChars="0"/>
                    <w:jc w:val="center"/>
                    <w:outlineLvl w:val="9"/>
                    <w:rPr>
                      <w:color w:val="auto"/>
                      <w:sz w:val="21"/>
                      <w:szCs w:val="21"/>
                    </w:rPr>
                  </w:pPr>
                </w:p>
              </w:tc>
            </w:tr>
            <w:tr w14:paraId="22588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0F1FD062">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5F9A7723">
                  <w:pPr>
                    <w:pStyle w:val="12"/>
                    <w:spacing w:line="240" w:lineRule="auto"/>
                    <w:ind w:left="0" w:leftChars="0" w:right="0" w:rightChars="0" w:firstLine="0" w:firstLineChars="0"/>
                    <w:jc w:val="center"/>
                    <w:outlineLvl w:val="9"/>
                    <w:rPr>
                      <w:color w:val="auto"/>
                      <w:sz w:val="21"/>
                      <w:szCs w:val="21"/>
                    </w:rPr>
                  </w:pPr>
                </w:p>
              </w:tc>
              <w:tc>
                <w:tcPr>
                  <w:tcW w:w="614" w:type="pct"/>
                  <w:shd w:val="clear" w:color="auto" w:fill="auto"/>
                  <w:vAlign w:val="center"/>
                </w:tcPr>
                <w:p w14:paraId="38FA9768">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42DB93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滤渣、废滤网</w:t>
                  </w:r>
                </w:p>
              </w:tc>
              <w:tc>
                <w:tcPr>
                  <w:tcW w:w="1246" w:type="pct"/>
                  <w:vMerge w:val="continue"/>
                  <w:vAlign w:val="center"/>
                </w:tcPr>
                <w:p w14:paraId="43383866">
                  <w:pPr>
                    <w:pStyle w:val="12"/>
                    <w:spacing w:line="240" w:lineRule="auto"/>
                    <w:ind w:left="0" w:leftChars="0" w:right="0" w:rightChars="0" w:firstLine="0" w:firstLineChars="0"/>
                    <w:jc w:val="center"/>
                    <w:outlineLvl w:val="9"/>
                    <w:rPr>
                      <w:color w:val="auto"/>
                      <w:sz w:val="21"/>
                      <w:szCs w:val="21"/>
                    </w:rPr>
                  </w:pPr>
                </w:p>
              </w:tc>
              <w:tc>
                <w:tcPr>
                  <w:tcW w:w="1083" w:type="pct"/>
                  <w:vMerge w:val="continue"/>
                  <w:vAlign w:val="center"/>
                </w:tcPr>
                <w:p w14:paraId="5FEC1701">
                  <w:pPr>
                    <w:pStyle w:val="12"/>
                    <w:spacing w:line="240" w:lineRule="auto"/>
                    <w:ind w:left="0" w:leftChars="0" w:right="0" w:rightChars="0" w:firstLine="0" w:firstLineChars="0"/>
                    <w:jc w:val="center"/>
                    <w:outlineLvl w:val="9"/>
                    <w:rPr>
                      <w:color w:val="auto"/>
                      <w:sz w:val="21"/>
                      <w:szCs w:val="21"/>
                    </w:rPr>
                  </w:pPr>
                </w:p>
              </w:tc>
            </w:tr>
            <w:tr w14:paraId="1E0A9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3AFE6E64">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0C333BE0">
                  <w:pPr>
                    <w:pStyle w:val="12"/>
                    <w:spacing w:line="240" w:lineRule="auto"/>
                    <w:ind w:left="0" w:leftChars="0" w:right="0" w:rightChars="0" w:firstLine="0" w:firstLineChars="0"/>
                    <w:jc w:val="center"/>
                    <w:outlineLvl w:val="9"/>
                    <w:rPr>
                      <w:color w:val="auto"/>
                      <w:sz w:val="21"/>
                      <w:szCs w:val="21"/>
                    </w:rPr>
                  </w:pPr>
                </w:p>
              </w:tc>
              <w:tc>
                <w:tcPr>
                  <w:tcW w:w="614" w:type="pct"/>
                  <w:shd w:val="clear" w:color="auto" w:fill="auto"/>
                  <w:vAlign w:val="center"/>
                </w:tcPr>
                <w:p w14:paraId="52AE6650">
                  <w:pPr>
                    <w:pStyle w:val="12"/>
                    <w:spacing w:line="240" w:lineRule="auto"/>
                    <w:ind w:left="0" w:leftChars="0" w:right="0" w:rightChars="0" w:firstLine="0" w:firstLineChars="0"/>
                    <w:jc w:val="center"/>
                    <w:outlineLvl w:val="9"/>
                    <w:rPr>
                      <w:rFonts w:hint="eastAsia"/>
                      <w:color w:val="auto"/>
                      <w:sz w:val="21"/>
                      <w:szCs w:val="21"/>
                      <w:lang w:val="en-US" w:eastAsia="zh-CN"/>
                    </w:rPr>
                  </w:pPr>
                  <w:r>
                    <w:rPr>
                      <w:rFonts w:hint="eastAsia"/>
                      <w:color w:val="auto"/>
                      <w:sz w:val="21"/>
                      <w:szCs w:val="21"/>
                      <w:lang w:val="en-US" w:eastAsia="zh-CN"/>
                    </w:rPr>
                    <w:t>/</w:t>
                  </w:r>
                </w:p>
              </w:tc>
              <w:tc>
                <w:tcPr>
                  <w:tcW w:w="614" w:type="pct"/>
                  <w:shd w:val="clear" w:color="auto" w:fill="auto"/>
                  <w:vAlign w:val="center"/>
                </w:tcPr>
                <w:p w14:paraId="550AFF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color w:val="auto"/>
                      <w:sz w:val="21"/>
                      <w:szCs w:val="21"/>
                      <w:lang w:val="en-US" w:eastAsia="zh-CN"/>
                    </w:rPr>
                  </w:pPr>
                  <w:r>
                    <w:rPr>
                      <w:rFonts w:hint="eastAsia" w:cs="Times New Roman"/>
                      <w:b w:val="0"/>
                      <w:bCs w:val="0"/>
                      <w:color w:val="auto"/>
                      <w:sz w:val="21"/>
                      <w:szCs w:val="21"/>
                      <w:lang w:val="en-US" w:eastAsia="zh-CN"/>
                    </w:rPr>
                    <w:t>废包装瓶</w:t>
                  </w:r>
                </w:p>
              </w:tc>
              <w:tc>
                <w:tcPr>
                  <w:tcW w:w="1246" w:type="pct"/>
                  <w:vMerge w:val="continue"/>
                  <w:vAlign w:val="center"/>
                </w:tcPr>
                <w:p w14:paraId="5401F375">
                  <w:pPr>
                    <w:pStyle w:val="12"/>
                    <w:spacing w:line="240" w:lineRule="auto"/>
                    <w:ind w:left="0" w:leftChars="0" w:right="0" w:rightChars="0" w:firstLine="0" w:firstLineChars="0"/>
                    <w:jc w:val="center"/>
                    <w:outlineLvl w:val="9"/>
                    <w:rPr>
                      <w:color w:val="auto"/>
                      <w:sz w:val="21"/>
                      <w:szCs w:val="21"/>
                    </w:rPr>
                  </w:pPr>
                </w:p>
              </w:tc>
              <w:tc>
                <w:tcPr>
                  <w:tcW w:w="1083" w:type="pct"/>
                  <w:vMerge w:val="continue"/>
                  <w:vAlign w:val="center"/>
                </w:tcPr>
                <w:p w14:paraId="2914F7AC">
                  <w:pPr>
                    <w:pStyle w:val="12"/>
                    <w:spacing w:line="240" w:lineRule="auto"/>
                    <w:ind w:left="0" w:leftChars="0" w:right="0" w:rightChars="0" w:firstLine="0" w:firstLineChars="0"/>
                    <w:jc w:val="center"/>
                    <w:outlineLvl w:val="9"/>
                    <w:rPr>
                      <w:color w:val="auto"/>
                      <w:sz w:val="21"/>
                      <w:szCs w:val="21"/>
                    </w:rPr>
                  </w:pPr>
                </w:p>
              </w:tc>
            </w:tr>
            <w:tr w14:paraId="15EA4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164439A8">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24550F16">
                  <w:pPr>
                    <w:pStyle w:val="12"/>
                    <w:spacing w:line="240" w:lineRule="auto"/>
                    <w:ind w:left="0" w:leftChars="0" w:right="0" w:rightChars="0" w:firstLine="0" w:firstLineChars="0"/>
                    <w:jc w:val="center"/>
                    <w:outlineLvl w:val="9"/>
                    <w:rPr>
                      <w:color w:val="auto"/>
                      <w:sz w:val="21"/>
                      <w:szCs w:val="21"/>
                    </w:rPr>
                  </w:pPr>
                </w:p>
              </w:tc>
              <w:tc>
                <w:tcPr>
                  <w:tcW w:w="614" w:type="pct"/>
                  <w:shd w:val="clear" w:color="auto" w:fill="auto"/>
                  <w:vAlign w:val="center"/>
                </w:tcPr>
                <w:p w14:paraId="3AF0D490">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180661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spacing w:val="1"/>
                      <w:kern w:val="2"/>
                      <w:sz w:val="21"/>
                      <w:szCs w:val="21"/>
                      <w:lang w:val="en-US" w:eastAsia="zh-CN" w:bidi="ar-SA"/>
                    </w:rPr>
                  </w:pPr>
                  <w:r>
                    <w:rPr>
                      <w:rFonts w:hint="eastAsia" w:ascii="Times New Roman" w:hAnsi="Times New Roman" w:cs="Times New Roman"/>
                      <w:b w:val="0"/>
                      <w:bCs w:val="0"/>
                      <w:color w:val="auto"/>
                      <w:sz w:val="21"/>
                      <w:szCs w:val="21"/>
                      <w:lang w:val="en-US" w:eastAsia="zh-CN"/>
                    </w:rPr>
                    <w:t>隔油沉淀池污泥</w:t>
                  </w:r>
                </w:p>
              </w:tc>
              <w:tc>
                <w:tcPr>
                  <w:tcW w:w="1246" w:type="pct"/>
                  <w:vMerge w:val="continue"/>
                  <w:vAlign w:val="center"/>
                </w:tcPr>
                <w:p w14:paraId="4A69E944">
                  <w:pPr>
                    <w:pStyle w:val="12"/>
                    <w:spacing w:line="240" w:lineRule="auto"/>
                    <w:ind w:left="0" w:leftChars="0" w:right="0" w:rightChars="0" w:firstLine="0" w:firstLineChars="0"/>
                    <w:jc w:val="center"/>
                    <w:outlineLvl w:val="9"/>
                    <w:rPr>
                      <w:color w:val="auto"/>
                      <w:sz w:val="21"/>
                      <w:szCs w:val="21"/>
                    </w:rPr>
                  </w:pPr>
                </w:p>
              </w:tc>
              <w:tc>
                <w:tcPr>
                  <w:tcW w:w="1083" w:type="pct"/>
                  <w:vMerge w:val="continue"/>
                  <w:vAlign w:val="center"/>
                </w:tcPr>
                <w:p w14:paraId="5BB8F660">
                  <w:pPr>
                    <w:pStyle w:val="12"/>
                    <w:spacing w:line="240" w:lineRule="auto"/>
                    <w:ind w:left="0" w:leftChars="0" w:right="0" w:rightChars="0" w:firstLine="0" w:firstLineChars="0"/>
                    <w:jc w:val="center"/>
                    <w:outlineLvl w:val="9"/>
                    <w:rPr>
                      <w:color w:val="auto"/>
                      <w:sz w:val="21"/>
                      <w:szCs w:val="21"/>
                    </w:rPr>
                  </w:pPr>
                </w:p>
              </w:tc>
            </w:tr>
            <w:tr w14:paraId="2DD2B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3F9CA577">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54E2E50E">
                  <w:pPr>
                    <w:pStyle w:val="12"/>
                    <w:spacing w:line="240" w:lineRule="auto"/>
                    <w:ind w:left="0" w:leftChars="0" w:right="0" w:rightChars="0" w:firstLine="0" w:firstLineChars="0"/>
                    <w:jc w:val="center"/>
                    <w:outlineLvl w:val="9"/>
                    <w:rPr>
                      <w:color w:val="auto"/>
                      <w:sz w:val="21"/>
                      <w:szCs w:val="21"/>
                    </w:rPr>
                  </w:pPr>
                </w:p>
              </w:tc>
              <w:tc>
                <w:tcPr>
                  <w:tcW w:w="614" w:type="pct"/>
                  <w:shd w:val="clear" w:color="auto" w:fill="auto"/>
                  <w:vAlign w:val="center"/>
                </w:tcPr>
                <w:p w14:paraId="2D2AED6A">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190C9E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spacing w:val="1"/>
                      <w:kern w:val="2"/>
                      <w:sz w:val="21"/>
                      <w:szCs w:val="21"/>
                      <w:lang w:val="en-US" w:eastAsia="zh-CN" w:bidi="ar-SA"/>
                    </w:rPr>
                  </w:pPr>
                  <w:r>
                    <w:rPr>
                      <w:rFonts w:hint="eastAsia" w:ascii="Calibri" w:hAnsi="Calibri" w:cs="Calibri"/>
                      <w:b w:val="0"/>
                      <w:bCs w:val="0"/>
                      <w:color w:val="auto"/>
                      <w:sz w:val="21"/>
                      <w:szCs w:val="21"/>
                      <w:lang w:val="en-US" w:eastAsia="zh-CN"/>
                    </w:rPr>
                    <w:t>废炸药包装</w:t>
                  </w:r>
                </w:p>
              </w:tc>
              <w:tc>
                <w:tcPr>
                  <w:tcW w:w="1246" w:type="pct"/>
                  <w:shd w:val="clear" w:color="auto" w:fill="auto"/>
                  <w:vAlign w:val="center"/>
                </w:tcPr>
                <w:p w14:paraId="0BB879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rFonts w:hint="eastAsia" w:ascii="宋体" w:hAnsi="宋体" w:cs="宋体"/>
                      <w:color w:val="auto"/>
                      <w:sz w:val="21"/>
                      <w:szCs w:val="21"/>
                      <w:lang w:val="en-US" w:eastAsia="zh-CN"/>
                    </w:rPr>
                    <w:t>销毁场销毁</w:t>
                  </w:r>
                </w:p>
              </w:tc>
              <w:tc>
                <w:tcPr>
                  <w:tcW w:w="1083" w:type="pct"/>
                  <w:vAlign w:val="center"/>
                </w:tcPr>
                <w:p w14:paraId="1E301415">
                  <w:pPr>
                    <w:pStyle w:val="12"/>
                    <w:spacing w:line="240" w:lineRule="auto"/>
                    <w:ind w:left="0" w:leftChars="0" w:right="0" w:rightChars="0" w:firstLine="0" w:firstLineChars="0"/>
                    <w:jc w:val="center"/>
                    <w:outlineLvl w:val="9"/>
                    <w:rPr>
                      <w:rFonts w:hint="eastAsia" w:eastAsia="宋体"/>
                      <w:color w:val="auto"/>
                      <w:sz w:val="21"/>
                      <w:szCs w:val="21"/>
                      <w:lang w:val="en-US" w:eastAsia="zh-CN"/>
                    </w:rPr>
                  </w:pPr>
                  <w:r>
                    <w:rPr>
                      <w:rFonts w:hint="eastAsia"/>
                      <w:color w:val="auto"/>
                      <w:sz w:val="21"/>
                      <w:szCs w:val="21"/>
                      <w:lang w:val="en-US" w:eastAsia="zh-CN"/>
                    </w:rPr>
                    <w:t>/</w:t>
                  </w:r>
                </w:p>
              </w:tc>
            </w:tr>
            <w:tr w14:paraId="76275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60" w:type="pct"/>
                  <w:vMerge w:val="continue"/>
                  <w:vAlign w:val="center"/>
                </w:tcPr>
                <w:p w14:paraId="01709B50">
                  <w:pPr>
                    <w:pStyle w:val="12"/>
                    <w:spacing w:line="240" w:lineRule="auto"/>
                    <w:ind w:left="0" w:leftChars="0" w:right="0" w:rightChars="0" w:firstLine="0" w:firstLineChars="0"/>
                    <w:jc w:val="center"/>
                    <w:outlineLvl w:val="9"/>
                    <w:rPr>
                      <w:color w:val="auto"/>
                      <w:sz w:val="21"/>
                      <w:szCs w:val="21"/>
                    </w:rPr>
                  </w:pPr>
                </w:p>
              </w:tc>
              <w:tc>
                <w:tcPr>
                  <w:tcW w:w="1081" w:type="pct"/>
                  <w:vMerge w:val="continue"/>
                  <w:vAlign w:val="center"/>
                </w:tcPr>
                <w:p w14:paraId="5EAE3CFC">
                  <w:pPr>
                    <w:pStyle w:val="12"/>
                    <w:spacing w:line="240" w:lineRule="auto"/>
                    <w:ind w:left="0" w:leftChars="0" w:right="0" w:rightChars="0" w:firstLine="0" w:firstLineChars="0"/>
                    <w:jc w:val="center"/>
                    <w:outlineLvl w:val="9"/>
                    <w:rPr>
                      <w:color w:val="auto"/>
                      <w:sz w:val="21"/>
                      <w:szCs w:val="21"/>
                    </w:rPr>
                  </w:pPr>
                </w:p>
              </w:tc>
              <w:tc>
                <w:tcPr>
                  <w:tcW w:w="614" w:type="pct"/>
                  <w:shd w:val="clear" w:color="auto" w:fill="auto"/>
                  <w:vAlign w:val="center"/>
                </w:tcPr>
                <w:p w14:paraId="5D8230D5">
                  <w:pPr>
                    <w:pStyle w:val="12"/>
                    <w:spacing w:line="240" w:lineRule="auto"/>
                    <w:ind w:left="0" w:leftChars="0" w:right="0" w:rightChars="0" w:firstLine="0" w:firstLineChars="0"/>
                    <w:jc w:val="center"/>
                    <w:outlineLvl w:val="9"/>
                    <w:rPr>
                      <w:color w:val="auto"/>
                      <w:sz w:val="21"/>
                      <w:szCs w:val="21"/>
                    </w:rPr>
                  </w:pPr>
                  <w:r>
                    <w:rPr>
                      <w:rFonts w:hint="eastAsia"/>
                      <w:color w:val="auto"/>
                      <w:sz w:val="21"/>
                      <w:szCs w:val="21"/>
                      <w:lang w:val="en-US" w:eastAsia="zh-CN"/>
                    </w:rPr>
                    <w:t>/</w:t>
                  </w:r>
                </w:p>
              </w:tc>
              <w:tc>
                <w:tcPr>
                  <w:tcW w:w="614" w:type="pct"/>
                  <w:shd w:val="clear" w:color="auto" w:fill="auto"/>
                  <w:vAlign w:val="center"/>
                </w:tcPr>
                <w:p w14:paraId="4D1176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sz w:val="21"/>
                      <w:szCs w:val="21"/>
                      <w:lang w:val="en-US" w:eastAsia="zh-CN"/>
                    </w:rPr>
                    <w:t>不合格品</w:t>
                  </w:r>
                </w:p>
              </w:tc>
              <w:tc>
                <w:tcPr>
                  <w:tcW w:w="1246" w:type="pct"/>
                  <w:shd w:val="clear" w:color="auto" w:fill="auto"/>
                  <w:vAlign w:val="center"/>
                </w:tcPr>
                <w:p w14:paraId="01C9D2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spacing w:val="13"/>
                      <w:sz w:val="21"/>
                      <w:szCs w:val="21"/>
                      <w:lang w:val="en-US" w:eastAsia="zh-CN"/>
                    </w:rPr>
                    <w:t>不合格品处理工房加工后外售</w:t>
                  </w:r>
                </w:p>
              </w:tc>
              <w:tc>
                <w:tcPr>
                  <w:tcW w:w="1083" w:type="pct"/>
                  <w:vAlign w:val="center"/>
                </w:tcPr>
                <w:p w14:paraId="73B5157D">
                  <w:pPr>
                    <w:pStyle w:val="12"/>
                    <w:spacing w:line="240" w:lineRule="auto"/>
                    <w:ind w:left="0" w:leftChars="0" w:right="0" w:rightChars="0" w:firstLine="0" w:firstLineChars="0"/>
                    <w:jc w:val="center"/>
                    <w:outlineLvl w:val="9"/>
                    <w:rPr>
                      <w:rFonts w:hint="default" w:eastAsia="宋体"/>
                      <w:color w:val="auto"/>
                      <w:sz w:val="21"/>
                      <w:szCs w:val="21"/>
                      <w:lang w:val="en-US" w:eastAsia="zh-CN"/>
                    </w:rPr>
                  </w:pPr>
                  <w:r>
                    <w:rPr>
                      <w:rFonts w:hint="eastAsia"/>
                      <w:color w:val="auto"/>
                      <w:sz w:val="21"/>
                      <w:szCs w:val="21"/>
                      <w:lang w:val="en-US" w:eastAsia="zh-CN"/>
                    </w:rPr>
                    <w:t>/</w:t>
                  </w:r>
                </w:p>
              </w:tc>
            </w:tr>
          </w:tbl>
          <w:p w14:paraId="2737A572">
            <w:pPr>
              <w:adjustRightInd w:val="0"/>
              <w:snapToGrid w:val="0"/>
              <w:spacing w:line="360" w:lineRule="auto"/>
              <w:ind w:firstLine="480" w:firstLineChars="200"/>
              <w:outlineLvl w:val="9"/>
              <w:rPr>
                <w:color w:val="auto"/>
                <w:sz w:val="24"/>
              </w:rPr>
            </w:pPr>
            <w:r>
              <w:rPr>
                <w:color w:val="auto"/>
                <w:sz w:val="24"/>
              </w:rPr>
              <w:t>综上所述，建设项目应认真落实本评价提出的各项污染防治措施，加强环境管理，保证污染治理工程与主体工程实施“三同时”，确保各类污染物稳定达标排放。</w:t>
            </w:r>
          </w:p>
          <w:p w14:paraId="746AE1AB">
            <w:pPr>
              <w:numPr>
                <w:ilvl w:val="0"/>
                <w:numId w:val="0"/>
              </w:numPr>
              <w:spacing w:line="360" w:lineRule="auto"/>
              <w:outlineLvl w:val="9"/>
              <w:rPr>
                <w:rFonts w:hint="eastAsia"/>
                <w:b/>
                <w:bCs/>
                <w:color w:val="auto"/>
                <w:sz w:val="24"/>
                <w:szCs w:val="32"/>
                <w:lang w:val="en-US" w:eastAsia="zh-CN"/>
              </w:rPr>
            </w:pPr>
            <w:r>
              <w:rPr>
                <w:rFonts w:hint="eastAsia"/>
                <w:b/>
                <w:bCs/>
                <w:color w:val="auto"/>
                <w:sz w:val="24"/>
                <w:szCs w:val="32"/>
                <w:lang w:val="en-US" w:eastAsia="zh-CN"/>
              </w:rPr>
              <w:t>十、污染物排放“三本账”</w:t>
            </w:r>
          </w:p>
          <w:p w14:paraId="0A140B66">
            <w:pPr>
              <w:keepNext w:val="0"/>
              <w:keepLines w:val="0"/>
              <w:widowControl/>
              <w:suppressLineNumbers w:val="0"/>
              <w:jc w:val="center"/>
              <w:outlineLvl w:val="9"/>
              <w:rPr>
                <w:color w:val="auto"/>
                <w:sz w:val="21"/>
                <w:szCs w:val="21"/>
              </w:rPr>
            </w:pPr>
            <w:r>
              <w:rPr>
                <w:rFonts w:hint="eastAsia" w:ascii="宋体" w:hAnsi="宋体" w:eastAsia="宋体" w:cs="宋体"/>
                <w:b/>
                <w:bCs/>
                <w:color w:val="auto"/>
                <w:kern w:val="0"/>
                <w:sz w:val="21"/>
                <w:szCs w:val="21"/>
                <w:lang w:val="en-US" w:eastAsia="zh-CN" w:bidi="ar"/>
              </w:rPr>
              <w:t>表</w:t>
            </w:r>
            <w:r>
              <w:rPr>
                <w:rFonts w:hint="default" w:ascii="Times New Roman" w:hAnsi="Times New Roman" w:eastAsia="宋体" w:cs="Times New Roman"/>
                <w:b/>
                <w:bCs/>
                <w:color w:val="auto"/>
                <w:kern w:val="0"/>
                <w:sz w:val="21"/>
                <w:szCs w:val="21"/>
                <w:lang w:val="en-US" w:eastAsia="zh-CN" w:bidi="ar"/>
              </w:rPr>
              <w:t>4-</w:t>
            </w:r>
            <w:r>
              <w:rPr>
                <w:rFonts w:hint="eastAsia" w:cs="Times New Roman"/>
                <w:b/>
                <w:bCs/>
                <w:color w:val="auto"/>
                <w:kern w:val="0"/>
                <w:sz w:val="21"/>
                <w:szCs w:val="21"/>
                <w:lang w:val="en-US" w:eastAsia="zh-CN" w:bidi="ar"/>
              </w:rPr>
              <w:t>15</w:t>
            </w:r>
            <w:r>
              <w:rPr>
                <w:rFonts w:hint="default" w:ascii="Times New Roman" w:hAnsi="Times New Roman" w:eastAsia="宋体" w:cs="Times New Roman"/>
                <w:b/>
                <w:bCs/>
                <w:color w:val="auto"/>
                <w:kern w:val="0"/>
                <w:sz w:val="21"/>
                <w:szCs w:val="21"/>
                <w:lang w:val="en-US" w:eastAsia="zh-CN" w:bidi="ar"/>
              </w:rPr>
              <w:t xml:space="preserve"> </w:t>
            </w:r>
            <w:r>
              <w:rPr>
                <w:rFonts w:hint="eastAsia" w:cs="Times New Roman"/>
                <w:b/>
                <w:bCs/>
                <w:color w:val="auto"/>
                <w:kern w:val="0"/>
                <w:sz w:val="21"/>
                <w:szCs w:val="21"/>
                <w:lang w:val="en-US" w:eastAsia="zh-CN" w:bidi="ar"/>
              </w:rPr>
              <w:t xml:space="preserve"> </w:t>
            </w:r>
            <w:r>
              <w:rPr>
                <w:rFonts w:hint="eastAsia" w:ascii="宋体" w:hAnsi="宋体" w:eastAsia="宋体" w:cs="宋体"/>
                <w:b/>
                <w:bCs/>
                <w:color w:val="auto"/>
                <w:kern w:val="0"/>
                <w:sz w:val="21"/>
                <w:szCs w:val="21"/>
                <w:lang w:val="en-US" w:eastAsia="zh-CN" w:bidi="ar"/>
              </w:rPr>
              <w:t>本次扩建后全厂污染物排放指标表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2271"/>
              <w:gridCol w:w="1498"/>
              <w:gridCol w:w="1673"/>
              <w:gridCol w:w="1674"/>
              <w:gridCol w:w="1674"/>
              <w:gridCol w:w="1674"/>
            </w:tblGrid>
            <w:tr w14:paraId="2BA5E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Align w:val="center"/>
                </w:tcPr>
                <w:p w14:paraId="60411C45">
                  <w:pPr>
                    <w:pStyle w:val="43"/>
                    <w:numPr>
                      <w:ilvl w:val="0"/>
                      <w:numId w:val="0"/>
                    </w:numPr>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项目</w:t>
                  </w:r>
                </w:p>
              </w:tc>
              <w:tc>
                <w:tcPr>
                  <w:tcW w:w="2271" w:type="dxa"/>
                  <w:vAlign w:val="center"/>
                </w:tcPr>
                <w:p w14:paraId="37AEA97B">
                  <w:pPr>
                    <w:keepNext w:val="0"/>
                    <w:keepLines w:val="0"/>
                    <w:widowControl/>
                    <w:suppressLineNumbers w:val="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污染物名称</w:t>
                  </w:r>
                </w:p>
              </w:tc>
              <w:tc>
                <w:tcPr>
                  <w:tcW w:w="1498" w:type="dxa"/>
                  <w:vAlign w:val="center"/>
                </w:tcPr>
                <w:p w14:paraId="45971206">
                  <w:pPr>
                    <w:keepNext w:val="0"/>
                    <w:keepLines w:val="0"/>
                    <w:widowControl/>
                    <w:suppressLineNumbers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现有工程</w:t>
                  </w:r>
                </w:p>
                <w:p w14:paraId="20AFB14C">
                  <w:pPr>
                    <w:keepNext w:val="0"/>
                    <w:keepLines w:val="0"/>
                    <w:widowControl/>
                    <w:suppressLineNumbers w:val="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（t/a）</w:t>
                  </w:r>
                </w:p>
              </w:tc>
              <w:tc>
                <w:tcPr>
                  <w:tcW w:w="1673" w:type="dxa"/>
                  <w:vAlign w:val="center"/>
                </w:tcPr>
                <w:p w14:paraId="39E11DDE">
                  <w:pPr>
                    <w:keepNext w:val="0"/>
                    <w:keepLines w:val="0"/>
                    <w:widowControl/>
                    <w:suppressLineNumbers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本项目新增</w:t>
                  </w:r>
                </w:p>
                <w:p w14:paraId="6B787E03">
                  <w:pPr>
                    <w:keepNext w:val="0"/>
                    <w:keepLines w:val="0"/>
                    <w:widowControl/>
                    <w:suppressLineNumbers w:val="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（t/a）</w:t>
                  </w:r>
                </w:p>
              </w:tc>
              <w:tc>
                <w:tcPr>
                  <w:tcW w:w="1674" w:type="dxa"/>
                  <w:vAlign w:val="center"/>
                </w:tcPr>
                <w:p w14:paraId="52E43A2D">
                  <w:pPr>
                    <w:keepNext w:val="0"/>
                    <w:keepLines w:val="0"/>
                    <w:widowControl/>
                    <w:suppressLineNumbers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“以新带老”</w:t>
                  </w:r>
                </w:p>
                <w:p w14:paraId="620FA8DA">
                  <w:pPr>
                    <w:keepNext w:val="0"/>
                    <w:keepLines w:val="0"/>
                    <w:widowControl/>
                    <w:suppressLineNumbers w:val="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削减量（t/a）</w:t>
                  </w:r>
                </w:p>
              </w:tc>
              <w:tc>
                <w:tcPr>
                  <w:tcW w:w="1674" w:type="dxa"/>
                  <w:vAlign w:val="center"/>
                </w:tcPr>
                <w:p w14:paraId="6886809D">
                  <w:pPr>
                    <w:keepNext w:val="0"/>
                    <w:keepLines w:val="0"/>
                    <w:widowControl/>
                    <w:suppressLineNumbers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改扩建后总</w:t>
                  </w:r>
                </w:p>
                <w:p w14:paraId="2D30A4D2">
                  <w:pPr>
                    <w:keepNext w:val="0"/>
                    <w:keepLines w:val="0"/>
                    <w:widowControl/>
                    <w:suppressLineNumbers w:val="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排放量（t/a）</w:t>
                  </w:r>
                </w:p>
              </w:tc>
              <w:tc>
                <w:tcPr>
                  <w:tcW w:w="1674" w:type="dxa"/>
                  <w:vAlign w:val="center"/>
                </w:tcPr>
                <w:p w14:paraId="2C0E88FF">
                  <w:pPr>
                    <w:keepNext w:val="0"/>
                    <w:keepLines w:val="0"/>
                    <w:widowControl/>
                    <w:suppressLineNumbers w:val="0"/>
                    <w:jc w:val="center"/>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项目建成后增</w:t>
                  </w:r>
                </w:p>
                <w:p w14:paraId="1CBB10C5">
                  <w:pPr>
                    <w:keepNext w:val="0"/>
                    <w:keepLines w:val="0"/>
                    <w:widowControl/>
                    <w:suppressLineNumbers w:val="0"/>
                    <w:jc w:val="center"/>
                    <w:outlineLvl w:val="9"/>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0"/>
                      <w:sz w:val="21"/>
                      <w:szCs w:val="21"/>
                      <w:lang w:val="en-US" w:eastAsia="zh-CN" w:bidi="ar"/>
                    </w:rPr>
                    <w:t>减量（t/a）</w:t>
                  </w:r>
                </w:p>
              </w:tc>
            </w:tr>
            <w:tr w14:paraId="55132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restart"/>
                  <w:vAlign w:val="center"/>
                </w:tcPr>
                <w:p w14:paraId="60322206">
                  <w:pPr>
                    <w:pStyle w:val="43"/>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废气</w:t>
                  </w:r>
                </w:p>
              </w:tc>
              <w:tc>
                <w:tcPr>
                  <w:tcW w:w="2271" w:type="dxa"/>
                  <w:vAlign w:val="center"/>
                </w:tcPr>
                <w:p w14:paraId="1FFEDE73">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颗粒物</w:t>
                  </w:r>
                </w:p>
              </w:tc>
              <w:tc>
                <w:tcPr>
                  <w:tcW w:w="1498" w:type="dxa"/>
                  <w:vAlign w:val="center"/>
                </w:tcPr>
                <w:p w14:paraId="4583D616">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0.1928</w:t>
                  </w:r>
                </w:p>
              </w:tc>
              <w:tc>
                <w:tcPr>
                  <w:tcW w:w="1673" w:type="dxa"/>
                  <w:shd w:val="clear" w:color="auto" w:fill="auto"/>
                  <w:vAlign w:val="center"/>
                </w:tcPr>
                <w:p w14:paraId="69800981">
                  <w:pPr>
                    <w:adjustRightInd w:val="0"/>
                    <w:snapToGrid w:val="0"/>
                    <w:jc w:val="center"/>
                    <w:outlineLvl w:val="9"/>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0.0105</w:t>
                  </w:r>
                </w:p>
              </w:tc>
              <w:tc>
                <w:tcPr>
                  <w:tcW w:w="1674" w:type="dxa"/>
                  <w:vAlign w:val="center"/>
                </w:tcPr>
                <w:p w14:paraId="7E4E835A">
                  <w:pPr>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74" w:type="dxa"/>
                  <w:shd w:val="clear" w:color="auto" w:fill="auto"/>
                  <w:vAlign w:val="center"/>
                </w:tcPr>
                <w:p w14:paraId="1F8A7580">
                  <w:pPr>
                    <w:adjustRightInd w:val="0"/>
                    <w:snapToGrid w:val="0"/>
                    <w:jc w:val="center"/>
                    <w:outlineLvl w:val="9"/>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0.2033</w:t>
                  </w:r>
                </w:p>
              </w:tc>
              <w:tc>
                <w:tcPr>
                  <w:tcW w:w="1674" w:type="dxa"/>
                  <w:vAlign w:val="center"/>
                </w:tcPr>
                <w:p w14:paraId="36B773C9">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cs="Times New Roman"/>
                      <w:b w:val="0"/>
                      <w:bCs w:val="0"/>
                      <w:color w:val="auto"/>
                      <w:sz w:val="21"/>
                      <w:szCs w:val="21"/>
                      <w:lang w:val="en-US" w:eastAsia="zh-CN"/>
                    </w:rPr>
                    <w:t>+0.0105</w:t>
                  </w:r>
                </w:p>
              </w:tc>
            </w:tr>
            <w:tr w14:paraId="7A6AD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271473D2">
                  <w:pPr>
                    <w:pStyle w:val="43"/>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p>
              </w:tc>
              <w:tc>
                <w:tcPr>
                  <w:tcW w:w="2271" w:type="dxa"/>
                  <w:vAlign w:val="center"/>
                </w:tcPr>
                <w:p w14:paraId="3F3F40ED">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498" w:type="dxa"/>
                  <w:vAlign w:val="center"/>
                </w:tcPr>
                <w:p w14:paraId="5E63D7A9">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0.4428</w:t>
                  </w:r>
                </w:p>
              </w:tc>
              <w:tc>
                <w:tcPr>
                  <w:tcW w:w="1673" w:type="dxa"/>
                  <w:shd w:val="clear" w:color="auto" w:fill="auto"/>
                  <w:vAlign w:val="center"/>
                </w:tcPr>
                <w:p w14:paraId="4297E5A4">
                  <w:pPr>
                    <w:adjustRightInd w:val="0"/>
                    <w:snapToGrid w:val="0"/>
                    <w:jc w:val="center"/>
                    <w:outlineLvl w:val="9"/>
                    <w:rPr>
                      <w:rFonts w:hint="default" w:cs="Times New Roman"/>
                      <w:b w:val="0"/>
                      <w:bCs w:val="0"/>
                      <w:color w:val="auto"/>
                      <w:sz w:val="21"/>
                      <w:szCs w:val="21"/>
                      <w:highlight w:val="none"/>
                      <w:lang w:val="en-US" w:eastAsia="zh-CN"/>
                    </w:rPr>
                  </w:pPr>
                  <w:r>
                    <w:rPr>
                      <w:rFonts w:hint="default"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528</w:t>
                  </w:r>
                </w:p>
              </w:tc>
              <w:tc>
                <w:tcPr>
                  <w:tcW w:w="1674" w:type="dxa"/>
                  <w:vAlign w:val="center"/>
                </w:tcPr>
                <w:p w14:paraId="7C26B4F7">
                  <w:pPr>
                    <w:numPr>
                      <w:ilvl w:val="0"/>
                      <w:numId w:val="0"/>
                    </w:numPr>
                    <w:jc w:val="center"/>
                    <w:outlineLvl w:val="9"/>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p>
              </w:tc>
              <w:tc>
                <w:tcPr>
                  <w:tcW w:w="1674" w:type="dxa"/>
                  <w:shd w:val="clear" w:color="auto" w:fill="auto"/>
                  <w:vAlign w:val="center"/>
                </w:tcPr>
                <w:p w14:paraId="24761A62">
                  <w:pPr>
                    <w:adjustRightInd w:val="0"/>
                    <w:snapToGrid w:val="0"/>
                    <w:jc w:val="center"/>
                    <w:outlineLvl w:val="9"/>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0.4956</w:t>
                  </w:r>
                </w:p>
              </w:tc>
              <w:tc>
                <w:tcPr>
                  <w:tcW w:w="1674" w:type="dxa"/>
                  <w:vAlign w:val="center"/>
                </w:tcPr>
                <w:p w14:paraId="3B9E28DB">
                  <w:pPr>
                    <w:adjustRightInd w:val="0"/>
                    <w:snapToGrid w:val="0"/>
                    <w:jc w:val="center"/>
                    <w:outlineLvl w:val="9"/>
                    <w:rPr>
                      <w:rFonts w:hint="default" w:ascii="Times New Roman" w:hAnsi="Times New Roman" w:eastAsia="宋体" w:cs="Times New Roman"/>
                      <w:color w:val="auto"/>
                      <w:sz w:val="21"/>
                      <w:szCs w:val="21"/>
                      <w:highlight w:val="none"/>
                      <w:vertAlign w:val="baseline"/>
                      <w:lang w:val="en-US" w:eastAsia="zh-CN"/>
                    </w:rPr>
                  </w:pPr>
                  <w:r>
                    <w:rPr>
                      <w:rFonts w:hint="eastAsia" w:cs="Times New Roman"/>
                      <w:b w:val="0"/>
                      <w:bCs w:val="0"/>
                      <w:color w:val="auto"/>
                      <w:sz w:val="21"/>
                      <w:szCs w:val="21"/>
                      <w:highlight w:val="none"/>
                      <w:lang w:val="en-US" w:eastAsia="zh-CN"/>
                    </w:rPr>
                    <w:t>+</w:t>
                  </w:r>
                  <w:r>
                    <w:rPr>
                      <w:rFonts w:hint="default" w:cs="Times New Roman"/>
                      <w:b w:val="0"/>
                      <w:bCs w:val="0"/>
                      <w:color w:val="auto"/>
                      <w:sz w:val="21"/>
                      <w:szCs w:val="21"/>
                      <w:highlight w:val="none"/>
                      <w:lang w:val="en-US" w:eastAsia="zh-CN"/>
                    </w:rPr>
                    <w:t>0.0</w:t>
                  </w:r>
                  <w:r>
                    <w:rPr>
                      <w:rFonts w:hint="eastAsia" w:cs="Times New Roman"/>
                      <w:b w:val="0"/>
                      <w:bCs w:val="0"/>
                      <w:color w:val="auto"/>
                      <w:sz w:val="21"/>
                      <w:szCs w:val="21"/>
                      <w:highlight w:val="none"/>
                      <w:lang w:val="en-US" w:eastAsia="zh-CN"/>
                    </w:rPr>
                    <w:t>528</w:t>
                  </w:r>
                </w:p>
              </w:tc>
            </w:tr>
            <w:tr w14:paraId="39582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4F9CB867">
                  <w:pPr>
                    <w:pStyle w:val="43"/>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p>
              </w:tc>
              <w:tc>
                <w:tcPr>
                  <w:tcW w:w="2271" w:type="dxa"/>
                  <w:vAlign w:val="center"/>
                </w:tcPr>
                <w:p w14:paraId="18FA0025">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氨</w:t>
                  </w:r>
                </w:p>
              </w:tc>
              <w:tc>
                <w:tcPr>
                  <w:tcW w:w="1498" w:type="dxa"/>
                  <w:vAlign w:val="center"/>
                </w:tcPr>
                <w:p w14:paraId="5EE3AF2C">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0.05</w:t>
                  </w:r>
                </w:p>
              </w:tc>
              <w:tc>
                <w:tcPr>
                  <w:tcW w:w="1673" w:type="dxa"/>
                  <w:vAlign w:val="center"/>
                </w:tcPr>
                <w:p w14:paraId="4B268911">
                  <w:pPr>
                    <w:pStyle w:val="67"/>
                    <w:spacing w:beforeLines="0" w:afterLines="0" w:line="240" w:lineRule="auto"/>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cs="Times New Roman"/>
                      <w:color w:val="auto"/>
                      <w:sz w:val="21"/>
                      <w:szCs w:val="21"/>
                      <w:vertAlign w:val="baseline"/>
                      <w:lang w:val="en-US" w:eastAsia="zh-CN"/>
                    </w:rPr>
                    <w:t>/</w:t>
                  </w:r>
                </w:p>
              </w:tc>
              <w:tc>
                <w:tcPr>
                  <w:tcW w:w="1674" w:type="dxa"/>
                  <w:vAlign w:val="center"/>
                </w:tcPr>
                <w:p w14:paraId="59274716">
                  <w:pPr>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10F09F33">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0.05</w:t>
                  </w:r>
                </w:p>
              </w:tc>
              <w:tc>
                <w:tcPr>
                  <w:tcW w:w="1674" w:type="dxa"/>
                  <w:vAlign w:val="center"/>
                </w:tcPr>
                <w:p w14:paraId="0ADDF67C">
                  <w:pPr>
                    <w:pStyle w:val="67"/>
                    <w:spacing w:beforeLines="0" w:afterLines="0" w:line="240" w:lineRule="auto"/>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cs="Times New Roman"/>
                      <w:color w:val="auto"/>
                      <w:sz w:val="21"/>
                      <w:szCs w:val="21"/>
                      <w:vertAlign w:val="baseline"/>
                      <w:lang w:val="en-US" w:eastAsia="zh-CN"/>
                    </w:rPr>
                    <w:t>0</w:t>
                  </w:r>
                </w:p>
              </w:tc>
            </w:tr>
            <w:tr w14:paraId="0C2D8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restart"/>
                  <w:vAlign w:val="center"/>
                </w:tcPr>
                <w:p w14:paraId="08987829">
                  <w:pPr>
                    <w:pStyle w:val="43"/>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固废</w:t>
                  </w:r>
                </w:p>
              </w:tc>
              <w:tc>
                <w:tcPr>
                  <w:tcW w:w="2271" w:type="dxa"/>
                  <w:shd w:val="clear" w:color="auto" w:fill="auto"/>
                  <w:vAlign w:val="center"/>
                </w:tcPr>
                <w:p w14:paraId="3427FD8A">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废包装</w:t>
                  </w:r>
                  <w:r>
                    <w:rPr>
                      <w:rFonts w:hint="default" w:ascii="Times New Roman" w:hAnsi="Times New Roman" w:eastAsia="宋体" w:cs="Times New Roman"/>
                      <w:color w:val="auto"/>
                      <w:spacing w:val="7"/>
                      <w:sz w:val="21"/>
                      <w:szCs w:val="21"/>
                    </w:rPr>
                    <w:t>袋</w:t>
                  </w:r>
                  <w:r>
                    <w:rPr>
                      <w:rFonts w:hint="default" w:ascii="Times New Roman" w:hAnsi="Times New Roman" w:eastAsia="宋体" w:cs="Times New Roman"/>
                      <w:color w:val="auto"/>
                      <w:spacing w:val="7"/>
                      <w:sz w:val="21"/>
                      <w:szCs w:val="21"/>
                      <w:lang w:eastAsia="zh-CN"/>
                    </w:rPr>
                    <w:t>（</w:t>
                  </w:r>
                  <w:r>
                    <w:rPr>
                      <w:rFonts w:hint="default" w:ascii="Times New Roman" w:hAnsi="Times New Roman" w:eastAsia="宋体" w:cs="Times New Roman"/>
                      <w:color w:val="auto"/>
                      <w:spacing w:val="7"/>
                      <w:sz w:val="21"/>
                      <w:szCs w:val="21"/>
                      <w:lang w:val="en-US" w:eastAsia="zh-CN"/>
                    </w:rPr>
                    <w:t>珍珠岩等</w:t>
                  </w:r>
                  <w:r>
                    <w:rPr>
                      <w:rFonts w:hint="default" w:ascii="Times New Roman" w:hAnsi="Times New Roman" w:eastAsia="宋体" w:cs="Times New Roman"/>
                      <w:color w:val="auto"/>
                      <w:spacing w:val="7"/>
                      <w:sz w:val="21"/>
                      <w:szCs w:val="21"/>
                      <w:lang w:eastAsia="zh-CN"/>
                    </w:rPr>
                    <w:t>）</w:t>
                  </w:r>
                </w:p>
              </w:tc>
              <w:tc>
                <w:tcPr>
                  <w:tcW w:w="1498" w:type="dxa"/>
                  <w:vAlign w:val="center"/>
                </w:tcPr>
                <w:p w14:paraId="376D8230">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kern w:val="2"/>
                      <w:sz w:val="21"/>
                      <w:szCs w:val="21"/>
                      <w:lang w:val="en-US" w:eastAsia="zh-CN" w:bidi="ar-SA"/>
                    </w:rPr>
                    <w:t>0.19</w:t>
                  </w:r>
                </w:p>
              </w:tc>
              <w:tc>
                <w:tcPr>
                  <w:tcW w:w="1673" w:type="dxa"/>
                  <w:vAlign w:val="center"/>
                </w:tcPr>
                <w:p w14:paraId="1B37E01C">
                  <w:pPr>
                    <w:pStyle w:val="43"/>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88</w:t>
                  </w:r>
                </w:p>
              </w:tc>
              <w:tc>
                <w:tcPr>
                  <w:tcW w:w="1674" w:type="dxa"/>
                  <w:vAlign w:val="center"/>
                </w:tcPr>
                <w:p w14:paraId="62C67F3D">
                  <w:pPr>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7DA3F139">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r>
                    <w:rPr>
                      <w:rFonts w:hint="eastAsia" w:cs="Times New Roman"/>
                      <w:color w:val="auto"/>
                      <w:kern w:val="2"/>
                      <w:sz w:val="21"/>
                      <w:szCs w:val="21"/>
                      <w:lang w:val="en-US" w:eastAsia="zh-CN" w:bidi="ar-SA"/>
                    </w:rPr>
                    <w:t>07</w:t>
                  </w:r>
                </w:p>
              </w:tc>
              <w:tc>
                <w:tcPr>
                  <w:tcW w:w="1674" w:type="dxa"/>
                  <w:vAlign w:val="center"/>
                </w:tcPr>
                <w:p w14:paraId="7900228D">
                  <w:pPr>
                    <w:pStyle w:val="43"/>
                    <w:numPr>
                      <w:ilvl w:val="0"/>
                      <w:numId w:val="0"/>
                    </w:numPr>
                    <w:ind w:left="0" w:lef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88</w:t>
                  </w:r>
                </w:p>
              </w:tc>
            </w:tr>
            <w:tr w14:paraId="7083A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1E454FCC">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2B70C3A8">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废包装物</w:t>
                  </w:r>
                  <w:r>
                    <w:rPr>
                      <w:rFonts w:hint="eastAsia" w:ascii="Times New Roman" w:hAnsi="Times New Roman" w:eastAsia="宋体" w:cs="Times New Roman"/>
                      <w:color w:val="auto"/>
                      <w:sz w:val="21"/>
                      <w:szCs w:val="21"/>
                      <w:lang w:val="en-US" w:eastAsia="zh-CN"/>
                    </w:rPr>
                    <w:t>（危化品）</w:t>
                  </w:r>
                </w:p>
              </w:tc>
              <w:tc>
                <w:tcPr>
                  <w:tcW w:w="1498" w:type="dxa"/>
                  <w:vAlign w:val="center"/>
                </w:tcPr>
                <w:p w14:paraId="25AD84B4">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kern w:val="2"/>
                      <w:sz w:val="21"/>
                      <w:szCs w:val="21"/>
                      <w:highlight w:val="none"/>
                      <w:lang w:val="en-US" w:eastAsia="zh-CN" w:bidi="ar-SA"/>
                    </w:rPr>
                    <w:t>3.49</w:t>
                  </w:r>
                </w:p>
              </w:tc>
              <w:tc>
                <w:tcPr>
                  <w:tcW w:w="1673" w:type="dxa"/>
                  <w:shd w:val="clear" w:color="auto" w:fill="auto"/>
                  <w:vAlign w:val="center"/>
                </w:tcPr>
                <w:p w14:paraId="7E0F12DE">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1.54</w:t>
                  </w:r>
                </w:p>
              </w:tc>
              <w:tc>
                <w:tcPr>
                  <w:tcW w:w="1674" w:type="dxa"/>
                  <w:vAlign w:val="center"/>
                </w:tcPr>
                <w:p w14:paraId="37C00D05">
                  <w:pPr>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3396C91E">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5.</w:t>
                  </w:r>
                  <w:r>
                    <w:rPr>
                      <w:rFonts w:hint="eastAsia" w:cs="Times New Roman"/>
                      <w:color w:val="auto"/>
                      <w:kern w:val="2"/>
                      <w:sz w:val="21"/>
                      <w:szCs w:val="21"/>
                      <w:lang w:val="en-US" w:eastAsia="zh-CN" w:bidi="ar-SA"/>
                    </w:rPr>
                    <w:t>03</w:t>
                  </w:r>
                </w:p>
              </w:tc>
              <w:tc>
                <w:tcPr>
                  <w:tcW w:w="1674" w:type="dxa"/>
                  <w:vAlign w:val="center"/>
                </w:tcPr>
                <w:p w14:paraId="54020350">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1.54</w:t>
                  </w:r>
                </w:p>
              </w:tc>
            </w:tr>
            <w:tr w14:paraId="64127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4E5EE369">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5F8E97B4">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废机油</w:t>
                  </w:r>
                </w:p>
              </w:tc>
              <w:tc>
                <w:tcPr>
                  <w:tcW w:w="1498" w:type="dxa"/>
                  <w:vAlign w:val="center"/>
                </w:tcPr>
                <w:p w14:paraId="1140530C">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0.3</w:t>
                  </w:r>
                </w:p>
              </w:tc>
              <w:tc>
                <w:tcPr>
                  <w:tcW w:w="1673" w:type="dxa"/>
                  <w:shd w:val="clear" w:color="auto" w:fill="auto"/>
                  <w:vAlign w:val="center"/>
                </w:tcPr>
                <w:p w14:paraId="6F8B4BAD">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0.2</w:t>
                  </w:r>
                </w:p>
              </w:tc>
              <w:tc>
                <w:tcPr>
                  <w:tcW w:w="1674" w:type="dxa"/>
                  <w:vAlign w:val="center"/>
                </w:tcPr>
                <w:p w14:paraId="69D0C9B6">
                  <w:pPr>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2F57FE15">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0.5</w:t>
                  </w:r>
                </w:p>
              </w:tc>
              <w:tc>
                <w:tcPr>
                  <w:tcW w:w="1674" w:type="dxa"/>
                  <w:vAlign w:val="center"/>
                </w:tcPr>
                <w:p w14:paraId="16062773">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val="0"/>
                      <w:color w:val="auto"/>
                      <w:sz w:val="21"/>
                      <w:szCs w:val="21"/>
                      <w:lang w:val="en-US" w:eastAsia="zh-CN"/>
                    </w:rPr>
                    <w:t>+0.2</w:t>
                  </w:r>
                </w:p>
              </w:tc>
            </w:tr>
            <w:tr w14:paraId="18CFD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4118F017">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320074A6">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废油桶</w:t>
                  </w:r>
                </w:p>
              </w:tc>
              <w:tc>
                <w:tcPr>
                  <w:tcW w:w="1498" w:type="dxa"/>
                  <w:vAlign w:val="center"/>
                </w:tcPr>
                <w:p w14:paraId="46617161">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0.11</w:t>
                  </w:r>
                </w:p>
              </w:tc>
              <w:tc>
                <w:tcPr>
                  <w:tcW w:w="1673" w:type="dxa"/>
                  <w:shd w:val="clear" w:color="auto" w:fill="auto"/>
                  <w:vAlign w:val="center"/>
                </w:tcPr>
                <w:p w14:paraId="50E5CD55">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0.1</w:t>
                  </w:r>
                </w:p>
              </w:tc>
              <w:tc>
                <w:tcPr>
                  <w:tcW w:w="1674" w:type="dxa"/>
                  <w:vAlign w:val="center"/>
                </w:tcPr>
                <w:p w14:paraId="57BDC519">
                  <w:pPr>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7EB1EE53">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0.21</w:t>
                  </w:r>
                </w:p>
              </w:tc>
              <w:tc>
                <w:tcPr>
                  <w:tcW w:w="1674" w:type="dxa"/>
                  <w:vAlign w:val="center"/>
                </w:tcPr>
                <w:p w14:paraId="136EBC56">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val="0"/>
                      <w:color w:val="auto"/>
                      <w:sz w:val="21"/>
                      <w:szCs w:val="21"/>
                      <w:lang w:val="en-US" w:eastAsia="zh-CN"/>
                    </w:rPr>
                    <w:t>+0.1</w:t>
                  </w:r>
                </w:p>
              </w:tc>
            </w:tr>
            <w:tr w14:paraId="302C7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39A06817">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1D0031B2">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废油抹布</w:t>
                  </w:r>
                </w:p>
              </w:tc>
              <w:tc>
                <w:tcPr>
                  <w:tcW w:w="1498" w:type="dxa"/>
                  <w:vAlign w:val="center"/>
                </w:tcPr>
                <w:p w14:paraId="68D31AC4">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0.03</w:t>
                  </w:r>
                </w:p>
              </w:tc>
              <w:tc>
                <w:tcPr>
                  <w:tcW w:w="1673" w:type="dxa"/>
                  <w:shd w:val="clear" w:color="auto" w:fill="auto"/>
                  <w:vAlign w:val="center"/>
                </w:tcPr>
                <w:p w14:paraId="5024E484">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0.03</w:t>
                  </w:r>
                </w:p>
              </w:tc>
              <w:tc>
                <w:tcPr>
                  <w:tcW w:w="1674" w:type="dxa"/>
                  <w:vAlign w:val="center"/>
                </w:tcPr>
                <w:p w14:paraId="4315F5FC">
                  <w:pPr>
                    <w:numPr>
                      <w:ilvl w:val="0"/>
                      <w:numId w:val="0"/>
                    </w:numPr>
                    <w:jc w:val="center"/>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7D6C2AB2">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0.06</w:t>
                  </w:r>
                </w:p>
              </w:tc>
              <w:tc>
                <w:tcPr>
                  <w:tcW w:w="1674" w:type="dxa"/>
                  <w:vAlign w:val="center"/>
                </w:tcPr>
                <w:p w14:paraId="4EDEED93">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val="0"/>
                      <w:color w:val="auto"/>
                      <w:sz w:val="21"/>
                      <w:szCs w:val="21"/>
                      <w:lang w:val="en-US" w:eastAsia="zh-CN"/>
                    </w:rPr>
                    <w:t>+0.03</w:t>
                  </w:r>
                </w:p>
              </w:tc>
            </w:tr>
            <w:tr w14:paraId="15BB4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67329E7C">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08F2DCC2">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滤渣、废滤网</w:t>
                  </w:r>
                </w:p>
              </w:tc>
              <w:tc>
                <w:tcPr>
                  <w:tcW w:w="1498" w:type="dxa"/>
                  <w:vAlign w:val="center"/>
                </w:tcPr>
                <w:p w14:paraId="54649962">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0.12</w:t>
                  </w:r>
                </w:p>
              </w:tc>
              <w:tc>
                <w:tcPr>
                  <w:tcW w:w="1673" w:type="dxa"/>
                  <w:shd w:val="clear" w:color="auto" w:fill="auto"/>
                  <w:vAlign w:val="center"/>
                </w:tcPr>
                <w:p w14:paraId="6B5A377D">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1"/>
                      <w:szCs w:val="21"/>
                      <w:lang w:val="en-US" w:eastAsia="zh-CN"/>
                    </w:rPr>
                    <w:t>0.05</w:t>
                  </w:r>
                </w:p>
              </w:tc>
              <w:tc>
                <w:tcPr>
                  <w:tcW w:w="1674" w:type="dxa"/>
                  <w:shd w:val="clear" w:color="auto" w:fill="auto"/>
                  <w:vAlign w:val="center"/>
                </w:tcPr>
                <w:p w14:paraId="46860127">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1BFAA390">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0.1</w:t>
                  </w:r>
                  <w:r>
                    <w:rPr>
                      <w:rFonts w:hint="eastAsia" w:cs="Times New Roman"/>
                      <w:color w:val="auto"/>
                      <w:kern w:val="2"/>
                      <w:sz w:val="21"/>
                      <w:szCs w:val="21"/>
                      <w:lang w:val="en-US" w:eastAsia="zh-CN" w:bidi="ar-SA"/>
                    </w:rPr>
                    <w:t>7</w:t>
                  </w:r>
                </w:p>
              </w:tc>
              <w:tc>
                <w:tcPr>
                  <w:tcW w:w="1674" w:type="dxa"/>
                  <w:vAlign w:val="center"/>
                </w:tcPr>
                <w:p w14:paraId="152CF68C">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val="0"/>
                      <w:color w:val="auto"/>
                      <w:sz w:val="21"/>
                      <w:szCs w:val="21"/>
                      <w:lang w:val="en-US" w:eastAsia="zh-CN"/>
                    </w:rPr>
                    <w:t>+0.</w:t>
                  </w:r>
                  <w:r>
                    <w:rPr>
                      <w:rFonts w:hint="eastAsia" w:cs="Times New Roman"/>
                      <w:b w:val="0"/>
                      <w:bCs w:val="0"/>
                      <w:color w:val="auto"/>
                      <w:sz w:val="21"/>
                      <w:szCs w:val="21"/>
                      <w:lang w:val="en-US" w:eastAsia="zh-CN"/>
                    </w:rPr>
                    <w:t>05</w:t>
                  </w:r>
                </w:p>
              </w:tc>
            </w:tr>
            <w:tr w14:paraId="295BB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523482D2">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03BDC9D1">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废包装瓶</w:t>
                  </w:r>
                </w:p>
              </w:tc>
              <w:tc>
                <w:tcPr>
                  <w:tcW w:w="1498" w:type="dxa"/>
                  <w:vAlign w:val="center"/>
                </w:tcPr>
                <w:p w14:paraId="117E1632">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1673" w:type="dxa"/>
                  <w:shd w:val="clear" w:color="auto" w:fill="auto"/>
                  <w:vAlign w:val="center"/>
                </w:tcPr>
                <w:p w14:paraId="29BB750F">
                  <w:pPr>
                    <w:adjustRightInd w:val="0"/>
                    <w:snapToGrid w:val="0"/>
                    <w:jc w:val="center"/>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0.006</w:t>
                  </w:r>
                </w:p>
              </w:tc>
              <w:tc>
                <w:tcPr>
                  <w:tcW w:w="1674" w:type="dxa"/>
                  <w:shd w:val="clear" w:color="auto" w:fill="auto"/>
                  <w:vAlign w:val="center"/>
                </w:tcPr>
                <w:p w14:paraId="7EB2ECE7">
                  <w:pPr>
                    <w:adjustRightInd w:val="0"/>
                    <w:snapToGrid w:val="0"/>
                    <w:jc w:val="center"/>
                    <w:outlineLvl w:val="9"/>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1674" w:type="dxa"/>
                  <w:vAlign w:val="center"/>
                </w:tcPr>
                <w:p w14:paraId="3C9AC654">
                  <w:pPr>
                    <w:adjustRightInd w:val="0"/>
                    <w:snapToGrid w:val="0"/>
                    <w:jc w:val="center"/>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0.006</w:t>
                  </w:r>
                </w:p>
              </w:tc>
              <w:tc>
                <w:tcPr>
                  <w:tcW w:w="1674" w:type="dxa"/>
                  <w:vAlign w:val="center"/>
                </w:tcPr>
                <w:p w14:paraId="6837D27F">
                  <w:pPr>
                    <w:adjustRightInd w:val="0"/>
                    <w:snapToGrid w:val="0"/>
                    <w:jc w:val="center"/>
                    <w:outlineLvl w:val="9"/>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+0.006</w:t>
                  </w:r>
                </w:p>
              </w:tc>
            </w:tr>
            <w:tr w14:paraId="5FBCF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114AECEE">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3CCCB476">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隔油沉淀池污泥</w:t>
                  </w:r>
                </w:p>
              </w:tc>
              <w:tc>
                <w:tcPr>
                  <w:tcW w:w="1498" w:type="dxa"/>
                  <w:vAlign w:val="center"/>
                </w:tcPr>
                <w:p w14:paraId="53A23F1B">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0.05</w:t>
                  </w:r>
                </w:p>
              </w:tc>
              <w:tc>
                <w:tcPr>
                  <w:tcW w:w="1673" w:type="dxa"/>
                  <w:shd w:val="clear" w:color="auto" w:fill="auto"/>
                  <w:vAlign w:val="center"/>
                </w:tcPr>
                <w:p w14:paraId="6C21C691">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w:t>
                  </w:r>
                </w:p>
              </w:tc>
              <w:tc>
                <w:tcPr>
                  <w:tcW w:w="1674" w:type="dxa"/>
                  <w:shd w:val="clear" w:color="auto" w:fill="auto"/>
                  <w:vAlign w:val="center"/>
                </w:tcPr>
                <w:p w14:paraId="6B24955F">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0508392D">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r>
                    <w:rPr>
                      <w:rFonts w:hint="eastAsia" w:cs="Times New Roman"/>
                      <w:color w:val="auto"/>
                      <w:kern w:val="2"/>
                      <w:sz w:val="21"/>
                      <w:szCs w:val="21"/>
                      <w:lang w:val="en-US" w:eastAsia="zh-CN" w:bidi="ar-SA"/>
                    </w:rPr>
                    <w:t>25</w:t>
                  </w:r>
                </w:p>
              </w:tc>
              <w:tc>
                <w:tcPr>
                  <w:tcW w:w="1674" w:type="dxa"/>
                  <w:vAlign w:val="center"/>
                </w:tcPr>
                <w:p w14:paraId="3FFE31CD">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w:t>
                  </w:r>
                </w:p>
              </w:tc>
            </w:tr>
            <w:tr w14:paraId="331B5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67F30FA3">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0771F807">
                  <w:pPr>
                    <w:autoSpaceDE w:val="0"/>
                    <w:autoSpaceDN w:val="0"/>
                    <w:spacing w:line="240" w:lineRule="auto"/>
                    <w:ind w:left="0" w:leftChars="0" w:right="0" w:rightChars="0" w:firstLine="0" w:firstLineChars="0"/>
                    <w:jc w:val="center"/>
                    <w:outlineLvl w:val="9"/>
                    <w:rPr>
                      <w:rFonts w:hint="eastAsia" w:ascii="Times New Roman" w:hAnsi="Times New Roman" w:eastAsia="宋体" w:cs="Times New Roman"/>
                      <w:color w:val="auto"/>
                      <w:sz w:val="21"/>
                      <w:szCs w:val="21"/>
                      <w:lang w:val="en-US" w:eastAsia="zh-CN"/>
                    </w:rPr>
                  </w:pPr>
                  <w:r>
                    <w:rPr>
                      <w:rFonts w:hint="eastAsia" w:ascii="Calibri" w:hAnsi="Calibri" w:cs="Calibri"/>
                      <w:b w:val="0"/>
                      <w:bCs w:val="0"/>
                      <w:color w:val="auto"/>
                      <w:sz w:val="21"/>
                      <w:szCs w:val="21"/>
                      <w:lang w:val="en-US" w:eastAsia="zh-CN"/>
                    </w:rPr>
                    <w:t>废炸药包装</w:t>
                  </w:r>
                </w:p>
              </w:tc>
              <w:tc>
                <w:tcPr>
                  <w:tcW w:w="1498" w:type="dxa"/>
                  <w:vAlign w:val="center"/>
                </w:tcPr>
                <w:p w14:paraId="1C1FC28E">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lang w:val="en-US" w:eastAsia="zh-CN"/>
                    </w:rPr>
                  </w:pPr>
                  <w:r>
                    <w:rPr>
                      <w:rFonts w:hint="eastAsia" w:cs="Times New Roman"/>
                      <w:color w:val="auto"/>
                      <w:sz w:val="21"/>
                      <w:szCs w:val="21"/>
                      <w:vertAlign w:val="baseline"/>
                      <w:lang w:val="en-US" w:eastAsia="zh-CN"/>
                    </w:rPr>
                    <w:t>0.05</w:t>
                  </w:r>
                </w:p>
              </w:tc>
              <w:tc>
                <w:tcPr>
                  <w:tcW w:w="1673" w:type="dxa"/>
                  <w:shd w:val="clear" w:color="auto" w:fill="auto"/>
                  <w:vAlign w:val="center"/>
                </w:tcPr>
                <w:p w14:paraId="29C4B468">
                  <w:pPr>
                    <w:adjustRightInd w:val="0"/>
                    <w:snapToGrid w:val="0"/>
                    <w:jc w:val="center"/>
                    <w:outlineLvl w:val="9"/>
                    <w:rPr>
                      <w:rFonts w:hint="default" w:ascii="Times New Roman" w:hAnsi="Times New Roman" w:cs="Times New Roman"/>
                      <w:color w:val="auto"/>
                      <w:sz w:val="21"/>
                      <w:szCs w:val="21"/>
                      <w:lang w:val="en-US" w:eastAsia="zh-CN"/>
                    </w:rPr>
                  </w:pPr>
                  <w:r>
                    <w:rPr>
                      <w:rFonts w:hint="eastAsia"/>
                      <w:color w:val="auto"/>
                      <w:spacing w:val="-2"/>
                      <w:sz w:val="21"/>
                      <w:szCs w:val="21"/>
                      <w:lang w:val="en-US" w:eastAsia="zh-CN"/>
                    </w:rPr>
                    <w:t>0.05</w:t>
                  </w:r>
                </w:p>
              </w:tc>
              <w:tc>
                <w:tcPr>
                  <w:tcW w:w="1674" w:type="dxa"/>
                  <w:shd w:val="clear" w:color="auto" w:fill="auto"/>
                  <w:vAlign w:val="center"/>
                </w:tcPr>
                <w:p w14:paraId="06E320EB">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cs="Times New Roman"/>
                      <w:color w:val="auto"/>
                      <w:sz w:val="21"/>
                      <w:szCs w:val="21"/>
                      <w:vertAlign w:val="baseline"/>
                      <w:lang w:val="en-US" w:eastAsia="zh-CN"/>
                    </w:rPr>
                    <w:t>/</w:t>
                  </w:r>
                </w:p>
              </w:tc>
              <w:tc>
                <w:tcPr>
                  <w:tcW w:w="1674" w:type="dxa"/>
                  <w:vAlign w:val="center"/>
                </w:tcPr>
                <w:p w14:paraId="43D5743B">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color w:val="auto"/>
                      <w:spacing w:val="-2"/>
                      <w:sz w:val="21"/>
                      <w:szCs w:val="21"/>
                      <w:lang w:val="en-US" w:eastAsia="zh-CN"/>
                    </w:rPr>
                    <w:t>0.1</w:t>
                  </w:r>
                </w:p>
              </w:tc>
              <w:tc>
                <w:tcPr>
                  <w:tcW w:w="1674" w:type="dxa"/>
                  <w:vAlign w:val="center"/>
                </w:tcPr>
                <w:p w14:paraId="07E4117F">
                  <w:pPr>
                    <w:adjustRightInd w:val="0"/>
                    <w:snapToGrid w:val="0"/>
                    <w:jc w:val="center"/>
                    <w:outlineLvl w:val="9"/>
                    <w:rPr>
                      <w:rFonts w:hint="default" w:ascii="Times New Roman" w:hAnsi="Times New Roman" w:cs="Times New Roman"/>
                      <w:color w:val="auto"/>
                      <w:sz w:val="21"/>
                      <w:szCs w:val="21"/>
                      <w:lang w:val="en-US" w:eastAsia="zh-CN"/>
                    </w:rPr>
                  </w:pPr>
                  <w:r>
                    <w:rPr>
                      <w:rFonts w:hint="eastAsia"/>
                      <w:color w:val="auto"/>
                      <w:spacing w:val="-2"/>
                      <w:sz w:val="21"/>
                      <w:szCs w:val="21"/>
                      <w:lang w:val="en-US" w:eastAsia="zh-CN"/>
                    </w:rPr>
                    <w:t>+0.05</w:t>
                  </w:r>
                </w:p>
              </w:tc>
            </w:tr>
            <w:tr w14:paraId="6226E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72D26647">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07E85B3C">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不合格品</w:t>
                  </w:r>
                </w:p>
              </w:tc>
              <w:tc>
                <w:tcPr>
                  <w:tcW w:w="1498" w:type="dxa"/>
                  <w:vAlign w:val="center"/>
                </w:tcPr>
                <w:p w14:paraId="70B0B521">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9.3</w:t>
                  </w:r>
                </w:p>
              </w:tc>
              <w:tc>
                <w:tcPr>
                  <w:tcW w:w="1673" w:type="dxa"/>
                  <w:shd w:val="clear" w:color="auto" w:fill="auto"/>
                  <w:vAlign w:val="center"/>
                </w:tcPr>
                <w:p w14:paraId="25D250D3">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3.2</w:t>
                  </w:r>
                </w:p>
              </w:tc>
              <w:tc>
                <w:tcPr>
                  <w:tcW w:w="1674" w:type="dxa"/>
                  <w:shd w:val="clear" w:color="auto" w:fill="auto"/>
                  <w:vAlign w:val="center"/>
                </w:tcPr>
                <w:p w14:paraId="783F3E55">
                  <w:pPr>
                    <w:adjustRightInd w:val="0"/>
                    <w:snapToGrid w:val="0"/>
                    <w:jc w:val="center"/>
                    <w:outlineLvl w:val="9"/>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2AE1FE42">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12.5</w:t>
                  </w:r>
                </w:p>
              </w:tc>
              <w:tc>
                <w:tcPr>
                  <w:tcW w:w="1674" w:type="dxa"/>
                  <w:vAlign w:val="center"/>
                </w:tcPr>
                <w:p w14:paraId="04A6CD90">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color w:val="auto"/>
                      <w:sz w:val="21"/>
                      <w:szCs w:val="21"/>
                      <w:lang w:val="en-US" w:eastAsia="zh-CN"/>
                    </w:rPr>
                    <w:t>+3.2</w:t>
                  </w:r>
                </w:p>
              </w:tc>
            </w:tr>
            <w:tr w14:paraId="390DB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vMerge w:val="continue"/>
                  <w:vAlign w:val="center"/>
                </w:tcPr>
                <w:p w14:paraId="0368A1D2">
                  <w:pPr>
                    <w:pStyle w:val="43"/>
                    <w:numPr>
                      <w:ilvl w:val="0"/>
                      <w:numId w:val="0"/>
                    </w:numPr>
                    <w:outlineLvl w:val="9"/>
                    <w:rPr>
                      <w:rFonts w:hint="default" w:ascii="Times New Roman" w:hAnsi="Times New Roman" w:eastAsia="宋体" w:cs="Times New Roman"/>
                      <w:color w:val="auto"/>
                      <w:sz w:val="21"/>
                      <w:szCs w:val="21"/>
                      <w:vertAlign w:val="baseline"/>
                      <w:lang w:val="en-US" w:eastAsia="zh-CN"/>
                    </w:rPr>
                  </w:pPr>
                </w:p>
              </w:tc>
              <w:tc>
                <w:tcPr>
                  <w:tcW w:w="2271" w:type="dxa"/>
                  <w:shd w:val="clear" w:color="auto" w:fill="auto"/>
                  <w:vAlign w:val="center"/>
                </w:tcPr>
                <w:p w14:paraId="3C6A7204">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生活垃圾</w:t>
                  </w:r>
                </w:p>
              </w:tc>
              <w:tc>
                <w:tcPr>
                  <w:tcW w:w="1498" w:type="dxa"/>
                  <w:vAlign w:val="center"/>
                </w:tcPr>
                <w:p w14:paraId="01B529CA">
                  <w:pPr>
                    <w:autoSpaceDE w:val="0"/>
                    <w:autoSpaceDN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23.4</w:t>
                  </w:r>
                </w:p>
              </w:tc>
              <w:tc>
                <w:tcPr>
                  <w:tcW w:w="1673" w:type="dxa"/>
                  <w:shd w:val="clear" w:color="auto" w:fill="auto"/>
                  <w:vAlign w:val="center"/>
                </w:tcPr>
                <w:p w14:paraId="3B00E5DB">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674" w:type="dxa"/>
                  <w:shd w:val="clear" w:color="auto" w:fill="auto"/>
                  <w:vAlign w:val="center"/>
                </w:tcPr>
                <w:p w14:paraId="6C069AF1">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w:t>
                  </w:r>
                </w:p>
              </w:tc>
              <w:tc>
                <w:tcPr>
                  <w:tcW w:w="1674" w:type="dxa"/>
                  <w:vAlign w:val="center"/>
                </w:tcPr>
                <w:p w14:paraId="5A4B8A26">
                  <w:pPr>
                    <w:adjustRightInd w:val="0"/>
                    <w:snapToGrid w:val="0"/>
                    <w:jc w:val="center"/>
                    <w:outlineLvl w:val="9"/>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23.4</w:t>
                  </w:r>
                </w:p>
              </w:tc>
              <w:tc>
                <w:tcPr>
                  <w:tcW w:w="1674" w:type="dxa"/>
                  <w:vAlign w:val="center"/>
                </w:tcPr>
                <w:p w14:paraId="768CD684">
                  <w:pPr>
                    <w:adjustRightInd w:val="0"/>
                    <w:snapToGrid w:val="0"/>
                    <w:jc w:val="center"/>
                    <w:outlineLvl w:val="9"/>
                    <w:rPr>
                      <w:rFonts w:hint="default" w:ascii="Times New Roman" w:hAnsi="Times New Roman" w:eastAsia="宋体" w:cs="Times New Roman"/>
                      <w:color w:val="auto"/>
                      <w:sz w:val="21"/>
                      <w:szCs w:val="21"/>
                      <w:vertAlign w:val="baseline"/>
                      <w:lang w:val="en-US" w:eastAsia="zh-CN"/>
                    </w:rPr>
                  </w:pPr>
                  <w:r>
                    <w:rPr>
                      <w:rFonts w:hint="eastAsia" w:cs="Times New Roman"/>
                      <w:color w:val="auto"/>
                      <w:kern w:val="2"/>
                      <w:sz w:val="21"/>
                      <w:szCs w:val="21"/>
                      <w:lang w:val="en-US" w:eastAsia="zh-CN" w:bidi="ar-SA"/>
                    </w:rPr>
                    <w:t>0</w:t>
                  </w:r>
                </w:p>
              </w:tc>
            </w:tr>
          </w:tbl>
          <w:p w14:paraId="4AEB32ED">
            <w:pPr>
              <w:pStyle w:val="43"/>
              <w:numPr>
                <w:ilvl w:val="0"/>
                <w:numId w:val="0"/>
              </w:numPr>
              <w:outlineLvl w:val="9"/>
              <w:rPr>
                <w:rFonts w:hint="default"/>
                <w:color w:val="auto"/>
                <w:lang w:val="en-US" w:eastAsia="zh-CN"/>
              </w:rPr>
            </w:pPr>
          </w:p>
        </w:tc>
      </w:tr>
    </w:tbl>
    <w:p w14:paraId="1CCCCFAA">
      <w:pPr>
        <w:adjustRightInd w:val="0"/>
        <w:snapToGrid w:val="0"/>
        <w:rPr>
          <w:rFonts w:hint="eastAsia" w:ascii="宋体" w:hAnsi="宋体" w:cs="宋体"/>
          <w:bCs/>
          <w:color w:val="auto"/>
          <w:szCs w:val="21"/>
        </w:rPr>
        <w:sectPr>
          <w:pgSz w:w="16838" w:h="11905" w:orient="landscape"/>
          <w:pgMar w:top="1531" w:right="1701" w:bottom="1531" w:left="2126" w:header="851" w:footer="850" w:gutter="0"/>
          <w:pgBorders>
            <w:top w:val="none" w:sz="0" w:space="0"/>
            <w:left w:val="none" w:sz="0" w:space="0"/>
            <w:bottom w:val="none" w:sz="0" w:space="0"/>
            <w:right w:val="none" w:sz="0" w:space="0"/>
          </w:pgBorders>
          <w:pgNumType w:fmt="decimal"/>
          <w:cols w:space="720" w:num="1"/>
          <w:docGrid w:linePitch="312" w:charSpace="0"/>
        </w:sectPr>
      </w:pPr>
    </w:p>
    <w:p w14:paraId="51721293">
      <w:pPr>
        <w:pStyle w:val="2"/>
        <w:numPr>
          <w:ilvl w:val="0"/>
          <w:numId w:val="9"/>
        </w:numPr>
        <w:rPr>
          <w:color w:val="auto"/>
        </w:rPr>
      </w:pPr>
      <w:bookmarkStart w:id="295" w:name="_Toc14069"/>
      <w:bookmarkStart w:id="296" w:name="_Toc28351"/>
      <w:bookmarkStart w:id="297" w:name="_Toc490"/>
      <w:r>
        <w:rPr>
          <w:rFonts w:hint="eastAsia"/>
          <w:color w:val="auto"/>
        </w:rPr>
        <w:t>环境保护措施监督检查清单</w:t>
      </w:r>
      <w:bookmarkEnd w:id="80"/>
      <w:bookmarkEnd w:id="295"/>
      <w:bookmarkEnd w:id="296"/>
      <w:bookmarkEnd w:id="297"/>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61"/>
        <w:gridCol w:w="1834"/>
        <w:gridCol w:w="1155"/>
        <w:gridCol w:w="1733"/>
        <w:gridCol w:w="2817"/>
      </w:tblGrid>
      <w:tr w14:paraId="4EA259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tcBorders>
              <w:tl2br w:val="single" w:color="auto" w:sz="4" w:space="0"/>
            </w:tcBorders>
          </w:tcPr>
          <w:p w14:paraId="7C65C70B">
            <w:pPr>
              <w:adjustRightInd w:val="0"/>
              <w:snapToGrid w:val="0"/>
              <w:ind w:firstLine="630" w:firstLineChars="300"/>
              <w:outlineLvl w:val="9"/>
              <w:rPr>
                <w:rFonts w:hint="eastAsia" w:ascii="宋体" w:hAnsi="宋体" w:cs="宋体"/>
                <w:color w:val="auto"/>
                <w:szCs w:val="21"/>
              </w:rPr>
            </w:pPr>
            <w:r>
              <w:rPr>
                <w:rFonts w:hint="eastAsia" w:ascii="宋体" w:hAnsi="宋体" w:cs="宋体"/>
                <w:color w:val="auto"/>
                <w:szCs w:val="21"/>
              </w:rPr>
              <w:t>内容</w:t>
            </w:r>
          </w:p>
          <w:p w14:paraId="490A613C">
            <w:pPr>
              <w:adjustRightInd w:val="0"/>
              <w:snapToGrid w:val="0"/>
              <w:outlineLvl w:val="9"/>
              <w:rPr>
                <w:rFonts w:hint="eastAsia" w:ascii="宋体" w:hAnsi="宋体" w:cs="宋体"/>
                <w:color w:val="auto"/>
                <w:szCs w:val="21"/>
              </w:rPr>
            </w:pPr>
            <w:r>
              <w:rPr>
                <w:rFonts w:hint="eastAsia" w:ascii="宋体" w:hAnsi="宋体" w:cs="宋体"/>
                <w:color w:val="auto"/>
                <w:szCs w:val="21"/>
              </w:rPr>
              <w:t>要素</w:t>
            </w:r>
          </w:p>
        </w:tc>
        <w:tc>
          <w:tcPr>
            <w:tcW w:w="1834" w:type="dxa"/>
            <w:vAlign w:val="center"/>
          </w:tcPr>
          <w:p w14:paraId="10CCC9B2">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排放口(编号、</w:t>
            </w:r>
          </w:p>
          <w:p w14:paraId="229DA6B9">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名称)/污染源</w:t>
            </w:r>
          </w:p>
        </w:tc>
        <w:tc>
          <w:tcPr>
            <w:tcW w:w="1155" w:type="dxa"/>
            <w:vAlign w:val="center"/>
          </w:tcPr>
          <w:p w14:paraId="19D77A19">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污染物项目</w:t>
            </w:r>
          </w:p>
        </w:tc>
        <w:tc>
          <w:tcPr>
            <w:tcW w:w="1733" w:type="dxa"/>
            <w:vAlign w:val="center"/>
          </w:tcPr>
          <w:p w14:paraId="6940F644">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环境保护措施</w:t>
            </w:r>
          </w:p>
        </w:tc>
        <w:tc>
          <w:tcPr>
            <w:tcW w:w="2817" w:type="dxa"/>
            <w:vAlign w:val="center"/>
          </w:tcPr>
          <w:p w14:paraId="39F2C743">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执行标准</w:t>
            </w:r>
          </w:p>
        </w:tc>
      </w:tr>
      <w:tr w14:paraId="4E90F3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Merge w:val="restart"/>
            <w:vAlign w:val="center"/>
          </w:tcPr>
          <w:p w14:paraId="3132D105">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大气环境</w:t>
            </w:r>
          </w:p>
        </w:tc>
        <w:tc>
          <w:tcPr>
            <w:tcW w:w="1834" w:type="dxa"/>
            <w:vAlign w:val="center"/>
          </w:tcPr>
          <w:p w14:paraId="27EF10EC">
            <w:pPr>
              <w:adjustRightInd w:val="0"/>
              <w:snapToGrid w:val="0"/>
              <w:jc w:val="center"/>
              <w:outlineLvl w:val="9"/>
              <w:rPr>
                <w:rFonts w:hint="default" w:eastAsia="宋体"/>
                <w:color w:val="auto"/>
                <w:szCs w:val="21"/>
                <w:lang w:val="en-US" w:eastAsia="zh-CN"/>
              </w:rPr>
            </w:pPr>
            <w:r>
              <w:rPr>
                <w:rFonts w:hint="eastAsia"/>
                <w:color w:val="auto"/>
                <w:szCs w:val="21"/>
                <w:lang w:val="en-US" w:eastAsia="zh-CN"/>
              </w:rPr>
              <w:t>厂界</w:t>
            </w:r>
          </w:p>
        </w:tc>
        <w:tc>
          <w:tcPr>
            <w:tcW w:w="1155" w:type="dxa"/>
            <w:vAlign w:val="center"/>
          </w:tcPr>
          <w:p w14:paraId="0B4DBA1E">
            <w:pPr>
              <w:widowControl/>
              <w:jc w:val="center"/>
              <w:outlineLvl w:val="9"/>
              <w:rPr>
                <w:color w:val="auto"/>
                <w:kern w:val="0"/>
                <w:szCs w:val="21"/>
                <w:lang w:bidi="ar"/>
              </w:rPr>
            </w:pPr>
            <w:r>
              <w:rPr>
                <w:rFonts w:hint="eastAsia" w:ascii="宋体" w:hAnsi="宋体" w:cs="宋体"/>
                <w:bCs/>
                <w:color w:val="auto"/>
                <w:spacing w:val="-10"/>
                <w:szCs w:val="21"/>
                <w:lang w:val="en-US" w:eastAsia="zh-CN"/>
              </w:rPr>
              <w:t>颗粒物、</w:t>
            </w:r>
            <w:r>
              <w:rPr>
                <w:rFonts w:hint="eastAsia" w:ascii="宋体" w:hAnsi="宋体" w:cs="宋体"/>
                <w:bCs/>
                <w:color w:val="auto"/>
                <w:spacing w:val="-10"/>
                <w:szCs w:val="21"/>
              </w:rPr>
              <w:t>非甲烷总烃</w:t>
            </w:r>
          </w:p>
        </w:tc>
        <w:tc>
          <w:tcPr>
            <w:tcW w:w="1733" w:type="dxa"/>
            <w:vAlign w:val="center"/>
          </w:tcPr>
          <w:p w14:paraId="41729891">
            <w:pPr>
              <w:pStyle w:val="12"/>
              <w:spacing w:line="240" w:lineRule="auto"/>
              <w:ind w:left="0" w:leftChars="0" w:right="0" w:rightChars="0" w:firstLine="0" w:firstLineChars="0"/>
              <w:jc w:val="center"/>
              <w:outlineLvl w:val="9"/>
              <w:rPr>
                <w:color w:val="auto"/>
                <w:sz w:val="21"/>
                <w:szCs w:val="21"/>
              </w:rPr>
            </w:pPr>
            <w:r>
              <w:rPr>
                <w:rFonts w:hint="eastAsia" w:ascii="Times New Roman" w:hAnsi="Times New Roman" w:cs="Times New Roman"/>
                <w:color w:val="auto"/>
                <w:spacing w:val="14"/>
                <w:sz w:val="21"/>
                <w:szCs w:val="21"/>
                <w:lang w:val="en-US" w:eastAsia="zh-CN"/>
              </w:rPr>
              <w:t>封闭工房</w:t>
            </w:r>
          </w:p>
        </w:tc>
        <w:tc>
          <w:tcPr>
            <w:tcW w:w="2817" w:type="dxa"/>
            <w:vAlign w:val="center"/>
          </w:tcPr>
          <w:p w14:paraId="7C79BEA4">
            <w:pPr>
              <w:pStyle w:val="115"/>
              <w:ind w:hanging="101"/>
              <w:jc w:val="center"/>
              <w:outlineLvl w:val="9"/>
              <w:rPr>
                <w:rFonts w:ascii="Times New Roman" w:hAnsi="Times New Roman" w:cs="Times New Roman"/>
                <w:color w:val="auto"/>
                <w:kern w:val="0"/>
                <w:sz w:val="21"/>
                <w:szCs w:val="21"/>
                <w:lang w:eastAsia="zh-CN" w:bidi="ar"/>
              </w:rPr>
            </w:pPr>
            <w:r>
              <w:rPr>
                <w:rFonts w:hint="default" w:ascii="Times New Roman" w:hAnsi="Times New Roman" w:cs="Times New Roman" w:eastAsiaTheme="minorEastAsia"/>
                <w:color w:val="auto"/>
                <w:sz w:val="21"/>
                <w:szCs w:val="21"/>
                <w:lang w:val="en-US" w:eastAsia="zh-CN"/>
              </w:rPr>
              <w:t>《大气污染物综合排放标准》(GB16297- 1996)中表2</w:t>
            </w:r>
          </w:p>
        </w:tc>
      </w:tr>
      <w:tr w14:paraId="65455F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Merge w:val="continue"/>
            <w:vAlign w:val="center"/>
          </w:tcPr>
          <w:p w14:paraId="180A6AEE">
            <w:pPr>
              <w:adjustRightInd w:val="0"/>
              <w:snapToGrid w:val="0"/>
              <w:jc w:val="center"/>
              <w:outlineLvl w:val="9"/>
              <w:rPr>
                <w:rFonts w:hint="eastAsia" w:ascii="宋体" w:hAnsi="宋体" w:cs="宋体"/>
                <w:color w:val="auto"/>
                <w:szCs w:val="21"/>
              </w:rPr>
            </w:pPr>
          </w:p>
        </w:tc>
        <w:tc>
          <w:tcPr>
            <w:tcW w:w="1834" w:type="dxa"/>
            <w:vAlign w:val="center"/>
          </w:tcPr>
          <w:p w14:paraId="574B7AF0">
            <w:pPr>
              <w:widowControl/>
              <w:jc w:val="center"/>
              <w:outlineLvl w:val="9"/>
              <w:rPr>
                <w:rFonts w:hint="default"/>
                <w:color w:val="auto"/>
                <w:szCs w:val="21"/>
                <w:lang w:val="en-US"/>
              </w:rPr>
            </w:pPr>
            <w:r>
              <w:rPr>
                <w:rFonts w:hint="eastAsia" w:ascii="Times New Roman" w:hAnsi="Times New Roman" w:eastAsia="宋体" w:cs="Times New Roman"/>
                <w:bCs/>
                <w:color w:val="auto"/>
                <w:spacing w:val="-10"/>
                <w:szCs w:val="21"/>
                <w:lang w:val="en-US" w:eastAsia="zh-CN"/>
              </w:rPr>
              <w:t>水油相制备工房</w:t>
            </w:r>
            <w:r>
              <w:rPr>
                <w:rFonts w:hint="eastAsia" w:cs="Times New Roman"/>
                <w:bCs/>
                <w:color w:val="auto"/>
                <w:spacing w:val="-10"/>
                <w:szCs w:val="21"/>
                <w:lang w:val="en-US" w:eastAsia="zh-CN"/>
              </w:rPr>
              <w:t>门窗或通风口</w:t>
            </w:r>
            <w:r>
              <w:rPr>
                <w:rFonts w:hint="eastAsia" w:ascii="Times New Roman" w:hAnsi="Times New Roman" w:eastAsia="宋体" w:cs="Times New Roman"/>
                <w:bCs/>
                <w:color w:val="auto"/>
                <w:spacing w:val="-10"/>
                <w:szCs w:val="21"/>
                <w:lang w:val="en-US" w:eastAsia="zh-CN"/>
              </w:rPr>
              <w:t>外</w:t>
            </w:r>
            <w:r>
              <w:rPr>
                <w:rFonts w:hint="eastAsia" w:cs="Times New Roman"/>
                <w:bCs/>
                <w:color w:val="auto"/>
                <w:spacing w:val="-10"/>
                <w:szCs w:val="21"/>
                <w:lang w:val="en-US" w:eastAsia="zh-CN"/>
              </w:rPr>
              <w:t>1m</w:t>
            </w:r>
          </w:p>
        </w:tc>
        <w:tc>
          <w:tcPr>
            <w:tcW w:w="1155" w:type="dxa"/>
            <w:vAlign w:val="center"/>
          </w:tcPr>
          <w:p w14:paraId="1BB433BF">
            <w:pPr>
              <w:adjustRightInd w:val="0"/>
              <w:snapToGrid w:val="0"/>
              <w:jc w:val="center"/>
              <w:rPr>
                <w:color w:val="auto"/>
                <w:szCs w:val="21"/>
              </w:rPr>
            </w:pPr>
            <w:r>
              <w:rPr>
                <w:rFonts w:hint="eastAsia" w:ascii="宋体" w:hAnsi="宋体" w:cs="宋体"/>
                <w:bCs/>
                <w:color w:val="auto"/>
                <w:spacing w:val="-10"/>
                <w:sz w:val="21"/>
                <w:szCs w:val="21"/>
              </w:rPr>
              <w:t>非甲烷总烃</w:t>
            </w:r>
          </w:p>
        </w:tc>
        <w:tc>
          <w:tcPr>
            <w:tcW w:w="1733" w:type="dxa"/>
            <w:vAlign w:val="center"/>
          </w:tcPr>
          <w:p w14:paraId="0342503F">
            <w:pPr>
              <w:pStyle w:val="12"/>
              <w:spacing w:line="240" w:lineRule="auto"/>
              <w:ind w:left="0" w:leftChars="0" w:right="0" w:rightChars="0" w:firstLine="0" w:firstLineChars="0"/>
              <w:jc w:val="center"/>
              <w:outlineLvl w:val="9"/>
              <w:rPr>
                <w:color w:val="auto"/>
                <w:sz w:val="21"/>
                <w:szCs w:val="21"/>
              </w:rPr>
            </w:pPr>
            <w:r>
              <w:rPr>
                <w:rFonts w:hint="eastAsia" w:ascii="Times New Roman" w:hAnsi="Times New Roman" w:cs="Times New Roman"/>
                <w:color w:val="auto"/>
                <w:spacing w:val="14"/>
                <w:sz w:val="21"/>
                <w:szCs w:val="21"/>
                <w:lang w:val="en-US" w:eastAsia="zh-CN"/>
              </w:rPr>
              <w:t>封闭工房</w:t>
            </w:r>
          </w:p>
        </w:tc>
        <w:tc>
          <w:tcPr>
            <w:tcW w:w="2817" w:type="dxa"/>
            <w:vAlign w:val="center"/>
          </w:tcPr>
          <w:p w14:paraId="425FF93A">
            <w:pPr>
              <w:pStyle w:val="115"/>
              <w:spacing w:before="182"/>
              <w:ind w:left="228" w:right="115" w:hanging="101"/>
              <w:jc w:val="center"/>
              <w:outlineLvl w:val="9"/>
              <w:rPr>
                <w:rFonts w:ascii="Times New Roman" w:hAnsi="Times New Roman" w:cs="Times New Roman"/>
                <w:color w:val="auto"/>
                <w:sz w:val="21"/>
                <w:szCs w:val="21"/>
                <w:lang w:eastAsia="zh-CN"/>
              </w:rPr>
            </w:pPr>
            <w:r>
              <w:rPr>
                <w:rFonts w:hint="eastAsia" w:ascii="宋体" w:hAnsi="宋体" w:cs="宋体"/>
                <w:color w:val="auto"/>
                <w:spacing w:val="8"/>
                <w:sz w:val="21"/>
                <w:szCs w:val="21"/>
              </w:rPr>
              <w:t>《挥发性有机物无组织排放控制标准》(GB37822-2019)附录 A</w:t>
            </w:r>
          </w:p>
        </w:tc>
      </w:tr>
      <w:tr w14:paraId="174726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Merge w:val="continue"/>
            <w:vAlign w:val="center"/>
          </w:tcPr>
          <w:p w14:paraId="458F867D">
            <w:pPr>
              <w:adjustRightInd w:val="0"/>
              <w:snapToGrid w:val="0"/>
              <w:jc w:val="center"/>
              <w:outlineLvl w:val="9"/>
              <w:rPr>
                <w:rFonts w:hint="eastAsia" w:ascii="宋体" w:hAnsi="宋体" w:cs="宋体"/>
                <w:color w:val="auto"/>
                <w:szCs w:val="21"/>
              </w:rPr>
            </w:pPr>
          </w:p>
        </w:tc>
        <w:tc>
          <w:tcPr>
            <w:tcW w:w="1834" w:type="dxa"/>
            <w:vAlign w:val="center"/>
          </w:tcPr>
          <w:p w14:paraId="783F7453">
            <w:pPr>
              <w:widowControl/>
              <w:jc w:val="center"/>
              <w:outlineLvl w:val="9"/>
              <w:rPr>
                <w:rFonts w:hint="eastAsia" w:ascii="宋体" w:hAnsi="宋体" w:eastAsia="宋体" w:cs="宋体"/>
                <w:color w:val="auto"/>
                <w:kern w:val="0"/>
                <w:sz w:val="21"/>
                <w:szCs w:val="21"/>
                <w:highlight w:val="none"/>
                <w:lang w:val="en-US" w:eastAsia="zh-CN" w:bidi="ar"/>
              </w:rPr>
            </w:pPr>
            <w:r>
              <w:rPr>
                <w:rFonts w:hint="eastAsia" w:ascii="Times New Roman" w:hAnsi="Times New Roman" w:eastAsia="宋体" w:cs="Times New Roman"/>
                <w:bCs/>
                <w:color w:val="auto"/>
                <w:spacing w:val="-10"/>
                <w:szCs w:val="21"/>
                <w:lang w:val="en-US" w:eastAsia="zh-CN"/>
              </w:rPr>
              <w:t>乳化炸药震源药柱生产工房</w:t>
            </w:r>
            <w:r>
              <w:rPr>
                <w:rFonts w:hint="eastAsia" w:cs="Times New Roman"/>
                <w:bCs/>
                <w:color w:val="auto"/>
                <w:spacing w:val="-10"/>
                <w:szCs w:val="21"/>
                <w:lang w:val="en-US" w:eastAsia="zh-CN"/>
              </w:rPr>
              <w:t>门窗或通风口</w:t>
            </w:r>
            <w:r>
              <w:rPr>
                <w:rFonts w:hint="eastAsia" w:ascii="Times New Roman" w:hAnsi="Times New Roman" w:eastAsia="宋体" w:cs="Times New Roman"/>
                <w:bCs/>
                <w:color w:val="auto"/>
                <w:spacing w:val="-10"/>
                <w:szCs w:val="21"/>
                <w:lang w:val="en-US" w:eastAsia="zh-CN"/>
              </w:rPr>
              <w:t>外</w:t>
            </w:r>
            <w:r>
              <w:rPr>
                <w:rFonts w:hint="eastAsia" w:cs="Times New Roman"/>
                <w:bCs/>
                <w:color w:val="auto"/>
                <w:spacing w:val="-10"/>
                <w:szCs w:val="21"/>
                <w:lang w:val="en-US" w:eastAsia="zh-CN"/>
              </w:rPr>
              <w:t>1m</w:t>
            </w:r>
          </w:p>
        </w:tc>
        <w:tc>
          <w:tcPr>
            <w:tcW w:w="1155" w:type="dxa"/>
            <w:vAlign w:val="center"/>
          </w:tcPr>
          <w:p w14:paraId="1637F9E5">
            <w:pPr>
              <w:adjustRightInd w:val="0"/>
              <w:snapToGrid w:val="0"/>
              <w:jc w:val="center"/>
              <w:rPr>
                <w:rFonts w:hint="eastAsia" w:ascii="宋体" w:hAnsi="宋体" w:cs="宋体"/>
                <w:bCs/>
                <w:color w:val="auto"/>
                <w:spacing w:val="-10"/>
                <w:sz w:val="21"/>
                <w:szCs w:val="21"/>
              </w:rPr>
            </w:pPr>
            <w:r>
              <w:rPr>
                <w:rFonts w:hint="eastAsia" w:ascii="宋体" w:hAnsi="宋体" w:cs="宋体"/>
                <w:bCs/>
                <w:color w:val="auto"/>
                <w:spacing w:val="-10"/>
                <w:sz w:val="21"/>
                <w:szCs w:val="21"/>
              </w:rPr>
              <w:t>非甲烷总烃</w:t>
            </w:r>
          </w:p>
        </w:tc>
        <w:tc>
          <w:tcPr>
            <w:tcW w:w="1733" w:type="dxa"/>
            <w:vAlign w:val="center"/>
          </w:tcPr>
          <w:p w14:paraId="0D1EE4B6">
            <w:pPr>
              <w:pStyle w:val="12"/>
              <w:spacing w:line="240" w:lineRule="auto"/>
              <w:ind w:left="0" w:leftChars="0" w:right="0" w:rightChars="0" w:firstLine="0" w:firstLineChars="0"/>
              <w:jc w:val="center"/>
              <w:outlineLvl w:val="9"/>
              <w:rPr>
                <w:rFonts w:hint="eastAsia" w:ascii="Times New Roman" w:hAnsi="Times New Roman" w:cs="Times New Roman"/>
                <w:color w:val="auto"/>
                <w:spacing w:val="14"/>
                <w:sz w:val="21"/>
                <w:szCs w:val="21"/>
                <w:lang w:val="en-US" w:eastAsia="zh-CN"/>
              </w:rPr>
            </w:pPr>
            <w:r>
              <w:rPr>
                <w:rFonts w:hint="eastAsia" w:ascii="Times New Roman" w:hAnsi="Times New Roman" w:cs="Times New Roman"/>
                <w:color w:val="auto"/>
                <w:spacing w:val="14"/>
                <w:sz w:val="21"/>
                <w:szCs w:val="21"/>
                <w:lang w:val="en-US" w:eastAsia="zh-CN"/>
              </w:rPr>
              <w:t>封闭工房</w:t>
            </w:r>
          </w:p>
        </w:tc>
        <w:tc>
          <w:tcPr>
            <w:tcW w:w="2817" w:type="dxa"/>
            <w:vAlign w:val="center"/>
          </w:tcPr>
          <w:p w14:paraId="10E56B54">
            <w:pPr>
              <w:pStyle w:val="115"/>
              <w:spacing w:before="182"/>
              <w:ind w:left="228" w:leftChars="0" w:right="115" w:rightChars="0" w:hanging="101" w:firstLineChars="0"/>
              <w:jc w:val="center"/>
              <w:outlineLvl w:val="9"/>
              <w:rPr>
                <w:rFonts w:hint="eastAsia" w:ascii="宋体" w:hAnsi="宋体" w:cs="宋体"/>
                <w:color w:val="auto"/>
                <w:spacing w:val="8"/>
                <w:sz w:val="21"/>
                <w:szCs w:val="21"/>
              </w:rPr>
            </w:pPr>
            <w:r>
              <w:rPr>
                <w:rFonts w:hint="eastAsia" w:ascii="宋体" w:hAnsi="宋体" w:cs="宋体"/>
                <w:color w:val="auto"/>
                <w:spacing w:val="8"/>
                <w:sz w:val="21"/>
                <w:szCs w:val="21"/>
              </w:rPr>
              <w:t>《挥发性有机物无组织排放控制标准》(GB37822-2019)附录 A</w:t>
            </w:r>
          </w:p>
        </w:tc>
      </w:tr>
      <w:tr w14:paraId="419A65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769CF1EF">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地表水环境</w:t>
            </w:r>
          </w:p>
        </w:tc>
        <w:tc>
          <w:tcPr>
            <w:tcW w:w="1834" w:type="dxa"/>
            <w:vAlign w:val="center"/>
          </w:tcPr>
          <w:p w14:paraId="53228E47">
            <w:pPr>
              <w:adjustRightInd w:val="0"/>
              <w:snapToGrid w:val="0"/>
              <w:jc w:val="center"/>
              <w:outlineLvl w:val="9"/>
              <w:rPr>
                <w:color w:val="auto"/>
                <w:szCs w:val="21"/>
              </w:rPr>
            </w:pPr>
            <w:r>
              <w:rPr>
                <w:rFonts w:hint="eastAsia"/>
                <w:color w:val="auto"/>
                <w:sz w:val="21"/>
                <w:szCs w:val="21"/>
                <w:lang w:val="en-US" w:eastAsia="zh-CN"/>
              </w:rPr>
              <w:t>辽宁红山污水处理站出口（消毒池）</w:t>
            </w:r>
          </w:p>
        </w:tc>
        <w:tc>
          <w:tcPr>
            <w:tcW w:w="1155" w:type="dxa"/>
            <w:vAlign w:val="center"/>
          </w:tcPr>
          <w:p w14:paraId="0524836C">
            <w:pPr>
              <w:spacing w:line="240" w:lineRule="auto"/>
              <w:ind w:left="0"/>
              <w:jc w:val="center"/>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pH</w:t>
            </w:r>
          </w:p>
          <w:p w14:paraId="1A7F292F">
            <w:pPr>
              <w:spacing w:line="240" w:lineRule="auto"/>
              <w:ind w:left="0"/>
              <w:jc w:val="center"/>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BOD</w:t>
            </w:r>
            <w:r>
              <w:rPr>
                <w:rFonts w:hint="default" w:ascii="Times New Roman" w:hAnsi="Times New Roman" w:eastAsia="宋体" w:cs="Times New Roman"/>
                <w:color w:val="auto"/>
                <w:spacing w:val="13"/>
                <w:sz w:val="21"/>
                <w:szCs w:val="21"/>
                <w:vertAlign w:val="subscript"/>
                <w:lang w:val="en-US" w:eastAsia="zh-CN"/>
              </w:rPr>
              <w:t>5</w:t>
            </w:r>
          </w:p>
          <w:p w14:paraId="76A04C83">
            <w:pPr>
              <w:spacing w:line="240" w:lineRule="auto"/>
              <w:ind w:left="0"/>
              <w:jc w:val="center"/>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SS/浊度</w:t>
            </w:r>
          </w:p>
          <w:p w14:paraId="1934202F">
            <w:pPr>
              <w:spacing w:line="240" w:lineRule="auto"/>
              <w:ind w:left="0"/>
              <w:jc w:val="center"/>
              <w:rPr>
                <w:rFonts w:hint="default" w:ascii="Times New Roman" w:hAnsi="Times New Roman" w:eastAsia="宋体" w:cs="Times New Roman"/>
                <w:color w:val="auto"/>
                <w:spacing w:val="13"/>
                <w:sz w:val="21"/>
                <w:szCs w:val="21"/>
                <w:lang w:val="en-US" w:eastAsia="zh-CN"/>
              </w:rPr>
            </w:pPr>
            <w:r>
              <w:rPr>
                <w:rFonts w:hint="default" w:ascii="Times New Roman" w:hAnsi="Times New Roman" w:eastAsia="宋体" w:cs="Times New Roman"/>
                <w:color w:val="auto"/>
                <w:spacing w:val="13"/>
                <w:sz w:val="21"/>
                <w:szCs w:val="21"/>
                <w:lang w:val="en-US" w:eastAsia="zh-CN"/>
              </w:rPr>
              <w:t>氨氮</w:t>
            </w:r>
          </w:p>
          <w:p w14:paraId="62A63F30">
            <w:pPr>
              <w:adjustRightInd w:val="0"/>
              <w:snapToGrid w:val="0"/>
              <w:jc w:val="center"/>
              <w:outlineLvl w:val="9"/>
              <w:rPr>
                <w:rFonts w:ascii="宋体"/>
                <w:color w:val="auto"/>
                <w:szCs w:val="21"/>
              </w:rPr>
            </w:pPr>
            <w:r>
              <w:rPr>
                <w:rFonts w:hint="default" w:ascii="Times New Roman" w:hAnsi="Times New Roman" w:eastAsia="宋体" w:cs="Times New Roman"/>
                <w:color w:val="auto"/>
                <w:spacing w:val="13"/>
                <w:sz w:val="21"/>
                <w:szCs w:val="21"/>
                <w:lang w:val="en-US" w:eastAsia="zh-CN"/>
              </w:rPr>
              <w:t>总氯</w:t>
            </w:r>
          </w:p>
        </w:tc>
        <w:tc>
          <w:tcPr>
            <w:tcW w:w="1733" w:type="dxa"/>
            <w:vAlign w:val="center"/>
          </w:tcPr>
          <w:p w14:paraId="02501A50">
            <w:pPr>
              <w:adjustRightInd w:val="0"/>
              <w:snapToGrid w:val="0"/>
              <w:jc w:val="center"/>
              <w:outlineLvl w:val="9"/>
              <w:rPr>
                <w:color w:val="auto"/>
                <w:szCs w:val="21"/>
              </w:rPr>
            </w:pPr>
            <w:r>
              <w:rPr>
                <w:rFonts w:hint="eastAsia"/>
                <w:color w:val="auto"/>
                <w:sz w:val="21"/>
                <w:szCs w:val="21"/>
                <w:lang w:val="en-US" w:eastAsia="zh-CN"/>
              </w:rPr>
              <w:t>隔油沉淀池+辽宁红山污水处理设施</w:t>
            </w:r>
          </w:p>
        </w:tc>
        <w:tc>
          <w:tcPr>
            <w:tcW w:w="2817" w:type="dxa"/>
            <w:vAlign w:val="center"/>
          </w:tcPr>
          <w:p w14:paraId="016A39CC">
            <w:pPr>
              <w:adjustRightInd w:val="0"/>
              <w:snapToGrid w:val="0"/>
              <w:jc w:val="center"/>
              <w:outlineLvl w:val="9"/>
              <w:rPr>
                <w:rFonts w:hint="eastAsia" w:ascii="宋体" w:hAnsi="宋体" w:cs="宋体"/>
                <w:color w:val="auto"/>
                <w:szCs w:val="21"/>
              </w:rPr>
            </w:pPr>
            <w:r>
              <w:rPr>
                <w:rFonts w:hint="default" w:ascii="Times New Roman" w:hAnsi="Times New Roman" w:eastAsia="宋体" w:cs="Times New Roman"/>
                <w:b w:val="0"/>
                <w:bCs w:val="0"/>
                <w:color w:val="auto"/>
                <w:sz w:val="21"/>
                <w:szCs w:val="21"/>
                <w:highlight w:val="none"/>
                <w:lang w:val="en-US" w:eastAsia="zh-CN"/>
              </w:rPr>
              <w:t>《城市污水再生利用 城市杂用水水质》（GB/T 18920-2020）城市绿化、道路洒扫标准</w:t>
            </w:r>
          </w:p>
        </w:tc>
      </w:tr>
      <w:tr w14:paraId="2DA21E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415905FA">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声环境</w:t>
            </w:r>
          </w:p>
        </w:tc>
        <w:tc>
          <w:tcPr>
            <w:tcW w:w="1834" w:type="dxa"/>
            <w:vAlign w:val="center"/>
          </w:tcPr>
          <w:p w14:paraId="6460F2F4">
            <w:pPr>
              <w:adjustRightInd w:val="0"/>
              <w:snapToGrid w:val="0"/>
              <w:jc w:val="center"/>
              <w:outlineLvl w:val="9"/>
              <w:rPr>
                <w:rFonts w:hint="eastAsia" w:ascii="宋体" w:hAnsi="宋体" w:cs="宋体"/>
                <w:color w:val="auto"/>
                <w:szCs w:val="21"/>
              </w:rPr>
            </w:pPr>
            <w:r>
              <w:rPr>
                <w:rFonts w:hint="eastAsia"/>
                <w:color w:val="auto"/>
                <w:szCs w:val="21"/>
              </w:rPr>
              <w:t>设备</w:t>
            </w:r>
          </w:p>
        </w:tc>
        <w:tc>
          <w:tcPr>
            <w:tcW w:w="1155" w:type="dxa"/>
            <w:vAlign w:val="center"/>
          </w:tcPr>
          <w:p w14:paraId="65050B6D">
            <w:pPr>
              <w:adjustRightInd w:val="0"/>
              <w:snapToGrid w:val="0"/>
              <w:jc w:val="center"/>
              <w:outlineLvl w:val="9"/>
              <w:rPr>
                <w:rFonts w:hint="eastAsia" w:ascii="宋体" w:hAnsi="宋体" w:cs="宋体"/>
                <w:color w:val="auto"/>
                <w:szCs w:val="21"/>
              </w:rPr>
            </w:pPr>
            <w:r>
              <w:rPr>
                <w:color w:val="auto"/>
                <w:szCs w:val="21"/>
              </w:rPr>
              <w:t>Leq</w:t>
            </w:r>
          </w:p>
        </w:tc>
        <w:tc>
          <w:tcPr>
            <w:tcW w:w="1733" w:type="dxa"/>
            <w:vAlign w:val="center"/>
          </w:tcPr>
          <w:p w14:paraId="633A8969">
            <w:pPr>
              <w:adjustRightInd w:val="0"/>
              <w:snapToGrid w:val="0"/>
              <w:jc w:val="center"/>
              <w:outlineLvl w:val="9"/>
              <w:rPr>
                <w:rFonts w:hint="eastAsia" w:ascii="宋体" w:hAnsi="宋体" w:cs="宋体"/>
                <w:color w:val="auto"/>
                <w:szCs w:val="21"/>
              </w:rPr>
            </w:pPr>
            <w:r>
              <w:rPr>
                <w:color w:val="auto"/>
                <w:szCs w:val="21"/>
              </w:rPr>
              <w:t>基础减振、隔声</w:t>
            </w:r>
          </w:p>
        </w:tc>
        <w:tc>
          <w:tcPr>
            <w:tcW w:w="2817" w:type="dxa"/>
            <w:vAlign w:val="center"/>
          </w:tcPr>
          <w:p w14:paraId="4D0C2370">
            <w:pPr>
              <w:adjustRightInd w:val="0"/>
              <w:snapToGrid w:val="0"/>
              <w:jc w:val="center"/>
              <w:outlineLvl w:val="9"/>
              <w:rPr>
                <w:rFonts w:hint="eastAsia" w:ascii="宋体" w:hAnsi="宋体" w:cs="宋体"/>
                <w:color w:val="auto"/>
                <w:szCs w:val="21"/>
              </w:rPr>
            </w:pPr>
            <w:r>
              <w:rPr>
                <w:color w:val="auto"/>
                <w:sz w:val="21"/>
                <w:szCs w:val="21"/>
              </w:rPr>
              <w:t>《工业企业厂界环境噪声排放标准》（GB12348-2008）中</w:t>
            </w:r>
            <w:r>
              <w:rPr>
                <w:rFonts w:hint="eastAsia"/>
                <w:color w:val="auto"/>
                <w:sz w:val="21"/>
                <w:szCs w:val="21"/>
                <w:lang w:val="en-US" w:eastAsia="zh-CN"/>
              </w:rPr>
              <w:t>1</w:t>
            </w:r>
            <w:r>
              <w:rPr>
                <w:color w:val="auto"/>
                <w:sz w:val="21"/>
                <w:szCs w:val="21"/>
              </w:rPr>
              <w:t>类标准。</w:t>
            </w:r>
          </w:p>
        </w:tc>
      </w:tr>
      <w:tr w14:paraId="4FEE22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4AA65547">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电磁辐射</w:t>
            </w:r>
          </w:p>
        </w:tc>
        <w:tc>
          <w:tcPr>
            <w:tcW w:w="1834" w:type="dxa"/>
            <w:vAlign w:val="center"/>
          </w:tcPr>
          <w:p w14:paraId="537696E4">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w:t>
            </w:r>
          </w:p>
        </w:tc>
        <w:tc>
          <w:tcPr>
            <w:tcW w:w="1155" w:type="dxa"/>
            <w:vAlign w:val="center"/>
          </w:tcPr>
          <w:p w14:paraId="4E13520A">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w:t>
            </w:r>
          </w:p>
        </w:tc>
        <w:tc>
          <w:tcPr>
            <w:tcW w:w="1733" w:type="dxa"/>
            <w:vAlign w:val="center"/>
          </w:tcPr>
          <w:p w14:paraId="58A78391">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w:t>
            </w:r>
          </w:p>
        </w:tc>
        <w:tc>
          <w:tcPr>
            <w:tcW w:w="2817" w:type="dxa"/>
            <w:vAlign w:val="center"/>
          </w:tcPr>
          <w:p w14:paraId="22D441D0">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w:t>
            </w:r>
          </w:p>
        </w:tc>
      </w:tr>
      <w:tr w14:paraId="04F52F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7411E97E">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固体废物</w:t>
            </w:r>
          </w:p>
        </w:tc>
        <w:tc>
          <w:tcPr>
            <w:tcW w:w="7539" w:type="dxa"/>
            <w:gridSpan w:val="4"/>
            <w:vAlign w:val="center"/>
          </w:tcPr>
          <w:p w14:paraId="1FACA89D">
            <w:pPr>
              <w:adjustRightInd w:val="0"/>
              <w:snapToGrid w:val="0"/>
              <w:jc w:val="center"/>
              <w:outlineLvl w:val="9"/>
              <w:rPr>
                <w:rFonts w:hint="eastAsia" w:ascii="宋体" w:hAnsi="宋体" w:cs="宋体"/>
                <w:color w:val="auto"/>
                <w:szCs w:val="21"/>
              </w:rPr>
            </w:pPr>
            <w:r>
              <w:rPr>
                <w:rFonts w:hint="default" w:ascii="Times New Roman" w:hAnsi="Times New Roman" w:eastAsia="宋体" w:cs="Times New Roman"/>
                <w:color w:val="auto"/>
                <w:sz w:val="21"/>
                <w:szCs w:val="21"/>
                <w:highlight w:val="none"/>
                <w:lang w:val="en-US" w:eastAsia="zh-CN"/>
              </w:rPr>
              <w:t>珍珠岩</w:t>
            </w:r>
            <w:r>
              <w:rPr>
                <w:rFonts w:hint="eastAsia" w:ascii="Times New Roman" w:hAnsi="Times New Roman" w:eastAsia="宋体"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lang w:val="en-US" w:eastAsia="zh-CN"/>
              </w:rPr>
              <w:t>包装袋</w:t>
            </w:r>
            <w:r>
              <w:rPr>
                <w:rFonts w:hint="eastAsia" w:ascii="Times New Roman" w:hAnsi="Times New Roman" w:eastAsia="宋体" w:cs="Times New Roman"/>
                <w:color w:val="auto"/>
                <w:sz w:val="21"/>
                <w:szCs w:val="21"/>
                <w:highlight w:val="none"/>
                <w:lang w:val="en-US" w:eastAsia="zh-CN"/>
              </w:rPr>
              <w:t>集中收集于车间外的一般固废收集箱，定期外售</w:t>
            </w:r>
            <w:r>
              <w:rPr>
                <w:rFonts w:hint="eastAsia"/>
                <w:color w:val="auto"/>
                <w:kern w:val="0"/>
                <w:szCs w:val="21"/>
                <w:lang w:bidi="ar"/>
              </w:rPr>
              <w:t>；</w:t>
            </w:r>
            <w:r>
              <w:rPr>
                <w:rFonts w:hint="default" w:ascii="Times New Roman" w:hAnsi="Times New Roman" w:cs="Times New Roman"/>
                <w:color w:val="auto"/>
                <w:sz w:val="21"/>
                <w:szCs w:val="21"/>
                <w:highlight w:val="none"/>
                <w:lang w:val="en-US" w:eastAsia="zh-CN"/>
              </w:rPr>
              <w:t>硝酸钠废</w:t>
            </w:r>
            <w:r>
              <w:rPr>
                <w:rFonts w:hint="eastAsia" w:ascii="Times New Roman" w:hAnsi="Times New Roman" w:cs="Times New Roman"/>
                <w:color w:val="auto"/>
                <w:sz w:val="21"/>
                <w:szCs w:val="21"/>
                <w:highlight w:val="none"/>
                <w:lang w:val="en-US" w:eastAsia="zh-CN"/>
              </w:rPr>
              <w:t>包装袋</w:t>
            </w:r>
            <w:r>
              <w:rPr>
                <w:rFonts w:hint="default" w:ascii="Times New Roman" w:hAnsi="Times New Roman" w:cs="Times New Roman"/>
                <w:color w:val="auto"/>
                <w:sz w:val="21"/>
                <w:szCs w:val="21"/>
                <w:highlight w:val="none"/>
                <w:lang w:val="en-US" w:eastAsia="zh-CN"/>
              </w:rPr>
              <w:t>、滤渣、废滤网、</w:t>
            </w:r>
            <w:r>
              <w:rPr>
                <w:rFonts w:hint="eastAsia" w:cs="Times New Roman"/>
                <w:color w:val="auto"/>
                <w:sz w:val="21"/>
                <w:szCs w:val="21"/>
                <w:lang w:val="en-US" w:eastAsia="zh-CN"/>
              </w:rPr>
              <w:t>废包装瓶、</w:t>
            </w:r>
            <w:r>
              <w:rPr>
                <w:rFonts w:hint="default" w:ascii="Times New Roman" w:hAnsi="Times New Roman" w:cs="Times New Roman"/>
                <w:color w:val="auto"/>
                <w:sz w:val="21"/>
                <w:szCs w:val="21"/>
                <w:highlight w:val="none"/>
                <w:lang w:val="en-US" w:eastAsia="zh-CN"/>
              </w:rPr>
              <w:t>废机油、</w:t>
            </w:r>
            <w:r>
              <w:rPr>
                <w:rFonts w:hint="eastAsia" w:cs="Times New Roman"/>
                <w:color w:val="auto"/>
                <w:sz w:val="21"/>
                <w:szCs w:val="21"/>
                <w:highlight w:val="none"/>
                <w:lang w:val="en-US" w:eastAsia="zh-CN"/>
              </w:rPr>
              <w:t>废油桶、</w:t>
            </w:r>
            <w:r>
              <w:rPr>
                <w:rFonts w:hint="default" w:ascii="Times New Roman" w:hAnsi="Times New Roman" w:cs="Times New Roman"/>
                <w:color w:val="auto"/>
                <w:sz w:val="21"/>
                <w:szCs w:val="21"/>
                <w:highlight w:val="none"/>
                <w:lang w:val="en-US" w:eastAsia="zh-CN"/>
              </w:rPr>
              <w:t>含油抹布</w:t>
            </w:r>
            <w:r>
              <w:rPr>
                <w:rFonts w:hint="eastAsia" w:ascii="Times New Roman" w:hAnsi="Times New Roman" w:cs="Times New Roman"/>
                <w:color w:val="auto"/>
                <w:sz w:val="21"/>
                <w:szCs w:val="21"/>
                <w:highlight w:val="none"/>
                <w:lang w:val="en-US" w:eastAsia="zh-CN"/>
              </w:rPr>
              <w:t>、隔油沉淀池污泥</w:t>
            </w:r>
            <w:r>
              <w:rPr>
                <w:rFonts w:hint="default" w:ascii="Times New Roman" w:hAnsi="Times New Roman" w:cs="Times New Roman"/>
                <w:color w:val="auto"/>
                <w:sz w:val="21"/>
                <w:szCs w:val="21"/>
                <w:highlight w:val="none"/>
                <w:lang w:val="en-US" w:eastAsia="zh-CN"/>
              </w:rPr>
              <w:t>分类收集后依托现有</w:t>
            </w:r>
            <w:r>
              <w:rPr>
                <w:rFonts w:hint="eastAsia" w:ascii="Times New Roman" w:hAnsi="Times New Roman" w:cs="Times New Roman"/>
                <w:color w:val="auto"/>
                <w:sz w:val="21"/>
                <w:szCs w:val="21"/>
                <w:highlight w:val="none"/>
                <w:lang w:val="en-US" w:eastAsia="zh-CN"/>
              </w:rPr>
              <w:t>15m</w:t>
            </w:r>
            <w:r>
              <w:rPr>
                <w:rFonts w:hint="eastAsia"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rPr>
              <w:t>危废</w:t>
            </w:r>
            <w:r>
              <w:rPr>
                <w:rFonts w:hint="eastAsia" w:ascii="Times New Roman" w:hAnsi="Times New Roman" w:cs="Times New Roman"/>
                <w:color w:val="auto"/>
                <w:sz w:val="21"/>
                <w:szCs w:val="21"/>
                <w:highlight w:val="none"/>
                <w:lang w:val="en-US" w:eastAsia="zh-CN"/>
              </w:rPr>
              <w:t>贮存点</w:t>
            </w:r>
            <w:r>
              <w:rPr>
                <w:rFonts w:hint="default" w:ascii="Times New Roman" w:hAnsi="Times New Roman" w:cs="Times New Roman"/>
                <w:color w:val="auto"/>
                <w:sz w:val="21"/>
                <w:szCs w:val="21"/>
                <w:highlight w:val="none"/>
                <w:lang w:val="en-US" w:eastAsia="zh-CN"/>
              </w:rPr>
              <w:t>暂存，定期委托有资质单位外运处置。</w:t>
            </w:r>
            <w:r>
              <w:rPr>
                <w:rFonts w:hint="eastAsia" w:ascii="Times New Roman" w:hAnsi="Times New Roman" w:eastAsia="宋体" w:cs="Times New Roman"/>
                <w:color w:val="auto"/>
                <w:sz w:val="21"/>
                <w:szCs w:val="21"/>
                <w:highlight w:val="none"/>
                <w:lang w:val="en-US" w:eastAsia="zh-CN"/>
              </w:rPr>
              <w:t>废炸药包装在危险品销毁场进行烧毁法销毁。</w:t>
            </w:r>
          </w:p>
        </w:tc>
      </w:tr>
      <w:tr w14:paraId="3A35BE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73423AF2">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土壤及地下水污染防治措施</w:t>
            </w:r>
          </w:p>
        </w:tc>
        <w:tc>
          <w:tcPr>
            <w:tcW w:w="7539" w:type="dxa"/>
            <w:gridSpan w:val="4"/>
            <w:vAlign w:val="center"/>
          </w:tcPr>
          <w:p w14:paraId="027761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szCs w:val="21"/>
                <w:lang w:eastAsia="zh-CN"/>
              </w:rPr>
            </w:pPr>
            <w:r>
              <w:rPr>
                <w:rFonts w:hint="eastAsia" w:ascii="Times New Roman" w:hAnsi="Times New Roman" w:eastAsia="宋体" w:cs="Times New Roman"/>
                <w:color w:val="auto"/>
                <w:sz w:val="21"/>
                <w:szCs w:val="21"/>
                <w:highlight w:val="none"/>
                <w:lang w:val="en-US" w:eastAsia="zh-CN"/>
              </w:rPr>
              <w:t>分区防渗，水油相制备工房、乳化炸药震源药柱生产工房、硝酸铵（硝酸钠）库、硝酸铵溶液储罐区、隔油沉淀池、危废贮存点、事故池、初期雨水池</w:t>
            </w:r>
            <w:r>
              <w:rPr>
                <w:rFonts w:hint="eastAsia" w:cs="Times New Roman"/>
                <w:color w:val="auto"/>
                <w:sz w:val="21"/>
                <w:szCs w:val="21"/>
                <w:highlight w:val="none"/>
                <w:lang w:val="en-US" w:eastAsia="zh-CN"/>
              </w:rPr>
              <w:t>、污水输送管道</w:t>
            </w:r>
            <w:r>
              <w:rPr>
                <w:rFonts w:hint="eastAsia" w:ascii="Times New Roman" w:hAnsi="Times New Roman" w:eastAsia="宋体" w:cs="Times New Roman"/>
                <w:color w:val="auto"/>
                <w:sz w:val="21"/>
                <w:szCs w:val="21"/>
                <w:highlight w:val="none"/>
                <w:lang w:val="en-US" w:eastAsia="zh-CN"/>
              </w:rPr>
              <w:t>等</w:t>
            </w:r>
            <w:r>
              <w:rPr>
                <w:rFonts w:hint="default" w:ascii="Times New Roman" w:hAnsi="Times New Roman" w:eastAsia="宋体" w:cs="Times New Roman"/>
                <w:color w:val="auto"/>
                <w:sz w:val="21"/>
                <w:szCs w:val="21"/>
                <w:highlight w:val="none"/>
                <w:lang w:val="en-US" w:eastAsia="zh-CN"/>
              </w:rPr>
              <w:t>为重点防渗区</w:t>
            </w:r>
            <w:r>
              <w:rPr>
                <w:rFonts w:hint="eastAsia" w:ascii="Times New Roman" w:hAnsi="Times New Roman" w:eastAsia="宋体" w:cs="Times New Roman"/>
                <w:color w:val="auto"/>
                <w:sz w:val="21"/>
                <w:szCs w:val="21"/>
                <w:highlight w:val="none"/>
                <w:lang w:val="en-US" w:eastAsia="zh-CN"/>
              </w:rPr>
              <w:t>；管壳输送工房及综合材料库、控制室、</w:t>
            </w:r>
            <w:r>
              <w:rPr>
                <w:rFonts w:hint="default" w:ascii="Times New Roman" w:hAnsi="Times New Roman" w:eastAsia="宋体" w:cs="Times New Roman"/>
                <w:color w:val="auto"/>
                <w:sz w:val="21"/>
                <w:szCs w:val="21"/>
                <w:highlight w:val="none"/>
                <w:lang w:val="en-US" w:eastAsia="zh-CN"/>
              </w:rPr>
              <w:t>成品中转站台</w:t>
            </w:r>
            <w:r>
              <w:rPr>
                <w:rFonts w:hint="eastAsia" w:ascii="Times New Roman" w:hAnsi="Times New Roman" w:eastAsia="宋体" w:cs="Times New Roman"/>
                <w:color w:val="auto"/>
                <w:sz w:val="21"/>
                <w:szCs w:val="21"/>
                <w:highlight w:val="none"/>
                <w:lang w:val="en-US" w:eastAsia="zh-CN"/>
              </w:rPr>
              <w:t>等为一般防渗区；</w:t>
            </w:r>
            <w:r>
              <w:rPr>
                <w:rFonts w:hint="default" w:ascii="Times New Roman" w:hAnsi="Times New Roman" w:eastAsia="宋体" w:cs="Times New Roman"/>
                <w:color w:val="auto"/>
                <w:sz w:val="21"/>
                <w:szCs w:val="21"/>
                <w:highlight w:val="none"/>
                <w:lang w:val="en-US" w:eastAsia="zh-CN"/>
              </w:rPr>
              <w:t>厂区道路、办公区等</w:t>
            </w:r>
            <w:r>
              <w:rPr>
                <w:rFonts w:hint="eastAsia" w:ascii="Times New Roman" w:hAnsi="Times New Roman" w:eastAsia="宋体" w:cs="Times New Roman"/>
                <w:color w:val="auto"/>
                <w:sz w:val="21"/>
                <w:szCs w:val="21"/>
                <w:highlight w:val="none"/>
                <w:lang w:val="en-US" w:eastAsia="zh-CN"/>
              </w:rPr>
              <w:t>为简单防渗区。</w:t>
            </w:r>
          </w:p>
        </w:tc>
      </w:tr>
      <w:tr w14:paraId="5790DB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4B03A520">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生态保护措施</w:t>
            </w:r>
          </w:p>
        </w:tc>
        <w:tc>
          <w:tcPr>
            <w:tcW w:w="7539" w:type="dxa"/>
            <w:gridSpan w:val="4"/>
            <w:vAlign w:val="center"/>
          </w:tcPr>
          <w:p w14:paraId="0C70646D">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w:t>
            </w:r>
          </w:p>
        </w:tc>
      </w:tr>
      <w:tr w14:paraId="656939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1B95A109">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环境风险</w:t>
            </w:r>
          </w:p>
          <w:p w14:paraId="024F90E9">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防范措施</w:t>
            </w:r>
          </w:p>
        </w:tc>
        <w:tc>
          <w:tcPr>
            <w:tcW w:w="7539" w:type="dxa"/>
            <w:gridSpan w:val="4"/>
            <w:vAlign w:val="center"/>
          </w:tcPr>
          <w:p w14:paraId="7CC29BB3">
            <w:pPr>
              <w:spacing w:line="360" w:lineRule="auto"/>
              <w:ind w:firstLine="420" w:firstLineChars="200"/>
              <w:rPr>
                <w:rFonts w:hint="default" w:ascii="Times New Roman" w:hAnsi="Times New Roman" w:cs="Times New Roman"/>
                <w:color w:val="auto"/>
                <w:sz w:val="21"/>
                <w:szCs w:val="21"/>
                <w:lang w:val="en-US" w:eastAsia="zh-CN"/>
              </w:rPr>
            </w:pPr>
            <w:bookmarkStart w:id="298" w:name="_Toc29238"/>
            <w:r>
              <w:rPr>
                <w:rFonts w:hint="eastAsia" w:ascii="Times New Roman" w:hAnsi="Times New Roman" w:cs="Times New Roman"/>
                <w:color w:val="auto"/>
                <w:sz w:val="21"/>
                <w:szCs w:val="21"/>
                <w:lang w:val="en-US" w:eastAsia="zh-CN"/>
              </w:rPr>
              <w:t>本项目厂区内已设置有效的事故废水收集系统和一座600m</w:t>
            </w:r>
            <w:r>
              <w:rPr>
                <w:rFonts w:hint="eastAsia" w:ascii="Times New Roman" w:hAnsi="Times New Roman" w:cs="Times New Roman"/>
                <w:color w:val="auto"/>
                <w:sz w:val="21"/>
                <w:szCs w:val="21"/>
                <w:vertAlign w:val="superscript"/>
                <w:lang w:val="en-US" w:eastAsia="zh-CN"/>
              </w:rPr>
              <w:t>3</w:t>
            </w:r>
            <w:r>
              <w:rPr>
                <w:rFonts w:hint="eastAsia" w:ascii="Times New Roman" w:hAnsi="Times New Roman" w:cs="Times New Roman"/>
                <w:color w:val="auto"/>
                <w:sz w:val="21"/>
                <w:szCs w:val="21"/>
                <w:lang w:val="en-US" w:eastAsia="zh-CN"/>
              </w:rPr>
              <w:t>事故废水收集池，各收集系统间配套截流阀门，事故时按要求启动，雨水排口设置截流阀门，事故时及时关闭，并配备了充足的应急物资，必要时进行厂区下游的应急封堵截流。本次新建硝酸铵溶液储罐区按要求配套建设1</w:t>
            </w:r>
            <w:r>
              <w:rPr>
                <w:rFonts w:hint="eastAsia" w:cs="Times New Roman"/>
                <w:color w:val="auto"/>
                <w:sz w:val="21"/>
                <w:szCs w:val="21"/>
                <w:lang w:val="en-US" w:eastAsia="zh-CN"/>
              </w:rPr>
              <w:t>9</w:t>
            </w:r>
            <w:r>
              <w:rPr>
                <w:rFonts w:hint="eastAsia" w:ascii="Times New Roman" w:hAnsi="Times New Roman" w:cs="Times New Roman"/>
                <w:color w:val="auto"/>
                <w:sz w:val="21"/>
                <w:szCs w:val="21"/>
                <w:lang w:val="en-US" w:eastAsia="zh-CN"/>
              </w:rPr>
              <w:t>0m</w:t>
            </w:r>
            <w:r>
              <w:rPr>
                <w:rFonts w:hint="eastAsia" w:ascii="Times New Roman" w:hAnsi="Times New Roman" w:cs="Times New Roman"/>
                <w:color w:val="auto"/>
                <w:sz w:val="21"/>
                <w:szCs w:val="21"/>
                <w:vertAlign w:val="superscript"/>
                <w:lang w:val="en-US" w:eastAsia="zh-CN"/>
              </w:rPr>
              <w:t>3</w:t>
            </w:r>
            <w:r>
              <w:rPr>
                <w:rFonts w:hint="eastAsia" w:ascii="Times New Roman" w:hAnsi="Times New Roman" w:cs="Times New Roman"/>
                <w:color w:val="auto"/>
                <w:sz w:val="21"/>
                <w:szCs w:val="21"/>
                <w:lang w:val="en-US" w:eastAsia="zh-CN"/>
              </w:rPr>
              <w:t>防渗围堰，并与事故池相连。上述措施有效衔接后形成了厂区事故废水三级防控体系。详情如下：</w:t>
            </w:r>
          </w:p>
          <w:p w14:paraId="0828C94C">
            <w:pPr>
              <w:spacing w:line="360" w:lineRule="auto"/>
              <w:ind w:firstLine="420" w:firstLineChars="200"/>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 xml:space="preserve"> 三级防控体系</w:t>
            </w:r>
            <w:bookmarkEnd w:id="298"/>
          </w:p>
          <w:p w14:paraId="7AAE48EF">
            <w:pPr>
              <w:spacing w:line="360" w:lineRule="auto"/>
              <w:ind w:firstLine="420"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根据风险事故情形分析，硝酸铵</w:t>
            </w:r>
            <w:r>
              <w:rPr>
                <w:rFonts w:hint="eastAsia" w:ascii="Times New Roman" w:hAnsi="Times New Roman" w:cs="Times New Roman"/>
                <w:color w:val="auto"/>
                <w:sz w:val="21"/>
                <w:szCs w:val="21"/>
                <w:lang w:val="en-US" w:eastAsia="zh-CN"/>
              </w:rPr>
              <w:t>原料</w:t>
            </w:r>
            <w:r>
              <w:rPr>
                <w:rFonts w:hint="default" w:ascii="Times New Roman" w:hAnsi="Times New Roman" w:cs="Times New Roman"/>
                <w:color w:val="auto"/>
                <w:sz w:val="21"/>
                <w:szCs w:val="21"/>
                <w:lang w:val="en-US" w:eastAsia="zh-CN"/>
              </w:rPr>
              <w:t>、炸药成品储存过程</w:t>
            </w:r>
            <w:r>
              <w:rPr>
                <w:rFonts w:hint="eastAsia" w:ascii="Times New Roman" w:hAnsi="Times New Roman" w:cs="Times New Roman"/>
                <w:color w:val="auto"/>
                <w:sz w:val="21"/>
                <w:szCs w:val="21"/>
                <w:lang w:val="en-US" w:eastAsia="zh-CN"/>
              </w:rPr>
              <w:t>及</w:t>
            </w:r>
            <w:r>
              <w:rPr>
                <w:rFonts w:hint="default" w:ascii="Times New Roman" w:hAnsi="Times New Roman" w:cs="Times New Roman"/>
                <w:color w:val="auto"/>
                <w:sz w:val="21"/>
                <w:szCs w:val="21"/>
                <w:lang w:val="en-US" w:eastAsia="zh-CN"/>
              </w:rPr>
              <w:t>车间生产过程中发生爆炸事故后处理过程中产生</w:t>
            </w:r>
            <w:r>
              <w:rPr>
                <w:rFonts w:hint="eastAsia" w:ascii="Times New Roman" w:hAnsi="Times New Roman" w:cs="Times New Roman"/>
                <w:color w:val="auto"/>
                <w:sz w:val="21"/>
                <w:szCs w:val="21"/>
                <w:lang w:val="en-US" w:eastAsia="zh-CN"/>
              </w:rPr>
              <w:t>泄漏物料或</w:t>
            </w:r>
            <w:r>
              <w:rPr>
                <w:rFonts w:hint="default" w:ascii="Times New Roman" w:hAnsi="Times New Roman" w:cs="Times New Roman"/>
                <w:color w:val="auto"/>
                <w:sz w:val="21"/>
                <w:szCs w:val="21"/>
                <w:lang w:val="en-US" w:eastAsia="zh-CN"/>
              </w:rPr>
              <w:t>消防事故水，厂区内修建事故废水收集池，并在厂区内设置截流明沟与事故池相连，事故水集中收集排入事故池中，待事故过后，</w:t>
            </w:r>
            <w:r>
              <w:rPr>
                <w:rFonts w:hint="eastAsia" w:ascii="Times New Roman" w:hAnsi="Times New Roman" w:cs="Times New Roman"/>
                <w:color w:val="auto"/>
                <w:sz w:val="21"/>
                <w:szCs w:val="21"/>
                <w:lang w:val="en-US" w:eastAsia="zh-CN"/>
              </w:rPr>
              <w:t>高浓度物料或废水作为危险废液外运处置，低浓度则</w:t>
            </w:r>
            <w:r>
              <w:rPr>
                <w:rFonts w:hint="default" w:ascii="Times New Roman" w:hAnsi="Times New Roman" w:cs="Times New Roman"/>
                <w:color w:val="auto"/>
                <w:sz w:val="21"/>
                <w:szCs w:val="21"/>
                <w:lang w:val="en-US" w:eastAsia="zh-CN"/>
              </w:rPr>
              <w:t>经污水处理设施处理达标后</w:t>
            </w:r>
            <w:r>
              <w:rPr>
                <w:rFonts w:hint="eastAsia" w:ascii="Times New Roman" w:hAnsi="Times New Roman" w:cs="Times New Roman"/>
                <w:color w:val="auto"/>
                <w:sz w:val="21"/>
                <w:szCs w:val="21"/>
                <w:lang w:val="en-US" w:eastAsia="zh-CN"/>
              </w:rPr>
              <w:t>综合利用</w:t>
            </w:r>
            <w:r>
              <w:rPr>
                <w:rFonts w:hint="default" w:ascii="Times New Roman" w:hAnsi="Times New Roman" w:cs="Times New Roman"/>
                <w:color w:val="auto"/>
                <w:sz w:val="21"/>
                <w:szCs w:val="21"/>
                <w:lang w:val="en-US" w:eastAsia="zh-CN"/>
              </w:rPr>
              <w:t>，为了防止事故发生时产生的事故废水对当</w:t>
            </w:r>
            <w:r>
              <w:rPr>
                <w:rFonts w:hint="eastAsia" w:ascii="Times New Roman" w:hAnsi="Times New Roman" w:cs="Times New Roman"/>
                <w:color w:val="auto"/>
                <w:sz w:val="21"/>
                <w:szCs w:val="21"/>
                <w:lang w:val="en-US" w:eastAsia="zh-CN"/>
              </w:rPr>
              <w:t>地</w:t>
            </w:r>
            <w:r>
              <w:rPr>
                <w:rFonts w:hint="default" w:ascii="Times New Roman" w:hAnsi="Times New Roman" w:cs="Times New Roman"/>
                <w:color w:val="auto"/>
                <w:sz w:val="21"/>
                <w:szCs w:val="21"/>
                <w:lang w:val="en-US" w:eastAsia="zh-CN"/>
              </w:rPr>
              <w:t>水环境产生污染，厂区设有三级防</w:t>
            </w:r>
            <w:r>
              <w:rPr>
                <w:rFonts w:hint="eastAsia" w:ascii="Times New Roman" w:hAnsi="Times New Roman" w:cs="Times New Roman"/>
                <w:color w:val="auto"/>
                <w:sz w:val="21"/>
                <w:szCs w:val="21"/>
                <w:lang w:val="en-US" w:eastAsia="zh-CN"/>
              </w:rPr>
              <w:t>控</w:t>
            </w:r>
            <w:r>
              <w:rPr>
                <w:rFonts w:hint="default" w:ascii="Times New Roman" w:hAnsi="Times New Roman" w:cs="Times New Roman"/>
                <w:color w:val="auto"/>
                <w:sz w:val="21"/>
                <w:szCs w:val="21"/>
                <w:lang w:val="en-US" w:eastAsia="zh-CN"/>
              </w:rPr>
              <w:t>措施：</w:t>
            </w:r>
          </w:p>
          <w:p w14:paraId="6C9AB0D4">
            <w:pPr>
              <w:spacing w:line="360" w:lineRule="auto"/>
              <w:ind w:firstLine="420"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①一级风险防</w:t>
            </w:r>
            <w:r>
              <w:rPr>
                <w:rFonts w:hint="eastAsia" w:ascii="Times New Roman" w:hAnsi="Times New Roman" w:cs="Times New Roman"/>
                <w:color w:val="auto"/>
                <w:sz w:val="21"/>
                <w:szCs w:val="21"/>
                <w:lang w:val="en-US" w:eastAsia="zh-CN"/>
              </w:rPr>
              <w:t>控</w:t>
            </w:r>
            <w:r>
              <w:rPr>
                <w:rFonts w:hint="default" w:ascii="Times New Roman" w:hAnsi="Times New Roman" w:cs="Times New Roman"/>
                <w:color w:val="auto"/>
                <w:sz w:val="21"/>
                <w:szCs w:val="21"/>
                <w:lang w:val="en-US" w:eastAsia="zh-CN"/>
              </w:rPr>
              <w:t>措施</w:t>
            </w:r>
          </w:p>
          <w:p w14:paraId="5370421C">
            <w:pPr>
              <w:spacing w:line="360" w:lineRule="auto"/>
              <w:ind w:firstLine="420"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在</w:t>
            </w:r>
            <w:r>
              <w:rPr>
                <w:rFonts w:hint="eastAsia" w:ascii="Times New Roman" w:hAnsi="Times New Roman" w:cs="Times New Roman"/>
                <w:color w:val="auto"/>
                <w:sz w:val="21"/>
                <w:szCs w:val="21"/>
                <w:lang w:val="en-US" w:eastAsia="zh-CN"/>
              </w:rPr>
              <w:t>硝酸铵溶液储罐区</w:t>
            </w:r>
            <w:r>
              <w:rPr>
                <w:rFonts w:hint="default" w:ascii="Times New Roman" w:hAnsi="Times New Roman" w:cs="Times New Roman"/>
                <w:color w:val="auto"/>
                <w:sz w:val="21"/>
                <w:szCs w:val="21"/>
                <w:lang w:val="en-US" w:eastAsia="zh-CN"/>
              </w:rPr>
              <w:t>设置</w:t>
            </w:r>
            <w:r>
              <w:rPr>
                <w:rFonts w:hint="eastAsia" w:ascii="Times New Roman" w:hAnsi="Times New Roman" w:cs="Times New Roman"/>
                <w:color w:val="auto"/>
                <w:sz w:val="21"/>
                <w:szCs w:val="21"/>
                <w:lang w:val="en-US" w:eastAsia="zh-CN"/>
              </w:rPr>
              <w:t>防渗围堰</w:t>
            </w:r>
            <w:r>
              <w:rPr>
                <w:rFonts w:hint="default" w:ascii="Times New Roman" w:hAnsi="Times New Roman" w:cs="Times New Roman"/>
                <w:color w:val="auto"/>
                <w:sz w:val="21"/>
                <w:szCs w:val="21"/>
                <w:lang w:val="en-US" w:eastAsia="zh-CN"/>
              </w:rPr>
              <w:t>，在生产装置区、储罐区设置</w:t>
            </w:r>
            <w:r>
              <w:rPr>
                <w:rFonts w:hint="eastAsia" w:ascii="Times New Roman" w:hAnsi="Times New Roman" w:cs="Times New Roman"/>
                <w:color w:val="auto"/>
                <w:sz w:val="21"/>
                <w:szCs w:val="21"/>
                <w:lang w:val="en-US" w:eastAsia="zh-CN"/>
              </w:rPr>
              <w:t>截流</w:t>
            </w:r>
            <w:r>
              <w:rPr>
                <w:rFonts w:hint="default" w:ascii="Times New Roman" w:hAnsi="Times New Roman" w:cs="Times New Roman"/>
                <w:color w:val="auto"/>
                <w:sz w:val="21"/>
                <w:szCs w:val="21"/>
                <w:lang w:val="en-US" w:eastAsia="zh-CN"/>
              </w:rPr>
              <w:t>明沟作为一级预防与控制体系，用于收集</w:t>
            </w:r>
            <w:r>
              <w:rPr>
                <w:rFonts w:hint="eastAsia" w:ascii="Times New Roman" w:hAnsi="Times New Roman" w:cs="Times New Roman"/>
                <w:color w:val="auto"/>
                <w:sz w:val="21"/>
                <w:szCs w:val="21"/>
                <w:lang w:val="en-US" w:eastAsia="zh-CN"/>
              </w:rPr>
              <w:t>泄漏物料</w:t>
            </w:r>
            <w:r>
              <w:rPr>
                <w:rFonts w:hint="default"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val="en-US" w:eastAsia="zh-CN"/>
              </w:rPr>
              <w:t>消防废水或</w:t>
            </w:r>
            <w:r>
              <w:rPr>
                <w:rFonts w:hint="default" w:ascii="Times New Roman" w:hAnsi="Times New Roman" w:cs="Times New Roman"/>
                <w:color w:val="auto"/>
                <w:sz w:val="21"/>
                <w:szCs w:val="21"/>
                <w:lang w:val="en-US" w:eastAsia="zh-CN"/>
              </w:rPr>
              <w:t>污染雨水</w:t>
            </w:r>
            <w:r>
              <w:rPr>
                <w:rFonts w:hint="eastAsia" w:ascii="Times New Roman" w:hAnsi="Times New Roman" w:cs="Times New Roman"/>
                <w:color w:val="auto"/>
                <w:sz w:val="21"/>
                <w:szCs w:val="21"/>
                <w:lang w:val="en-US" w:eastAsia="zh-CN"/>
              </w:rPr>
              <w:t>等</w:t>
            </w:r>
            <w:r>
              <w:rPr>
                <w:rFonts w:hint="default" w:ascii="Times New Roman" w:hAnsi="Times New Roman" w:cs="Times New Roman"/>
                <w:color w:val="auto"/>
                <w:sz w:val="21"/>
                <w:szCs w:val="21"/>
                <w:lang w:val="en-US" w:eastAsia="zh-CN"/>
              </w:rPr>
              <w:t>事故废水防止事故泄漏或消防废水、污染雨水造成的环境污染事故，截流明沟与事故池（兼</w:t>
            </w:r>
            <w:r>
              <w:rPr>
                <w:rFonts w:hint="eastAsia" w:ascii="Times New Roman" w:hAnsi="Times New Roman" w:cs="Times New Roman"/>
                <w:color w:val="auto"/>
                <w:sz w:val="21"/>
                <w:szCs w:val="21"/>
                <w:lang w:val="en-US" w:eastAsia="zh-CN"/>
              </w:rPr>
              <w:t>作</w:t>
            </w:r>
            <w:r>
              <w:rPr>
                <w:rFonts w:hint="default" w:ascii="Times New Roman" w:hAnsi="Times New Roman" w:cs="Times New Roman"/>
                <w:color w:val="auto"/>
                <w:sz w:val="21"/>
                <w:szCs w:val="21"/>
                <w:lang w:val="en-US" w:eastAsia="zh-CN"/>
              </w:rPr>
              <w:t>消防废水收集池）相连、储罐区围堰设施导流管道排放至</w:t>
            </w:r>
            <w:r>
              <w:rPr>
                <w:rFonts w:hint="eastAsia" w:ascii="Times New Roman" w:hAnsi="Times New Roman" w:cs="Times New Roman"/>
                <w:color w:val="auto"/>
                <w:sz w:val="21"/>
                <w:szCs w:val="21"/>
                <w:lang w:val="en-US" w:eastAsia="zh-CN"/>
              </w:rPr>
              <w:t>事故</w:t>
            </w:r>
            <w:r>
              <w:rPr>
                <w:rFonts w:hint="default" w:ascii="Times New Roman" w:hAnsi="Times New Roman" w:cs="Times New Roman"/>
                <w:color w:val="auto"/>
                <w:sz w:val="21"/>
                <w:szCs w:val="21"/>
                <w:lang w:val="en-US" w:eastAsia="zh-CN"/>
              </w:rPr>
              <w:t>池。</w:t>
            </w:r>
          </w:p>
          <w:p w14:paraId="09B0054F">
            <w:pPr>
              <w:spacing w:line="360" w:lineRule="auto"/>
              <w:ind w:firstLine="420"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②二级风险防</w:t>
            </w:r>
            <w:r>
              <w:rPr>
                <w:rFonts w:hint="eastAsia" w:ascii="Times New Roman" w:hAnsi="Times New Roman" w:cs="Times New Roman"/>
                <w:color w:val="auto"/>
                <w:sz w:val="21"/>
                <w:szCs w:val="21"/>
                <w:lang w:val="en-US" w:eastAsia="zh-CN"/>
              </w:rPr>
              <w:t>控</w:t>
            </w:r>
            <w:r>
              <w:rPr>
                <w:rFonts w:hint="default" w:ascii="Times New Roman" w:hAnsi="Times New Roman" w:cs="Times New Roman"/>
                <w:color w:val="auto"/>
                <w:sz w:val="21"/>
                <w:szCs w:val="21"/>
                <w:lang w:val="en-US" w:eastAsia="zh-CN"/>
              </w:rPr>
              <w:t>措施</w:t>
            </w:r>
          </w:p>
          <w:p w14:paraId="217409CC">
            <w:pPr>
              <w:spacing w:line="360" w:lineRule="auto"/>
              <w:ind w:firstLine="420" w:firstLineChars="20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厂区内</w:t>
            </w:r>
            <w:r>
              <w:rPr>
                <w:rFonts w:hint="eastAsia" w:ascii="Times New Roman" w:hAnsi="Times New Roman" w:cs="Times New Roman"/>
                <w:color w:val="auto"/>
                <w:sz w:val="21"/>
                <w:szCs w:val="21"/>
                <w:lang w:val="en-US" w:eastAsia="zh-CN"/>
              </w:rPr>
              <w:t>已</w:t>
            </w:r>
            <w:r>
              <w:rPr>
                <w:rFonts w:hint="default" w:ascii="Times New Roman" w:hAnsi="Times New Roman" w:cs="Times New Roman"/>
                <w:color w:val="auto"/>
                <w:sz w:val="21"/>
                <w:szCs w:val="21"/>
                <w:lang w:val="en-US" w:eastAsia="zh-CN"/>
              </w:rPr>
              <w:t>设置1座</w:t>
            </w:r>
            <w:r>
              <w:rPr>
                <w:rFonts w:hint="eastAsia" w:ascii="Times New Roman" w:hAnsi="Times New Roman" w:cs="Times New Roman"/>
                <w:color w:val="auto"/>
                <w:sz w:val="21"/>
                <w:szCs w:val="21"/>
                <w:lang w:val="en-US" w:eastAsia="zh-CN"/>
              </w:rPr>
              <w:t>6</w:t>
            </w:r>
            <w:r>
              <w:rPr>
                <w:rFonts w:hint="default" w:ascii="Times New Roman" w:hAnsi="Times New Roman" w:cs="Times New Roman"/>
                <w:color w:val="auto"/>
                <w:sz w:val="21"/>
                <w:szCs w:val="21"/>
                <w:lang w:val="en-US" w:eastAsia="zh-CN"/>
              </w:rPr>
              <w:t>00m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应急事故池（兼做消防废水收集池），事故状态下废水可通过</w:t>
            </w:r>
            <w:r>
              <w:rPr>
                <w:rFonts w:hint="eastAsia" w:ascii="Times New Roman" w:hAnsi="Times New Roman" w:cs="Times New Roman"/>
                <w:color w:val="auto"/>
                <w:sz w:val="21"/>
                <w:szCs w:val="21"/>
                <w:lang w:val="en-US" w:eastAsia="zh-CN"/>
              </w:rPr>
              <w:t>明沟和管道</w:t>
            </w:r>
            <w:r>
              <w:rPr>
                <w:rFonts w:hint="default" w:ascii="Times New Roman" w:hAnsi="Times New Roman" w:cs="Times New Roman"/>
                <w:color w:val="auto"/>
                <w:sz w:val="21"/>
                <w:szCs w:val="21"/>
                <w:lang w:val="en-US" w:eastAsia="zh-CN"/>
              </w:rPr>
              <w:t>输送至事故池内，事故池可以满足事故状态下废水的暂存。</w:t>
            </w:r>
          </w:p>
          <w:p w14:paraId="379761CA">
            <w:pPr>
              <w:pStyle w:val="20"/>
              <w:tabs>
                <w:tab w:val="center" w:pos="4153"/>
                <w:tab w:val="right" w:pos="8306"/>
              </w:tabs>
              <w:spacing w:line="360" w:lineRule="auto"/>
              <w:ind w:firstLine="420" w:firstLineChars="20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③三级风险防</w:t>
            </w:r>
            <w:r>
              <w:rPr>
                <w:rFonts w:hint="eastAsia" w:ascii="Times New Roman" w:hAnsi="Times New Roman" w:eastAsia="宋体" w:cs="Times New Roman"/>
                <w:color w:val="auto"/>
                <w:kern w:val="2"/>
                <w:sz w:val="21"/>
                <w:szCs w:val="21"/>
                <w:lang w:val="en-US" w:eastAsia="zh-CN" w:bidi="ar-SA"/>
              </w:rPr>
              <w:t>控</w:t>
            </w:r>
            <w:r>
              <w:rPr>
                <w:rFonts w:hint="default" w:ascii="Times New Roman" w:hAnsi="Times New Roman" w:eastAsia="宋体" w:cs="Times New Roman"/>
                <w:color w:val="auto"/>
                <w:kern w:val="2"/>
                <w:sz w:val="21"/>
                <w:szCs w:val="21"/>
                <w:lang w:val="en-US" w:eastAsia="zh-CN" w:bidi="ar-SA"/>
              </w:rPr>
              <w:t>措施</w:t>
            </w:r>
          </w:p>
          <w:p w14:paraId="0A88117E">
            <w:pPr>
              <w:pStyle w:val="20"/>
              <w:tabs>
                <w:tab w:val="center" w:pos="4153"/>
                <w:tab w:val="right" w:pos="8306"/>
              </w:tabs>
              <w:spacing w:line="360" w:lineRule="auto"/>
              <w:ind w:firstLine="420" w:firstLineChars="200"/>
              <w:rPr>
                <w:rFonts w:hint="eastAsia"/>
                <w:color w:val="auto"/>
                <w:sz w:val="21"/>
                <w:szCs w:val="21"/>
                <w:lang w:eastAsia="zh-CN"/>
              </w:rPr>
            </w:pPr>
            <w:r>
              <w:rPr>
                <w:rFonts w:hint="default" w:ascii="Times New Roman" w:hAnsi="Times New Roman" w:eastAsia="宋体" w:cs="Times New Roman"/>
                <w:color w:val="auto"/>
                <w:kern w:val="2"/>
                <w:sz w:val="21"/>
                <w:szCs w:val="21"/>
                <w:lang w:val="en-US" w:eastAsia="zh-CN" w:bidi="ar-SA"/>
              </w:rPr>
              <w:t>项目依托</w:t>
            </w:r>
            <w:r>
              <w:rPr>
                <w:rFonts w:hint="eastAsia" w:ascii="Times New Roman" w:hAnsi="Times New Roman" w:eastAsia="宋体" w:cs="Times New Roman"/>
                <w:color w:val="auto"/>
                <w:kern w:val="2"/>
                <w:sz w:val="21"/>
                <w:szCs w:val="21"/>
                <w:lang w:val="en-US" w:eastAsia="zh-CN" w:bidi="ar-SA"/>
              </w:rPr>
              <w:t>厂区</w:t>
            </w:r>
            <w:r>
              <w:rPr>
                <w:rFonts w:hint="default" w:ascii="Times New Roman" w:hAnsi="Times New Roman" w:eastAsia="宋体" w:cs="Times New Roman"/>
                <w:color w:val="auto"/>
                <w:kern w:val="2"/>
                <w:sz w:val="21"/>
                <w:szCs w:val="21"/>
                <w:lang w:val="en-US" w:eastAsia="zh-CN" w:bidi="ar-SA"/>
              </w:rPr>
              <w:t>已建设污水</w:t>
            </w:r>
            <w:r>
              <w:rPr>
                <w:rFonts w:hint="eastAsia" w:ascii="Times New Roman" w:hAnsi="Times New Roman" w:eastAsia="宋体" w:cs="Times New Roman"/>
                <w:color w:val="auto"/>
                <w:kern w:val="2"/>
                <w:sz w:val="21"/>
                <w:szCs w:val="21"/>
                <w:lang w:val="en-US" w:eastAsia="zh-CN" w:bidi="ar-SA"/>
              </w:rPr>
              <w:t>治理设施</w:t>
            </w:r>
            <w:r>
              <w:rPr>
                <w:rFonts w:hint="default" w:ascii="Times New Roman" w:hAnsi="Times New Roman" w:eastAsia="宋体" w:cs="Times New Roman"/>
                <w:color w:val="auto"/>
                <w:kern w:val="2"/>
                <w:sz w:val="21"/>
                <w:szCs w:val="21"/>
                <w:lang w:val="en-US" w:eastAsia="zh-CN" w:bidi="ar-SA"/>
              </w:rPr>
              <w:t>，待事故结束后，事故池内废水</w:t>
            </w:r>
            <w:r>
              <w:rPr>
                <w:rFonts w:hint="eastAsia" w:ascii="Times New Roman" w:hAnsi="Times New Roman" w:eastAsia="宋体" w:cs="Times New Roman"/>
                <w:color w:val="auto"/>
                <w:kern w:val="2"/>
                <w:sz w:val="21"/>
                <w:szCs w:val="21"/>
                <w:lang w:val="en-US" w:eastAsia="zh-CN" w:bidi="ar-SA"/>
              </w:rPr>
              <w:t>如废液较多污染物浓度较高，则按废液外委处置，如浓度较低成分简单则</w:t>
            </w:r>
            <w:r>
              <w:rPr>
                <w:rFonts w:hint="default" w:ascii="Times New Roman" w:hAnsi="Times New Roman" w:eastAsia="宋体" w:cs="Times New Roman"/>
                <w:color w:val="auto"/>
                <w:kern w:val="2"/>
                <w:sz w:val="21"/>
                <w:szCs w:val="21"/>
                <w:lang w:val="en-US" w:eastAsia="zh-CN" w:bidi="ar-SA"/>
              </w:rPr>
              <w:t>分批次排至污水处理设施处理。同时本项目对厂区雨水排口设置切断措施，防止事故情况下污染废水排入外环境，将污染控制在厂内，防止事故消防废水、污染雨水造成环境污染,确保在非正常状态下不发生污染事件。</w:t>
            </w:r>
          </w:p>
        </w:tc>
      </w:tr>
      <w:tr w14:paraId="0EE427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1" w:type="dxa"/>
            <w:vAlign w:val="center"/>
          </w:tcPr>
          <w:p w14:paraId="47955F7D">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其他环境</w:t>
            </w:r>
          </w:p>
          <w:p w14:paraId="6F5D6A58">
            <w:pPr>
              <w:adjustRightInd w:val="0"/>
              <w:snapToGrid w:val="0"/>
              <w:jc w:val="center"/>
              <w:outlineLvl w:val="9"/>
              <w:rPr>
                <w:rFonts w:hint="eastAsia" w:ascii="宋体" w:hAnsi="宋体" w:cs="宋体"/>
                <w:color w:val="auto"/>
                <w:szCs w:val="21"/>
              </w:rPr>
            </w:pPr>
            <w:r>
              <w:rPr>
                <w:rFonts w:hint="eastAsia" w:ascii="宋体" w:hAnsi="宋体" w:cs="宋体"/>
                <w:color w:val="auto"/>
                <w:szCs w:val="21"/>
              </w:rPr>
              <w:t>管理要求</w:t>
            </w:r>
          </w:p>
        </w:tc>
        <w:tc>
          <w:tcPr>
            <w:tcW w:w="7539" w:type="dxa"/>
            <w:gridSpan w:val="4"/>
            <w:vAlign w:val="center"/>
          </w:tcPr>
          <w:p w14:paraId="160E321E">
            <w:pPr>
              <w:adjustRightInd w:val="0"/>
              <w:snapToGrid w:val="0"/>
              <w:spacing w:line="360" w:lineRule="auto"/>
              <w:ind w:firstLine="420" w:firstLineChars="200"/>
              <w:jc w:val="left"/>
              <w:outlineLvl w:val="9"/>
              <w:rPr>
                <w:color w:val="auto"/>
                <w:sz w:val="21"/>
                <w:szCs w:val="21"/>
              </w:rPr>
            </w:pPr>
            <w:r>
              <w:rPr>
                <w:color w:val="auto"/>
                <w:sz w:val="21"/>
                <w:szCs w:val="21"/>
              </w:rPr>
              <w:t>根据《排污许可管理条例》</w:t>
            </w:r>
            <w:r>
              <w:rPr>
                <w:rFonts w:hint="eastAsia"/>
                <w:color w:val="auto"/>
                <w:sz w:val="21"/>
                <w:szCs w:val="21"/>
              </w:rPr>
              <w:t>、</w:t>
            </w:r>
            <w:r>
              <w:rPr>
                <w:color w:val="auto"/>
                <w:sz w:val="21"/>
                <w:szCs w:val="21"/>
              </w:rPr>
              <w:t>《固定污染源排污许可分类管理名录》（2019年版），</w:t>
            </w:r>
            <w:r>
              <w:rPr>
                <w:rFonts w:hint="eastAsia"/>
                <w:color w:val="auto"/>
                <w:sz w:val="21"/>
                <w:szCs w:val="21"/>
              </w:rPr>
              <w:t>按类别要求</w:t>
            </w:r>
            <w:r>
              <w:rPr>
                <w:color w:val="auto"/>
                <w:sz w:val="21"/>
                <w:szCs w:val="21"/>
              </w:rPr>
              <w:t>及时办理排污许可</w:t>
            </w:r>
            <w:r>
              <w:rPr>
                <w:rFonts w:hint="eastAsia"/>
                <w:color w:val="auto"/>
                <w:sz w:val="21"/>
                <w:szCs w:val="21"/>
              </w:rPr>
              <w:t>相关</w:t>
            </w:r>
            <w:r>
              <w:rPr>
                <w:color w:val="auto"/>
                <w:sz w:val="21"/>
                <w:szCs w:val="21"/>
              </w:rPr>
              <w:t>手续，依证排污。</w:t>
            </w:r>
          </w:p>
          <w:p w14:paraId="4D7BC84A">
            <w:pPr>
              <w:adjustRightInd w:val="0"/>
              <w:snapToGrid w:val="0"/>
              <w:spacing w:line="360" w:lineRule="auto"/>
              <w:ind w:firstLine="420" w:firstLineChars="200"/>
              <w:jc w:val="left"/>
              <w:outlineLvl w:val="9"/>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规范排污口</w:t>
            </w:r>
          </w:p>
          <w:p w14:paraId="55CB722A">
            <w:pPr>
              <w:adjustRightInd w:val="0"/>
              <w:snapToGrid w:val="0"/>
              <w:spacing w:line="360" w:lineRule="auto"/>
              <w:ind w:firstLine="420" w:firstLineChars="200"/>
              <w:jc w:val="left"/>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按照原国家环境保护总局《关于开展排放口规范化整治工作的通知》</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环发</w:t>
            </w:r>
            <w:r>
              <w:rPr>
                <w:rFonts w:hint="eastAsia" w:cs="Times New Roman"/>
                <w:color w:val="auto"/>
                <w:sz w:val="21"/>
                <w:szCs w:val="21"/>
                <w:lang w:eastAsia="zh-CN"/>
              </w:rPr>
              <w:t>〔1999〕24号</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 xml:space="preserve"> 的有关规定，对各污染源排放口</w:t>
            </w:r>
            <w:r>
              <w:rPr>
                <w:rFonts w:hint="eastAsia" w:ascii="Times New Roman" w:hAnsi="Times New Roman" w:eastAsia="宋体" w:cs="Times New Roman"/>
                <w:color w:val="auto"/>
                <w:sz w:val="21"/>
                <w:szCs w:val="21"/>
                <w:lang w:eastAsia="zh-CN"/>
              </w:rPr>
              <w:t>进行</w:t>
            </w:r>
            <w:r>
              <w:rPr>
                <w:rFonts w:hint="default" w:ascii="Times New Roman" w:hAnsi="Times New Roman" w:eastAsia="宋体" w:cs="Times New Roman"/>
                <w:color w:val="auto"/>
                <w:sz w:val="21"/>
                <w:szCs w:val="21"/>
              </w:rPr>
              <w:t>规范化建设。</w:t>
            </w:r>
          </w:p>
          <w:p w14:paraId="44F8BB2D">
            <w:pPr>
              <w:adjustRightInd w:val="0"/>
              <w:snapToGrid w:val="0"/>
              <w:spacing w:line="360" w:lineRule="auto"/>
              <w:ind w:firstLine="420" w:firstLineChars="200"/>
              <w:jc w:val="left"/>
              <w:outlineLvl w:val="9"/>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噪声排放源图形符号分为提示图形符号和警告图形符号两种，图形符号的设置按GB 15562. 1- 1995执</w:t>
            </w:r>
            <w:r>
              <w:rPr>
                <w:rFonts w:ascii="Times New Roman" w:hAnsi="Times New Roman" w:eastAsia="宋体" w:cs="Times New Roman"/>
                <w:color w:val="auto"/>
                <w:sz w:val="21"/>
                <w:szCs w:val="21"/>
              </w:rPr>
              <w:t>行</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并执行《排污单位污染物排放口二维码标识技术规范》(HJ1297-2023）管理要求，危险废物执行《危险废物识别标志设置技术规范》（HJ 1276—2022）。</w:t>
            </w:r>
          </w:p>
          <w:p w14:paraId="7D432F94">
            <w:pPr>
              <w:spacing w:before="2" w:line="374" w:lineRule="auto"/>
              <w:ind w:left="8" w:right="58" w:firstLine="483"/>
              <w:rPr>
                <w:rFonts w:ascii="宋体" w:hAnsi="宋体" w:eastAsia="宋体" w:cs="宋体"/>
                <w:color w:val="auto"/>
                <w:sz w:val="21"/>
                <w:szCs w:val="21"/>
                <w:highlight w:val="none"/>
              </w:rPr>
            </w:pPr>
            <w:r>
              <w:rPr>
                <w:rFonts w:ascii="宋体" w:hAnsi="宋体" w:eastAsia="宋体" w:cs="宋体"/>
                <w:color w:val="auto"/>
                <w:spacing w:val="16"/>
                <w:sz w:val="21"/>
                <w:szCs w:val="21"/>
              </w:rPr>
              <w:t>厂区</w:t>
            </w:r>
            <w:r>
              <w:rPr>
                <w:rFonts w:ascii="Times New Roman" w:hAnsi="Times New Roman" w:eastAsia="Times New Roman" w:cs="Times New Roman"/>
                <w:color w:val="auto"/>
                <w:spacing w:val="16"/>
                <w:sz w:val="21"/>
                <w:szCs w:val="21"/>
              </w:rPr>
              <w:t>“</w:t>
            </w:r>
            <w:r>
              <w:rPr>
                <w:rFonts w:ascii="宋体" w:hAnsi="宋体" w:eastAsia="宋体" w:cs="宋体"/>
                <w:color w:val="auto"/>
                <w:spacing w:val="11"/>
                <w:sz w:val="21"/>
                <w:szCs w:val="21"/>
              </w:rPr>
              <w:t>三</w:t>
            </w:r>
            <w:r>
              <w:rPr>
                <w:rFonts w:ascii="宋体" w:hAnsi="宋体" w:eastAsia="宋体" w:cs="宋体"/>
                <w:color w:val="auto"/>
                <w:spacing w:val="8"/>
                <w:sz w:val="21"/>
                <w:szCs w:val="21"/>
              </w:rPr>
              <w:t>废</w:t>
            </w:r>
            <w:r>
              <w:rPr>
                <w:rFonts w:ascii="Times New Roman" w:hAnsi="Times New Roman" w:eastAsia="Times New Roman" w:cs="Times New Roman"/>
                <w:color w:val="auto"/>
                <w:spacing w:val="8"/>
                <w:sz w:val="21"/>
                <w:szCs w:val="21"/>
              </w:rPr>
              <w:t>”</w:t>
            </w:r>
            <w:r>
              <w:rPr>
                <w:rFonts w:ascii="宋体" w:hAnsi="宋体" w:eastAsia="宋体" w:cs="宋体"/>
                <w:color w:val="auto"/>
                <w:spacing w:val="8"/>
                <w:sz w:val="21"/>
                <w:szCs w:val="21"/>
              </w:rPr>
              <w:t>排放口、排放源及固体废物贮存、处置场处设置明显的环保图形标志见</w:t>
            </w:r>
            <w:r>
              <w:rPr>
                <w:rFonts w:ascii="宋体" w:hAnsi="宋体" w:eastAsia="宋体" w:cs="宋体"/>
                <w:color w:val="auto"/>
                <w:spacing w:val="-5"/>
                <w:sz w:val="21"/>
                <w:szCs w:val="21"/>
                <w:highlight w:val="none"/>
              </w:rPr>
              <w:t>表</w:t>
            </w:r>
            <w:r>
              <w:rPr>
                <w:rFonts w:hint="eastAsia" w:cs="Times New Roman"/>
                <w:color w:val="auto"/>
                <w:spacing w:val="-3"/>
                <w:sz w:val="21"/>
                <w:szCs w:val="21"/>
                <w:highlight w:val="none"/>
                <w:lang w:val="en-US" w:eastAsia="zh-CN"/>
              </w:rPr>
              <w:t>5</w:t>
            </w:r>
            <w:r>
              <w:rPr>
                <w:rFonts w:hint="eastAsia" w:ascii="Times New Roman" w:hAnsi="Times New Roman" w:eastAsia="宋体" w:cs="Times New Roman"/>
                <w:color w:val="auto"/>
                <w:spacing w:val="-3"/>
                <w:sz w:val="21"/>
                <w:szCs w:val="21"/>
                <w:highlight w:val="none"/>
                <w:lang w:val="en-US" w:eastAsia="zh-CN"/>
              </w:rPr>
              <w:t>-1</w:t>
            </w:r>
            <w:r>
              <w:rPr>
                <w:rFonts w:ascii="宋体" w:hAnsi="宋体" w:eastAsia="宋体" w:cs="宋体"/>
                <w:color w:val="auto"/>
                <w:spacing w:val="-3"/>
                <w:sz w:val="21"/>
                <w:szCs w:val="21"/>
                <w:highlight w:val="none"/>
              </w:rPr>
              <w:t>。</w:t>
            </w:r>
          </w:p>
          <w:p w14:paraId="7CFB5D70">
            <w:pPr>
              <w:spacing w:before="120" w:beforeLines="50"/>
              <w:ind w:firstLine="420"/>
              <w:jc w:val="center"/>
              <w:outlineLvl w:val="9"/>
              <w:rPr>
                <w:b/>
                <w:bCs/>
                <w:color w:val="auto"/>
                <w:szCs w:val="21"/>
              </w:rPr>
            </w:pPr>
            <w:r>
              <w:rPr>
                <w:rFonts w:hint="eastAsia" w:hAnsi="Calibri"/>
                <w:b/>
                <w:bCs/>
                <w:color w:val="auto"/>
                <w:szCs w:val="21"/>
              </w:rPr>
              <w:t>表</w:t>
            </w:r>
            <w:r>
              <w:rPr>
                <w:rFonts w:hint="eastAsia" w:ascii="CIDFont+F1" w:hAnsi="CIDFont+F1"/>
                <w:b/>
                <w:color w:val="auto"/>
                <w:szCs w:val="21"/>
              </w:rPr>
              <w:t>5-</w:t>
            </w:r>
            <w:r>
              <w:rPr>
                <w:rFonts w:hint="eastAsia" w:ascii="CIDFont+F1" w:hAnsi="CIDFont+F1"/>
                <w:b/>
                <w:color w:val="auto"/>
                <w:szCs w:val="21"/>
                <w:lang w:val="en-US" w:eastAsia="zh-CN"/>
              </w:rPr>
              <w:t>1</w:t>
            </w:r>
            <w:r>
              <w:rPr>
                <w:rFonts w:ascii="CIDFont+F1" w:hAnsi="CIDFont+F1"/>
                <w:b/>
                <w:color w:val="auto"/>
                <w:szCs w:val="21"/>
              </w:rPr>
              <w:t xml:space="preserve">   </w:t>
            </w:r>
            <w:r>
              <w:rPr>
                <w:rFonts w:hint="eastAsia" w:hAnsi="Calibri"/>
                <w:b/>
                <w:bCs/>
                <w:color w:val="auto"/>
                <w:szCs w:val="21"/>
              </w:rPr>
              <w:t>环境保护图形符号一览表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583"/>
              <w:gridCol w:w="1644"/>
              <w:gridCol w:w="1382"/>
              <w:gridCol w:w="2066"/>
            </w:tblGrid>
            <w:tr w14:paraId="63DDF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blHeader/>
                <w:jc w:val="center"/>
              </w:trPr>
              <w:tc>
                <w:tcPr>
                  <w:tcW w:w="435" w:type="pct"/>
                  <w:vAlign w:val="center"/>
                </w:tcPr>
                <w:p w14:paraId="4B5E9289">
                  <w:pPr>
                    <w:adjustRightInd w:val="0"/>
                    <w:snapToGrid w:val="0"/>
                    <w:jc w:val="center"/>
                    <w:outlineLvl w:val="9"/>
                    <w:rPr>
                      <w:color w:val="auto"/>
                      <w:kern w:val="18"/>
                      <w:szCs w:val="21"/>
                    </w:rPr>
                  </w:pPr>
                  <w:r>
                    <w:rPr>
                      <w:rFonts w:hint="eastAsia"/>
                      <w:color w:val="auto"/>
                      <w:kern w:val="18"/>
                      <w:szCs w:val="21"/>
                    </w:rPr>
                    <w:t>序号</w:t>
                  </w:r>
                </w:p>
              </w:tc>
              <w:tc>
                <w:tcPr>
                  <w:tcW w:w="1082" w:type="pct"/>
                  <w:vAlign w:val="center"/>
                </w:tcPr>
                <w:p w14:paraId="3587C99C">
                  <w:pPr>
                    <w:adjustRightInd w:val="0"/>
                    <w:snapToGrid w:val="0"/>
                    <w:jc w:val="center"/>
                    <w:outlineLvl w:val="9"/>
                    <w:rPr>
                      <w:color w:val="auto"/>
                      <w:kern w:val="18"/>
                      <w:szCs w:val="21"/>
                    </w:rPr>
                  </w:pPr>
                  <w:r>
                    <w:rPr>
                      <w:rFonts w:hint="eastAsia"/>
                      <w:color w:val="auto"/>
                      <w:kern w:val="18"/>
                      <w:szCs w:val="21"/>
                    </w:rPr>
                    <w:t>提示图形符号</w:t>
                  </w:r>
                </w:p>
              </w:tc>
              <w:tc>
                <w:tcPr>
                  <w:tcW w:w="1124" w:type="pct"/>
                  <w:vAlign w:val="center"/>
                </w:tcPr>
                <w:p w14:paraId="3A5EC13F">
                  <w:pPr>
                    <w:adjustRightInd w:val="0"/>
                    <w:snapToGrid w:val="0"/>
                    <w:jc w:val="center"/>
                    <w:outlineLvl w:val="9"/>
                    <w:rPr>
                      <w:color w:val="auto"/>
                      <w:kern w:val="18"/>
                      <w:szCs w:val="21"/>
                    </w:rPr>
                  </w:pPr>
                  <w:r>
                    <w:rPr>
                      <w:rFonts w:hint="eastAsia"/>
                      <w:color w:val="auto"/>
                      <w:kern w:val="18"/>
                      <w:szCs w:val="21"/>
                    </w:rPr>
                    <w:t>警告图形符号</w:t>
                  </w:r>
                </w:p>
              </w:tc>
              <w:tc>
                <w:tcPr>
                  <w:tcW w:w="945" w:type="pct"/>
                  <w:vAlign w:val="center"/>
                </w:tcPr>
                <w:p w14:paraId="11081341">
                  <w:pPr>
                    <w:adjustRightInd w:val="0"/>
                    <w:snapToGrid w:val="0"/>
                    <w:jc w:val="center"/>
                    <w:outlineLvl w:val="9"/>
                    <w:rPr>
                      <w:color w:val="auto"/>
                      <w:kern w:val="18"/>
                      <w:szCs w:val="21"/>
                    </w:rPr>
                  </w:pPr>
                  <w:r>
                    <w:rPr>
                      <w:rFonts w:hint="eastAsia"/>
                      <w:color w:val="auto"/>
                      <w:kern w:val="18"/>
                      <w:szCs w:val="21"/>
                    </w:rPr>
                    <w:t>名称</w:t>
                  </w:r>
                </w:p>
              </w:tc>
              <w:tc>
                <w:tcPr>
                  <w:tcW w:w="1412" w:type="pct"/>
                  <w:vAlign w:val="center"/>
                </w:tcPr>
                <w:p w14:paraId="01070362">
                  <w:pPr>
                    <w:adjustRightInd w:val="0"/>
                    <w:snapToGrid w:val="0"/>
                    <w:jc w:val="center"/>
                    <w:outlineLvl w:val="9"/>
                    <w:rPr>
                      <w:color w:val="auto"/>
                      <w:kern w:val="18"/>
                      <w:szCs w:val="21"/>
                    </w:rPr>
                  </w:pPr>
                  <w:r>
                    <w:rPr>
                      <w:rFonts w:hint="eastAsia"/>
                      <w:color w:val="auto"/>
                      <w:kern w:val="18"/>
                      <w:szCs w:val="21"/>
                    </w:rPr>
                    <w:t>功能</w:t>
                  </w:r>
                </w:p>
              </w:tc>
            </w:tr>
            <w:tr w14:paraId="53B2E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5" w:hRule="atLeast"/>
                <w:jc w:val="center"/>
              </w:trPr>
              <w:tc>
                <w:tcPr>
                  <w:tcW w:w="435" w:type="pct"/>
                  <w:vAlign w:val="center"/>
                </w:tcPr>
                <w:p w14:paraId="617A27BE">
                  <w:pPr>
                    <w:adjustRightInd w:val="0"/>
                    <w:snapToGrid w:val="0"/>
                    <w:jc w:val="center"/>
                    <w:outlineLvl w:val="9"/>
                    <w:rPr>
                      <w:rFonts w:hint="eastAsia" w:eastAsia="宋体"/>
                      <w:color w:val="auto"/>
                      <w:kern w:val="18"/>
                      <w:szCs w:val="21"/>
                      <w:lang w:eastAsia="zh-CN"/>
                    </w:rPr>
                  </w:pPr>
                  <w:r>
                    <w:rPr>
                      <w:rFonts w:hint="eastAsia"/>
                      <w:color w:val="auto"/>
                      <w:kern w:val="18"/>
                      <w:szCs w:val="21"/>
                      <w:lang w:val="en-US" w:eastAsia="zh-CN"/>
                    </w:rPr>
                    <w:t>1</w:t>
                  </w:r>
                </w:p>
              </w:tc>
              <w:tc>
                <w:tcPr>
                  <w:tcW w:w="1082" w:type="pct"/>
                  <w:vAlign w:val="center"/>
                </w:tcPr>
                <w:p w14:paraId="07B558B3">
                  <w:pPr>
                    <w:adjustRightInd w:val="0"/>
                    <w:snapToGrid w:val="0"/>
                    <w:jc w:val="center"/>
                    <w:outlineLvl w:val="9"/>
                    <w:rPr>
                      <w:color w:val="auto"/>
                      <w:kern w:val="18"/>
                      <w:szCs w:val="21"/>
                    </w:rPr>
                  </w:pPr>
                  <w:r>
                    <w:rPr>
                      <w:color w:val="auto"/>
                      <w:kern w:val="18"/>
                      <w:szCs w:val="21"/>
                    </w:rPr>
                    <w:drawing>
                      <wp:inline distT="0" distB="0" distL="114300" distR="114300">
                        <wp:extent cx="845185" cy="862330"/>
                        <wp:effectExtent l="0" t="0" r="12065" b="13970"/>
                        <wp:docPr id="26" name="图片 299" descr="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99" descr="14001"/>
                                <pic:cNvPicPr>
                                  <a:picLocks noChangeAspect="1"/>
                                </pic:cNvPicPr>
                              </pic:nvPicPr>
                              <pic:blipFill>
                                <a:blip r:embed="rId66"/>
                                <a:stretch>
                                  <a:fillRect/>
                                </a:stretch>
                              </pic:blipFill>
                              <pic:spPr>
                                <a:xfrm>
                                  <a:off x="0" y="0"/>
                                  <a:ext cx="845185" cy="862330"/>
                                </a:xfrm>
                                <a:prstGeom prst="rect">
                                  <a:avLst/>
                                </a:prstGeom>
                                <a:noFill/>
                                <a:ln>
                                  <a:noFill/>
                                </a:ln>
                              </pic:spPr>
                            </pic:pic>
                          </a:graphicData>
                        </a:graphic>
                      </wp:inline>
                    </w:drawing>
                  </w:r>
                </w:p>
              </w:tc>
              <w:tc>
                <w:tcPr>
                  <w:tcW w:w="1124" w:type="pct"/>
                  <w:vAlign w:val="center"/>
                </w:tcPr>
                <w:p w14:paraId="3D69586D">
                  <w:pPr>
                    <w:adjustRightInd w:val="0"/>
                    <w:snapToGrid w:val="0"/>
                    <w:jc w:val="center"/>
                    <w:outlineLvl w:val="9"/>
                    <w:rPr>
                      <w:color w:val="auto"/>
                      <w:kern w:val="18"/>
                      <w:szCs w:val="21"/>
                    </w:rPr>
                  </w:pPr>
                  <w:r>
                    <w:rPr>
                      <w:color w:val="auto"/>
                      <w:kern w:val="18"/>
                      <w:szCs w:val="21"/>
                    </w:rPr>
                    <w:drawing>
                      <wp:inline distT="0" distB="0" distL="114300" distR="114300">
                        <wp:extent cx="914400" cy="862330"/>
                        <wp:effectExtent l="0" t="0" r="0" b="13970"/>
                        <wp:docPr id="28" name="图片 300" descr="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00" descr="14002"/>
                                <pic:cNvPicPr>
                                  <a:picLocks noChangeAspect="1"/>
                                </pic:cNvPicPr>
                              </pic:nvPicPr>
                              <pic:blipFill>
                                <a:blip r:embed="rId67"/>
                                <a:stretch>
                                  <a:fillRect/>
                                </a:stretch>
                              </pic:blipFill>
                              <pic:spPr>
                                <a:xfrm>
                                  <a:off x="0" y="0"/>
                                  <a:ext cx="914400" cy="862330"/>
                                </a:xfrm>
                                <a:prstGeom prst="rect">
                                  <a:avLst/>
                                </a:prstGeom>
                                <a:noFill/>
                                <a:ln>
                                  <a:noFill/>
                                </a:ln>
                              </pic:spPr>
                            </pic:pic>
                          </a:graphicData>
                        </a:graphic>
                      </wp:inline>
                    </w:drawing>
                  </w:r>
                </w:p>
              </w:tc>
              <w:tc>
                <w:tcPr>
                  <w:tcW w:w="945" w:type="pct"/>
                  <w:vAlign w:val="center"/>
                </w:tcPr>
                <w:p w14:paraId="42AAB072">
                  <w:pPr>
                    <w:adjustRightInd w:val="0"/>
                    <w:snapToGrid w:val="0"/>
                    <w:jc w:val="center"/>
                    <w:outlineLvl w:val="9"/>
                    <w:rPr>
                      <w:color w:val="auto"/>
                      <w:kern w:val="18"/>
                      <w:szCs w:val="21"/>
                    </w:rPr>
                  </w:pPr>
                  <w:r>
                    <w:rPr>
                      <w:rFonts w:hint="eastAsia"/>
                      <w:color w:val="auto"/>
                      <w:kern w:val="18"/>
                      <w:szCs w:val="21"/>
                    </w:rPr>
                    <w:t>一般固体废物</w:t>
                  </w:r>
                </w:p>
              </w:tc>
              <w:tc>
                <w:tcPr>
                  <w:tcW w:w="1412" w:type="pct"/>
                  <w:vAlign w:val="center"/>
                </w:tcPr>
                <w:p w14:paraId="4047627E">
                  <w:pPr>
                    <w:adjustRightInd w:val="0"/>
                    <w:snapToGrid w:val="0"/>
                    <w:jc w:val="center"/>
                    <w:outlineLvl w:val="9"/>
                    <w:rPr>
                      <w:color w:val="auto"/>
                      <w:kern w:val="18"/>
                      <w:szCs w:val="21"/>
                    </w:rPr>
                  </w:pPr>
                  <w:r>
                    <w:rPr>
                      <w:rFonts w:hint="eastAsia"/>
                      <w:color w:val="auto"/>
                      <w:kern w:val="18"/>
                      <w:szCs w:val="21"/>
                    </w:rPr>
                    <w:t>表示一般固体废物贮存、处置场</w:t>
                  </w:r>
                </w:p>
              </w:tc>
            </w:tr>
            <w:tr w14:paraId="47923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6" w:hRule="atLeast"/>
                <w:jc w:val="center"/>
              </w:trPr>
              <w:tc>
                <w:tcPr>
                  <w:tcW w:w="435" w:type="pct"/>
                  <w:vAlign w:val="center"/>
                </w:tcPr>
                <w:p w14:paraId="5084D972">
                  <w:pPr>
                    <w:adjustRightInd w:val="0"/>
                    <w:snapToGrid w:val="0"/>
                    <w:jc w:val="center"/>
                    <w:outlineLvl w:val="9"/>
                    <w:rPr>
                      <w:rFonts w:hint="eastAsia" w:eastAsia="宋体"/>
                      <w:color w:val="auto"/>
                      <w:kern w:val="18"/>
                      <w:szCs w:val="21"/>
                      <w:lang w:eastAsia="zh-CN"/>
                    </w:rPr>
                  </w:pPr>
                  <w:r>
                    <w:rPr>
                      <w:rFonts w:hint="eastAsia"/>
                      <w:color w:val="auto"/>
                      <w:kern w:val="18"/>
                      <w:szCs w:val="21"/>
                      <w:lang w:val="en-US" w:eastAsia="zh-CN"/>
                    </w:rPr>
                    <w:t>2</w:t>
                  </w:r>
                </w:p>
              </w:tc>
              <w:tc>
                <w:tcPr>
                  <w:tcW w:w="1082" w:type="pct"/>
                  <w:vAlign w:val="center"/>
                </w:tcPr>
                <w:p w14:paraId="3084BC3A">
                  <w:pPr>
                    <w:adjustRightInd w:val="0"/>
                    <w:snapToGrid w:val="0"/>
                    <w:jc w:val="center"/>
                    <w:outlineLvl w:val="9"/>
                    <w:rPr>
                      <w:color w:val="auto"/>
                      <w:kern w:val="18"/>
                      <w:szCs w:val="21"/>
                    </w:rPr>
                  </w:pPr>
                  <w:r>
                    <w:rPr>
                      <w:color w:val="auto"/>
                      <w:kern w:val="18"/>
                      <w:szCs w:val="21"/>
                    </w:rPr>
                    <w:drawing>
                      <wp:inline distT="0" distB="0" distL="114300" distR="114300">
                        <wp:extent cx="845185" cy="845185"/>
                        <wp:effectExtent l="0" t="0" r="12065" b="12065"/>
                        <wp:docPr id="32" name="图片 301" descr="20060220151804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1" descr="200602201518049853"/>
                                <pic:cNvPicPr>
                                  <a:picLocks noChangeAspect="1"/>
                                </pic:cNvPicPr>
                              </pic:nvPicPr>
                              <pic:blipFill>
                                <a:blip r:embed="rId68"/>
                                <a:stretch>
                                  <a:fillRect/>
                                </a:stretch>
                              </pic:blipFill>
                              <pic:spPr>
                                <a:xfrm>
                                  <a:off x="0" y="0"/>
                                  <a:ext cx="845185" cy="845185"/>
                                </a:xfrm>
                                <a:prstGeom prst="rect">
                                  <a:avLst/>
                                </a:prstGeom>
                                <a:noFill/>
                                <a:ln>
                                  <a:noFill/>
                                </a:ln>
                              </pic:spPr>
                            </pic:pic>
                          </a:graphicData>
                        </a:graphic>
                      </wp:inline>
                    </w:drawing>
                  </w:r>
                </w:p>
              </w:tc>
              <w:tc>
                <w:tcPr>
                  <w:tcW w:w="1124" w:type="pct"/>
                  <w:vAlign w:val="center"/>
                </w:tcPr>
                <w:p w14:paraId="72668451">
                  <w:pPr>
                    <w:adjustRightInd w:val="0"/>
                    <w:snapToGrid w:val="0"/>
                    <w:jc w:val="center"/>
                    <w:outlineLvl w:val="9"/>
                    <w:rPr>
                      <w:color w:val="auto"/>
                      <w:kern w:val="18"/>
                      <w:szCs w:val="21"/>
                    </w:rPr>
                  </w:pPr>
                  <w:r>
                    <w:rPr>
                      <w:color w:val="auto"/>
                      <w:kern w:val="18"/>
                      <w:szCs w:val="21"/>
                    </w:rPr>
                    <w:drawing>
                      <wp:inline distT="0" distB="0" distL="114300" distR="114300">
                        <wp:extent cx="948690" cy="845185"/>
                        <wp:effectExtent l="0" t="0" r="3810" b="12065"/>
                        <wp:docPr id="39" name="图片 302" descr="20060220151901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2" descr="200602201519018631"/>
                                <pic:cNvPicPr>
                                  <a:picLocks noChangeAspect="1"/>
                                </pic:cNvPicPr>
                              </pic:nvPicPr>
                              <pic:blipFill>
                                <a:blip r:embed="rId69"/>
                                <a:stretch>
                                  <a:fillRect/>
                                </a:stretch>
                              </pic:blipFill>
                              <pic:spPr>
                                <a:xfrm>
                                  <a:off x="0" y="0"/>
                                  <a:ext cx="948690" cy="845185"/>
                                </a:xfrm>
                                <a:prstGeom prst="rect">
                                  <a:avLst/>
                                </a:prstGeom>
                                <a:noFill/>
                                <a:ln>
                                  <a:noFill/>
                                </a:ln>
                              </pic:spPr>
                            </pic:pic>
                          </a:graphicData>
                        </a:graphic>
                      </wp:inline>
                    </w:drawing>
                  </w:r>
                </w:p>
              </w:tc>
              <w:tc>
                <w:tcPr>
                  <w:tcW w:w="945" w:type="pct"/>
                  <w:vAlign w:val="center"/>
                </w:tcPr>
                <w:p w14:paraId="5E8F4FFC">
                  <w:pPr>
                    <w:adjustRightInd w:val="0"/>
                    <w:snapToGrid w:val="0"/>
                    <w:jc w:val="center"/>
                    <w:outlineLvl w:val="9"/>
                    <w:rPr>
                      <w:color w:val="auto"/>
                      <w:kern w:val="18"/>
                      <w:szCs w:val="21"/>
                    </w:rPr>
                  </w:pPr>
                  <w:r>
                    <w:rPr>
                      <w:rFonts w:hint="eastAsia"/>
                      <w:color w:val="auto"/>
                      <w:kern w:val="18"/>
                      <w:szCs w:val="21"/>
                    </w:rPr>
                    <w:t>噪声排放源</w:t>
                  </w:r>
                </w:p>
              </w:tc>
              <w:tc>
                <w:tcPr>
                  <w:tcW w:w="1412" w:type="pct"/>
                  <w:vAlign w:val="center"/>
                </w:tcPr>
                <w:p w14:paraId="319F7D83">
                  <w:pPr>
                    <w:adjustRightInd w:val="0"/>
                    <w:snapToGrid w:val="0"/>
                    <w:jc w:val="center"/>
                    <w:outlineLvl w:val="9"/>
                    <w:rPr>
                      <w:color w:val="auto"/>
                      <w:kern w:val="18"/>
                      <w:szCs w:val="21"/>
                    </w:rPr>
                  </w:pPr>
                  <w:r>
                    <w:rPr>
                      <w:rFonts w:hint="eastAsia"/>
                      <w:color w:val="auto"/>
                      <w:kern w:val="18"/>
                      <w:szCs w:val="21"/>
                    </w:rPr>
                    <w:t>表示噪声向外环境排放</w:t>
                  </w:r>
                </w:p>
              </w:tc>
            </w:tr>
            <w:tr w14:paraId="74DC0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0" w:hRule="atLeast"/>
                <w:jc w:val="center"/>
              </w:trPr>
              <w:tc>
                <w:tcPr>
                  <w:tcW w:w="435" w:type="pct"/>
                  <w:vAlign w:val="center"/>
                </w:tcPr>
                <w:p w14:paraId="0BC49999">
                  <w:pPr>
                    <w:adjustRightInd w:val="0"/>
                    <w:snapToGrid w:val="0"/>
                    <w:jc w:val="center"/>
                    <w:outlineLvl w:val="9"/>
                    <w:rPr>
                      <w:rFonts w:hint="eastAsia" w:eastAsia="宋体"/>
                      <w:color w:val="auto"/>
                      <w:kern w:val="18"/>
                      <w:szCs w:val="21"/>
                      <w:lang w:eastAsia="zh-CN"/>
                    </w:rPr>
                  </w:pPr>
                  <w:r>
                    <w:rPr>
                      <w:rFonts w:hint="eastAsia"/>
                      <w:color w:val="auto"/>
                      <w:kern w:val="18"/>
                      <w:szCs w:val="21"/>
                      <w:lang w:val="en-US" w:eastAsia="zh-CN"/>
                    </w:rPr>
                    <w:t>3</w:t>
                  </w:r>
                </w:p>
              </w:tc>
              <w:tc>
                <w:tcPr>
                  <w:tcW w:w="1082" w:type="pct"/>
                  <w:vAlign w:val="center"/>
                </w:tcPr>
                <w:p w14:paraId="6F100D63">
                  <w:pPr>
                    <w:adjustRightInd w:val="0"/>
                    <w:snapToGrid w:val="0"/>
                    <w:jc w:val="center"/>
                    <w:outlineLvl w:val="9"/>
                    <w:rPr>
                      <w:color w:val="auto"/>
                      <w:kern w:val="18"/>
                      <w:szCs w:val="21"/>
                    </w:rPr>
                  </w:pPr>
                  <w:bookmarkStart w:id="299" w:name="_Toc4313"/>
                  <w:bookmarkStart w:id="300" w:name="_Toc12929"/>
                  <w:bookmarkStart w:id="301" w:name="_Toc20539"/>
                  <w:bookmarkStart w:id="302" w:name="_Toc9432"/>
                  <w:bookmarkStart w:id="303" w:name="_Toc22390"/>
                  <w:bookmarkStart w:id="304" w:name="_Toc11772"/>
                  <w:bookmarkStart w:id="305" w:name="_Toc5401"/>
                  <w:bookmarkStart w:id="306" w:name="_Toc16353"/>
                  <w:bookmarkStart w:id="307" w:name="_Toc6122"/>
                  <w:bookmarkStart w:id="308" w:name="_Toc2512"/>
                  <w:bookmarkStart w:id="309" w:name="_Toc5714"/>
                  <w:r>
                    <w:rPr>
                      <w:color w:val="auto"/>
                      <w:kern w:val="18"/>
                      <w:szCs w:val="21"/>
                    </w:rPr>
                    <w:t>/</w:t>
                  </w:r>
                  <w:bookmarkEnd w:id="299"/>
                  <w:bookmarkEnd w:id="300"/>
                  <w:bookmarkEnd w:id="301"/>
                  <w:bookmarkEnd w:id="302"/>
                  <w:bookmarkEnd w:id="303"/>
                  <w:bookmarkEnd w:id="304"/>
                  <w:bookmarkEnd w:id="305"/>
                  <w:bookmarkEnd w:id="306"/>
                  <w:bookmarkEnd w:id="307"/>
                  <w:bookmarkEnd w:id="308"/>
                  <w:bookmarkEnd w:id="309"/>
                </w:p>
              </w:tc>
              <w:tc>
                <w:tcPr>
                  <w:tcW w:w="1124" w:type="pct"/>
                  <w:vAlign w:val="center"/>
                </w:tcPr>
                <w:p w14:paraId="50ABDBF7">
                  <w:pPr>
                    <w:adjustRightInd w:val="0"/>
                    <w:snapToGrid w:val="0"/>
                    <w:outlineLvl w:val="9"/>
                    <w:rPr>
                      <w:color w:val="auto"/>
                      <w:kern w:val="18"/>
                      <w:szCs w:val="21"/>
                    </w:rPr>
                  </w:pPr>
                  <w:r>
                    <w:rPr>
                      <w:color w:val="auto"/>
                      <w:szCs w:val="21"/>
                    </w:rPr>
                    <w:drawing>
                      <wp:inline distT="0" distB="0" distL="114300" distR="114300">
                        <wp:extent cx="921385" cy="582295"/>
                        <wp:effectExtent l="0" t="0" r="12065" b="8255"/>
                        <wp:docPr id="41"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03"/>
                                <pic:cNvPicPr>
                                  <a:picLocks noChangeAspect="1"/>
                                </pic:cNvPicPr>
                              </pic:nvPicPr>
                              <pic:blipFill>
                                <a:blip r:embed="rId70"/>
                                <a:stretch>
                                  <a:fillRect/>
                                </a:stretch>
                              </pic:blipFill>
                              <pic:spPr>
                                <a:xfrm>
                                  <a:off x="0" y="0"/>
                                  <a:ext cx="921385" cy="582295"/>
                                </a:xfrm>
                                <a:prstGeom prst="rect">
                                  <a:avLst/>
                                </a:prstGeom>
                                <a:noFill/>
                                <a:ln>
                                  <a:noFill/>
                                </a:ln>
                              </pic:spPr>
                            </pic:pic>
                          </a:graphicData>
                        </a:graphic>
                      </wp:inline>
                    </w:drawing>
                  </w:r>
                </w:p>
              </w:tc>
              <w:tc>
                <w:tcPr>
                  <w:tcW w:w="945" w:type="pct"/>
                  <w:vAlign w:val="center"/>
                </w:tcPr>
                <w:p w14:paraId="71A32CFC">
                  <w:pPr>
                    <w:adjustRightInd w:val="0"/>
                    <w:snapToGrid w:val="0"/>
                    <w:jc w:val="center"/>
                    <w:outlineLvl w:val="9"/>
                    <w:rPr>
                      <w:color w:val="auto"/>
                      <w:kern w:val="18"/>
                      <w:szCs w:val="21"/>
                    </w:rPr>
                  </w:pPr>
                  <w:r>
                    <w:rPr>
                      <w:rFonts w:hint="eastAsia"/>
                      <w:color w:val="auto"/>
                      <w:kern w:val="18"/>
                      <w:szCs w:val="21"/>
                    </w:rPr>
                    <w:t>危险废物</w:t>
                  </w:r>
                </w:p>
              </w:tc>
              <w:tc>
                <w:tcPr>
                  <w:tcW w:w="1412" w:type="pct"/>
                  <w:vAlign w:val="center"/>
                </w:tcPr>
                <w:p w14:paraId="2DF28344">
                  <w:pPr>
                    <w:adjustRightInd w:val="0"/>
                    <w:snapToGrid w:val="0"/>
                    <w:jc w:val="center"/>
                    <w:outlineLvl w:val="9"/>
                    <w:rPr>
                      <w:color w:val="auto"/>
                      <w:kern w:val="18"/>
                      <w:szCs w:val="21"/>
                    </w:rPr>
                  </w:pPr>
                  <w:r>
                    <w:rPr>
                      <w:rFonts w:hint="eastAsia"/>
                      <w:color w:val="auto"/>
                      <w:kern w:val="18"/>
                      <w:szCs w:val="21"/>
                    </w:rPr>
                    <w:t>表示危险废物贮存设施</w:t>
                  </w:r>
                </w:p>
              </w:tc>
            </w:tr>
          </w:tbl>
          <w:p w14:paraId="2BF518C3">
            <w:pPr>
              <w:pStyle w:val="12"/>
              <w:outlineLvl w:val="9"/>
              <w:rPr>
                <w:color w:val="auto"/>
                <w:kern w:val="0"/>
                <w:sz w:val="21"/>
                <w:szCs w:val="21"/>
              </w:rPr>
            </w:pPr>
          </w:p>
          <w:p w14:paraId="357C2DF3">
            <w:pPr>
              <w:pStyle w:val="12"/>
              <w:outlineLvl w:val="9"/>
              <w:rPr>
                <w:color w:val="auto"/>
                <w:kern w:val="0"/>
                <w:sz w:val="21"/>
                <w:szCs w:val="21"/>
              </w:rPr>
            </w:pPr>
          </w:p>
          <w:p w14:paraId="758F161B">
            <w:pPr>
              <w:pStyle w:val="12"/>
              <w:outlineLvl w:val="9"/>
              <w:rPr>
                <w:color w:val="auto"/>
                <w:kern w:val="0"/>
                <w:sz w:val="21"/>
                <w:szCs w:val="21"/>
              </w:rPr>
            </w:pPr>
          </w:p>
          <w:p w14:paraId="6EFDA3A3">
            <w:pPr>
              <w:pStyle w:val="12"/>
              <w:outlineLvl w:val="9"/>
              <w:rPr>
                <w:color w:val="auto"/>
                <w:kern w:val="0"/>
                <w:sz w:val="21"/>
                <w:szCs w:val="21"/>
              </w:rPr>
            </w:pPr>
          </w:p>
          <w:p w14:paraId="75562DC1">
            <w:pPr>
              <w:pStyle w:val="12"/>
              <w:outlineLvl w:val="9"/>
              <w:rPr>
                <w:color w:val="auto"/>
                <w:kern w:val="0"/>
                <w:sz w:val="21"/>
                <w:szCs w:val="21"/>
              </w:rPr>
            </w:pPr>
          </w:p>
          <w:p w14:paraId="55EBD13F">
            <w:pPr>
              <w:pStyle w:val="12"/>
              <w:outlineLvl w:val="9"/>
              <w:rPr>
                <w:color w:val="auto"/>
                <w:kern w:val="0"/>
                <w:sz w:val="21"/>
                <w:szCs w:val="21"/>
              </w:rPr>
            </w:pPr>
          </w:p>
          <w:p w14:paraId="7C9F9BBB">
            <w:pPr>
              <w:pStyle w:val="12"/>
              <w:outlineLvl w:val="9"/>
              <w:rPr>
                <w:color w:val="auto"/>
                <w:kern w:val="0"/>
                <w:sz w:val="21"/>
                <w:szCs w:val="21"/>
              </w:rPr>
            </w:pPr>
          </w:p>
          <w:p w14:paraId="1B825904">
            <w:pPr>
              <w:pStyle w:val="12"/>
              <w:outlineLvl w:val="9"/>
              <w:rPr>
                <w:color w:val="auto"/>
                <w:kern w:val="0"/>
                <w:sz w:val="21"/>
                <w:szCs w:val="21"/>
              </w:rPr>
            </w:pPr>
          </w:p>
          <w:p w14:paraId="16D2FB7C">
            <w:pPr>
              <w:pStyle w:val="12"/>
              <w:outlineLvl w:val="9"/>
              <w:rPr>
                <w:color w:val="auto"/>
                <w:kern w:val="0"/>
                <w:sz w:val="21"/>
                <w:szCs w:val="21"/>
              </w:rPr>
            </w:pPr>
          </w:p>
          <w:p w14:paraId="00429F3F">
            <w:pPr>
              <w:pStyle w:val="12"/>
              <w:outlineLvl w:val="9"/>
              <w:rPr>
                <w:color w:val="auto"/>
                <w:kern w:val="0"/>
                <w:sz w:val="21"/>
                <w:szCs w:val="21"/>
              </w:rPr>
            </w:pPr>
          </w:p>
          <w:p w14:paraId="01986F08">
            <w:pPr>
              <w:pStyle w:val="12"/>
              <w:outlineLvl w:val="9"/>
              <w:rPr>
                <w:color w:val="auto"/>
                <w:kern w:val="0"/>
                <w:sz w:val="21"/>
                <w:szCs w:val="21"/>
              </w:rPr>
            </w:pPr>
          </w:p>
          <w:p w14:paraId="082011EA">
            <w:pPr>
              <w:pStyle w:val="12"/>
              <w:outlineLvl w:val="9"/>
              <w:rPr>
                <w:color w:val="auto"/>
                <w:kern w:val="0"/>
                <w:sz w:val="21"/>
                <w:szCs w:val="21"/>
              </w:rPr>
            </w:pPr>
          </w:p>
          <w:p w14:paraId="37D4FEBC">
            <w:pPr>
              <w:pStyle w:val="12"/>
              <w:outlineLvl w:val="9"/>
              <w:rPr>
                <w:color w:val="auto"/>
                <w:kern w:val="0"/>
                <w:sz w:val="21"/>
                <w:szCs w:val="21"/>
              </w:rPr>
            </w:pPr>
          </w:p>
          <w:p w14:paraId="75118ABB">
            <w:pPr>
              <w:pStyle w:val="12"/>
              <w:outlineLvl w:val="9"/>
              <w:rPr>
                <w:color w:val="auto"/>
                <w:kern w:val="0"/>
                <w:sz w:val="21"/>
                <w:szCs w:val="21"/>
              </w:rPr>
            </w:pPr>
          </w:p>
          <w:p w14:paraId="598DF5F4">
            <w:pPr>
              <w:pStyle w:val="12"/>
              <w:outlineLvl w:val="9"/>
              <w:rPr>
                <w:color w:val="auto"/>
                <w:kern w:val="0"/>
                <w:sz w:val="21"/>
                <w:szCs w:val="21"/>
              </w:rPr>
            </w:pPr>
          </w:p>
          <w:p w14:paraId="42DD12D4">
            <w:pPr>
              <w:pStyle w:val="12"/>
              <w:outlineLvl w:val="9"/>
              <w:rPr>
                <w:color w:val="auto"/>
                <w:kern w:val="0"/>
                <w:sz w:val="21"/>
                <w:szCs w:val="21"/>
              </w:rPr>
            </w:pPr>
          </w:p>
          <w:p w14:paraId="56DFB5CF">
            <w:pPr>
              <w:pStyle w:val="12"/>
              <w:outlineLvl w:val="9"/>
              <w:rPr>
                <w:color w:val="auto"/>
                <w:kern w:val="0"/>
                <w:sz w:val="21"/>
                <w:szCs w:val="21"/>
              </w:rPr>
            </w:pPr>
          </w:p>
          <w:p w14:paraId="50DE7916">
            <w:pPr>
              <w:pStyle w:val="12"/>
              <w:outlineLvl w:val="9"/>
              <w:rPr>
                <w:color w:val="auto"/>
                <w:kern w:val="0"/>
                <w:sz w:val="21"/>
                <w:szCs w:val="21"/>
              </w:rPr>
            </w:pPr>
          </w:p>
          <w:p w14:paraId="09BE048F">
            <w:pPr>
              <w:pStyle w:val="12"/>
              <w:outlineLvl w:val="9"/>
              <w:rPr>
                <w:color w:val="auto"/>
                <w:kern w:val="0"/>
                <w:sz w:val="21"/>
                <w:szCs w:val="21"/>
              </w:rPr>
            </w:pPr>
          </w:p>
          <w:p w14:paraId="2BA4C45E">
            <w:pPr>
              <w:outlineLvl w:val="9"/>
              <w:rPr>
                <w:color w:val="auto"/>
                <w:szCs w:val="21"/>
              </w:rPr>
            </w:pPr>
          </w:p>
        </w:tc>
      </w:tr>
    </w:tbl>
    <w:p w14:paraId="21A07DF9">
      <w:pPr>
        <w:pStyle w:val="29"/>
        <w:outlineLvl w:val="0"/>
        <w:rPr>
          <w:rFonts w:hint="eastAsia"/>
          <w:b/>
          <w:bCs/>
          <w:color w:val="auto"/>
          <w:kern w:val="44"/>
          <w:szCs w:val="30"/>
        </w:rPr>
        <w:sectPr>
          <w:headerReference r:id="rId8" w:type="default"/>
          <w:footerReference r:id="rId9" w:type="default"/>
          <w:pgSz w:w="11905"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p>
    <w:p w14:paraId="19837A0C">
      <w:pPr>
        <w:pStyle w:val="29"/>
        <w:outlineLvl w:val="0"/>
        <w:rPr>
          <w:b/>
          <w:bCs/>
          <w:color w:val="auto"/>
          <w:kern w:val="44"/>
          <w:szCs w:val="30"/>
        </w:rPr>
      </w:pPr>
      <w:bookmarkStart w:id="310" w:name="_Toc24132"/>
      <w:bookmarkStart w:id="311" w:name="_Toc8453"/>
      <w:bookmarkStart w:id="312" w:name="_Toc9249"/>
      <w:r>
        <w:rPr>
          <w:rFonts w:hint="eastAsia"/>
          <w:b/>
          <w:bCs/>
          <w:color w:val="auto"/>
          <w:kern w:val="44"/>
          <w:szCs w:val="30"/>
        </w:rPr>
        <w:t>六、结论</w:t>
      </w:r>
      <w:bookmarkEnd w:id="310"/>
      <w:bookmarkEnd w:id="311"/>
      <w:bookmarkEnd w:id="312"/>
    </w:p>
    <w:p w14:paraId="1FBEBFEF">
      <w:pPr>
        <w:rPr>
          <w:rFonts w:ascii="宋体"/>
          <w:color w:val="auto"/>
        </w:rPr>
      </w:pPr>
    </w:p>
    <w:p w14:paraId="7E4331B6">
      <w:pPr>
        <w:pStyle w:val="17"/>
        <w:rPr>
          <w:color w:val="auto"/>
        </w:rPr>
        <w:sectPr>
          <w:pgSz w:w="11905"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r>
        <w:rPr>
          <w:color w:val="auto"/>
        </w:rPr>
        <mc:AlternateContent>
          <mc:Choice Requires="wps">
            <w:drawing>
              <wp:anchor distT="0" distB="0" distL="114300" distR="114300" simplePos="0" relativeHeight="251663360" behindDoc="0" locked="0" layoutInCell="1" allowOverlap="1">
                <wp:simplePos x="0" y="0"/>
                <wp:positionH relativeFrom="column">
                  <wp:posOffset>116205</wp:posOffset>
                </wp:positionH>
                <wp:positionV relativeFrom="paragraph">
                  <wp:posOffset>-149225</wp:posOffset>
                </wp:positionV>
                <wp:extent cx="5432425" cy="7866380"/>
                <wp:effectExtent l="4445" t="5080" r="11430" b="15240"/>
                <wp:wrapNone/>
                <wp:docPr id="3" name="文本框 1143"/>
                <wp:cNvGraphicFramePr/>
                <a:graphic xmlns:a="http://schemas.openxmlformats.org/drawingml/2006/main">
                  <a:graphicData uri="http://schemas.microsoft.com/office/word/2010/wordprocessingShape">
                    <wps:wsp>
                      <wps:cNvSpPr txBox="1"/>
                      <wps:spPr>
                        <a:xfrm>
                          <a:off x="0" y="0"/>
                          <a:ext cx="5432425" cy="7866380"/>
                        </a:xfrm>
                        <a:prstGeom prst="rect">
                          <a:avLst/>
                        </a:prstGeom>
                        <a:noFill/>
                        <a:ln w="9525" cap="flat" cmpd="sng">
                          <a:solidFill>
                            <a:srgbClr val="000000"/>
                          </a:solidFill>
                          <a:prstDash val="solid"/>
                          <a:miter/>
                          <a:headEnd type="none" w="med" len="med"/>
                          <a:tailEnd type="none" w="med" len="med"/>
                        </a:ln>
                        <a:effectLst/>
                      </wps:spPr>
                      <wps:txbx>
                        <w:txbxContent>
                          <w:p w14:paraId="10B2BAB2">
                            <w:pPr>
                              <w:spacing w:line="360" w:lineRule="auto"/>
                              <w:ind w:firstLine="480" w:firstLineChars="200"/>
                              <w:rPr>
                                <w:bCs/>
                                <w:kern w:val="0"/>
                                <w:sz w:val="24"/>
                              </w:rPr>
                            </w:pPr>
                          </w:p>
                          <w:p w14:paraId="557E771D">
                            <w:pPr>
                              <w:spacing w:line="360" w:lineRule="auto"/>
                              <w:ind w:firstLine="480" w:firstLineChars="200"/>
                              <w:rPr>
                                <w:bCs/>
                                <w:kern w:val="0"/>
                                <w:sz w:val="24"/>
                              </w:rPr>
                            </w:pPr>
                          </w:p>
                          <w:p w14:paraId="16F2709B">
                            <w:pPr>
                              <w:spacing w:line="360" w:lineRule="auto"/>
                              <w:ind w:firstLine="480" w:firstLineChars="200"/>
                              <w:rPr>
                                <w:bCs/>
                                <w:kern w:val="0"/>
                                <w:sz w:val="24"/>
                              </w:rPr>
                            </w:pPr>
                          </w:p>
                          <w:p w14:paraId="149BC27A">
                            <w:pPr>
                              <w:spacing w:line="360" w:lineRule="auto"/>
                              <w:ind w:firstLine="480" w:firstLineChars="200"/>
                              <w:rPr>
                                <w:bCs/>
                                <w:kern w:val="0"/>
                                <w:sz w:val="24"/>
                              </w:rPr>
                            </w:pPr>
                          </w:p>
                          <w:p w14:paraId="2186C859">
                            <w:pPr>
                              <w:spacing w:line="360" w:lineRule="auto"/>
                              <w:ind w:firstLine="480" w:firstLineChars="200"/>
                              <w:rPr>
                                <w:bCs/>
                                <w:kern w:val="0"/>
                                <w:sz w:val="24"/>
                              </w:rPr>
                            </w:pPr>
                          </w:p>
                          <w:p w14:paraId="093BCCF3">
                            <w:pPr>
                              <w:spacing w:line="360" w:lineRule="auto"/>
                              <w:ind w:firstLine="480" w:firstLineChars="200"/>
                              <w:rPr>
                                <w:bCs/>
                                <w:kern w:val="0"/>
                                <w:sz w:val="24"/>
                              </w:rPr>
                            </w:pPr>
                          </w:p>
                          <w:p w14:paraId="1E317B65">
                            <w:pPr>
                              <w:adjustRightInd w:val="0"/>
                              <w:snapToGrid w:val="0"/>
                              <w:spacing w:line="360" w:lineRule="auto"/>
                              <w:ind w:firstLine="480" w:firstLineChars="200"/>
                            </w:pPr>
                            <w:r>
                              <w:rPr>
                                <w:kern w:val="21"/>
                                <w:sz w:val="24"/>
                              </w:rPr>
                              <w:t>综上所述，本项目符合国家相关产业政策和规划要求，各项污染物治理后可达标排放，固体废物合理处置。建设单位应认真落实本报告中提出的各项污染防治措施及建议，加强环境管理，其废水、废气、噪声、固废、环境风险等对周围环境影响可以降低到最低程度，从环境保护角度分析，该建设项目可行。</w:t>
                            </w:r>
                          </w:p>
                        </w:txbxContent>
                      </wps:txbx>
                      <wps:bodyPr vert="horz" wrap="square" anchor="t" anchorCtr="0" upright="1"/>
                    </wps:wsp>
                  </a:graphicData>
                </a:graphic>
              </wp:anchor>
            </w:drawing>
          </mc:Choice>
          <mc:Fallback>
            <w:pict>
              <v:shape id="文本框 1143" o:spid="_x0000_s1026" o:spt="202" type="#_x0000_t202" style="position:absolute;left:0pt;margin-left:9.15pt;margin-top:-11.75pt;height:619.4pt;width:427.75pt;z-index:251663360;mso-width-relative:page;mso-height-relative:page;" filled="f" stroked="t" coordsize="21600,21600" o:gfxdata="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9vGJu1wAAAAsBAAAPAAAAAAAAAAEAIAAAACIAAABkcnMvZG93bnJldi54bWxQSwEC&#10;FAAUAAAACACHTuJACBOMqC4CAABSBAAADgAAAAAAAAABACAAAAAmAQAAZHJzL2Uyb0RvYy54bWxQ&#10;SwUGAAAAAAYABgBZAQAAxgUAAAAA&#10;">
                <v:fill on="f" focussize="0,0"/>
                <v:stroke color="#000000" joinstyle="miter"/>
                <v:imagedata o:title=""/>
                <o:lock v:ext="edit" aspectratio="f"/>
                <v:textbox>
                  <w:txbxContent>
                    <w:p w14:paraId="10B2BAB2">
                      <w:pPr>
                        <w:spacing w:line="360" w:lineRule="auto"/>
                        <w:ind w:firstLine="480" w:firstLineChars="200"/>
                        <w:rPr>
                          <w:bCs/>
                          <w:kern w:val="0"/>
                          <w:sz w:val="24"/>
                        </w:rPr>
                      </w:pPr>
                    </w:p>
                    <w:p w14:paraId="557E771D">
                      <w:pPr>
                        <w:spacing w:line="360" w:lineRule="auto"/>
                        <w:ind w:firstLine="480" w:firstLineChars="200"/>
                        <w:rPr>
                          <w:bCs/>
                          <w:kern w:val="0"/>
                          <w:sz w:val="24"/>
                        </w:rPr>
                      </w:pPr>
                    </w:p>
                    <w:p w14:paraId="16F2709B">
                      <w:pPr>
                        <w:spacing w:line="360" w:lineRule="auto"/>
                        <w:ind w:firstLine="480" w:firstLineChars="200"/>
                        <w:rPr>
                          <w:bCs/>
                          <w:kern w:val="0"/>
                          <w:sz w:val="24"/>
                        </w:rPr>
                      </w:pPr>
                    </w:p>
                    <w:p w14:paraId="149BC27A">
                      <w:pPr>
                        <w:spacing w:line="360" w:lineRule="auto"/>
                        <w:ind w:firstLine="480" w:firstLineChars="200"/>
                        <w:rPr>
                          <w:bCs/>
                          <w:kern w:val="0"/>
                          <w:sz w:val="24"/>
                        </w:rPr>
                      </w:pPr>
                    </w:p>
                    <w:p w14:paraId="2186C859">
                      <w:pPr>
                        <w:spacing w:line="360" w:lineRule="auto"/>
                        <w:ind w:firstLine="480" w:firstLineChars="200"/>
                        <w:rPr>
                          <w:bCs/>
                          <w:kern w:val="0"/>
                          <w:sz w:val="24"/>
                        </w:rPr>
                      </w:pPr>
                    </w:p>
                    <w:p w14:paraId="093BCCF3">
                      <w:pPr>
                        <w:spacing w:line="360" w:lineRule="auto"/>
                        <w:ind w:firstLine="480" w:firstLineChars="200"/>
                        <w:rPr>
                          <w:bCs/>
                          <w:kern w:val="0"/>
                          <w:sz w:val="24"/>
                        </w:rPr>
                      </w:pPr>
                    </w:p>
                    <w:p w14:paraId="1E317B65">
                      <w:pPr>
                        <w:adjustRightInd w:val="0"/>
                        <w:snapToGrid w:val="0"/>
                        <w:spacing w:line="360" w:lineRule="auto"/>
                        <w:ind w:firstLine="480" w:firstLineChars="200"/>
                      </w:pPr>
                      <w:r>
                        <w:rPr>
                          <w:kern w:val="21"/>
                          <w:sz w:val="24"/>
                        </w:rPr>
                        <w:t>综上所述，本项目符合国家相关产业政策和规划要求，各项污染物治理后可达标排放，固体废物合理处置。建设单位应认真落实本报告中提出的各项污染防治措施及建议，加强环境管理，其废水、废气、噪声、固废、环境风险等对周围环境影响可以降低到最低程度，从环境保护角度分析，该建设项目可行。</w:t>
                      </w:r>
                    </w:p>
                  </w:txbxContent>
                </v:textbox>
              </v:shape>
            </w:pict>
          </mc:Fallback>
        </mc:AlternateContent>
      </w:r>
    </w:p>
    <w:p w14:paraId="2ABAF993">
      <w:pPr>
        <w:pStyle w:val="29"/>
        <w:tabs>
          <w:tab w:val="left" w:pos="10080"/>
        </w:tabs>
        <w:spacing w:before="0" w:beforeAutospacing="0" w:after="0" w:afterAutospacing="0"/>
        <w:jc w:val="left"/>
        <w:outlineLvl w:val="0"/>
        <w:rPr>
          <w:color w:val="auto"/>
        </w:rPr>
      </w:pPr>
      <w:bookmarkStart w:id="313" w:name="_Toc29904"/>
      <w:bookmarkStart w:id="314" w:name="_Toc2276"/>
      <w:bookmarkStart w:id="315" w:name="_Toc1827"/>
      <w:bookmarkStart w:id="316" w:name="_Toc22321"/>
      <w:bookmarkStart w:id="317" w:name="_Toc18677"/>
      <w:r>
        <w:rPr>
          <w:rFonts w:hint="eastAsia"/>
          <w:color w:val="auto"/>
        </w:rPr>
        <w:t>附表</w:t>
      </w:r>
      <w:bookmarkEnd w:id="313"/>
      <w:bookmarkEnd w:id="314"/>
      <w:bookmarkEnd w:id="315"/>
      <w:bookmarkEnd w:id="316"/>
      <w:bookmarkEnd w:id="317"/>
    </w:p>
    <w:p w14:paraId="25F259F1">
      <w:pPr>
        <w:pStyle w:val="29"/>
        <w:adjustRightInd w:val="0"/>
        <w:snapToGrid w:val="0"/>
        <w:spacing w:before="0" w:beforeAutospacing="0" w:after="0" w:afterAutospacing="0"/>
        <w:outlineLvl w:val="0"/>
        <w:rPr>
          <w:rFonts w:hint="eastAsia" w:ascii="方正小标宋_GBK" w:hAnsi="黑体" w:eastAsia="方正小标宋_GBK"/>
          <w:snapToGrid w:val="0"/>
          <w:color w:val="auto"/>
          <w:sz w:val="38"/>
          <w:szCs w:val="38"/>
        </w:rPr>
      </w:pPr>
      <w:bookmarkStart w:id="318" w:name="_Toc18095"/>
      <w:bookmarkStart w:id="319" w:name="_Toc9830"/>
      <w:bookmarkStart w:id="320" w:name="_Toc31478"/>
      <w:r>
        <w:rPr>
          <w:rFonts w:hint="eastAsia" w:ascii="方正小标宋_GBK" w:hAnsi="黑体" w:eastAsia="方正小标宋_GBK"/>
          <w:snapToGrid w:val="0"/>
          <w:color w:val="auto"/>
          <w:sz w:val="38"/>
          <w:szCs w:val="38"/>
        </w:rPr>
        <w:t>建设项目污染物排放量汇总表</w:t>
      </w:r>
      <w:bookmarkEnd w:id="318"/>
      <w:bookmarkEnd w:id="319"/>
      <w:bookmarkEnd w:id="320"/>
    </w:p>
    <w:tbl>
      <w:tblPr>
        <w:tblStyle w:val="3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453"/>
        <w:gridCol w:w="1332"/>
      </w:tblGrid>
      <w:tr w14:paraId="3A1064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728E9979">
            <w:pPr>
              <w:pStyle w:val="67"/>
              <w:spacing w:beforeLines="0" w:afterLines="0" w:line="240" w:lineRule="auto"/>
              <w:jc w:val="right"/>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项目</w:t>
            </w:r>
          </w:p>
          <w:p w14:paraId="33DC6805">
            <w:pPr>
              <w:pStyle w:val="67"/>
              <w:spacing w:beforeLines="0" w:afterLines="0" w:line="240" w:lineRule="auto"/>
              <w:jc w:val="left"/>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分类</w:t>
            </w:r>
          </w:p>
        </w:tc>
        <w:tc>
          <w:tcPr>
            <w:tcW w:w="1417" w:type="dxa"/>
            <w:tcMar>
              <w:left w:w="28" w:type="dxa"/>
              <w:right w:w="28" w:type="dxa"/>
            </w:tcMar>
            <w:vAlign w:val="center"/>
          </w:tcPr>
          <w:p w14:paraId="047FA290">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污染物名称</w:t>
            </w:r>
          </w:p>
        </w:tc>
        <w:tc>
          <w:tcPr>
            <w:tcW w:w="1701" w:type="dxa"/>
            <w:tcMar>
              <w:left w:w="28" w:type="dxa"/>
              <w:right w:w="28" w:type="dxa"/>
            </w:tcMar>
            <w:vAlign w:val="center"/>
          </w:tcPr>
          <w:p w14:paraId="108565AD">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14:paraId="39472A08">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1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①</w:t>
            </w:r>
            <w:r>
              <w:rPr>
                <w:rFonts w:hint="default" w:ascii="Times New Roman" w:hAnsi="Times New Roman" w:eastAsia="宋体" w:cs="Times New Roman"/>
                <w:snapToGrid w:val="0"/>
                <w:color w:val="auto"/>
                <w:spacing w:val="-6"/>
                <w:kern w:val="21"/>
                <w:sz w:val="21"/>
                <w:szCs w:val="21"/>
              </w:rPr>
              <w:fldChar w:fldCharType="end"/>
            </w:r>
          </w:p>
        </w:tc>
        <w:tc>
          <w:tcPr>
            <w:tcW w:w="1276" w:type="dxa"/>
            <w:tcMar>
              <w:left w:w="28" w:type="dxa"/>
              <w:right w:w="28" w:type="dxa"/>
            </w:tcMar>
            <w:vAlign w:val="center"/>
          </w:tcPr>
          <w:p w14:paraId="054F9CA3">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14:paraId="5B5574E9">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许可排放量</w:t>
            </w:r>
          </w:p>
          <w:p w14:paraId="0798308C">
            <w:pPr>
              <w:pStyle w:val="67"/>
              <w:spacing w:beforeLines="0" w:afterLines="0"/>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2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snapToGrid w:val="0"/>
                <w:color w:val="auto"/>
                <w:spacing w:val="-6"/>
                <w:kern w:val="21"/>
                <w:sz w:val="21"/>
                <w:szCs w:val="21"/>
              </w:rPr>
              <w:t>②</w:t>
            </w:r>
            <w:r>
              <w:rPr>
                <w:rFonts w:hint="default" w:ascii="Times New Roman" w:hAnsi="Times New Roman" w:eastAsia="宋体" w:cs="Times New Roman"/>
                <w:snapToGrid w:val="0"/>
                <w:color w:val="auto"/>
                <w:spacing w:val="-6"/>
                <w:kern w:val="21"/>
                <w:sz w:val="21"/>
                <w:szCs w:val="21"/>
              </w:rPr>
              <w:fldChar w:fldCharType="end"/>
            </w:r>
          </w:p>
        </w:tc>
        <w:tc>
          <w:tcPr>
            <w:tcW w:w="1701" w:type="dxa"/>
            <w:tcMar>
              <w:left w:w="28" w:type="dxa"/>
              <w:right w:w="28" w:type="dxa"/>
            </w:tcMar>
            <w:vAlign w:val="center"/>
          </w:tcPr>
          <w:p w14:paraId="5A7E51CE">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在建工程</w:t>
            </w:r>
          </w:p>
          <w:p w14:paraId="42CEFF67">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3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③</w:t>
            </w:r>
            <w:r>
              <w:rPr>
                <w:rFonts w:hint="default" w:ascii="Times New Roman" w:hAnsi="Times New Roman" w:eastAsia="宋体" w:cs="Times New Roman"/>
                <w:snapToGrid w:val="0"/>
                <w:color w:val="auto"/>
                <w:spacing w:val="-6"/>
                <w:kern w:val="21"/>
                <w:sz w:val="21"/>
                <w:szCs w:val="21"/>
              </w:rPr>
              <w:fldChar w:fldCharType="end"/>
            </w:r>
          </w:p>
        </w:tc>
        <w:tc>
          <w:tcPr>
            <w:tcW w:w="1559" w:type="dxa"/>
            <w:tcMar>
              <w:left w:w="28" w:type="dxa"/>
              <w:right w:w="28" w:type="dxa"/>
            </w:tcMar>
            <w:vAlign w:val="center"/>
          </w:tcPr>
          <w:p w14:paraId="673F343D">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本项目</w:t>
            </w:r>
          </w:p>
          <w:p w14:paraId="2A6964EC">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4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④</w:t>
            </w:r>
            <w:r>
              <w:rPr>
                <w:rFonts w:hint="default" w:ascii="Times New Roman" w:hAnsi="Times New Roman" w:eastAsia="宋体" w:cs="Times New Roman"/>
                <w:snapToGrid w:val="0"/>
                <w:color w:val="auto"/>
                <w:spacing w:val="-6"/>
                <w:kern w:val="21"/>
                <w:sz w:val="21"/>
                <w:szCs w:val="21"/>
              </w:rPr>
              <w:fldChar w:fldCharType="end"/>
            </w:r>
          </w:p>
        </w:tc>
        <w:tc>
          <w:tcPr>
            <w:tcW w:w="1761" w:type="dxa"/>
            <w:tcMar>
              <w:left w:w="28" w:type="dxa"/>
              <w:right w:w="28" w:type="dxa"/>
            </w:tcMar>
            <w:vAlign w:val="center"/>
          </w:tcPr>
          <w:p w14:paraId="584550D4">
            <w:pPr>
              <w:pStyle w:val="67"/>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以新带老削减量</w:t>
            </w:r>
          </w:p>
          <w:p w14:paraId="4F828EA4">
            <w:pPr>
              <w:pStyle w:val="67"/>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（新建项目不填）</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5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⑤</w:t>
            </w:r>
            <w:r>
              <w:rPr>
                <w:rFonts w:hint="default" w:ascii="Times New Roman" w:hAnsi="Times New Roman" w:eastAsia="宋体" w:cs="Times New Roman"/>
                <w:snapToGrid w:val="0"/>
                <w:color w:val="auto"/>
                <w:spacing w:val="-16"/>
                <w:kern w:val="21"/>
                <w:sz w:val="21"/>
                <w:szCs w:val="21"/>
              </w:rPr>
              <w:fldChar w:fldCharType="end"/>
            </w:r>
          </w:p>
        </w:tc>
        <w:tc>
          <w:tcPr>
            <w:tcW w:w="1453" w:type="dxa"/>
            <w:tcMar>
              <w:left w:w="28" w:type="dxa"/>
              <w:right w:w="28" w:type="dxa"/>
            </w:tcMar>
            <w:vAlign w:val="center"/>
          </w:tcPr>
          <w:p w14:paraId="20ADA7AD">
            <w:pPr>
              <w:pStyle w:val="67"/>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本项目建成后</w:t>
            </w:r>
          </w:p>
          <w:p w14:paraId="3E670E47">
            <w:pPr>
              <w:pStyle w:val="67"/>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全厂排放量（固体废物产生量）</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6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⑥</w:t>
            </w:r>
            <w:r>
              <w:rPr>
                <w:rFonts w:hint="default" w:ascii="Times New Roman" w:hAnsi="Times New Roman" w:eastAsia="宋体" w:cs="Times New Roman"/>
                <w:snapToGrid w:val="0"/>
                <w:color w:val="auto"/>
                <w:spacing w:val="-16"/>
                <w:kern w:val="21"/>
                <w:sz w:val="21"/>
                <w:szCs w:val="21"/>
              </w:rPr>
              <w:fldChar w:fldCharType="end"/>
            </w:r>
          </w:p>
        </w:tc>
        <w:tc>
          <w:tcPr>
            <w:tcW w:w="1332" w:type="dxa"/>
            <w:tcMar>
              <w:left w:w="28" w:type="dxa"/>
              <w:right w:w="28" w:type="dxa"/>
            </w:tcMar>
            <w:vAlign w:val="center"/>
          </w:tcPr>
          <w:p w14:paraId="3259F9E0">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变化量</w:t>
            </w:r>
          </w:p>
          <w:p w14:paraId="6EB2D68C">
            <w:pPr>
              <w:pStyle w:val="67"/>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7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⑦</w:t>
            </w:r>
            <w:r>
              <w:rPr>
                <w:rFonts w:hint="default" w:ascii="Times New Roman" w:hAnsi="Times New Roman" w:eastAsia="宋体" w:cs="Times New Roman"/>
                <w:snapToGrid w:val="0"/>
                <w:color w:val="auto"/>
                <w:spacing w:val="-6"/>
                <w:kern w:val="21"/>
                <w:sz w:val="21"/>
                <w:szCs w:val="21"/>
              </w:rPr>
              <w:fldChar w:fldCharType="end"/>
            </w:r>
          </w:p>
        </w:tc>
      </w:tr>
      <w:tr w14:paraId="3FFA36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588" w:type="dxa"/>
            <w:vMerge w:val="restart"/>
            <w:vAlign w:val="center"/>
          </w:tcPr>
          <w:p w14:paraId="4572D6D5">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废气</w:t>
            </w:r>
          </w:p>
        </w:tc>
        <w:tc>
          <w:tcPr>
            <w:tcW w:w="1417" w:type="dxa"/>
            <w:shd w:val="clear" w:color="auto" w:fill="auto"/>
            <w:vAlign w:val="center"/>
          </w:tcPr>
          <w:p w14:paraId="51FF8E12">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颗粒物</w:t>
            </w:r>
          </w:p>
        </w:tc>
        <w:tc>
          <w:tcPr>
            <w:tcW w:w="1701" w:type="dxa"/>
            <w:vAlign w:val="center"/>
          </w:tcPr>
          <w:p w14:paraId="222C3EDF">
            <w:pPr>
              <w:autoSpaceDE w:val="0"/>
              <w:autoSpaceDN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color w:val="auto"/>
                <w:sz w:val="21"/>
                <w:szCs w:val="21"/>
                <w:lang w:val="en-US" w:eastAsia="zh-CN"/>
              </w:rPr>
              <w:t>0.1928</w:t>
            </w:r>
          </w:p>
        </w:tc>
        <w:tc>
          <w:tcPr>
            <w:tcW w:w="1276" w:type="dxa"/>
            <w:vAlign w:val="center"/>
          </w:tcPr>
          <w:p w14:paraId="5E1D0D1E">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4DCF0E46">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27FAD806">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0.010</w:t>
            </w:r>
            <w:r>
              <w:rPr>
                <w:rFonts w:hint="eastAsia" w:cs="Times New Roman"/>
                <w:i w:val="0"/>
                <w:iCs w:val="0"/>
                <w:color w:val="auto"/>
                <w:kern w:val="0"/>
                <w:sz w:val="21"/>
                <w:szCs w:val="21"/>
                <w:u w:val="none"/>
                <w:lang w:val="en-US" w:eastAsia="zh-CN" w:bidi="ar"/>
              </w:rPr>
              <w:t>5</w:t>
            </w:r>
          </w:p>
        </w:tc>
        <w:tc>
          <w:tcPr>
            <w:tcW w:w="1761" w:type="dxa"/>
            <w:vAlign w:val="center"/>
          </w:tcPr>
          <w:p w14:paraId="77278B97">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419E6A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b w:val="0"/>
                <w:bCs w:val="0"/>
                <w:color w:val="auto"/>
                <w:sz w:val="21"/>
                <w:szCs w:val="21"/>
                <w:lang w:val="en-US" w:eastAsia="zh-CN"/>
              </w:rPr>
              <w:t>0.2033</w:t>
            </w:r>
          </w:p>
        </w:tc>
        <w:tc>
          <w:tcPr>
            <w:tcW w:w="1332" w:type="dxa"/>
            <w:vAlign w:val="center"/>
          </w:tcPr>
          <w:p w14:paraId="0B8199CA">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rPr>
            </w:pPr>
            <w:r>
              <w:rPr>
                <w:rFonts w:hint="eastAsia" w:cs="Times New Roman"/>
                <w:i w:val="0"/>
                <w:iCs w:val="0"/>
                <w:color w:val="auto"/>
                <w:kern w:val="0"/>
                <w:sz w:val="21"/>
                <w:szCs w:val="21"/>
                <w:u w:val="none"/>
                <w:lang w:val="en-US" w:eastAsia="zh-CN" w:bidi="ar"/>
              </w:rPr>
              <w:t>+</w:t>
            </w:r>
            <w:r>
              <w:rPr>
                <w:rFonts w:hint="eastAsia" w:cs="Times New Roman"/>
                <w:b w:val="0"/>
                <w:bCs w:val="0"/>
                <w:color w:val="auto"/>
                <w:sz w:val="21"/>
                <w:szCs w:val="21"/>
                <w:lang w:val="en-US" w:eastAsia="zh-CN"/>
              </w:rPr>
              <w:t>0.0105</w:t>
            </w:r>
          </w:p>
        </w:tc>
      </w:tr>
      <w:tr w14:paraId="35ECD9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588" w:type="dxa"/>
            <w:vMerge w:val="continue"/>
            <w:vAlign w:val="center"/>
          </w:tcPr>
          <w:p w14:paraId="31EC74C0">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29DA10FA">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非甲烷总烃</w:t>
            </w:r>
          </w:p>
        </w:tc>
        <w:tc>
          <w:tcPr>
            <w:tcW w:w="1701" w:type="dxa"/>
            <w:vAlign w:val="center"/>
          </w:tcPr>
          <w:p w14:paraId="5CE0E932">
            <w:pPr>
              <w:autoSpaceDE w:val="0"/>
              <w:autoSpaceDN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rPr>
            </w:pPr>
            <w:r>
              <w:rPr>
                <w:rFonts w:hint="eastAsia" w:ascii="Times New Roman" w:hAnsi="Times New Roman" w:eastAsia="宋体" w:cs="Times New Roman"/>
                <w:color w:val="auto"/>
                <w:sz w:val="21"/>
                <w:szCs w:val="21"/>
                <w:lang w:val="en-US" w:eastAsia="zh-CN"/>
              </w:rPr>
              <w:t>0.4428</w:t>
            </w:r>
          </w:p>
        </w:tc>
        <w:tc>
          <w:tcPr>
            <w:tcW w:w="1276" w:type="dxa"/>
            <w:vAlign w:val="center"/>
          </w:tcPr>
          <w:p w14:paraId="50078EBD">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0E1CB770">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3710B9D0">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rPr>
            </w:pPr>
            <w:r>
              <w:rPr>
                <w:rFonts w:hint="default" w:cs="Times New Roman"/>
                <w:b w:val="0"/>
                <w:bCs w:val="0"/>
                <w:color w:val="auto"/>
                <w:sz w:val="21"/>
                <w:szCs w:val="21"/>
                <w:lang w:val="en-US" w:eastAsia="zh-CN"/>
              </w:rPr>
              <w:t>0.0</w:t>
            </w:r>
            <w:r>
              <w:rPr>
                <w:rFonts w:hint="eastAsia" w:cs="Times New Roman"/>
                <w:b w:val="0"/>
                <w:bCs w:val="0"/>
                <w:color w:val="auto"/>
                <w:sz w:val="21"/>
                <w:szCs w:val="21"/>
                <w:lang w:val="en-US" w:eastAsia="zh-CN"/>
              </w:rPr>
              <w:t>528</w:t>
            </w:r>
          </w:p>
        </w:tc>
        <w:tc>
          <w:tcPr>
            <w:tcW w:w="1761" w:type="dxa"/>
            <w:vAlign w:val="center"/>
          </w:tcPr>
          <w:p w14:paraId="1E84FEDF">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3F5D8E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b w:val="0"/>
                <w:bCs w:val="0"/>
                <w:color w:val="auto"/>
                <w:sz w:val="21"/>
                <w:szCs w:val="21"/>
                <w:lang w:val="en-US" w:eastAsia="zh-CN"/>
              </w:rPr>
              <w:t>0.4956</w:t>
            </w:r>
          </w:p>
        </w:tc>
        <w:tc>
          <w:tcPr>
            <w:tcW w:w="1332" w:type="dxa"/>
            <w:vAlign w:val="center"/>
          </w:tcPr>
          <w:p w14:paraId="439D2ABD">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rPr>
            </w:pPr>
            <w:r>
              <w:rPr>
                <w:rFonts w:hint="eastAsia" w:cs="Times New Roman"/>
                <w:i w:val="0"/>
                <w:iCs w:val="0"/>
                <w:color w:val="auto"/>
                <w:kern w:val="0"/>
                <w:sz w:val="21"/>
                <w:szCs w:val="21"/>
                <w:u w:val="none"/>
                <w:lang w:val="en-US" w:eastAsia="zh-CN" w:bidi="ar"/>
              </w:rPr>
              <w:t>+</w:t>
            </w:r>
            <w:r>
              <w:rPr>
                <w:rFonts w:hint="default" w:cs="Times New Roman"/>
                <w:b w:val="0"/>
                <w:bCs w:val="0"/>
                <w:color w:val="auto"/>
                <w:sz w:val="21"/>
                <w:szCs w:val="21"/>
                <w:lang w:val="en-US" w:eastAsia="zh-CN"/>
              </w:rPr>
              <w:t>0.0</w:t>
            </w:r>
            <w:r>
              <w:rPr>
                <w:rFonts w:hint="eastAsia" w:cs="Times New Roman"/>
                <w:b w:val="0"/>
                <w:bCs w:val="0"/>
                <w:color w:val="auto"/>
                <w:sz w:val="21"/>
                <w:szCs w:val="21"/>
                <w:lang w:val="en-US" w:eastAsia="zh-CN"/>
              </w:rPr>
              <w:t>528</w:t>
            </w:r>
          </w:p>
        </w:tc>
      </w:tr>
      <w:tr w14:paraId="25482D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588" w:type="dxa"/>
            <w:vMerge w:val="continue"/>
            <w:vAlign w:val="center"/>
          </w:tcPr>
          <w:p w14:paraId="4262B520">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4FE4D0B6">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氨</w:t>
            </w:r>
          </w:p>
        </w:tc>
        <w:tc>
          <w:tcPr>
            <w:tcW w:w="1701" w:type="dxa"/>
            <w:vAlign w:val="center"/>
          </w:tcPr>
          <w:p w14:paraId="17E09B77">
            <w:pPr>
              <w:autoSpaceDE w:val="0"/>
              <w:autoSpaceDN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rPr>
            </w:pPr>
            <w:r>
              <w:rPr>
                <w:rFonts w:hint="eastAsia" w:ascii="Times New Roman" w:hAnsi="Times New Roman" w:eastAsia="宋体" w:cs="Times New Roman"/>
                <w:color w:val="auto"/>
                <w:sz w:val="21"/>
                <w:szCs w:val="21"/>
                <w:lang w:val="en-US" w:eastAsia="zh-CN"/>
              </w:rPr>
              <w:t>0.05</w:t>
            </w:r>
          </w:p>
        </w:tc>
        <w:tc>
          <w:tcPr>
            <w:tcW w:w="1276" w:type="dxa"/>
            <w:vAlign w:val="center"/>
          </w:tcPr>
          <w:p w14:paraId="72D0089F">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5EAD8A6B">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78142609">
            <w:pPr>
              <w:pStyle w:val="67"/>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color w:val="auto"/>
                <w:sz w:val="21"/>
                <w:szCs w:val="21"/>
                <w:vertAlign w:val="baseline"/>
                <w:lang w:val="en-US" w:eastAsia="zh-CN"/>
              </w:rPr>
              <w:t>/</w:t>
            </w:r>
          </w:p>
        </w:tc>
        <w:tc>
          <w:tcPr>
            <w:tcW w:w="1761" w:type="dxa"/>
            <w:vAlign w:val="center"/>
          </w:tcPr>
          <w:p w14:paraId="4C1DA4A0">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vAlign w:val="center"/>
          </w:tcPr>
          <w:p w14:paraId="6BD67B77">
            <w:pPr>
              <w:adjustRightInd w:val="0"/>
              <w:snapToGrid w:val="0"/>
              <w:jc w:val="center"/>
              <w:rPr>
                <w:rFonts w:hint="default" w:ascii="Times New Roman" w:hAnsi="Times New Roman" w:eastAsia="宋体" w:cs="Times New Roman"/>
                <w:snapToGrid w:val="0"/>
                <w:color w:val="auto"/>
                <w:kern w:val="21"/>
                <w:sz w:val="21"/>
                <w:szCs w:val="21"/>
              </w:rPr>
            </w:pPr>
            <w:r>
              <w:rPr>
                <w:rFonts w:hint="eastAsia" w:ascii="Times New Roman" w:hAnsi="Times New Roman" w:eastAsia="宋体" w:cs="Times New Roman"/>
                <w:color w:val="auto"/>
                <w:kern w:val="2"/>
                <w:sz w:val="21"/>
                <w:szCs w:val="21"/>
                <w:lang w:val="en-US" w:eastAsia="zh-CN" w:bidi="ar-SA"/>
              </w:rPr>
              <w:t>0.05</w:t>
            </w:r>
          </w:p>
        </w:tc>
        <w:tc>
          <w:tcPr>
            <w:tcW w:w="1332" w:type="dxa"/>
            <w:vAlign w:val="center"/>
          </w:tcPr>
          <w:p w14:paraId="4B3C9F06">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eastAsia" w:ascii="Times New Roman" w:cs="Times New Roman"/>
                <w:color w:val="auto"/>
                <w:sz w:val="21"/>
                <w:szCs w:val="21"/>
                <w:vertAlign w:val="baseline"/>
                <w:lang w:val="en-US" w:eastAsia="zh-CN"/>
              </w:rPr>
              <w:t>0</w:t>
            </w:r>
          </w:p>
        </w:tc>
      </w:tr>
      <w:tr w14:paraId="56C6F0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14:paraId="3F7820BB">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废水</w:t>
            </w:r>
          </w:p>
        </w:tc>
        <w:tc>
          <w:tcPr>
            <w:tcW w:w="1417" w:type="dxa"/>
            <w:vAlign w:val="center"/>
          </w:tcPr>
          <w:p w14:paraId="63D9D869">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COD</w:t>
            </w:r>
          </w:p>
        </w:tc>
        <w:tc>
          <w:tcPr>
            <w:tcW w:w="1701" w:type="dxa"/>
            <w:vAlign w:val="center"/>
          </w:tcPr>
          <w:p w14:paraId="6805B940">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276" w:type="dxa"/>
            <w:vAlign w:val="center"/>
          </w:tcPr>
          <w:p w14:paraId="598154EA">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416B3D47">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68341157">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61" w:type="dxa"/>
            <w:vAlign w:val="center"/>
          </w:tcPr>
          <w:p w14:paraId="3EF242B0">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vAlign w:val="center"/>
          </w:tcPr>
          <w:p w14:paraId="3C291C91">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332" w:type="dxa"/>
            <w:vAlign w:val="center"/>
          </w:tcPr>
          <w:p w14:paraId="1093B398">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r>
      <w:tr w14:paraId="4D1B81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588" w:type="dxa"/>
            <w:vMerge w:val="continue"/>
            <w:vAlign w:val="center"/>
          </w:tcPr>
          <w:p w14:paraId="10864DE8">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vAlign w:val="center"/>
          </w:tcPr>
          <w:p w14:paraId="0923FEC9">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NH</w:t>
            </w:r>
            <w:r>
              <w:rPr>
                <w:rFonts w:hint="default" w:ascii="Times New Roman" w:hAnsi="Times New Roman" w:eastAsia="宋体" w:cs="Times New Roman"/>
                <w:snapToGrid w:val="0"/>
                <w:color w:val="auto"/>
                <w:kern w:val="21"/>
                <w:sz w:val="21"/>
                <w:szCs w:val="21"/>
                <w:vertAlign w:val="subscript"/>
              </w:rPr>
              <w:t>3</w:t>
            </w:r>
            <w:r>
              <w:rPr>
                <w:rFonts w:hint="default" w:ascii="Times New Roman" w:hAnsi="Times New Roman" w:eastAsia="宋体" w:cs="Times New Roman"/>
                <w:snapToGrid w:val="0"/>
                <w:color w:val="auto"/>
                <w:kern w:val="21"/>
                <w:sz w:val="21"/>
                <w:szCs w:val="21"/>
              </w:rPr>
              <w:t>-N</w:t>
            </w:r>
          </w:p>
        </w:tc>
        <w:tc>
          <w:tcPr>
            <w:tcW w:w="1701" w:type="dxa"/>
            <w:vAlign w:val="center"/>
          </w:tcPr>
          <w:p w14:paraId="43759D4A">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276" w:type="dxa"/>
            <w:vAlign w:val="center"/>
          </w:tcPr>
          <w:p w14:paraId="605FCBFA">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0071D920">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1C3767E9">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61" w:type="dxa"/>
            <w:vAlign w:val="center"/>
          </w:tcPr>
          <w:p w14:paraId="5F9E5188">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vAlign w:val="center"/>
          </w:tcPr>
          <w:p w14:paraId="10D41668">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332" w:type="dxa"/>
            <w:vAlign w:val="center"/>
          </w:tcPr>
          <w:p w14:paraId="52794B7A">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r>
      <w:tr w14:paraId="63E6E8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588" w:type="dxa"/>
            <w:vMerge w:val="continue"/>
            <w:vAlign w:val="center"/>
          </w:tcPr>
          <w:p w14:paraId="02D97302">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vAlign w:val="center"/>
          </w:tcPr>
          <w:p w14:paraId="47A87DB6">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SS</w:t>
            </w:r>
          </w:p>
        </w:tc>
        <w:tc>
          <w:tcPr>
            <w:tcW w:w="1701" w:type="dxa"/>
            <w:vAlign w:val="center"/>
          </w:tcPr>
          <w:p w14:paraId="3808E346">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276" w:type="dxa"/>
            <w:vAlign w:val="center"/>
          </w:tcPr>
          <w:p w14:paraId="5EDBAE10">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50DA7F68">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0D90F613">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61" w:type="dxa"/>
            <w:vAlign w:val="center"/>
          </w:tcPr>
          <w:p w14:paraId="6E2DC09E">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vAlign w:val="center"/>
          </w:tcPr>
          <w:p w14:paraId="33CE5A8F">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332" w:type="dxa"/>
            <w:vAlign w:val="center"/>
          </w:tcPr>
          <w:p w14:paraId="47EF228B">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r>
      <w:tr w14:paraId="10324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588" w:type="dxa"/>
            <w:vMerge w:val="continue"/>
            <w:vAlign w:val="center"/>
          </w:tcPr>
          <w:p w14:paraId="65622923">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vAlign w:val="center"/>
          </w:tcPr>
          <w:p w14:paraId="0AC11FCD">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BOD</w:t>
            </w:r>
            <w:r>
              <w:rPr>
                <w:rFonts w:hint="default" w:ascii="Times New Roman" w:hAnsi="Times New Roman" w:eastAsia="宋体" w:cs="Times New Roman"/>
                <w:snapToGrid w:val="0"/>
                <w:color w:val="auto"/>
                <w:kern w:val="21"/>
                <w:sz w:val="21"/>
                <w:szCs w:val="21"/>
                <w:vertAlign w:val="subscript"/>
              </w:rPr>
              <w:t>5</w:t>
            </w:r>
          </w:p>
        </w:tc>
        <w:tc>
          <w:tcPr>
            <w:tcW w:w="1701" w:type="dxa"/>
            <w:vAlign w:val="center"/>
          </w:tcPr>
          <w:p w14:paraId="72676EFA">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276" w:type="dxa"/>
            <w:vAlign w:val="center"/>
          </w:tcPr>
          <w:p w14:paraId="2C77B14F">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1042636F">
            <w:pPr>
              <w:pStyle w:val="67"/>
              <w:spacing w:beforeLines="0" w:afterLines="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7847BE17">
            <w:pPr>
              <w:pStyle w:val="67"/>
              <w:spacing w:beforeLines="0" w:afterLines="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w:t>
            </w:r>
          </w:p>
        </w:tc>
        <w:tc>
          <w:tcPr>
            <w:tcW w:w="1761" w:type="dxa"/>
            <w:vAlign w:val="center"/>
          </w:tcPr>
          <w:p w14:paraId="28421CA8">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vAlign w:val="center"/>
          </w:tcPr>
          <w:p w14:paraId="7408872B">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332" w:type="dxa"/>
            <w:vAlign w:val="center"/>
          </w:tcPr>
          <w:p w14:paraId="3C01C294">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r>
      <w:tr w14:paraId="157E85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8" w:type="dxa"/>
            <w:vAlign w:val="center"/>
          </w:tcPr>
          <w:p w14:paraId="75553E80">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一般工业</w:t>
            </w:r>
          </w:p>
          <w:p w14:paraId="6E02E536">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固体废物</w:t>
            </w:r>
          </w:p>
        </w:tc>
        <w:tc>
          <w:tcPr>
            <w:tcW w:w="1417" w:type="dxa"/>
            <w:vAlign w:val="center"/>
          </w:tcPr>
          <w:p w14:paraId="3896E06E">
            <w:pPr>
              <w:adjustRightInd w:val="0"/>
              <w:snapToGrid w:val="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pacing w:val="8"/>
                <w:sz w:val="21"/>
                <w:szCs w:val="21"/>
              </w:rPr>
              <w:t>废包装</w:t>
            </w:r>
            <w:r>
              <w:rPr>
                <w:rFonts w:hint="default" w:ascii="Times New Roman" w:hAnsi="Times New Roman" w:eastAsia="宋体" w:cs="Times New Roman"/>
                <w:color w:val="auto"/>
                <w:spacing w:val="7"/>
                <w:sz w:val="21"/>
                <w:szCs w:val="21"/>
              </w:rPr>
              <w:t>袋</w:t>
            </w:r>
            <w:r>
              <w:rPr>
                <w:rFonts w:hint="default" w:ascii="Times New Roman" w:hAnsi="Times New Roman" w:eastAsia="宋体" w:cs="Times New Roman"/>
                <w:color w:val="auto"/>
                <w:spacing w:val="7"/>
                <w:sz w:val="21"/>
                <w:szCs w:val="21"/>
                <w:lang w:eastAsia="zh-CN"/>
              </w:rPr>
              <w:t>（</w:t>
            </w:r>
            <w:r>
              <w:rPr>
                <w:rFonts w:hint="default" w:ascii="Times New Roman" w:hAnsi="Times New Roman" w:eastAsia="宋体" w:cs="Times New Roman"/>
                <w:color w:val="auto"/>
                <w:spacing w:val="7"/>
                <w:sz w:val="21"/>
                <w:szCs w:val="21"/>
                <w:lang w:val="en-US" w:eastAsia="zh-CN"/>
              </w:rPr>
              <w:t>珍珠岩等</w:t>
            </w:r>
            <w:r>
              <w:rPr>
                <w:rFonts w:hint="default" w:ascii="Times New Roman" w:hAnsi="Times New Roman" w:eastAsia="宋体" w:cs="Times New Roman"/>
                <w:color w:val="auto"/>
                <w:spacing w:val="7"/>
                <w:sz w:val="21"/>
                <w:szCs w:val="21"/>
                <w:lang w:eastAsia="zh-CN"/>
              </w:rPr>
              <w:t>）</w:t>
            </w:r>
          </w:p>
        </w:tc>
        <w:tc>
          <w:tcPr>
            <w:tcW w:w="1701" w:type="dxa"/>
            <w:vAlign w:val="center"/>
          </w:tcPr>
          <w:p w14:paraId="767D52F7">
            <w:pPr>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eastAsia" w:ascii="Times New Roman" w:hAnsi="Times New Roman" w:eastAsia="宋体" w:cs="Times New Roman"/>
                <w:color w:val="auto"/>
                <w:kern w:val="2"/>
                <w:sz w:val="21"/>
                <w:szCs w:val="21"/>
                <w:lang w:val="en-US" w:eastAsia="zh-CN" w:bidi="ar-SA"/>
              </w:rPr>
              <w:t>0.19</w:t>
            </w:r>
          </w:p>
        </w:tc>
        <w:tc>
          <w:tcPr>
            <w:tcW w:w="1276" w:type="dxa"/>
            <w:vAlign w:val="center"/>
          </w:tcPr>
          <w:p w14:paraId="2D86ED8D">
            <w:pPr>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1E22F3A4">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vAlign w:val="center"/>
          </w:tcPr>
          <w:p w14:paraId="6FF31196">
            <w:pPr>
              <w:adjustRightInd w:val="0"/>
              <w:snapToGrid w:val="0"/>
              <w:jc w:val="center"/>
              <w:rPr>
                <w:rFonts w:hint="default" w:ascii="Times New Roman" w:hAnsi="Times New Roman" w:eastAsia="宋体" w:cs="Times New Roman"/>
                <w:snapToGrid w:val="0"/>
                <w:color w:val="auto"/>
                <w:kern w:val="21"/>
                <w:sz w:val="21"/>
                <w:szCs w:val="21"/>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88</w:t>
            </w:r>
          </w:p>
        </w:tc>
        <w:tc>
          <w:tcPr>
            <w:tcW w:w="1761" w:type="dxa"/>
            <w:vAlign w:val="center"/>
          </w:tcPr>
          <w:p w14:paraId="707E6CDC">
            <w:pPr>
              <w:pStyle w:val="67"/>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vAlign w:val="center"/>
          </w:tcPr>
          <w:p w14:paraId="59A1F642">
            <w:pPr>
              <w:adjustRightInd w:val="0"/>
              <w:snapToGrid w:val="0"/>
              <w:jc w:val="center"/>
              <w:rPr>
                <w:rFonts w:hint="default" w:ascii="Times New Roman" w:hAnsi="Times New Roman" w:eastAsia="宋体" w:cs="Times New Roman"/>
                <w:snapToGrid w:val="0"/>
                <w:color w:val="auto"/>
                <w:kern w:val="21"/>
                <w:sz w:val="21"/>
                <w:szCs w:val="21"/>
                <w:lang w:val="en-US"/>
              </w:rPr>
            </w:pPr>
            <w:r>
              <w:rPr>
                <w:rFonts w:hint="eastAsia" w:cs="Times New Roman"/>
                <w:color w:val="auto"/>
                <w:kern w:val="2"/>
                <w:sz w:val="21"/>
                <w:szCs w:val="21"/>
                <w:lang w:val="en-US" w:eastAsia="zh-CN" w:bidi="ar-SA"/>
              </w:rPr>
              <w:t>1.07</w:t>
            </w:r>
          </w:p>
        </w:tc>
        <w:tc>
          <w:tcPr>
            <w:tcW w:w="1332" w:type="dxa"/>
            <w:vAlign w:val="center"/>
          </w:tcPr>
          <w:p w14:paraId="44AF6894">
            <w:pPr>
              <w:adjustRightInd w:val="0"/>
              <w:snapToGrid w:val="0"/>
              <w:jc w:val="center"/>
              <w:rPr>
                <w:rFonts w:hint="default" w:ascii="Times New Roman" w:hAnsi="Times New Roman" w:eastAsia="宋体" w:cs="Times New Roman"/>
                <w:snapToGrid w:val="0"/>
                <w:color w:val="auto"/>
                <w:kern w:val="21"/>
                <w:sz w:val="21"/>
                <w:szCs w:val="21"/>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88</w:t>
            </w:r>
          </w:p>
        </w:tc>
      </w:tr>
      <w:tr w14:paraId="478EE1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1588" w:type="dxa"/>
            <w:vMerge w:val="restart"/>
            <w:vAlign w:val="center"/>
          </w:tcPr>
          <w:p w14:paraId="05308364">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危险废物</w:t>
            </w:r>
          </w:p>
        </w:tc>
        <w:tc>
          <w:tcPr>
            <w:tcW w:w="1417" w:type="dxa"/>
            <w:shd w:val="clear" w:color="auto" w:fill="auto"/>
            <w:vAlign w:val="center"/>
          </w:tcPr>
          <w:p w14:paraId="033BFB66">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废包装物</w:t>
            </w:r>
            <w:r>
              <w:rPr>
                <w:rFonts w:hint="eastAsia" w:ascii="Times New Roman" w:hAnsi="Times New Roman" w:eastAsia="宋体" w:cs="Times New Roman"/>
                <w:color w:val="auto"/>
                <w:sz w:val="21"/>
                <w:szCs w:val="21"/>
                <w:lang w:val="en-US" w:eastAsia="zh-CN"/>
              </w:rPr>
              <w:t>（危化品）</w:t>
            </w:r>
          </w:p>
        </w:tc>
        <w:tc>
          <w:tcPr>
            <w:tcW w:w="1701" w:type="dxa"/>
            <w:shd w:val="clear" w:color="auto" w:fill="auto"/>
            <w:vAlign w:val="center"/>
          </w:tcPr>
          <w:p w14:paraId="3F1F31CC">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3.49</w:t>
            </w:r>
          </w:p>
        </w:tc>
        <w:tc>
          <w:tcPr>
            <w:tcW w:w="1276" w:type="dxa"/>
            <w:shd w:val="clear" w:color="auto" w:fill="auto"/>
            <w:vAlign w:val="center"/>
          </w:tcPr>
          <w:p w14:paraId="491415A4">
            <w:pPr>
              <w:pStyle w:val="67"/>
              <w:spacing w:beforeLines="0" w:afterLines="0"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w:t>
            </w:r>
          </w:p>
        </w:tc>
        <w:tc>
          <w:tcPr>
            <w:tcW w:w="1701" w:type="dxa"/>
            <w:vAlign w:val="center"/>
          </w:tcPr>
          <w:p w14:paraId="65BE1F7E">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11D71A8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1.54</w:t>
            </w:r>
          </w:p>
        </w:tc>
        <w:tc>
          <w:tcPr>
            <w:tcW w:w="1761" w:type="dxa"/>
            <w:vAlign w:val="center"/>
          </w:tcPr>
          <w:p w14:paraId="0B12FF5E">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15E1AA8E">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5.03</w:t>
            </w:r>
          </w:p>
        </w:tc>
        <w:tc>
          <w:tcPr>
            <w:tcW w:w="1332" w:type="dxa"/>
            <w:shd w:val="clear" w:color="auto" w:fill="auto"/>
            <w:vAlign w:val="center"/>
          </w:tcPr>
          <w:p w14:paraId="68B03272">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1.54</w:t>
            </w:r>
          </w:p>
        </w:tc>
      </w:tr>
      <w:tr w14:paraId="5EEDE2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7973EEDF">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2E0BFCFF">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废机油</w:t>
            </w:r>
          </w:p>
        </w:tc>
        <w:tc>
          <w:tcPr>
            <w:tcW w:w="1701" w:type="dxa"/>
            <w:shd w:val="clear" w:color="auto" w:fill="auto"/>
            <w:vAlign w:val="center"/>
          </w:tcPr>
          <w:p w14:paraId="50C59C9D">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0.3</w:t>
            </w:r>
          </w:p>
        </w:tc>
        <w:tc>
          <w:tcPr>
            <w:tcW w:w="1276" w:type="dxa"/>
            <w:shd w:val="clear" w:color="auto" w:fill="auto"/>
            <w:vAlign w:val="center"/>
          </w:tcPr>
          <w:p w14:paraId="71214FDB">
            <w:pPr>
              <w:pStyle w:val="67"/>
              <w:spacing w:beforeLines="0" w:afterLines="0" w:line="240" w:lineRule="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snapToGrid w:val="0"/>
                <w:color w:val="auto"/>
                <w:kern w:val="21"/>
                <w:sz w:val="21"/>
                <w:szCs w:val="21"/>
              </w:rPr>
              <w:t>/</w:t>
            </w:r>
          </w:p>
        </w:tc>
        <w:tc>
          <w:tcPr>
            <w:tcW w:w="1701" w:type="dxa"/>
            <w:vAlign w:val="center"/>
          </w:tcPr>
          <w:p w14:paraId="4B040A30">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79ADC1B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0.2</w:t>
            </w:r>
          </w:p>
        </w:tc>
        <w:tc>
          <w:tcPr>
            <w:tcW w:w="1761" w:type="dxa"/>
            <w:vAlign w:val="center"/>
          </w:tcPr>
          <w:p w14:paraId="4179DCC1">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13A82333">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0.5</w:t>
            </w:r>
          </w:p>
        </w:tc>
        <w:tc>
          <w:tcPr>
            <w:tcW w:w="1332" w:type="dxa"/>
            <w:shd w:val="clear" w:color="auto" w:fill="auto"/>
            <w:vAlign w:val="center"/>
          </w:tcPr>
          <w:p w14:paraId="236177B5">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lang w:val="en-US" w:eastAsia="zh-CN"/>
              </w:rPr>
              <w:t>+0.2</w:t>
            </w:r>
          </w:p>
        </w:tc>
      </w:tr>
      <w:tr w14:paraId="79AD2D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589335D5">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113C7D22">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废油桶</w:t>
            </w:r>
          </w:p>
        </w:tc>
        <w:tc>
          <w:tcPr>
            <w:tcW w:w="1701" w:type="dxa"/>
            <w:shd w:val="clear" w:color="auto" w:fill="auto"/>
            <w:vAlign w:val="center"/>
          </w:tcPr>
          <w:p w14:paraId="2D5DDC0D">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0.11</w:t>
            </w:r>
          </w:p>
        </w:tc>
        <w:tc>
          <w:tcPr>
            <w:tcW w:w="1276" w:type="dxa"/>
            <w:shd w:val="clear" w:color="auto" w:fill="auto"/>
            <w:vAlign w:val="center"/>
          </w:tcPr>
          <w:p w14:paraId="0C74E806">
            <w:pPr>
              <w:pStyle w:val="67"/>
              <w:spacing w:beforeLines="0" w:afterLines="0"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w:t>
            </w:r>
          </w:p>
        </w:tc>
        <w:tc>
          <w:tcPr>
            <w:tcW w:w="1701" w:type="dxa"/>
            <w:vAlign w:val="center"/>
          </w:tcPr>
          <w:p w14:paraId="2C7C8EA7">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7D54B2CC">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0.1</w:t>
            </w:r>
          </w:p>
        </w:tc>
        <w:tc>
          <w:tcPr>
            <w:tcW w:w="1761" w:type="dxa"/>
            <w:vAlign w:val="center"/>
          </w:tcPr>
          <w:p w14:paraId="244DF819">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538F1AF7">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0.21</w:t>
            </w:r>
          </w:p>
        </w:tc>
        <w:tc>
          <w:tcPr>
            <w:tcW w:w="1332" w:type="dxa"/>
            <w:shd w:val="clear" w:color="auto" w:fill="auto"/>
            <w:vAlign w:val="center"/>
          </w:tcPr>
          <w:p w14:paraId="0D2EAD1F">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lang w:val="en-US" w:eastAsia="zh-CN"/>
              </w:rPr>
              <w:t>+0.1</w:t>
            </w:r>
          </w:p>
        </w:tc>
      </w:tr>
      <w:tr w14:paraId="777CC6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21A09899">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78DAAA71">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废油抹布</w:t>
            </w:r>
          </w:p>
        </w:tc>
        <w:tc>
          <w:tcPr>
            <w:tcW w:w="1701" w:type="dxa"/>
            <w:shd w:val="clear" w:color="auto" w:fill="auto"/>
            <w:vAlign w:val="center"/>
          </w:tcPr>
          <w:p w14:paraId="5A2280D2">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0.03</w:t>
            </w:r>
          </w:p>
        </w:tc>
        <w:tc>
          <w:tcPr>
            <w:tcW w:w="1276" w:type="dxa"/>
            <w:shd w:val="clear" w:color="auto" w:fill="auto"/>
            <w:vAlign w:val="center"/>
          </w:tcPr>
          <w:p w14:paraId="7E62CB74">
            <w:pPr>
              <w:pStyle w:val="67"/>
              <w:spacing w:beforeLines="0" w:afterLines="0"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w:t>
            </w:r>
          </w:p>
        </w:tc>
        <w:tc>
          <w:tcPr>
            <w:tcW w:w="1701" w:type="dxa"/>
            <w:vAlign w:val="center"/>
          </w:tcPr>
          <w:p w14:paraId="36417B1E">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41887FB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b w:val="0"/>
                <w:bCs w:val="0"/>
                <w:color w:val="auto"/>
                <w:sz w:val="21"/>
                <w:szCs w:val="21"/>
                <w:lang w:val="en-US" w:eastAsia="zh-CN"/>
              </w:rPr>
              <w:t>0.03</w:t>
            </w:r>
          </w:p>
        </w:tc>
        <w:tc>
          <w:tcPr>
            <w:tcW w:w="1761" w:type="dxa"/>
            <w:vAlign w:val="center"/>
          </w:tcPr>
          <w:p w14:paraId="5475DBEF">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24E47B6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0.06</w:t>
            </w:r>
          </w:p>
        </w:tc>
        <w:tc>
          <w:tcPr>
            <w:tcW w:w="1332" w:type="dxa"/>
            <w:shd w:val="clear" w:color="auto" w:fill="auto"/>
            <w:vAlign w:val="center"/>
          </w:tcPr>
          <w:p w14:paraId="78857CF6">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lang w:val="en-US" w:eastAsia="zh-CN"/>
              </w:rPr>
              <w:t>+0.03</w:t>
            </w:r>
          </w:p>
        </w:tc>
      </w:tr>
      <w:tr w14:paraId="7C0C68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1149C97E">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5A1AB6DF">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滤渣、废滤网</w:t>
            </w:r>
          </w:p>
        </w:tc>
        <w:tc>
          <w:tcPr>
            <w:tcW w:w="1701" w:type="dxa"/>
            <w:shd w:val="clear" w:color="auto" w:fill="auto"/>
            <w:vAlign w:val="center"/>
          </w:tcPr>
          <w:p w14:paraId="493486E4">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0.12</w:t>
            </w:r>
          </w:p>
        </w:tc>
        <w:tc>
          <w:tcPr>
            <w:tcW w:w="1276" w:type="dxa"/>
            <w:vAlign w:val="center"/>
          </w:tcPr>
          <w:p w14:paraId="46DB29BF">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096D55F2">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7392426E">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sz w:val="21"/>
                <w:szCs w:val="21"/>
                <w:lang w:val="en-US" w:eastAsia="zh-CN"/>
              </w:rPr>
              <w:t>0.05</w:t>
            </w:r>
          </w:p>
        </w:tc>
        <w:tc>
          <w:tcPr>
            <w:tcW w:w="1761" w:type="dxa"/>
            <w:vAlign w:val="center"/>
          </w:tcPr>
          <w:p w14:paraId="755C4D5C">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7D72C500">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0.1</w:t>
            </w:r>
            <w:r>
              <w:rPr>
                <w:rFonts w:hint="eastAsia" w:cs="Times New Roman"/>
                <w:color w:val="auto"/>
                <w:kern w:val="2"/>
                <w:sz w:val="21"/>
                <w:szCs w:val="21"/>
                <w:lang w:val="en-US" w:eastAsia="zh-CN" w:bidi="ar-SA"/>
              </w:rPr>
              <w:t>7</w:t>
            </w:r>
          </w:p>
        </w:tc>
        <w:tc>
          <w:tcPr>
            <w:tcW w:w="1332" w:type="dxa"/>
            <w:shd w:val="clear" w:color="auto" w:fill="auto"/>
            <w:vAlign w:val="center"/>
          </w:tcPr>
          <w:p w14:paraId="76089AC7">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bookmarkStart w:id="321" w:name="OLE_LINK9"/>
            <w:r>
              <w:rPr>
                <w:rFonts w:hint="eastAsia" w:ascii="Times New Roman" w:hAnsi="Times New Roman" w:cs="Times New Roman"/>
                <w:b w:val="0"/>
                <w:bCs w:val="0"/>
                <w:color w:val="auto"/>
                <w:sz w:val="21"/>
                <w:szCs w:val="21"/>
                <w:lang w:val="en-US" w:eastAsia="zh-CN"/>
              </w:rPr>
              <w:t>+</w:t>
            </w:r>
            <w:bookmarkEnd w:id="321"/>
            <w:r>
              <w:rPr>
                <w:rFonts w:hint="eastAsia" w:ascii="Times New Roman" w:hAnsi="Times New Roman" w:cs="Times New Roman"/>
                <w:b w:val="0"/>
                <w:bCs w:val="0"/>
                <w:color w:val="auto"/>
                <w:sz w:val="21"/>
                <w:szCs w:val="21"/>
                <w:lang w:val="en-US" w:eastAsia="zh-CN"/>
              </w:rPr>
              <w:t>0.0</w:t>
            </w:r>
            <w:r>
              <w:rPr>
                <w:rFonts w:hint="eastAsia" w:cs="Times New Roman"/>
                <w:b w:val="0"/>
                <w:bCs w:val="0"/>
                <w:color w:val="auto"/>
                <w:sz w:val="21"/>
                <w:szCs w:val="21"/>
                <w:lang w:val="en-US" w:eastAsia="zh-CN"/>
              </w:rPr>
              <w:t>5</w:t>
            </w:r>
          </w:p>
        </w:tc>
      </w:tr>
      <w:tr w14:paraId="0D6F8B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363EC78A">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3742B33C">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废包装瓶</w:t>
            </w:r>
          </w:p>
        </w:tc>
        <w:tc>
          <w:tcPr>
            <w:tcW w:w="1701" w:type="dxa"/>
            <w:shd w:val="clear" w:color="auto" w:fill="auto"/>
            <w:vAlign w:val="center"/>
          </w:tcPr>
          <w:p w14:paraId="5FA18361">
            <w:pPr>
              <w:autoSpaceDE w:val="0"/>
              <w:autoSpaceDN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宋体" w:hAnsi="宋体" w:cs="宋体"/>
                <w:color w:val="auto"/>
                <w:sz w:val="21"/>
                <w:szCs w:val="21"/>
                <w:lang w:val="en-US" w:eastAsia="zh-CN"/>
              </w:rPr>
              <w:t>0</w:t>
            </w:r>
          </w:p>
        </w:tc>
        <w:tc>
          <w:tcPr>
            <w:tcW w:w="1276" w:type="dxa"/>
            <w:vAlign w:val="center"/>
          </w:tcPr>
          <w:p w14:paraId="4CC05A14">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7064A382">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20ACBFB3">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0.006</w:t>
            </w:r>
          </w:p>
        </w:tc>
        <w:tc>
          <w:tcPr>
            <w:tcW w:w="1761" w:type="dxa"/>
            <w:vAlign w:val="center"/>
          </w:tcPr>
          <w:p w14:paraId="7C2F9B62">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1453" w:type="dxa"/>
            <w:shd w:val="clear" w:color="auto" w:fill="auto"/>
            <w:vAlign w:val="center"/>
          </w:tcPr>
          <w:p w14:paraId="164418CC">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0.006</w:t>
            </w:r>
          </w:p>
        </w:tc>
        <w:tc>
          <w:tcPr>
            <w:tcW w:w="1332" w:type="dxa"/>
            <w:shd w:val="clear" w:color="auto" w:fill="auto"/>
            <w:vAlign w:val="center"/>
          </w:tcPr>
          <w:p w14:paraId="477F7A0A">
            <w:pPr>
              <w:adjustRightInd w:val="0"/>
              <w:snapToGrid w:val="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+0.006</w:t>
            </w:r>
          </w:p>
        </w:tc>
      </w:tr>
      <w:tr w14:paraId="45C4BB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0D6A93E4">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1B943F6B">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隔油沉淀池污泥</w:t>
            </w:r>
          </w:p>
        </w:tc>
        <w:tc>
          <w:tcPr>
            <w:tcW w:w="1701" w:type="dxa"/>
            <w:shd w:val="clear" w:color="auto" w:fill="auto"/>
            <w:vAlign w:val="center"/>
          </w:tcPr>
          <w:p w14:paraId="43C17588">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0.05</w:t>
            </w:r>
          </w:p>
        </w:tc>
        <w:tc>
          <w:tcPr>
            <w:tcW w:w="1276" w:type="dxa"/>
            <w:vAlign w:val="center"/>
          </w:tcPr>
          <w:p w14:paraId="767CFA9B">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3F5818B8">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3ABA203D">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w:t>
            </w:r>
          </w:p>
        </w:tc>
        <w:tc>
          <w:tcPr>
            <w:tcW w:w="1761" w:type="dxa"/>
            <w:vAlign w:val="center"/>
          </w:tcPr>
          <w:p w14:paraId="5B557E30">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3551CAE4">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w:t>
            </w:r>
            <w:r>
              <w:rPr>
                <w:rFonts w:hint="eastAsia" w:cs="Times New Roman"/>
                <w:color w:val="auto"/>
                <w:kern w:val="2"/>
                <w:sz w:val="21"/>
                <w:szCs w:val="21"/>
                <w:lang w:val="en-US" w:eastAsia="zh-CN" w:bidi="ar-SA"/>
              </w:rPr>
              <w:t>25</w:t>
            </w:r>
          </w:p>
        </w:tc>
        <w:tc>
          <w:tcPr>
            <w:tcW w:w="1332" w:type="dxa"/>
            <w:shd w:val="clear" w:color="auto" w:fill="auto"/>
            <w:vAlign w:val="center"/>
          </w:tcPr>
          <w:p w14:paraId="6290144A">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w:t>
            </w:r>
          </w:p>
        </w:tc>
      </w:tr>
      <w:tr w14:paraId="6D2D34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14F679F6">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4E02FD3F">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sz w:val="21"/>
                <w:szCs w:val="21"/>
                <w:lang w:val="en-US" w:eastAsia="zh-CN"/>
              </w:rPr>
              <w:t>废炸药包装</w:t>
            </w:r>
          </w:p>
        </w:tc>
        <w:tc>
          <w:tcPr>
            <w:tcW w:w="1701" w:type="dxa"/>
            <w:shd w:val="clear" w:color="auto" w:fill="auto"/>
            <w:vAlign w:val="center"/>
          </w:tcPr>
          <w:p w14:paraId="3B5109A2">
            <w:pPr>
              <w:pStyle w:val="67"/>
              <w:spacing w:beforeLines="0" w:afterLines="0" w:line="240" w:lineRule="auto"/>
              <w:rPr>
                <w:rFonts w:hint="default" w:ascii="Times New Roman" w:hAnsi="Times New Roman" w:eastAsia="宋体" w:cs="Times New Roman"/>
                <w:color w:val="auto"/>
                <w:sz w:val="21"/>
                <w:szCs w:val="21"/>
                <w:lang w:val="en-US" w:eastAsia="zh-CN"/>
              </w:rPr>
            </w:pPr>
            <w:r>
              <w:rPr>
                <w:rFonts w:hint="eastAsia" w:ascii="Times New Roman" w:cs="Times New Roman"/>
                <w:snapToGrid w:val="0"/>
                <w:color w:val="auto"/>
                <w:kern w:val="21"/>
                <w:sz w:val="21"/>
                <w:szCs w:val="21"/>
                <w:lang w:val="en-US" w:eastAsia="zh-CN"/>
              </w:rPr>
              <w:t>0.05</w:t>
            </w:r>
          </w:p>
        </w:tc>
        <w:tc>
          <w:tcPr>
            <w:tcW w:w="1276" w:type="dxa"/>
            <w:vAlign w:val="center"/>
          </w:tcPr>
          <w:p w14:paraId="45F3731D">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65479D3F">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059D9BC4">
            <w:pPr>
              <w:pStyle w:val="67"/>
              <w:spacing w:beforeLines="0" w:afterLines="0" w:line="240" w:lineRule="auto"/>
              <w:rPr>
                <w:rFonts w:hint="default" w:ascii="Times New Roman" w:hAnsi="Times New Roman" w:cs="Times New Roman"/>
                <w:color w:val="auto"/>
                <w:sz w:val="21"/>
                <w:szCs w:val="21"/>
                <w:lang w:val="en-US" w:eastAsia="zh-CN"/>
              </w:rPr>
            </w:pPr>
            <w:r>
              <w:rPr>
                <w:rFonts w:hint="eastAsia" w:ascii="Times New Roman" w:cs="Times New Roman"/>
                <w:color w:val="auto"/>
                <w:spacing w:val="-2"/>
                <w:sz w:val="21"/>
                <w:szCs w:val="21"/>
                <w:lang w:val="en-US" w:eastAsia="zh-CN"/>
              </w:rPr>
              <w:t>0.05</w:t>
            </w:r>
          </w:p>
        </w:tc>
        <w:tc>
          <w:tcPr>
            <w:tcW w:w="1761" w:type="dxa"/>
            <w:vAlign w:val="center"/>
          </w:tcPr>
          <w:p w14:paraId="63931547">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4BC32077">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pacing w:val="-2"/>
                <w:sz w:val="21"/>
                <w:szCs w:val="21"/>
                <w:lang w:val="en-US" w:eastAsia="zh-CN"/>
              </w:rPr>
              <w:t>0.1</w:t>
            </w:r>
          </w:p>
        </w:tc>
        <w:tc>
          <w:tcPr>
            <w:tcW w:w="1332" w:type="dxa"/>
            <w:shd w:val="clear" w:color="auto" w:fill="auto"/>
            <w:vAlign w:val="center"/>
          </w:tcPr>
          <w:p w14:paraId="246E4850">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2"/>
                <w:sz w:val="21"/>
                <w:szCs w:val="21"/>
                <w:lang w:val="en-US" w:eastAsia="zh-CN"/>
              </w:rPr>
              <w:t>+</w:t>
            </w:r>
            <w:r>
              <w:rPr>
                <w:rFonts w:hint="eastAsia" w:cs="Times New Roman"/>
                <w:color w:val="auto"/>
                <w:spacing w:val="-2"/>
                <w:sz w:val="21"/>
                <w:szCs w:val="21"/>
                <w:lang w:val="en-US" w:eastAsia="zh-CN"/>
              </w:rPr>
              <w:t>0.05</w:t>
            </w:r>
          </w:p>
        </w:tc>
      </w:tr>
      <w:tr w14:paraId="1D9D0D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vMerge w:val="continue"/>
            <w:vAlign w:val="center"/>
          </w:tcPr>
          <w:p w14:paraId="513EF926">
            <w:pPr>
              <w:pStyle w:val="67"/>
              <w:spacing w:beforeLines="0" w:afterLines="0" w:line="240" w:lineRule="auto"/>
              <w:rPr>
                <w:rFonts w:hint="default" w:ascii="Times New Roman" w:hAnsi="Times New Roman" w:eastAsia="宋体" w:cs="Times New Roman"/>
                <w:snapToGrid w:val="0"/>
                <w:color w:val="auto"/>
                <w:kern w:val="21"/>
                <w:sz w:val="21"/>
                <w:szCs w:val="21"/>
              </w:rPr>
            </w:pPr>
          </w:p>
        </w:tc>
        <w:tc>
          <w:tcPr>
            <w:tcW w:w="1417" w:type="dxa"/>
            <w:shd w:val="clear" w:color="auto" w:fill="auto"/>
            <w:vAlign w:val="center"/>
          </w:tcPr>
          <w:p w14:paraId="0C480873">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不合格品</w:t>
            </w:r>
          </w:p>
        </w:tc>
        <w:tc>
          <w:tcPr>
            <w:tcW w:w="1701" w:type="dxa"/>
            <w:shd w:val="clear" w:color="auto" w:fill="auto"/>
            <w:vAlign w:val="center"/>
          </w:tcPr>
          <w:p w14:paraId="37DBAC32">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9.3</w:t>
            </w:r>
          </w:p>
        </w:tc>
        <w:tc>
          <w:tcPr>
            <w:tcW w:w="1276" w:type="dxa"/>
            <w:vAlign w:val="center"/>
          </w:tcPr>
          <w:p w14:paraId="2408FC1E">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701" w:type="dxa"/>
            <w:vAlign w:val="center"/>
          </w:tcPr>
          <w:p w14:paraId="7469C8AB">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641D91C5">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3.2</w:t>
            </w:r>
          </w:p>
        </w:tc>
        <w:tc>
          <w:tcPr>
            <w:tcW w:w="1761" w:type="dxa"/>
            <w:vAlign w:val="center"/>
          </w:tcPr>
          <w:p w14:paraId="61365FE6">
            <w:pPr>
              <w:pStyle w:val="67"/>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20FF646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12.5</w:t>
            </w:r>
          </w:p>
        </w:tc>
        <w:tc>
          <w:tcPr>
            <w:tcW w:w="1332" w:type="dxa"/>
            <w:shd w:val="clear" w:color="auto" w:fill="auto"/>
            <w:vAlign w:val="center"/>
          </w:tcPr>
          <w:p w14:paraId="1849E81A">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lang w:val="en-US" w:eastAsia="zh-CN"/>
              </w:rPr>
              <w:t>+3.2</w:t>
            </w:r>
          </w:p>
        </w:tc>
      </w:tr>
      <w:tr w14:paraId="516DA1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588" w:type="dxa"/>
            <w:shd w:val="clear" w:color="auto" w:fill="auto"/>
            <w:vAlign w:val="center"/>
          </w:tcPr>
          <w:p w14:paraId="6C8FEAA4">
            <w:pPr>
              <w:pStyle w:val="67"/>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生活垃圾</w:t>
            </w:r>
          </w:p>
        </w:tc>
        <w:tc>
          <w:tcPr>
            <w:tcW w:w="1417" w:type="dxa"/>
            <w:shd w:val="clear" w:color="auto" w:fill="auto"/>
            <w:vAlign w:val="center"/>
          </w:tcPr>
          <w:p w14:paraId="5382AF7C">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生活垃圾</w:t>
            </w:r>
          </w:p>
        </w:tc>
        <w:tc>
          <w:tcPr>
            <w:tcW w:w="1701" w:type="dxa"/>
            <w:shd w:val="clear" w:color="auto" w:fill="auto"/>
            <w:vAlign w:val="center"/>
          </w:tcPr>
          <w:p w14:paraId="0041EAC9">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23.4</w:t>
            </w:r>
          </w:p>
        </w:tc>
        <w:tc>
          <w:tcPr>
            <w:tcW w:w="1276" w:type="dxa"/>
            <w:shd w:val="clear" w:color="auto" w:fill="auto"/>
            <w:vAlign w:val="center"/>
          </w:tcPr>
          <w:p w14:paraId="70D02375">
            <w:pPr>
              <w:pStyle w:val="67"/>
              <w:spacing w:beforeLines="0" w:afterLines="0"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w:t>
            </w:r>
          </w:p>
        </w:tc>
        <w:tc>
          <w:tcPr>
            <w:tcW w:w="1701" w:type="dxa"/>
            <w:shd w:val="clear" w:color="auto" w:fill="auto"/>
            <w:vAlign w:val="center"/>
          </w:tcPr>
          <w:p w14:paraId="384D7595">
            <w:pPr>
              <w:pStyle w:val="67"/>
              <w:spacing w:beforeLines="0" w:afterLines="0" w:line="240" w:lineRule="auto"/>
              <w:rPr>
                <w:rFonts w:hint="default" w:ascii="Times New Roman" w:hAnsi="Times New Roman" w:eastAsia="宋体" w:cs="Times New Roman"/>
                <w:b/>
                <w:bCs/>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rPr>
              <w:t>/</w:t>
            </w:r>
          </w:p>
        </w:tc>
        <w:tc>
          <w:tcPr>
            <w:tcW w:w="1559" w:type="dxa"/>
            <w:shd w:val="clear" w:color="auto" w:fill="auto"/>
            <w:vAlign w:val="center"/>
          </w:tcPr>
          <w:p w14:paraId="1EF5BD33">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761" w:type="dxa"/>
            <w:shd w:val="clear" w:color="auto" w:fill="auto"/>
            <w:vAlign w:val="center"/>
          </w:tcPr>
          <w:p w14:paraId="4ECA8ED7">
            <w:pPr>
              <w:pStyle w:val="67"/>
              <w:spacing w:beforeLines="0" w:afterLines="0" w:line="240" w:lineRule="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21"/>
                <w:sz w:val="21"/>
                <w:szCs w:val="21"/>
              </w:rPr>
              <w:t>/</w:t>
            </w:r>
          </w:p>
        </w:tc>
        <w:tc>
          <w:tcPr>
            <w:tcW w:w="1453" w:type="dxa"/>
            <w:shd w:val="clear" w:color="auto" w:fill="auto"/>
            <w:vAlign w:val="center"/>
          </w:tcPr>
          <w:p w14:paraId="069F4DB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23.4</w:t>
            </w:r>
          </w:p>
        </w:tc>
        <w:tc>
          <w:tcPr>
            <w:tcW w:w="1332" w:type="dxa"/>
            <w:shd w:val="clear" w:color="auto" w:fill="auto"/>
            <w:vAlign w:val="center"/>
          </w:tcPr>
          <w:p w14:paraId="2385CF27">
            <w:pPr>
              <w:adjustRightInd w:val="0"/>
              <w:snapToGrid w:val="0"/>
              <w:jc w:val="center"/>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lang w:val="en-US" w:eastAsia="zh-CN" w:bidi="ar-SA"/>
              </w:rPr>
              <w:t>0</w:t>
            </w:r>
          </w:p>
        </w:tc>
      </w:tr>
    </w:tbl>
    <w:p w14:paraId="60E07B6F">
      <w:pPr>
        <w:pStyle w:val="67"/>
        <w:spacing w:before="192" w:beforeLines="80" w:after="24"/>
        <w:jc w:val="left"/>
        <w:rPr>
          <w:rFonts w:hint="eastAsia" w:hAnsi="宋体"/>
          <w:snapToGrid w:val="0"/>
          <w:color w:val="auto"/>
          <w:spacing w:val="-6"/>
          <w:kern w:val="21"/>
          <w:szCs w:val="21"/>
        </w:r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1419FD0B">
      <w:pPr>
        <w:rPr>
          <w:rFonts w:hint="eastAsia"/>
          <w:color w:val="auto"/>
        </w:rPr>
      </w:pPr>
    </w:p>
    <w:p w14:paraId="014AC739">
      <w:pPr>
        <w:pStyle w:val="41"/>
        <w:ind w:left="0" w:leftChars="0" w:firstLine="0" w:firstLineChars="0"/>
        <w:rPr>
          <w:rFonts w:hint="eastAsia"/>
          <w:color w:val="auto"/>
        </w:rPr>
      </w:pPr>
    </w:p>
    <w:p w14:paraId="110F3A2E">
      <w:pPr>
        <w:pStyle w:val="41"/>
        <w:ind w:firstLine="480"/>
        <w:rPr>
          <w:rFonts w:hint="eastAsia"/>
          <w:color w:val="auto"/>
        </w:rPr>
        <w:sectPr>
          <w:footerReference r:id="rId10" w:type="default"/>
          <w:pgSz w:w="16838" w:h="11905" w:orient="landscape"/>
          <w:pgMar w:top="1531" w:right="1701" w:bottom="1531" w:left="2126" w:header="851" w:footer="850" w:gutter="0"/>
          <w:pgBorders>
            <w:top w:val="none" w:sz="0" w:space="0"/>
            <w:left w:val="none" w:sz="0" w:space="0"/>
            <w:bottom w:val="none" w:sz="0" w:space="0"/>
            <w:right w:val="none" w:sz="0" w:space="0"/>
          </w:pgBorders>
          <w:pgNumType w:fmt="decimal"/>
          <w:cols w:space="720" w:num="1"/>
          <w:docGrid w:linePitch="312" w:charSpace="0"/>
        </w:sectPr>
      </w:pPr>
    </w:p>
    <w:p w14:paraId="6DA84C40">
      <w:pPr>
        <w:pStyle w:val="2"/>
        <w:jc w:val="both"/>
        <w:rPr>
          <w:color w:val="auto"/>
        </w:rPr>
      </w:pPr>
      <w:bookmarkStart w:id="322" w:name="_Toc8764"/>
      <w:bookmarkStart w:id="323" w:name="_Toc12419"/>
      <w:bookmarkStart w:id="324" w:name="_Toc7949"/>
      <w:bookmarkStart w:id="325" w:name="_Toc5154"/>
      <w:bookmarkStart w:id="326" w:name="_Toc14404"/>
      <w:r>
        <w:rPr>
          <w:rFonts w:hint="eastAsia"/>
          <w:color w:val="auto"/>
        </w:rPr>
        <w:t>附件</w:t>
      </w:r>
      <w:bookmarkEnd w:id="322"/>
      <w:bookmarkEnd w:id="323"/>
      <w:r>
        <w:rPr>
          <w:rFonts w:hint="eastAsia"/>
          <w:color w:val="auto"/>
        </w:rPr>
        <w:t>、附图</w:t>
      </w:r>
      <w:bookmarkEnd w:id="324"/>
      <w:bookmarkEnd w:id="325"/>
      <w:bookmarkEnd w:id="326"/>
    </w:p>
    <w:p w14:paraId="01BF16C9">
      <w:pPr>
        <w:pStyle w:val="3"/>
        <w:rPr>
          <w:color w:val="auto"/>
        </w:rPr>
      </w:pPr>
      <w:bookmarkStart w:id="327" w:name="_Toc18724"/>
      <w:bookmarkStart w:id="328" w:name="_Toc4082"/>
      <w:bookmarkStart w:id="329" w:name="_Toc30413"/>
      <w:r>
        <w:rPr>
          <w:rFonts w:hint="eastAsia"/>
          <w:color w:val="auto"/>
        </w:rPr>
        <w:t>附件1 委托书</w:t>
      </w:r>
      <w:bookmarkEnd w:id="327"/>
      <w:bookmarkEnd w:id="328"/>
      <w:bookmarkEnd w:id="329"/>
    </w:p>
    <w:p w14:paraId="4F592537">
      <w:pPr>
        <w:rPr>
          <w:color w:val="auto"/>
        </w:rPr>
      </w:pPr>
      <w:r>
        <w:rPr>
          <w:rFonts w:hint="eastAsia" w:ascii="宋体" w:hAnsi="宋体" w:eastAsia="宋体" w:cs="宋体"/>
          <w:color w:val="auto"/>
          <w:sz w:val="28"/>
          <w:szCs w:val="28"/>
          <w:lang w:eastAsia="zh-CN"/>
        </w:rPr>
        <w:drawing>
          <wp:inline distT="0" distB="0" distL="114300" distR="114300">
            <wp:extent cx="5029200" cy="7986395"/>
            <wp:effectExtent l="0" t="0" r="0" b="14605"/>
            <wp:docPr id="106" name="图片 106" descr="d8be1ecfb109dd8102b5fbc6a5bb1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d8be1ecfb109dd8102b5fbc6a5bb1bf6"/>
                    <pic:cNvPicPr>
                      <a:picLocks noChangeAspect="1"/>
                    </pic:cNvPicPr>
                  </pic:nvPicPr>
                  <pic:blipFill>
                    <a:blip r:embed="rId71"/>
                    <a:stretch>
                      <a:fillRect/>
                    </a:stretch>
                  </pic:blipFill>
                  <pic:spPr>
                    <a:xfrm>
                      <a:off x="0" y="0"/>
                      <a:ext cx="5029200" cy="7986395"/>
                    </a:xfrm>
                    <a:prstGeom prst="rect">
                      <a:avLst/>
                    </a:prstGeom>
                  </pic:spPr>
                </pic:pic>
              </a:graphicData>
            </a:graphic>
          </wp:inline>
        </w:drawing>
      </w:r>
    </w:p>
    <w:p w14:paraId="02D264FA">
      <w:pPr>
        <w:pStyle w:val="41"/>
        <w:ind w:firstLine="480"/>
        <w:rPr>
          <w:rFonts w:hint="eastAsia"/>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2E64371">
      <w:pPr>
        <w:pStyle w:val="3"/>
        <w:rPr>
          <w:color w:val="auto"/>
        </w:rPr>
      </w:pPr>
      <w:bookmarkStart w:id="330" w:name="_Toc31874"/>
      <w:bookmarkStart w:id="331" w:name="_Toc17319"/>
      <w:bookmarkStart w:id="332" w:name="_Toc21899"/>
      <w:r>
        <w:rPr>
          <w:rFonts w:hint="eastAsia"/>
          <w:color w:val="auto"/>
          <w:lang w:val="en-US" w:eastAsia="zh-CN"/>
        </w:rPr>
        <w:t>附件2</w:t>
      </w:r>
      <w:r>
        <w:rPr>
          <w:rFonts w:hint="eastAsia"/>
          <w:color w:val="auto"/>
        </w:rPr>
        <w:t>营业执照</w:t>
      </w:r>
      <w:bookmarkEnd w:id="330"/>
      <w:bookmarkEnd w:id="331"/>
      <w:bookmarkEnd w:id="332"/>
    </w:p>
    <w:p w14:paraId="6F8CEC5C">
      <w:pPr>
        <w:jc w:val="center"/>
        <w:outlineLvl w:val="9"/>
        <w:rPr>
          <w:rFonts w:hint="eastAsia" w:cs="Times New Roman"/>
          <w:color w:val="auto"/>
          <w:lang w:val="en-US" w:eastAsia="zh-CN"/>
        </w:rPr>
      </w:pPr>
      <w:r>
        <w:rPr>
          <w:sz w:val="21"/>
        </w:rPr>
        <mc:AlternateContent>
          <mc:Choice Requires="wps">
            <w:drawing>
              <wp:anchor distT="0" distB="0" distL="114300" distR="114300" simplePos="0" relativeHeight="251804672" behindDoc="0" locked="0" layoutInCell="1" allowOverlap="1">
                <wp:simplePos x="0" y="0"/>
                <wp:positionH relativeFrom="column">
                  <wp:posOffset>5913755</wp:posOffset>
                </wp:positionH>
                <wp:positionV relativeFrom="paragraph">
                  <wp:posOffset>3448685</wp:posOffset>
                </wp:positionV>
                <wp:extent cx="1400175" cy="1228725"/>
                <wp:effectExtent l="0" t="0" r="9525" b="9525"/>
                <wp:wrapNone/>
                <wp:docPr id="103" name="矩形 103"/>
                <wp:cNvGraphicFramePr/>
                <a:graphic xmlns:a="http://schemas.openxmlformats.org/drawingml/2006/main">
                  <a:graphicData uri="http://schemas.microsoft.com/office/word/2010/wordprocessingShape">
                    <wps:wsp>
                      <wps:cNvSpPr/>
                      <wps:spPr>
                        <a:xfrm>
                          <a:off x="6993890" y="4667885"/>
                          <a:ext cx="1400175" cy="122872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65pt;margin-top:271.55pt;height:96.75pt;width:110.25pt;z-index:251804672;v-text-anchor:middle;mso-width-relative:page;mso-height-relative:page;" fillcolor="#FFFFFF [3212]" filled="t" stroked="f" coordsize="21600,21600" o:gfxdata="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ZsGPtoAAAAMAQAADwAAAAAAAAABACAA&#10;AAAiAAAAZHJzL2Rvd25yZXYueG1sUEsBAhQAFAAAAAgAh07iQDnAFL99AgAA3QQAAA4AAAAAAAAA&#10;AQAgAAAAKQEAAGRycy9lMm9Eb2MueG1sUEsFBgAAAAAGAAYAWQEAABgGAAAAAA==&#10;">
                <v:fill on="t" focussize="0,0"/>
                <v:stroke on="f" endarrow="open"/>
                <v:imagedata o:title=""/>
                <o:lock v:ext="edit" aspectratio="f"/>
              </v:rect>
            </w:pict>
          </mc:Fallback>
        </mc:AlternateContent>
      </w:r>
      <w:r>
        <w:rPr>
          <w:rFonts w:hint="eastAsia" w:cs="Times New Roman"/>
          <w:color w:val="auto"/>
          <w:lang w:val="en-US" w:eastAsia="zh-CN"/>
        </w:rPr>
        <w:drawing>
          <wp:inline distT="0" distB="0" distL="114300" distR="114300">
            <wp:extent cx="7331710" cy="5221605"/>
            <wp:effectExtent l="0" t="0" r="2540" b="17145"/>
            <wp:docPr id="20" name="图片 20" descr="新版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新版营业执照"/>
                    <pic:cNvPicPr>
                      <a:picLocks noChangeAspect="1"/>
                    </pic:cNvPicPr>
                  </pic:nvPicPr>
                  <pic:blipFill>
                    <a:blip r:embed="rId72"/>
                    <a:stretch>
                      <a:fillRect/>
                    </a:stretch>
                  </pic:blipFill>
                  <pic:spPr>
                    <a:xfrm>
                      <a:off x="0" y="0"/>
                      <a:ext cx="7331710" cy="5221605"/>
                    </a:xfrm>
                    <a:prstGeom prst="rect">
                      <a:avLst/>
                    </a:prstGeom>
                  </pic:spPr>
                </pic:pic>
              </a:graphicData>
            </a:graphic>
          </wp:inline>
        </w:drawing>
      </w:r>
    </w:p>
    <w:p w14:paraId="4A5DB771">
      <w:pPr>
        <w:pStyle w:val="3"/>
        <w:rPr>
          <w:rFonts w:hint="default" w:eastAsia="宋体"/>
          <w:color w:val="auto"/>
          <w:lang w:val="en-US" w:eastAsia="zh-CN"/>
        </w:rPr>
      </w:pPr>
      <w:bookmarkStart w:id="333" w:name="_Toc11697"/>
      <w:bookmarkStart w:id="334" w:name="_Toc4233"/>
      <w:bookmarkStart w:id="335" w:name="_Toc12142"/>
      <w:r>
        <w:rPr>
          <w:rFonts w:hint="eastAsia"/>
          <w:color w:val="auto"/>
        </w:rPr>
        <w:t>附件</w:t>
      </w:r>
      <w:r>
        <w:rPr>
          <w:rFonts w:hint="eastAsia"/>
          <w:color w:val="auto"/>
          <w:lang w:val="en-US" w:eastAsia="zh-CN"/>
        </w:rPr>
        <w:t>3土地证</w:t>
      </w:r>
      <w:bookmarkEnd w:id="333"/>
      <w:bookmarkEnd w:id="334"/>
      <w:bookmarkEnd w:id="335"/>
    </w:p>
    <w:p w14:paraId="0C6AA778">
      <w:pPr>
        <w:jc w:val="center"/>
        <w:outlineLvl w:val="9"/>
        <w:rPr>
          <w:rFonts w:hint="eastAsia"/>
          <w:color w:val="auto"/>
        </w:rPr>
      </w:pPr>
      <w:r>
        <w:rPr>
          <w:rFonts w:hint="eastAsia" w:ascii="Times New Roman" w:hAnsi="Times New Roman" w:eastAsia="宋体" w:cs="Times New Roman"/>
          <w:color w:val="auto"/>
          <w:lang w:val="en-US" w:eastAsia="zh-CN"/>
        </w:rPr>
        <w:drawing>
          <wp:inline distT="0" distB="0" distL="114300" distR="114300">
            <wp:extent cx="7898130" cy="4799965"/>
            <wp:effectExtent l="0" t="0" r="7620" b="635"/>
            <wp:docPr id="126" name="图片 126" descr="6cdee903-c34c-4cef-b1f1-daa9b6afe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6cdee903-c34c-4cef-b1f1-daa9b6afe6e0"/>
                    <pic:cNvPicPr>
                      <a:picLocks noChangeAspect="1"/>
                    </pic:cNvPicPr>
                  </pic:nvPicPr>
                  <pic:blipFill>
                    <a:blip r:embed="rId73"/>
                    <a:stretch>
                      <a:fillRect/>
                    </a:stretch>
                  </pic:blipFill>
                  <pic:spPr>
                    <a:xfrm>
                      <a:off x="0" y="0"/>
                      <a:ext cx="7898130" cy="4799965"/>
                    </a:xfrm>
                    <a:prstGeom prst="rect">
                      <a:avLst/>
                    </a:prstGeom>
                  </pic:spPr>
                </pic:pic>
              </a:graphicData>
            </a:graphic>
          </wp:inline>
        </w:drawing>
      </w:r>
    </w:p>
    <w:p w14:paraId="3016007B">
      <w:pPr>
        <w:outlineLvl w:val="9"/>
        <w:rPr>
          <w:rFonts w:hint="eastAsia"/>
          <w:color w:val="auto"/>
          <w:lang w:val="en-US" w:eastAsia="zh-CN"/>
        </w:rPr>
      </w:pPr>
    </w:p>
    <w:p w14:paraId="3596250F">
      <w:pPr>
        <w:pStyle w:val="17"/>
        <w:ind w:left="0" w:leftChars="0"/>
        <w:rPr>
          <w:b/>
          <w:bCs/>
          <w:color w:val="auto"/>
        </w:rPr>
        <w:sectPr>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p>
    <w:p w14:paraId="3ECA9124">
      <w:pPr>
        <w:pStyle w:val="3"/>
        <w:rPr>
          <w:rFonts w:hint="eastAsia" w:ascii="Times New Roman" w:hAnsi="Times New Roman" w:eastAsia="宋体" w:cs="Times New Roman"/>
          <w:color w:val="auto"/>
          <w:lang w:val="en-US" w:eastAsia="zh-CN"/>
        </w:rPr>
      </w:pPr>
      <w:bookmarkStart w:id="336" w:name="_Toc8967"/>
      <w:bookmarkStart w:id="337" w:name="_Toc15818"/>
      <w:bookmarkStart w:id="338" w:name="_Toc16464"/>
      <w:r>
        <w:rPr>
          <w:rFonts w:hint="eastAsia" w:ascii="Times New Roman" w:hAnsi="Times New Roman" w:eastAsia="宋体" w:cs="Times New Roman"/>
          <w:color w:val="auto"/>
          <w:lang w:val="en-US" w:eastAsia="zh-CN"/>
        </w:rPr>
        <w:t>附件</w:t>
      </w:r>
      <w:r>
        <w:rPr>
          <w:rFonts w:hint="eastAsia" w:cs="Times New Roman"/>
          <w:color w:val="auto"/>
          <w:lang w:val="en-US" w:eastAsia="zh-CN"/>
        </w:rPr>
        <w:t>4</w:t>
      </w:r>
      <w:r>
        <w:rPr>
          <w:rFonts w:hint="eastAsia" w:ascii="Times New Roman" w:hAnsi="Times New Roman" w:eastAsia="宋体" w:cs="Times New Roman"/>
          <w:color w:val="auto"/>
          <w:lang w:val="en-US" w:eastAsia="zh-CN"/>
        </w:rPr>
        <w:t xml:space="preserve"> 民爆品生产经营许可证</w:t>
      </w:r>
      <w:bookmarkEnd w:id="336"/>
      <w:bookmarkEnd w:id="337"/>
      <w:bookmarkEnd w:id="338"/>
    </w:p>
    <w:p w14:paraId="58085FF7">
      <w:pPr>
        <w:jc w:val="center"/>
        <w:outlineLvl w:val="9"/>
        <w:rPr>
          <w:color w:val="auto"/>
        </w:rPr>
        <w:sectPr>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r>
        <w:rPr>
          <w:sz w:val="21"/>
        </w:rPr>
        <mc:AlternateContent>
          <mc:Choice Requires="wps">
            <w:drawing>
              <wp:anchor distT="0" distB="0" distL="114300" distR="114300" simplePos="0" relativeHeight="251805696" behindDoc="0" locked="0" layoutInCell="1" allowOverlap="1">
                <wp:simplePos x="0" y="0"/>
                <wp:positionH relativeFrom="column">
                  <wp:posOffset>5913755</wp:posOffset>
                </wp:positionH>
                <wp:positionV relativeFrom="paragraph">
                  <wp:posOffset>3448685</wp:posOffset>
                </wp:positionV>
                <wp:extent cx="1400175" cy="1228725"/>
                <wp:effectExtent l="0" t="0" r="9525" b="9525"/>
                <wp:wrapNone/>
                <wp:docPr id="170" name="矩形 170"/>
                <wp:cNvGraphicFramePr/>
                <a:graphic xmlns:a="http://schemas.openxmlformats.org/drawingml/2006/main">
                  <a:graphicData uri="http://schemas.microsoft.com/office/word/2010/wordprocessingShape">
                    <wps:wsp>
                      <wps:cNvSpPr/>
                      <wps:spPr>
                        <a:xfrm>
                          <a:off x="0" y="0"/>
                          <a:ext cx="1400175" cy="122872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65pt;margin-top:271.55pt;height:96.75pt;width:110.25pt;z-index:251805696;v-text-anchor:middle;mso-width-relative:page;mso-height-relative:page;" fillcolor="#FFFFFF [3212]" filled="t" stroked="f" coordsize="21600,21600" o:gfxdata="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dZsGPtoAAAAMAQAADwAAAAAAAAABACAAAAAiAAAAZHJzL2Rvd25y&#10;ZXYueG1sUEsBAhQAFAAAAAgAh07iQOzd4G5uAgAA0QQAAA4AAAAAAAAAAQAgAAAAKQEAAGRycy9l&#10;Mm9Eb2MueG1sUEsFBgAAAAAGAAYAWQEAAAkGAAAAAA==&#10;">
                <v:fill on="t" focussize="0,0"/>
                <v:stroke on="f" endarrow="open"/>
                <v:imagedata o:title=""/>
                <o:lock v:ext="edit" aspectratio="f"/>
              </v:rect>
            </w:pict>
          </mc:Fallback>
        </mc:AlternateContent>
      </w:r>
      <w:r>
        <w:rPr>
          <w:color w:val="auto"/>
        </w:rPr>
        <w:drawing>
          <wp:inline distT="0" distB="0" distL="114300" distR="114300">
            <wp:extent cx="7421245" cy="5278120"/>
            <wp:effectExtent l="0" t="0" r="8255" b="17780"/>
            <wp:docPr id="1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
                    <pic:cNvPicPr>
                      <a:picLocks noChangeAspect="1"/>
                    </pic:cNvPicPr>
                  </pic:nvPicPr>
                  <pic:blipFill>
                    <a:blip r:embed="rId74"/>
                    <a:stretch>
                      <a:fillRect/>
                    </a:stretch>
                  </pic:blipFill>
                  <pic:spPr>
                    <a:xfrm>
                      <a:off x="0" y="0"/>
                      <a:ext cx="7421245" cy="5278120"/>
                    </a:xfrm>
                    <a:prstGeom prst="rect">
                      <a:avLst/>
                    </a:prstGeom>
                    <a:noFill/>
                    <a:ln>
                      <a:noFill/>
                    </a:ln>
                  </pic:spPr>
                </pic:pic>
              </a:graphicData>
            </a:graphic>
          </wp:inline>
        </w:drawing>
      </w:r>
    </w:p>
    <w:p w14:paraId="29035838">
      <w:pPr>
        <w:pStyle w:val="3"/>
        <w:rPr>
          <w:rFonts w:hint="default"/>
          <w:color w:val="auto"/>
          <w:lang w:val="en-US" w:eastAsia="zh-CN"/>
        </w:rPr>
      </w:pPr>
      <w:bookmarkStart w:id="339" w:name="_Toc16994"/>
      <w:bookmarkStart w:id="340" w:name="_Toc2259"/>
      <w:bookmarkStart w:id="341" w:name="_Toc8912"/>
      <w:r>
        <w:rPr>
          <w:rFonts w:hint="eastAsia"/>
          <w:color w:val="auto"/>
          <w:lang w:val="en-US" w:eastAsia="zh-CN"/>
        </w:rPr>
        <w:t>附件5 生产能力变更手续</w:t>
      </w:r>
      <w:bookmarkEnd w:id="339"/>
      <w:bookmarkEnd w:id="340"/>
      <w:bookmarkEnd w:id="341"/>
    </w:p>
    <w:p w14:paraId="327A1909">
      <w:pPr>
        <w:rPr>
          <w:color w:val="auto"/>
        </w:rPr>
      </w:pPr>
      <w:r>
        <w:rPr>
          <w:color w:val="auto"/>
        </w:rPr>
        <w:drawing>
          <wp:inline distT="0" distB="0" distL="114300" distR="114300">
            <wp:extent cx="5693410" cy="8092440"/>
            <wp:effectExtent l="0" t="0" r="6350" b="3810"/>
            <wp:docPr id="3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3"/>
                    <pic:cNvPicPr>
                      <a:picLocks noChangeAspect="1"/>
                    </pic:cNvPicPr>
                  </pic:nvPicPr>
                  <pic:blipFill>
                    <a:blip r:embed="rId75"/>
                    <a:stretch>
                      <a:fillRect/>
                    </a:stretch>
                  </pic:blipFill>
                  <pic:spPr>
                    <a:xfrm>
                      <a:off x="0" y="0"/>
                      <a:ext cx="5693410" cy="8092440"/>
                    </a:xfrm>
                    <a:prstGeom prst="rect">
                      <a:avLst/>
                    </a:prstGeom>
                    <a:noFill/>
                    <a:ln>
                      <a:noFill/>
                    </a:ln>
                  </pic:spPr>
                </pic:pic>
              </a:graphicData>
            </a:graphic>
          </wp:inline>
        </w:drawing>
      </w:r>
    </w:p>
    <w:p w14:paraId="761B4E24">
      <w:pPr>
        <w:rPr>
          <w:color w:val="auto"/>
        </w:rPr>
      </w:pPr>
      <w:r>
        <w:rPr>
          <w:color w:val="auto"/>
        </w:rPr>
        <w:drawing>
          <wp:inline distT="0" distB="0" distL="114300" distR="114300">
            <wp:extent cx="5600065" cy="7931150"/>
            <wp:effectExtent l="0" t="0" r="2540" b="3175"/>
            <wp:docPr id="3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14"/>
                    <pic:cNvPicPr>
                      <a:picLocks noChangeAspect="1"/>
                    </pic:cNvPicPr>
                  </pic:nvPicPr>
                  <pic:blipFill>
                    <a:blip r:embed="rId76"/>
                    <a:stretch>
                      <a:fillRect/>
                    </a:stretch>
                  </pic:blipFill>
                  <pic:spPr>
                    <a:xfrm>
                      <a:off x="0" y="0"/>
                      <a:ext cx="5600065" cy="7931150"/>
                    </a:xfrm>
                    <a:prstGeom prst="rect">
                      <a:avLst/>
                    </a:prstGeom>
                    <a:noFill/>
                    <a:ln>
                      <a:noFill/>
                    </a:ln>
                  </pic:spPr>
                </pic:pic>
              </a:graphicData>
            </a:graphic>
          </wp:inline>
        </w:drawing>
      </w:r>
    </w:p>
    <w:p w14:paraId="162CDA0D">
      <w:pPr>
        <w:rPr>
          <w:rFonts w:hint="default"/>
          <w:color w:val="auto"/>
          <w:lang w:val="en-US" w:eastAsia="zh-CN"/>
        </w:rPr>
      </w:pPr>
      <w:r>
        <w:rPr>
          <w:sz w:val="21"/>
        </w:rPr>
        <mc:AlternateContent>
          <mc:Choice Requires="wps">
            <w:drawing>
              <wp:anchor distT="0" distB="0" distL="114300" distR="114300" simplePos="0" relativeHeight="251806720" behindDoc="0" locked="0" layoutInCell="1" allowOverlap="1">
                <wp:simplePos x="0" y="0"/>
                <wp:positionH relativeFrom="column">
                  <wp:posOffset>2830830</wp:posOffset>
                </wp:positionH>
                <wp:positionV relativeFrom="paragraph">
                  <wp:posOffset>1749425</wp:posOffset>
                </wp:positionV>
                <wp:extent cx="1400175" cy="1228725"/>
                <wp:effectExtent l="0" t="0" r="9525" b="9525"/>
                <wp:wrapNone/>
                <wp:docPr id="173" name="矩形 173"/>
                <wp:cNvGraphicFramePr/>
                <a:graphic xmlns:a="http://schemas.openxmlformats.org/drawingml/2006/main">
                  <a:graphicData uri="http://schemas.microsoft.com/office/word/2010/wordprocessingShape">
                    <wps:wsp>
                      <wps:cNvSpPr/>
                      <wps:spPr>
                        <a:xfrm>
                          <a:off x="0" y="0"/>
                          <a:ext cx="1400175" cy="122872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9pt;margin-top:137.75pt;height:96.75pt;width:110.25pt;z-index:251806720;v-text-anchor:middle;mso-width-relative:page;mso-height-relative:page;" fillcolor="#FFFFFF [3212]" filled="t" stroked="f" coordsize="21600,21600" o:gfxdata="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8j+Qt2QAAAAsBAAAPAAAAAAAAAAEAIAAAACIAAABkcnMvZG93bnJl&#10;di54bWxQSwECFAAUAAAACACHTuJA2FArtW4CAADRBAAADgAAAAAAAAABACAAAAAoAQAAZHJzL2Uy&#10;b0RvYy54bWxQSwUGAAAAAAYABgBZAQAACAYAAAAA&#10;">
                <v:fill on="t" focussize="0,0"/>
                <v:stroke on="f" endarrow="open"/>
                <v:imagedata o:title=""/>
                <o:lock v:ext="edit" aspectratio="f"/>
              </v:rect>
            </w:pict>
          </mc:Fallback>
        </mc:AlternateContent>
      </w:r>
      <w:r>
        <w:rPr>
          <w:color w:val="auto"/>
        </w:rPr>
        <w:drawing>
          <wp:inline distT="0" distB="0" distL="114300" distR="114300">
            <wp:extent cx="5510530" cy="7785735"/>
            <wp:effectExtent l="0" t="0" r="5715" b="8255"/>
            <wp:docPr id="3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5"/>
                    <pic:cNvPicPr>
                      <a:picLocks noChangeAspect="1"/>
                    </pic:cNvPicPr>
                  </pic:nvPicPr>
                  <pic:blipFill>
                    <a:blip r:embed="rId77"/>
                    <a:stretch>
                      <a:fillRect/>
                    </a:stretch>
                  </pic:blipFill>
                  <pic:spPr>
                    <a:xfrm>
                      <a:off x="0" y="0"/>
                      <a:ext cx="5510530" cy="7785735"/>
                    </a:xfrm>
                    <a:prstGeom prst="rect">
                      <a:avLst/>
                    </a:prstGeom>
                    <a:noFill/>
                    <a:ln>
                      <a:noFill/>
                    </a:ln>
                  </pic:spPr>
                </pic:pic>
              </a:graphicData>
            </a:graphic>
          </wp:inline>
        </w:drawing>
      </w:r>
    </w:p>
    <w:p w14:paraId="410126CC">
      <w:pPr>
        <w:pStyle w:val="3"/>
        <w:rPr>
          <w:rFonts w:hint="default"/>
          <w:color w:val="auto"/>
          <w:lang w:val="en-US" w:eastAsia="zh-CN"/>
        </w:rPr>
      </w:pPr>
      <w:bookmarkStart w:id="342" w:name="_Toc22271"/>
      <w:bookmarkStart w:id="343" w:name="_Toc18918"/>
      <w:bookmarkStart w:id="344" w:name="_Toc9369"/>
      <w:r>
        <w:rPr>
          <w:rFonts w:hint="eastAsia"/>
          <w:color w:val="auto"/>
          <w:lang w:val="en-US" w:eastAsia="zh-CN"/>
        </w:rPr>
        <w:t>附件6 辽宁省工业和信息化厅的批复</w:t>
      </w:r>
      <w:bookmarkEnd w:id="342"/>
      <w:bookmarkEnd w:id="343"/>
      <w:bookmarkEnd w:id="344"/>
    </w:p>
    <w:p w14:paraId="61F2B0E5">
      <w:pPr>
        <w:rPr>
          <w:color w:val="auto"/>
        </w:rPr>
      </w:pPr>
      <w:r>
        <w:rPr>
          <w:sz w:val="21"/>
        </w:rPr>
        <mc:AlternateContent>
          <mc:Choice Requires="wps">
            <w:drawing>
              <wp:anchor distT="0" distB="0" distL="114300" distR="114300" simplePos="0" relativeHeight="251808768" behindDoc="0" locked="0" layoutInCell="1" allowOverlap="1">
                <wp:simplePos x="0" y="0"/>
                <wp:positionH relativeFrom="column">
                  <wp:posOffset>643255</wp:posOffset>
                </wp:positionH>
                <wp:positionV relativeFrom="paragraph">
                  <wp:posOffset>3010535</wp:posOffset>
                </wp:positionV>
                <wp:extent cx="1400175" cy="1228725"/>
                <wp:effectExtent l="0" t="0" r="9525" b="9525"/>
                <wp:wrapNone/>
                <wp:docPr id="179" name="矩形 179"/>
                <wp:cNvGraphicFramePr/>
                <a:graphic xmlns:a="http://schemas.openxmlformats.org/drawingml/2006/main">
                  <a:graphicData uri="http://schemas.microsoft.com/office/word/2010/wordprocessingShape">
                    <wps:wsp>
                      <wps:cNvSpPr/>
                      <wps:spPr>
                        <a:xfrm>
                          <a:off x="0" y="0"/>
                          <a:ext cx="1400175" cy="122872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65pt;margin-top:237.05pt;height:96.75pt;width:110.25pt;z-index:251808768;v-text-anchor:middle;mso-width-relative:page;mso-height-relative:page;" fillcolor="#FFFFFF [3212]" filled="t" stroked="f" coordsize="21600,21600" o:gfxdata="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SQ05fYAAAACwEAAA8AAAAAAAAAAQAgAAAAIgAAAGRycy9kb3ducmV2&#10;LnhtbFBLAQIUABQAAAAIAIdO4kCjdAEAbgIAANEEAAAOAAAAAAAAAAEAIAAAACcBAABkcnMvZTJv&#10;RG9jLnhtbFBLBQYAAAAABgAGAFkBAAAHBgAAAAA=&#10;">
                <v:fill on="t" focussize="0,0"/>
                <v:stroke on="f" endarrow="open"/>
                <v:imagedata o:title=""/>
                <o:lock v:ext="edit" aspectratio="f"/>
              </v:rect>
            </w:pict>
          </mc:Fallback>
        </mc:AlternateContent>
      </w:r>
      <w:r>
        <w:rPr>
          <w:color w:val="auto"/>
        </w:rPr>
        <w:drawing>
          <wp:inline distT="0" distB="0" distL="114300" distR="114300">
            <wp:extent cx="5614035" cy="7981950"/>
            <wp:effectExtent l="0" t="0" r="10160" b="6350"/>
            <wp:docPr id="1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3"/>
                    <pic:cNvPicPr>
                      <a:picLocks noChangeAspect="1"/>
                    </pic:cNvPicPr>
                  </pic:nvPicPr>
                  <pic:blipFill>
                    <a:blip r:embed="rId78"/>
                    <a:stretch>
                      <a:fillRect/>
                    </a:stretch>
                  </pic:blipFill>
                  <pic:spPr>
                    <a:xfrm>
                      <a:off x="0" y="0"/>
                      <a:ext cx="5614035" cy="7981950"/>
                    </a:xfrm>
                    <a:prstGeom prst="rect">
                      <a:avLst/>
                    </a:prstGeom>
                    <a:noFill/>
                    <a:ln>
                      <a:noFill/>
                    </a:ln>
                  </pic:spPr>
                </pic:pic>
              </a:graphicData>
            </a:graphic>
          </wp:inline>
        </w:drawing>
      </w:r>
    </w:p>
    <w:p w14:paraId="51369C2F">
      <w:pPr>
        <w:rPr>
          <w:rFonts w:hint="default"/>
          <w:color w:val="auto"/>
          <w:lang w:val="en-US" w:eastAsia="zh-CN"/>
        </w:rPr>
      </w:pPr>
      <w:r>
        <w:rPr>
          <w:sz w:val="21"/>
        </w:rPr>
        <mc:AlternateContent>
          <mc:Choice Requires="wps">
            <w:drawing>
              <wp:anchor distT="0" distB="0" distL="114300" distR="114300" simplePos="0" relativeHeight="251807744" behindDoc="0" locked="0" layoutInCell="1" allowOverlap="1">
                <wp:simplePos x="0" y="0"/>
                <wp:positionH relativeFrom="column">
                  <wp:posOffset>3354705</wp:posOffset>
                </wp:positionH>
                <wp:positionV relativeFrom="paragraph">
                  <wp:posOffset>2911475</wp:posOffset>
                </wp:positionV>
                <wp:extent cx="1400175" cy="1371600"/>
                <wp:effectExtent l="0" t="0" r="9525" b="0"/>
                <wp:wrapNone/>
                <wp:docPr id="176" name="矩形 176"/>
                <wp:cNvGraphicFramePr/>
                <a:graphic xmlns:a="http://schemas.openxmlformats.org/drawingml/2006/main">
                  <a:graphicData uri="http://schemas.microsoft.com/office/word/2010/wordprocessingShape">
                    <wps:wsp>
                      <wps:cNvSpPr/>
                      <wps:spPr>
                        <a:xfrm>
                          <a:off x="0" y="0"/>
                          <a:ext cx="1400175" cy="137160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15pt;margin-top:229.25pt;height:108pt;width:110.25pt;z-index:251807744;v-text-anchor:middle;mso-width-relative:page;mso-height-relative:page;" fillcolor="#FFFFFF [3212]" filled="t" stroked="f" coordsize="21600,21600" o:gfxdata="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TWKPb2gAAAAsBAAAPAAAAAAAAAAEAIAAAACIAAABkcnMvZG93&#10;bnJldi54bWxQSwECFAAUAAAACACHTuJA3I/ya3ACAADRBAAADgAAAAAAAAABACAAAAApAQAAZHJz&#10;L2Uyb0RvYy54bWxQSwUGAAAAAAYABgBZAQAACwYAAAAA&#10;">
                <v:fill on="t" focussize="0,0"/>
                <v:stroke on="f" endarrow="open"/>
                <v:imagedata o:title=""/>
                <o:lock v:ext="edit" aspectratio="f"/>
              </v:rect>
            </w:pict>
          </mc:Fallback>
        </mc:AlternateContent>
      </w:r>
      <w:r>
        <w:rPr>
          <w:color w:val="auto"/>
        </w:rPr>
        <w:drawing>
          <wp:inline distT="0" distB="0" distL="114300" distR="114300">
            <wp:extent cx="5614035" cy="7920990"/>
            <wp:effectExtent l="0" t="0" r="10160" b="2540"/>
            <wp:docPr id="2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4"/>
                    <pic:cNvPicPr>
                      <a:picLocks noChangeAspect="1"/>
                    </pic:cNvPicPr>
                  </pic:nvPicPr>
                  <pic:blipFill>
                    <a:blip r:embed="rId79"/>
                    <a:stretch>
                      <a:fillRect/>
                    </a:stretch>
                  </pic:blipFill>
                  <pic:spPr>
                    <a:xfrm>
                      <a:off x="0" y="0"/>
                      <a:ext cx="5614035" cy="7920990"/>
                    </a:xfrm>
                    <a:prstGeom prst="rect">
                      <a:avLst/>
                    </a:prstGeom>
                    <a:noFill/>
                    <a:ln>
                      <a:noFill/>
                    </a:ln>
                  </pic:spPr>
                </pic:pic>
              </a:graphicData>
            </a:graphic>
          </wp:inline>
        </w:drawing>
      </w:r>
    </w:p>
    <w:p w14:paraId="1E6BE4AE">
      <w:pPr>
        <w:pStyle w:val="3"/>
        <w:rPr>
          <w:rFonts w:hint="eastAsia"/>
          <w:color w:val="auto"/>
        </w:rPr>
        <w:sectPr>
          <w:headerReference r:id="rId11" w:type="default"/>
          <w:footerReference r:id="rId12" w:type="default"/>
          <w:pgSz w:w="11906" w:h="16839"/>
          <w:pgMar w:top="1701" w:right="1219" w:bottom="1701" w:left="1531" w:header="850" w:footer="1134" w:gutter="0"/>
          <w:pgBorders>
            <w:top w:val="none" w:sz="0" w:space="0"/>
            <w:left w:val="none" w:sz="0" w:space="0"/>
            <w:bottom w:val="none" w:sz="0" w:space="0"/>
            <w:right w:val="none" w:sz="0" w:space="0"/>
          </w:pgBorders>
          <w:pgNumType w:fmt="decimal"/>
          <w:cols w:space="720" w:num="1"/>
        </w:sectPr>
      </w:pPr>
    </w:p>
    <w:p w14:paraId="78C92B7A">
      <w:pPr>
        <w:pStyle w:val="3"/>
        <w:rPr>
          <w:rFonts w:hint="eastAsia"/>
          <w:color w:val="auto"/>
          <w:lang w:val="en-US" w:eastAsia="zh-CN"/>
        </w:rPr>
      </w:pPr>
      <w:bookmarkStart w:id="345" w:name="_Toc31990"/>
      <w:bookmarkStart w:id="346" w:name="_Toc1120"/>
      <w:bookmarkStart w:id="347" w:name="_Toc26395"/>
      <w:r>
        <w:rPr>
          <w:rFonts w:hint="eastAsia"/>
          <w:color w:val="auto"/>
        </w:rPr>
        <w:t>附件</w:t>
      </w:r>
      <w:r>
        <w:rPr>
          <w:rFonts w:hint="eastAsia"/>
          <w:color w:val="auto"/>
          <w:lang w:val="en-US" w:eastAsia="zh-CN"/>
        </w:rPr>
        <w:t>7</w:t>
      </w:r>
      <w:r>
        <w:rPr>
          <w:rFonts w:hint="eastAsia"/>
          <w:color w:val="auto"/>
        </w:rPr>
        <w:t xml:space="preserve"> 现有项目</w:t>
      </w:r>
      <w:r>
        <w:rPr>
          <w:rFonts w:hint="eastAsia"/>
          <w:color w:val="auto"/>
          <w:lang w:val="en-US" w:eastAsia="zh-CN"/>
        </w:rPr>
        <w:t>环评及验收手续</w:t>
      </w:r>
      <w:bookmarkEnd w:id="345"/>
      <w:bookmarkEnd w:id="346"/>
      <w:bookmarkEnd w:id="347"/>
    </w:p>
    <w:p w14:paraId="6F2667CA">
      <w:pPr>
        <w:rPr>
          <w:rFonts w:hint="default"/>
          <w:color w:val="auto"/>
          <w:sz w:val="21"/>
          <w:szCs w:val="21"/>
          <w:lang w:val="en-US" w:eastAsia="zh-CN"/>
        </w:rPr>
      </w:pPr>
      <w:r>
        <w:rPr>
          <w:rFonts w:hint="eastAsia"/>
          <w:color w:val="auto"/>
          <w:sz w:val="21"/>
          <w:szCs w:val="21"/>
          <w:lang w:val="en-US" w:eastAsia="zh-CN"/>
        </w:rPr>
        <w:t>环评批复</w:t>
      </w:r>
    </w:p>
    <w:p w14:paraId="2B090350">
      <w:pPr>
        <w:pStyle w:val="41"/>
        <w:spacing w:after="0" w:line="360" w:lineRule="auto"/>
        <w:ind w:left="0" w:leftChars="0" w:firstLine="0" w:firstLineChars="0"/>
        <w:jc w:val="both"/>
        <w:rPr>
          <w:rFonts w:hint="eastAsia" w:cs="Times New Roman"/>
          <w:color w:val="auto"/>
          <w:lang w:val="en-US" w:eastAsia="zh-CN"/>
        </w:rPr>
      </w:pPr>
      <w:r>
        <w:rPr>
          <w:rFonts w:hint="eastAsia" w:cs="Times New Roman"/>
          <w:color w:val="auto"/>
          <w:lang w:val="en-US" w:eastAsia="zh-CN"/>
        </w:rPr>
        <w:drawing>
          <wp:inline distT="0" distB="0" distL="114300" distR="114300">
            <wp:extent cx="5271135" cy="7456805"/>
            <wp:effectExtent l="0" t="0" r="7620" b="2540"/>
            <wp:docPr id="291" name="图片 291"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批复1"/>
                    <pic:cNvPicPr>
                      <a:picLocks noChangeAspect="1"/>
                    </pic:cNvPicPr>
                  </pic:nvPicPr>
                  <pic:blipFill>
                    <a:blip r:embed="rId80"/>
                    <a:stretch>
                      <a:fillRect/>
                    </a:stretch>
                  </pic:blipFill>
                  <pic:spPr>
                    <a:xfrm>
                      <a:off x="0" y="0"/>
                      <a:ext cx="5271135" cy="7456805"/>
                    </a:xfrm>
                    <a:prstGeom prst="rect">
                      <a:avLst/>
                    </a:prstGeom>
                  </pic:spPr>
                </pic:pic>
              </a:graphicData>
            </a:graphic>
          </wp:inline>
        </w:drawing>
      </w:r>
      <w:r>
        <w:rPr>
          <w:sz w:val="21"/>
        </w:rPr>
        <mc:AlternateContent>
          <mc:Choice Requires="wps">
            <w:drawing>
              <wp:anchor distT="0" distB="0" distL="114300" distR="114300" simplePos="0" relativeHeight="251809792" behindDoc="0" locked="0" layoutInCell="1" allowOverlap="1">
                <wp:simplePos x="0" y="0"/>
                <wp:positionH relativeFrom="column">
                  <wp:posOffset>2673350</wp:posOffset>
                </wp:positionH>
                <wp:positionV relativeFrom="paragraph">
                  <wp:posOffset>5398770</wp:posOffset>
                </wp:positionV>
                <wp:extent cx="1400175" cy="1228725"/>
                <wp:effectExtent l="0" t="0" r="9525" b="9525"/>
                <wp:wrapNone/>
                <wp:docPr id="184" name="矩形 184"/>
                <wp:cNvGraphicFramePr/>
                <a:graphic xmlns:a="http://schemas.openxmlformats.org/drawingml/2006/main">
                  <a:graphicData uri="http://schemas.microsoft.com/office/word/2010/wordprocessingShape">
                    <wps:wsp>
                      <wps:cNvSpPr/>
                      <wps:spPr>
                        <a:xfrm>
                          <a:off x="0" y="0"/>
                          <a:ext cx="1400175" cy="122872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5pt;margin-top:425.1pt;height:96.75pt;width:110.25pt;z-index:251809792;v-text-anchor:middle;mso-width-relative:page;mso-height-relative:page;" fillcolor="#FFFFFF [3212]" filled="t" stroked="f" coordsize="21600,21600" o:gfxdata="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LlU0w9oAAAAMAQAADwAAAAAAAAABACAAAAAiAAAAZHJzL2Rvd25y&#10;ZXYueG1sUEsBAhQAFAAAAAgAh07iQMULWDRuAgAA0QQAAA4AAAAAAAAAAQAgAAAAKQEAAGRycy9l&#10;Mm9Eb2MueG1sUEsFBgAAAAAGAAYAWQEAAAkGAAAAAA==&#10;">
                <v:fill on="t" focussize="0,0"/>
                <v:stroke on="f" endarrow="open"/>
                <v:imagedata o:title=""/>
                <o:lock v:ext="edit" aspectratio="f"/>
              </v:rect>
            </w:pict>
          </mc:Fallback>
        </mc:AlternateContent>
      </w:r>
      <w:r>
        <w:rPr>
          <w:rFonts w:hint="eastAsia" w:cs="Times New Roman"/>
          <w:color w:val="auto"/>
          <w:lang w:val="en-US" w:eastAsia="zh-CN"/>
        </w:rPr>
        <w:drawing>
          <wp:inline distT="0" distB="0" distL="114300" distR="114300">
            <wp:extent cx="5271135" cy="7456805"/>
            <wp:effectExtent l="0" t="0" r="7620" b="2540"/>
            <wp:docPr id="292" name="图片 292"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批复2"/>
                    <pic:cNvPicPr>
                      <a:picLocks noChangeAspect="1"/>
                    </pic:cNvPicPr>
                  </pic:nvPicPr>
                  <pic:blipFill>
                    <a:blip r:embed="rId81"/>
                    <a:stretch>
                      <a:fillRect/>
                    </a:stretch>
                  </pic:blipFill>
                  <pic:spPr>
                    <a:xfrm>
                      <a:off x="0" y="0"/>
                      <a:ext cx="5271135" cy="7456805"/>
                    </a:xfrm>
                    <a:prstGeom prst="rect">
                      <a:avLst/>
                    </a:prstGeom>
                  </pic:spPr>
                </pic:pic>
              </a:graphicData>
            </a:graphic>
          </wp:inline>
        </w:drawing>
      </w:r>
    </w:p>
    <w:p w14:paraId="1BB1812C">
      <w:pPr>
        <w:pStyle w:val="41"/>
        <w:spacing w:after="0" w:line="360" w:lineRule="auto"/>
        <w:ind w:left="0" w:leftChars="0" w:firstLine="0" w:firstLineChars="0"/>
        <w:jc w:val="both"/>
        <w:rPr>
          <w:rFonts w:hint="eastAsia" w:cs="Times New Roman"/>
          <w:color w:val="auto"/>
          <w:lang w:val="en-US" w:eastAsia="zh-CN"/>
        </w:rPr>
      </w:pPr>
    </w:p>
    <w:p w14:paraId="077EC355">
      <w:pPr>
        <w:pStyle w:val="41"/>
        <w:spacing w:after="0" w:line="360" w:lineRule="auto"/>
        <w:ind w:left="0" w:leftChars="0" w:firstLine="0" w:firstLineChars="0"/>
        <w:jc w:val="both"/>
        <w:rPr>
          <w:rFonts w:hint="eastAsia" w:cs="Times New Roman"/>
          <w:color w:val="auto"/>
          <w:lang w:val="en-US" w:eastAsia="zh-CN"/>
        </w:rPr>
      </w:pPr>
    </w:p>
    <w:p w14:paraId="15035D5F">
      <w:pPr>
        <w:pStyle w:val="41"/>
        <w:spacing w:after="0" w:line="360" w:lineRule="auto"/>
        <w:ind w:left="0" w:leftChars="0" w:firstLine="0" w:firstLineChars="0"/>
        <w:jc w:val="both"/>
        <w:rPr>
          <w:rFonts w:hint="eastAsia" w:cs="Times New Roman"/>
          <w:color w:val="auto"/>
          <w:lang w:val="en-US" w:eastAsia="zh-CN"/>
        </w:rPr>
      </w:pPr>
    </w:p>
    <w:p w14:paraId="3CA7933F">
      <w:pPr>
        <w:pStyle w:val="41"/>
        <w:spacing w:after="0" w:line="360" w:lineRule="auto"/>
        <w:ind w:left="0" w:leftChars="0" w:firstLine="0" w:firstLineChars="0"/>
        <w:jc w:val="both"/>
        <w:rPr>
          <w:rFonts w:hint="eastAsia" w:cs="Times New Roman"/>
          <w:color w:val="auto"/>
          <w:lang w:val="en-US" w:eastAsia="zh-CN"/>
        </w:rPr>
      </w:pPr>
    </w:p>
    <w:p w14:paraId="3AE28C93">
      <w:pPr>
        <w:pStyle w:val="41"/>
        <w:spacing w:after="0" w:line="360" w:lineRule="auto"/>
        <w:ind w:left="0" w:leftChars="0" w:firstLine="0" w:firstLineChars="0"/>
        <w:jc w:val="both"/>
        <w:rPr>
          <w:rFonts w:hint="eastAsia" w:cs="Times New Roman"/>
          <w:color w:val="auto"/>
          <w:lang w:val="en-US" w:eastAsia="zh-CN"/>
        </w:rPr>
      </w:pPr>
    </w:p>
    <w:p w14:paraId="509CC6D6">
      <w:pP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验收意见</w:t>
      </w:r>
    </w:p>
    <w:p w14:paraId="100A7419">
      <w:pPr>
        <w:pStyle w:val="41"/>
        <w:spacing w:after="0" w:line="360" w:lineRule="auto"/>
        <w:ind w:left="0" w:leftChars="0" w:firstLine="0" w:firstLineChars="0"/>
        <w:jc w:val="both"/>
        <w:rPr>
          <w:rFonts w:hint="eastAsia" w:cs="Times New Roman"/>
          <w:color w:val="auto"/>
          <w:lang w:val="en-US" w:eastAsia="zh-CN"/>
        </w:rPr>
      </w:pPr>
      <w:r>
        <w:rPr>
          <w:rFonts w:hint="eastAsia" w:cs="Times New Roman"/>
          <w:color w:val="auto"/>
          <w:lang w:val="en-US" w:eastAsia="zh-CN"/>
        </w:rPr>
        <w:drawing>
          <wp:inline distT="0" distB="0" distL="114300" distR="114300">
            <wp:extent cx="5271135" cy="7456805"/>
            <wp:effectExtent l="0" t="0" r="7620" b="2540"/>
            <wp:docPr id="293" name="图片 293" descr="验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验收1"/>
                    <pic:cNvPicPr>
                      <a:picLocks noChangeAspect="1"/>
                    </pic:cNvPicPr>
                  </pic:nvPicPr>
                  <pic:blipFill>
                    <a:blip r:embed="rId82"/>
                    <a:stretch>
                      <a:fillRect/>
                    </a:stretch>
                  </pic:blipFill>
                  <pic:spPr>
                    <a:xfrm>
                      <a:off x="0" y="0"/>
                      <a:ext cx="5271135" cy="7456805"/>
                    </a:xfrm>
                    <a:prstGeom prst="rect">
                      <a:avLst/>
                    </a:prstGeom>
                  </pic:spPr>
                </pic:pic>
              </a:graphicData>
            </a:graphic>
          </wp:inline>
        </w:drawing>
      </w:r>
      <w:r>
        <w:rPr>
          <w:sz w:val="21"/>
        </w:rPr>
        <mc:AlternateContent>
          <mc:Choice Requires="wps">
            <w:drawing>
              <wp:anchor distT="0" distB="0" distL="114300" distR="114300" simplePos="0" relativeHeight="251810816" behindDoc="0" locked="0" layoutInCell="1" allowOverlap="1">
                <wp:simplePos x="0" y="0"/>
                <wp:positionH relativeFrom="column">
                  <wp:posOffset>2680970</wp:posOffset>
                </wp:positionH>
                <wp:positionV relativeFrom="paragraph">
                  <wp:posOffset>4857115</wp:posOffset>
                </wp:positionV>
                <wp:extent cx="1758950" cy="1374140"/>
                <wp:effectExtent l="0" t="0" r="12700" b="16510"/>
                <wp:wrapNone/>
                <wp:docPr id="188" name="矩形 188"/>
                <wp:cNvGraphicFramePr/>
                <a:graphic xmlns:a="http://schemas.openxmlformats.org/drawingml/2006/main">
                  <a:graphicData uri="http://schemas.microsoft.com/office/word/2010/wordprocessingShape">
                    <wps:wsp>
                      <wps:cNvSpPr/>
                      <wps:spPr>
                        <a:xfrm>
                          <a:off x="0" y="0"/>
                          <a:ext cx="1758950" cy="137414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1.1pt;margin-top:382.45pt;height:108.2pt;width:138.5pt;z-index:251810816;v-text-anchor:middle;mso-width-relative:page;mso-height-relative:page;" fillcolor="#FFFFFF [3212]" filled="t" stroked="f" coordsize="21600,21600" o:gfxdata="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cOOBE9kAAAALAQAADwAAAAAAAAABACAAAAAiAAAAZHJzL2Rvd25y&#10;ZXYueG1sUEsBAhQAFAAAAAgAh07iQM6vm7ZvAgAA0QQAAA4AAAAAAAAAAQAgAAAAKAEAAGRycy9l&#10;Mm9Eb2MueG1sUEsFBgAAAAAGAAYAWQEAAAkGAAAAAA==&#10;">
                <v:fill on="t" focussize="0,0"/>
                <v:stroke on="f" endarrow="open"/>
                <v:imagedata o:title=""/>
                <o:lock v:ext="edit" aspectratio="f"/>
              </v:rect>
            </w:pict>
          </mc:Fallback>
        </mc:AlternateContent>
      </w:r>
      <w:r>
        <w:rPr>
          <w:rFonts w:hint="eastAsia" w:cs="Times New Roman"/>
          <w:color w:val="auto"/>
          <w:lang w:val="en-US" w:eastAsia="zh-CN"/>
        </w:rPr>
        <w:drawing>
          <wp:inline distT="0" distB="0" distL="114300" distR="114300">
            <wp:extent cx="5271135" cy="7456805"/>
            <wp:effectExtent l="0" t="0" r="7620" b="2540"/>
            <wp:docPr id="294" name="图片 294" descr="验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验收2"/>
                    <pic:cNvPicPr>
                      <a:picLocks noChangeAspect="1"/>
                    </pic:cNvPicPr>
                  </pic:nvPicPr>
                  <pic:blipFill>
                    <a:blip r:embed="rId83"/>
                    <a:stretch>
                      <a:fillRect/>
                    </a:stretch>
                  </pic:blipFill>
                  <pic:spPr>
                    <a:xfrm>
                      <a:off x="0" y="0"/>
                      <a:ext cx="5271135" cy="7456805"/>
                    </a:xfrm>
                    <a:prstGeom prst="rect">
                      <a:avLst/>
                    </a:prstGeom>
                  </pic:spPr>
                </pic:pic>
              </a:graphicData>
            </a:graphic>
          </wp:inline>
        </w:drawing>
      </w:r>
    </w:p>
    <w:p w14:paraId="2B4D680E">
      <w:pPr>
        <w:rPr>
          <w:rFonts w:hint="eastAsia"/>
          <w:color w:val="auto"/>
          <w:lang w:val="en-US" w:eastAsia="zh-CN"/>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2EEE7237">
      <w:pP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环评批复</w:t>
      </w:r>
    </w:p>
    <w:p w14:paraId="726E1ED0">
      <w:pPr>
        <w:pStyle w:val="41"/>
        <w:spacing w:after="0" w:line="360" w:lineRule="auto"/>
        <w:ind w:left="0" w:leftChars="0" w:firstLine="0" w:firstLineChars="0"/>
        <w:jc w:val="both"/>
        <w:rPr>
          <w:rFonts w:hint="eastAsia" w:cs="Times New Roman"/>
          <w:color w:val="auto"/>
          <w:lang w:val="en-US" w:eastAsia="zh-CN"/>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r>
        <w:rPr>
          <w:rFonts w:hint="eastAsia" w:cs="Times New Roman"/>
          <w:color w:val="auto"/>
          <w:lang w:val="en-US" w:eastAsia="zh-CN"/>
        </w:rPr>
        <w:drawing>
          <wp:inline distT="0" distB="0" distL="114300" distR="114300">
            <wp:extent cx="5270500" cy="7449185"/>
            <wp:effectExtent l="0" t="0" r="8255" b="10160"/>
            <wp:docPr id="239" name="图片 239" descr="新生产线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新生产线环评批复_00"/>
                    <pic:cNvPicPr>
                      <a:picLocks noChangeAspect="1"/>
                    </pic:cNvPicPr>
                  </pic:nvPicPr>
                  <pic:blipFill>
                    <a:blip r:embed="rId84"/>
                    <a:stretch>
                      <a:fillRect/>
                    </a:stretch>
                  </pic:blipFill>
                  <pic:spPr>
                    <a:xfrm>
                      <a:off x="0" y="0"/>
                      <a:ext cx="5270500" cy="7449185"/>
                    </a:xfrm>
                    <a:prstGeom prst="rect">
                      <a:avLst/>
                    </a:prstGeom>
                  </pic:spPr>
                </pic:pic>
              </a:graphicData>
            </a:graphic>
          </wp:inline>
        </w:drawing>
      </w:r>
      <w:r>
        <w:rPr>
          <w:rFonts w:hint="eastAsia" w:cs="Times New Roman"/>
          <w:color w:val="auto"/>
          <w:lang w:val="en-US" w:eastAsia="zh-CN"/>
        </w:rPr>
        <w:drawing>
          <wp:inline distT="0" distB="0" distL="114300" distR="114300">
            <wp:extent cx="5270500" cy="7449185"/>
            <wp:effectExtent l="0" t="0" r="8255" b="10160"/>
            <wp:docPr id="268" name="图片 268" descr="新生产线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新生产线环评批复_01"/>
                    <pic:cNvPicPr>
                      <a:picLocks noChangeAspect="1"/>
                    </pic:cNvPicPr>
                  </pic:nvPicPr>
                  <pic:blipFill>
                    <a:blip r:embed="rId85"/>
                    <a:stretch>
                      <a:fillRect/>
                    </a:stretch>
                  </pic:blipFill>
                  <pic:spPr>
                    <a:xfrm>
                      <a:off x="0" y="0"/>
                      <a:ext cx="5270500" cy="7449185"/>
                    </a:xfrm>
                    <a:prstGeom prst="rect">
                      <a:avLst/>
                    </a:prstGeom>
                  </pic:spPr>
                </pic:pic>
              </a:graphicData>
            </a:graphic>
          </wp:inline>
        </w:drawing>
      </w:r>
      <w:r>
        <w:rPr>
          <w:rFonts w:hint="eastAsia" w:cs="Times New Roman"/>
          <w:color w:val="auto"/>
          <w:lang w:val="en-US" w:eastAsia="zh-CN"/>
        </w:rPr>
        <w:drawing>
          <wp:inline distT="0" distB="0" distL="114300" distR="114300">
            <wp:extent cx="5270500" cy="7449185"/>
            <wp:effectExtent l="0" t="0" r="8255" b="10160"/>
            <wp:docPr id="269" name="图片 269" descr="新生产线环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新生产线环评批复_02"/>
                    <pic:cNvPicPr>
                      <a:picLocks noChangeAspect="1"/>
                    </pic:cNvPicPr>
                  </pic:nvPicPr>
                  <pic:blipFill>
                    <a:blip r:embed="rId86"/>
                    <a:stretch>
                      <a:fillRect/>
                    </a:stretch>
                  </pic:blipFill>
                  <pic:spPr>
                    <a:xfrm>
                      <a:off x="0" y="0"/>
                      <a:ext cx="5270500" cy="7449185"/>
                    </a:xfrm>
                    <a:prstGeom prst="rect">
                      <a:avLst/>
                    </a:prstGeom>
                  </pic:spPr>
                </pic:pic>
              </a:graphicData>
            </a:graphic>
          </wp:inline>
        </w:drawing>
      </w:r>
    </w:p>
    <w:p w14:paraId="2C5B5927">
      <w:pPr>
        <w:pStyle w:val="41"/>
        <w:spacing w:after="0" w:line="360" w:lineRule="auto"/>
        <w:ind w:left="0" w:leftChars="0" w:firstLine="0" w:firstLineChars="0"/>
        <w:jc w:val="both"/>
        <w:rPr>
          <w:rFonts w:hint="eastAsia" w:cs="Times New Roman"/>
          <w:color w:val="auto"/>
          <w:lang w:val="en-US" w:eastAsia="zh-CN"/>
        </w:rPr>
      </w:pPr>
      <w:r>
        <w:rPr>
          <w:sz w:val="21"/>
        </w:rPr>
        <mc:AlternateContent>
          <mc:Choice Requires="wps">
            <w:drawing>
              <wp:anchor distT="0" distB="0" distL="114300" distR="114300" simplePos="0" relativeHeight="251811840" behindDoc="0" locked="0" layoutInCell="1" allowOverlap="1">
                <wp:simplePos x="0" y="0"/>
                <wp:positionH relativeFrom="column">
                  <wp:posOffset>2546350</wp:posOffset>
                </wp:positionH>
                <wp:positionV relativeFrom="paragraph">
                  <wp:posOffset>3175000</wp:posOffset>
                </wp:positionV>
                <wp:extent cx="1400175" cy="1228725"/>
                <wp:effectExtent l="0" t="0" r="9525" b="9525"/>
                <wp:wrapNone/>
                <wp:docPr id="191" name="矩形 191"/>
                <wp:cNvGraphicFramePr/>
                <a:graphic xmlns:a="http://schemas.openxmlformats.org/drawingml/2006/main">
                  <a:graphicData uri="http://schemas.microsoft.com/office/word/2010/wordprocessingShape">
                    <wps:wsp>
                      <wps:cNvSpPr/>
                      <wps:spPr>
                        <a:xfrm>
                          <a:off x="0" y="0"/>
                          <a:ext cx="1400175" cy="122872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5pt;margin-top:250pt;height:96.75pt;width:110.25pt;z-index:251811840;v-text-anchor:middle;mso-width-relative:page;mso-height-relative:page;" fillcolor="#FFFFFF [3212]" filled="t" stroked="f" coordsize="21600,21600" o:gfxdata="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qh8xDYAAAACwEAAA8AAAAAAAAAAQAgAAAAIgAAAGRycy9kb3ducmV2&#10;LnhtbFBLAQIUABQAAAAIAIdO4kAPcoAqbgIAANEEAAAOAAAAAAAAAAEAIAAAACcBAABkcnMvZTJv&#10;RG9jLnhtbFBLBQYAAAAABgAGAFkBAAAHBgAAAAA=&#10;">
                <v:fill on="t" focussize="0,0"/>
                <v:stroke on="f" endarrow="open"/>
                <v:imagedata o:title=""/>
                <o:lock v:ext="edit" aspectratio="f"/>
              </v:rect>
            </w:pict>
          </mc:Fallback>
        </mc:AlternateContent>
      </w:r>
      <w:r>
        <w:rPr>
          <w:rFonts w:hint="eastAsia" w:cs="Times New Roman"/>
          <w:color w:val="auto"/>
          <w:lang w:val="en-US" w:eastAsia="zh-CN"/>
        </w:rPr>
        <w:drawing>
          <wp:inline distT="0" distB="0" distL="114300" distR="114300">
            <wp:extent cx="5270500" cy="7449185"/>
            <wp:effectExtent l="0" t="0" r="8255" b="10160"/>
            <wp:docPr id="270" name="图片 270" descr="新生产线环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新生产线环评批复_03"/>
                    <pic:cNvPicPr>
                      <a:picLocks noChangeAspect="1"/>
                    </pic:cNvPicPr>
                  </pic:nvPicPr>
                  <pic:blipFill>
                    <a:blip r:embed="rId87"/>
                    <a:stretch>
                      <a:fillRect/>
                    </a:stretch>
                  </pic:blipFill>
                  <pic:spPr>
                    <a:xfrm>
                      <a:off x="0" y="0"/>
                      <a:ext cx="5270500" cy="7449185"/>
                    </a:xfrm>
                    <a:prstGeom prst="rect">
                      <a:avLst/>
                    </a:prstGeom>
                  </pic:spPr>
                </pic:pic>
              </a:graphicData>
            </a:graphic>
          </wp:inline>
        </w:drawing>
      </w:r>
    </w:p>
    <w:p w14:paraId="4EF4FFBD">
      <w:pPr>
        <w:pStyle w:val="41"/>
        <w:spacing w:after="0" w:line="360" w:lineRule="auto"/>
        <w:ind w:left="0" w:leftChars="0" w:firstLine="0" w:firstLineChars="0"/>
        <w:jc w:val="both"/>
        <w:rPr>
          <w:rFonts w:hint="eastAsia" w:cs="Times New Roman"/>
          <w:color w:val="auto"/>
          <w:lang w:val="en-US" w:eastAsia="zh-CN"/>
        </w:rPr>
      </w:pPr>
    </w:p>
    <w:p w14:paraId="0037D712">
      <w:pPr>
        <w:pStyle w:val="41"/>
        <w:spacing w:after="0" w:line="360" w:lineRule="auto"/>
        <w:ind w:left="0" w:leftChars="0" w:firstLine="0" w:firstLineChars="0"/>
        <w:jc w:val="both"/>
        <w:rPr>
          <w:rFonts w:hint="eastAsia" w:cs="Times New Roman"/>
          <w:color w:val="auto"/>
          <w:lang w:val="en-US" w:eastAsia="zh-CN"/>
        </w:rPr>
      </w:pPr>
    </w:p>
    <w:p w14:paraId="7AA22DF1">
      <w:pPr>
        <w:pStyle w:val="41"/>
        <w:spacing w:after="0" w:line="360" w:lineRule="auto"/>
        <w:ind w:left="0" w:leftChars="0" w:firstLine="0" w:firstLineChars="0"/>
        <w:jc w:val="both"/>
        <w:rPr>
          <w:rFonts w:hint="eastAsia" w:cs="Times New Roman"/>
          <w:color w:val="auto"/>
          <w:lang w:val="en-US" w:eastAsia="zh-CN"/>
        </w:rPr>
      </w:pPr>
    </w:p>
    <w:p w14:paraId="702D846A">
      <w:pP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验收意见</w:t>
      </w:r>
    </w:p>
    <w:p w14:paraId="59968F43">
      <w:pPr>
        <w:pStyle w:val="41"/>
        <w:spacing w:after="0" w:line="360" w:lineRule="auto"/>
        <w:ind w:left="0" w:leftChars="0" w:firstLine="0" w:firstLineChars="0"/>
        <w:jc w:val="both"/>
        <w:rPr>
          <w:rFonts w:hint="eastAsia" w:ascii="Times New Roman" w:hAnsi="Times New Roman" w:cs="Times New Roman"/>
          <w:color w:val="auto"/>
          <w:lang w:val="en-US" w:eastAsia="zh-CN"/>
        </w:rPr>
      </w:pPr>
      <w:r>
        <w:rPr>
          <w:color w:val="auto"/>
        </w:rPr>
        <w:drawing>
          <wp:inline distT="0" distB="0" distL="114300" distR="114300">
            <wp:extent cx="5270500" cy="7380605"/>
            <wp:effectExtent l="0" t="0" r="8255" b="3175"/>
            <wp:docPr id="2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5"/>
                    <pic:cNvPicPr>
                      <a:picLocks noChangeAspect="1"/>
                    </pic:cNvPicPr>
                  </pic:nvPicPr>
                  <pic:blipFill>
                    <a:blip r:embed="rId88"/>
                    <a:stretch>
                      <a:fillRect/>
                    </a:stretch>
                  </pic:blipFill>
                  <pic:spPr>
                    <a:xfrm>
                      <a:off x="0" y="0"/>
                      <a:ext cx="5270500" cy="7380605"/>
                    </a:xfrm>
                    <a:prstGeom prst="rect">
                      <a:avLst/>
                    </a:prstGeom>
                    <a:noFill/>
                    <a:ln>
                      <a:noFill/>
                    </a:ln>
                  </pic:spPr>
                </pic:pic>
              </a:graphicData>
            </a:graphic>
          </wp:inline>
        </w:drawing>
      </w:r>
    </w:p>
    <w:p w14:paraId="49E8CBC8">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4A87177F">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3FBDE674">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5D76CB5B">
      <w:pPr>
        <w:pStyle w:val="41"/>
        <w:spacing w:after="0" w:line="360" w:lineRule="auto"/>
        <w:ind w:left="0" w:leftChars="0" w:firstLine="0" w:firstLineChars="0"/>
        <w:jc w:val="both"/>
        <w:rPr>
          <w:rFonts w:hint="eastAsia" w:ascii="Times New Roman" w:hAnsi="Times New Roman" w:cs="Times New Roman"/>
          <w:color w:val="auto"/>
          <w:lang w:val="en-US" w:eastAsia="zh-CN"/>
        </w:rPr>
      </w:pPr>
      <w:r>
        <w:rPr>
          <w:color w:val="auto"/>
        </w:rPr>
        <w:drawing>
          <wp:inline distT="0" distB="0" distL="114300" distR="114300">
            <wp:extent cx="5271135" cy="7460615"/>
            <wp:effectExtent l="0" t="0" r="7620" b="9525"/>
            <wp:docPr id="2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6"/>
                    <pic:cNvPicPr>
                      <a:picLocks noChangeAspect="1"/>
                    </pic:cNvPicPr>
                  </pic:nvPicPr>
                  <pic:blipFill>
                    <a:blip r:embed="rId89"/>
                    <a:stretch>
                      <a:fillRect/>
                    </a:stretch>
                  </pic:blipFill>
                  <pic:spPr>
                    <a:xfrm>
                      <a:off x="0" y="0"/>
                      <a:ext cx="5271135" cy="7460615"/>
                    </a:xfrm>
                    <a:prstGeom prst="rect">
                      <a:avLst/>
                    </a:prstGeom>
                    <a:noFill/>
                    <a:ln>
                      <a:noFill/>
                    </a:ln>
                  </pic:spPr>
                </pic:pic>
              </a:graphicData>
            </a:graphic>
          </wp:inline>
        </w:drawing>
      </w:r>
    </w:p>
    <w:p w14:paraId="4A6132EC">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1FFE099C">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676E0E39">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3BA56187">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4DC1CF69">
      <w:pPr>
        <w:pStyle w:val="41"/>
        <w:spacing w:after="0" w:line="360" w:lineRule="auto"/>
        <w:ind w:left="0" w:leftChars="0" w:firstLine="0" w:firstLineChars="0"/>
        <w:jc w:val="both"/>
        <w:rPr>
          <w:rFonts w:hint="eastAsia" w:ascii="Times New Roman" w:hAnsi="Times New Roman" w:cs="Times New Roman"/>
          <w:color w:val="auto"/>
          <w:lang w:val="en-US" w:eastAsia="zh-CN"/>
        </w:rPr>
      </w:pPr>
      <w:r>
        <w:rPr>
          <w:color w:val="auto"/>
        </w:rPr>
        <w:drawing>
          <wp:inline distT="0" distB="0" distL="114300" distR="114300">
            <wp:extent cx="5271135" cy="7199630"/>
            <wp:effectExtent l="0" t="0" r="7620" b="635"/>
            <wp:docPr id="3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7"/>
                    <pic:cNvPicPr>
                      <a:picLocks noChangeAspect="1"/>
                    </pic:cNvPicPr>
                  </pic:nvPicPr>
                  <pic:blipFill>
                    <a:blip r:embed="rId90"/>
                    <a:stretch>
                      <a:fillRect/>
                    </a:stretch>
                  </pic:blipFill>
                  <pic:spPr>
                    <a:xfrm>
                      <a:off x="0" y="0"/>
                      <a:ext cx="5271135" cy="7199630"/>
                    </a:xfrm>
                    <a:prstGeom prst="rect">
                      <a:avLst/>
                    </a:prstGeom>
                    <a:noFill/>
                    <a:ln>
                      <a:noFill/>
                    </a:ln>
                  </pic:spPr>
                </pic:pic>
              </a:graphicData>
            </a:graphic>
          </wp:inline>
        </w:drawing>
      </w:r>
    </w:p>
    <w:p w14:paraId="7D9FEEA6">
      <w:pPr>
        <w:pStyle w:val="41"/>
        <w:spacing w:after="0" w:line="360" w:lineRule="auto"/>
        <w:ind w:left="0" w:leftChars="0" w:firstLine="480" w:firstLineChars="200"/>
        <w:jc w:val="both"/>
        <w:rPr>
          <w:rFonts w:hint="eastAsia" w:ascii="Times New Roman" w:hAnsi="Times New Roman" w:cs="Times New Roman"/>
          <w:color w:val="auto"/>
          <w:lang w:val="en-US" w:eastAsia="zh-CN"/>
        </w:rPr>
      </w:pPr>
    </w:p>
    <w:p w14:paraId="42369E5A">
      <w:pPr>
        <w:pStyle w:val="41"/>
        <w:spacing w:after="0" w:line="360" w:lineRule="auto"/>
        <w:ind w:left="0" w:leftChars="0" w:firstLine="480" w:firstLineChars="200"/>
        <w:jc w:val="both"/>
        <w:rPr>
          <w:rFonts w:hint="default" w:ascii="Times New Roman" w:hAnsi="Times New Roman" w:cs="Times New Roman"/>
          <w:color w:val="auto"/>
          <w:lang w:val="en-US" w:eastAsia="zh-CN"/>
        </w:rPr>
        <w:sectPr>
          <w:headerReference r:id="rId13" w:type="default"/>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6C77599">
      <w:pPr>
        <w:pStyle w:val="41"/>
        <w:spacing w:after="0" w:line="360" w:lineRule="auto"/>
        <w:ind w:left="0" w:leftChars="0" w:firstLine="0" w:firstLineChars="0"/>
        <w:jc w:val="both"/>
        <w:rPr>
          <w:color w:val="auto"/>
        </w:rPr>
      </w:pPr>
      <w:r>
        <w:rPr>
          <w:color w:val="auto"/>
        </w:rPr>
        <w:drawing>
          <wp:inline distT="0" distB="0" distL="114300" distR="114300">
            <wp:extent cx="5271135" cy="7353300"/>
            <wp:effectExtent l="0" t="0" r="7620" b="8890"/>
            <wp:docPr id="3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8"/>
                    <pic:cNvPicPr>
                      <a:picLocks noChangeAspect="1"/>
                    </pic:cNvPicPr>
                  </pic:nvPicPr>
                  <pic:blipFill>
                    <a:blip r:embed="rId91"/>
                    <a:stretch>
                      <a:fillRect/>
                    </a:stretch>
                  </pic:blipFill>
                  <pic:spPr>
                    <a:xfrm>
                      <a:off x="0" y="0"/>
                      <a:ext cx="5271135" cy="7353300"/>
                    </a:xfrm>
                    <a:prstGeom prst="rect">
                      <a:avLst/>
                    </a:prstGeom>
                    <a:noFill/>
                    <a:ln>
                      <a:noFill/>
                    </a:ln>
                  </pic:spPr>
                </pic:pic>
              </a:graphicData>
            </a:graphic>
          </wp:inline>
        </w:drawing>
      </w:r>
    </w:p>
    <w:p w14:paraId="650939D0">
      <w:pPr>
        <w:pStyle w:val="41"/>
        <w:spacing w:after="0" w:line="360" w:lineRule="auto"/>
        <w:ind w:left="0" w:leftChars="0" w:firstLine="0" w:firstLineChars="0"/>
        <w:jc w:val="both"/>
        <w:rPr>
          <w:color w:val="auto"/>
        </w:rPr>
      </w:pPr>
    </w:p>
    <w:p w14:paraId="07FB5D94">
      <w:pPr>
        <w:pStyle w:val="41"/>
        <w:spacing w:after="0" w:line="360" w:lineRule="auto"/>
        <w:ind w:left="0" w:leftChars="0" w:firstLine="0" w:firstLineChars="0"/>
        <w:jc w:val="both"/>
        <w:rPr>
          <w:rFonts w:hint="eastAsia"/>
          <w:color w:val="auto"/>
          <w:lang w:val="en-US" w:eastAsia="zh-CN"/>
        </w:rPr>
      </w:pPr>
      <w:r>
        <w:rPr>
          <w:color w:val="auto"/>
        </w:rPr>
        <w:drawing>
          <wp:inline distT="0" distB="0" distL="114300" distR="114300">
            <wp:extent cx="7987030" cy="5675630"/>
            <wp:effectExtent l="0" t="0" r="2540" b="1270"/>
            <wp:docPr id="3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9"/>
                    <pic:cNvPicPr>
                      <a:picLocks noChangeAspect="1"/>
                    </pic:cNvPicPr>
                  </pic:nvPicPr>
                  <pic:blipFill>
                    <a:blip r:embed="rId92"/>
                    <a:stretch>
                      <a:fillRect/>
                    </a:stretch>
                  </pic:blipFill>
                  <pic:spPr>
                    <a:xfrm rot="16200000">
                      <a:off x="0" y="0"/>
                      <a:ext cx="7987030" cy="5675630"/>
                    </a:xfrm>
                    <a:prstGeom prst="rect">
                      <a:avLst/>
                    </a:prstGeom>
                    <a:noFill/>
                    <a:ln>
                      <a:noFill/>
                    </a:ln>
                  </pic:spPr>
                </pic:pic>
              </a:graphicData>
            </a:graphic>
          </wp:inline>
        </w:drawing>
      </w:r>
    </w:p>
    <w:p w14:paraId="65579E5E">
      <w:pPr>
        <w:pStyle w:val="41"/>
        <w:spacing w:after="0" w:line="360" w:lineRule="auto"/>
        <w:ind w:left="0" w:leftChars="0" w:firstLine="0" w:firstLineChars="0"/>
        <w:jc w:val="both"/>
        <w:rPr>
          <w:rFonts w:hint="eastAsia" w:cs="Times New Roman"/>
          <w:color w:val="auto"/>
          <w:lang w:val="en-US" w:eastAsia="zh-CN"/>
        </w:rPr>
      </w:pPr>
    </w:p>
    <w:p w14:paraId="6EA60520">
      <w:pPr>
        <w:pStyle w:val="41"/>
        <w:spacing w:after="0" w:line="360" w:lineRule="auto"/>
        <w:ind w:left="0" w:leftChars="0" w:firstLine="0" w:firstLineChars="0"/>
        <w:jc w:val="both"/>
        <w:rPr>
          <w:rFonts w:hint="eastAsia" w:cs="Times New Roman"/>
          <w:color w:val="auto"/>
          <w:lang w:val="en-US" w:eastAsia="zh-CN"/>
        </w:rPr>
        <w:sectPr>
          <w:footerReference r:id="rId15" w:type="default"/>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67148717">
      <w:pP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环评批复</w:t>
      </w:r>
    </w:p>
    <w:p w14:paraId="7E13F818">
      <w:pPr>
        <w:spacing w:before="168" w:line="11558" w:lineRule="exact"/>
        <w:ind w:firstLine="16"/>
        <w:rPr>
          <w:color w:val="auto"/>
        </w:rPr>
      </w:pPr>
      <w:r>
        <w:rPr>
          <w:color w:val="auto"/>
          <w:position w:val="-231"/>
        </w:rPr>
        <w:drawing>
          <wp:inline distT="0" distB="0" distL="0" distR="0">
            <wp:extent cx="5172075" cy="7339330"/>
            <wp:effectExtent l="0" t="0" r="9525" b="1270"/>
            <wp:docPr id="271" name="IM 74"/>
            <wp:cNvGraphicFramePr/>
            <a:graphic xmlns:a="http://schemas.openxmlformats.org/drawingml/2006/main">
              <a:graphicData uri="http://schemas.openxmlformats.org/drawingml/2006/picture">
                <pic:pic xmlns:pic="http://schemas.openxmlformats.org/drawingml/2006/picture">
                  <pic:nvPicPr>
                    <pic:cNvPr id="271" name="IM 74"/>
                    <pic:cNvPicPr/>
                  </pic:nvPicPr>
                  <pic:blipFill>
                    <a:blip r:embed="rId93"/>
                    <a:stretch>
                      <a:fillRect/>
                    </a:stretch>
                  </pic:blipFill>
                  <pic:spPr>
                    <a:xfrm>
                      <a:off x="0" y="0"/>
                      <a:ext cx="5172455" cy="7339584"/>
                    </a:xfrm>
                    <a:prstGeom prst="rect">
                      <a:avLst/>
                    </a:prstGeom>
                  </pic:spPr>
                </pic:pic>
              </a:graphicData>
            </a:graphic>
          </wp:inline>
        </w:drawing>
      </w:r>
    </w:p>
    <w:p w14:paraId="2C01A724">
      <w:pPr>
        <w:spacing w:line="11558" w:lineRule="exact"/>
        <w:rPr>
          <w:color w:val="auto"/>
        </w:rPr>
        <w:sectPr>
          <w:footerReference r:id="rId16" w:type="default"/>
          <w:pgSz w:w="11906" w:h="16839"/>
          <w:pgMar w:top="1106" w:right="1785" w:bottom="400" w:left="1785" w:header="1020" w:footer="1191" w:gutter="0"/>
          <w:pgBorders>
            <w:top w:val="none" w:sz="0" w:space="0"/>
            <w:left w:val="none" w:sz="0" w:space="0"/>
            <w:bottom w:val="none" w:sz="0" w:space="0"/>
            <w:right w:val="none" w:sz="0" w:space="0"/>
          </w:pgBorders>
          <w:pgNumType w:fmt="decimal"/>
          <w:cols w:space="720" w:num="1"/>
        </w:sectPr>
      </w:pPr>
    </w:p>
    <w:p w14:paraId="4690F895">
      <w:pPr>
        <w:spacing w:line="11765" w:lineRule="exact"/>
        <w:ind w:firstLine="16"/>
        <w:rPr>
          <w:color w:val="auto"/>
        </w:rPr>
      </w:pPr>
      <w:r>
        <w:rPr>
          <w:color w:val="auto"/>
          <w:position w:val="-235"/>
        </w:rPr>
        <w:drawing>
          <wp:inline distT="0" distB="0" distL="0" distR="0">
            <wp:extent cx="5265420" cy="7470140"/>
            <wp:effectExtent l="0" t="0" r="2540" b="0"/>
            <wp:docPr id="272" name="IM 76"/>
            <wp:cNvGraphicFramePr/>
            <a:graphic xmlns:a="http://schemas.openxmlformats.org/drawingml/2006/main">
              <a:graphicData uri="http://schemas.openxmlformats.org/drawingml/2006/picture">
                <pic:pic xmlns:pic="http://schemas.openxmlformats.org/drawingml/2006/picture">
                  <pic:nvPicPr>
                    <pic:cNvPr id="272" name="IM 76"/>
                    <pic:cNvPicPr/>
                  </pic:nvPicPr>
                  <pic:blipFill>
                    <a:blip r:embed="rId94"/>
                    <a:stretch>
                      <a:fillRect/>
                    </a:stretch>
                  </pic:blipFill>
                  <pic:spPr>
                    <a:xfrm>
                      <a:off x="0" y="0"/>
                      <a:ext cx="5265420" cy="7470647"/>
                    </a:xfrm>
                    <a:prstGeom prst="rect">
                      <a:avLst/>
                    </a:prstGeom>
                  </pic:spPr>
                </pic:pic>
              </a:graphicData>
            </a:graphic>
          </wp:inline>
        </w:drawing>
      </w:r>
    </w:p>
    <w:p w14:paraId="676568C5">
      <w:pPr>
        <w:spacing w:line="11765" w:lineRule="exact"/>
        <w:rPr>
          <w:color w:val="auto"/>
        </w:rPr>
        <w:sectPr>
          <w:headerReference r:id="rId17" w:type="default"/>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6DCEB76E">
      <w:pPr>
        <w:spacing w:line="11388" w:lineRule="exact"/>
        <w:ind w:firstLine="16"/>
        <w:rPr>
          <w:color w:val="auto"/>
        </w:rPr>
      </w:pPr>
      <w:r>
        <w:rPr>
          <w:sz w:val="21"/>
        </w:rPr>
        <mc:AlternateContent>
          <mc:Choice Requires="wps">
            <w:drawing>
              <wp:anchor distT="0" distB="0" distL="114300" distR="114300" simplePos="0" relativeHeight="251812864" behindDoc="0" locked="0" layoutInCell="1" allowOverlap="1">
                <wp:simplePos x="0" y="0"/>
                <wp:positionH relativeFrom="column">
                  <wp:posOffset>2394585</wp:posOffset>
                </wp:positionH>
                <wp:positionV relativeFrom="paragraph">
                  <wp:posOffset>4951730</wp:posOffset>
                </wp:positionV>
                <wp:extent cx="1400175" cy="1228725"/>
                <wp:effectExtent l="0" t="0" r="9525" b="9525"/>
                <wp:wrapNone/>
                <wp:docPr id="207" name="矩形 207"/>
                <wp:cNvGraphicFramePr/>
                <a:graphic xmlns:a="http://schemas.openxmlformats.org/drawingml/2006/main">
                  <a:graphicData uri="http://schemas.microsoft.com/office/word/2010/wordprocessingShape">
                    <wps:wsp>
                      <wps:cNvSpPr/>
                      <wps:spPr>
                        <a:xfrm>
                          <a:off x="0" y="0"/>
                          <a:ext cx="1400175" cy="122872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8.55pt;margin-top:389.9pt;height:96.75pt;width:110.25pt;z-index:251812864;v-text-anchor:middle;mso-width-relative:page;mso-height-relative:page;" fillcolor="#FFFFFF [3212]" filled="t" stroked="f" coordsize="21600,21600" o:gfxdata="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1NpJW2AAAAAsBAAAPAAAAAAAAAAEAIAAAACIAAABkcnMvZG93bnJl&#10;di54bWxQSwECFAAUAAAACACHTuJALwRIiG8CAADRBAAADgAAAAAAAAABACAAAAAnAQAAZHJzL2Uy&#10;b0RvYy54bWxQSwUGAAAAAAYABgBZAQAACAYAAAAA&#10;">
                <v:fill on="t" focussize="0,0"/>
                <v:stroke on="f" endarrow="open"/>
                <v:imagedata o:title=""/>
                <o:lock v:ext="edit" aspectratio="f"/>
              </v:rect>
            </w:pict>
          </mc:Fallback>
        </mc:AlternateContent>
      </w:r>
      <w:r>
        <w:rPr>
          <w:color w:val="auto"/>
          <w:position w:val="-227"/>
        </w:rPr>
        <w:drawing>
          <wp:inline distT="0" distB="0" distL="0" distR="0">
            <wp:extent cx="5266690" cy="7231380"/>
            <wp:effectExtent l="0" t="0" r="1270" b="1270"/>
            <wp:docPr id="273" name="IM 78"/>
            <wp:cNvGraphicFramePr/>
            <a:graphic xmlns:a="http://schemas.openxmlformats.org/drawingml/2006/main">
              <a:graphicData uri="http://schemas.openxmlformats.org/drawingml/2006/picture">
                <pic:pic xmlns:pic="http://schemas.openxmlformats.org/drawingml/2006/picture">
                  <pic:nvPicPr>
                    <pic:cNvPr id="273" name="IM 78"/>
                    <pic:cNvPicPr/>
                  </pic:nvPicPr>
                  <pic:blipFill>
                    <a:blip r:embed="rId95"/>
                    <a:stretch>
                      <a:fillRect/>
                    </a:stretch>
                  </pic:blipFill>
                  <pic:spPr>
                    <a:xfrm>
                      <a:off x="0" y="0"/>
                      <a:ext cx="5266944" cy="7231380"/>
                    </a:xfrm>
                    <a:prstGeom prst="rect">
                      <a:avLst/>
                    </a:prstGeom>
                  </pic:spPr>
                </pic:pic>
              </a:graphicData>
            </a:graphic>
          </wp:inline>
        </w:drawing>
      </w:r>
    </w:p>
    <w:p w14:paraId="15242B5B">
      <w:pPr>
        <w:spacing w:line="11388"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7F6862D9">
      <w:pP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验收意见</w:t>
      </w:r>
    </w:p>
    <w:p w14:paraId="79EF7FAB">
      <w:pPr>
        <w:rPr>
          <w:color w:val="auto"/>
        </w:rPr>
      </w:pPr>
      <w:r>
        <w:rPr>
          <w:color w:val="auto"/>
        </w:rPr>
        <w:drawing>
          <wp:inline distT="0" distB="0" distL="114300" distR="114300">
            <wp:extent cx="5610225" cy="7893050"/>
            <wp:effectExtent l="0" t="0" r="3175" b="8890"/>
            <wp:docPr id="2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5"/>
                    <pic:cNvPicPr>
                      <a:picLocks noChangeAspect="1"/>
                    </pic:cNvPicPr>
                  </pic:nvPicPr>
                  <pic:blipFill>
                    <a:blip r:embed="rId96"/>
                    <a:stretch>
                      <a:fillRect/>
                    </a:stretch>
                  </pic:blipFill>
                  <pic:spPr>
                    <a:xfrm>
                      <a:off x="0" y="0"/>
                      <a:ext cx="5610225" cy="7893050"/>
                    </a:xfrm>
                    <a:prstGeom prst="rect">
                      <a:avLst/>
                    </a:prstGeom>
                    <a:noFill/>
                    <a:ln>
                      <a:noFill/>
                    </a:ln>
                  </pic:spPr>
                </pic:pic>
              </a:graphicData>
            </a:graphic>
          </wp:inline>
        </w:drawing>
      </w:r>
      <w:r>
        <w:rPr>
          <w:color w:val="auto"/>
        </w:rPr>
        <w:drawing>
          <wp:inline distT="0" distB="0" distL="114300" distR="114300">
            <wp:extent cx="5612130" cy="7740015"/>
            <wp:effectExtent l="0" t="0" r="1270" b="0"/>
            <wp:docPr id="2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6"/>
                    <pic:cNvPicPr>
                      <a:picLocks noChangeAspect="1"/>
                    </pic:cNvPicPr>
                  </pic:nvPicPr>
                  <pic:blipFill>
                    <a:blip r:embed="rId97"/>
                    <a:stretch>
                      <a:fillRect/>
                    </a:stretch>
                  </pic:blipFill>
                  <pic:spPr>
                    <a:xfrm>
                      <a:off x="0" y="0"/>
                      <a:ext cx="5612130" cy="7740015"/>
                    </a:xfrm>
                    <a:prstGeom prst="rect">
                      <a:avLst/>
                    </a:prstGeom>
                    <a:noFill/>
                    <a:ln>
                      <a:noFill/>
                    </a:ln>
                  </pic:spPr>
                </pic:pic>
              </a:graphicData>
            </a:graphic>
          </wp:inline>
        </w:drawing>
      </w:r>
    </w:p>
    <w:p w14:paraId="260BD1B1">
      <w:pPr>
        <w:rPr>
          <w:rFonts w:hint="eastAsia"/>
          <w:color w:val="auto"/>
        </w:rPr>
      </w:pPr>
    </w:p>
    <w:p w14:paraId="4B869D53">
      <w:pPr>
        <w:pStyle w:val="41"/>
        <w:ind w:left="0" w:leftChars="0" w:firstLine="0" w:firstLineChars="0"/>
        <w:rPr>
          <w:color w:val="auto"/>
        </w:rPr>
      </w:pPr>
      <w:r>
        <w:rPr>
          <w:color w:val="auto"/>
        </w:rPr>
        <w:drawing>
          <wp:inline distT="0" distB="0" distL="114300" distR="114300">
            <wp:extent cx="5607685" cy="7815580"/>
            <wp:effectExtent l="0" t="0" r="5715" b="0"/>
            <wp:docPr id="2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7"/>
                    <pic:cNvPicPr>
                      <a:picLocks noChangeAspect="1"/>
                    </pic:cNvPicPr>
                  </pic:nvPicPr>
                  <pic:blipFill>
                    <a:blip r:embed="rId98"/>
                    <a:stretch>
                      <a:fillRect/>
                    </a:stretch>
                  </pic:blipFill>
                  <pic:spPr>
                    <a:xfrm>
                      <a:off x="0" y="0"/>
                      <a:ext cx="5607685" cy="7815580"/>
                    </a:xfrm>
                    <a:prstGeom prst="rect">
                      <a:avLst/>
                    </a:prstGeom>
                    <a:noFill/>
                    <a:ln>
                      <a:noFill/>
                    </a:ln>
                  </pic:spPr>
                </pic:pic>
              </a:graphicData>
            </a:graphic>
          </wp:inline>
        </w:drawing>
      </w:r>
    </w:p>
    <w:p w14:paraId="776F3BC1">
      <w:pPr>
        <w:pStyle w:val="41"/>
        <w:ind w:left="0" w:leftChars="0" w:firstLine="0" w:firstLineChars="0"/>
        <w:rPr>
          <w:color w:val="auto"/>
        </w:rPr>
      </w:pPr>
      <w:r>
        <w:rPr>
          <w:color w:val="auto"/>
        </w:rPr>
        <w:drawing>
          <wp:inline distT="0" distB="0" distL="114300" distR="114300">
            <wp:extent cx="5612130" cy="7962265"/>
            <wp:effectExtent l="0" t="0" r="1270" b="4445"/>
            <wp:docPr id="2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8"/>
                    <pic:cNvPicPr>
                      <a:picLocks noChangeAspect="1"/>
                    </pic:cNvPicPr>
                  </pic:nvPicPr>
                  <pic:blipFill>
                    <a:blip r:embed="rId99"/>
                    <a:stretch>
                      <a:fillRect/>
                    </a:stretch>
                  </pic:blipFill>
                  <pic:spPr>
                    <a:xfrm>
                      <a:off x="0" y="0"/>
                      <a:ext cx="5612130" cy="7962265"/>
                    </a:xfrm>
                    <a:prstGeom prst="rect">
                      <a:avLst/>
                    </a:prstGeom>
                    <a:noFill/>
                    <a:ln>
                      <a:noFill/>
                    </a:ln>
                  </pic:spPr>
                </pic:pic>
              </a:graphicData>
            </a:graphic>
          </wp:inline>
        </w:drawing>
      </w:r>
    </w:p>
    <w:p w14:paraId="54F379B8">
      <w:pPr>
        <w:pStyle w:val="41"/>
        <w:ind w:left="0" w:leftChars="0" w:firstLine="0" w:firstLineChars="0"/>
        <w:rPr>
          <w:rFonts w:hint="eastAsia"/>
          <w:color w:val="auto"/>
        </w:rPr>
      </w:pPr>
      <w:r>
        <w:rPr>
          <w:color w:val="auto"/>
        </w:rPr>
        <w:drawing>
          <wp:inline distT="0" distB="0" distL="114300" distR="114300">
            <wp:extent cx="5610225" cy="7937500"/>
            <wp:effectExtent l="0" t="0" r="3175" b="7620"/>
            <wp:docPr id="2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9"/>
                    <pic:cNvPicPr>
                      <a:picLocks noChangeAspect="1"/>
                    </pic:cNvPicPr>
                  </pic:nvPicPr>
                  <pic:blipFill>
                    <a:blip r:embed="rId100"/>
                    <a:stretch>
                      <a:fillRect/>
                    </a:stretch>
                  </pic:blipFill>
                  <pic:spPr>
                    <a:xfrm>
                      <a:off x="0" y="0"/>
                      <a:ext cx="5610225" cy="7937500"/>
                    </a:xfrm>
                    <a:prstGeom prst="rect">
                      <a:avLst/>
                    </a:prstGeom>
                    <a:noFill/>
                    <a:ln>
                      <a:noFill/>
                    </a:ln>
                  </pic:spPr>
                </pic:pic>
              </a:graphicData>
            </a:graphic>
          </wp:inline>
        </w:drawing>
      </w:r>
    </w:p>
    <w:p w14:paraId="1F7FF758">
      <w:pPr>
        <w:pStyle w:val="3"/>
        <w:rPr>
          <w:rFonts w:hint="default" w:eastAsia="宋体"/>
          <w:color w:val="auto"/>
          <w:lang w:val="en-US" w:eastAsia="zh-CN"/>
        </w:rPr>
      </w:pPr>
      <w:bookmarkStart w:id="348" w:name="_Toc28031"/>
      <w:bookmarkStart w:id="349" w:name="_Toc13138"/>
      <w:bookmarkStart w:id="350" w:name="_Toc30531"/>
      <w:r>
        <w:rPr>
          <w:rFonts w:hint="eastAsia"/>
          <w:color w:val="auto"/>
        </w:rPr>
        <w:t>附件</w:t>
      </w:r>
      <w:r>
        <w:rPr>
          <w:rFonts w:hint="eastAsia"/>
          <w:color w:val="auto"/>
          <w:lang w:val="en-US" w:eastAsia="zh-CN"/>
        </w:rPr>
        <w:t>8</w:t>
      </w:r>
      <w:r>
        <w:rPr>
          <w:rFonts w:hint="eastAsia"/>
          <w:color w:val="auto"/>
        </w:rPr>
        <w:t xml:space="preserve"> </w:t>
      </w:r>
      <w:r>
        <w:rPr>
          <w:rFonts w:hint="eastAsia"/>
          <w:color w:val="auto"/>
          <w:lang w:val="en-US" w:eastAsia="zh-CN"/>
        </w:rPr>
        <w:t>排污许可证</w:t>
      </w:r>
      <w:bookmarkEnd w:id="348"/>
      <w:bookmarkEnd w:id="349"/>
      <w:bookmarkEnd w:id="350"/>
    </w:p>
    <w:p w14:paraId="6759CFEB">
      <w:pPr>
        <w:rPr>
          <w:color w:val="auto"/>
        </w:rPr>
      </w:pPr>
      <w:r>
        <w:rPr>
          <w:color w:val="auto"/>
          <w:position w:val="-104"/>
        </w:rPr>
        <w:drawing>
          <wp:inline distT="0" distB="0" distL="0" distR="0">
            <wp:extent cx="5259070" cy="3308350"/>
            <wp:effectExtent l="0" t="0" r="8890" b="5715"/>
            <wp:docPr id="295" name="IM 92"/>
            <wp:cNvGraphicFramePr/>
            <a:graphic xmlns:a="http://schemas.openxmlformats.org/drawingml/2006/main">
              <a:graphicData uri="http://schemas.openxmlformats.org/drawingml/2006/picture">
                <pic:pic xmlns:pic="http://schemas.openxmlformats.org/drawingml/2006/picture">
                  <pic:nvPicPr>
                    <pic:cNvPr id="295" name="IM 92"/>
                    <pic:cNvPicPr/>
                  </pic:nvPicPr>
                  <pic:blipFill>
                    <a:blip r:embed="rId101"/>
                    <a:stretch>
                      <a:fillRect/>
                    </a:stretch>
                  </pic:blipFill>
                  <pic:spPr>
                    <a:xfrm>
                      <a:off x="0" y="0"/>
                      <a:ext cx="5259323" cy="3308604"/>
                    </a:xfrm>
                    <a:prstGeom prst="rect">
                      <a:avLst/>
                    </a:prstGeom>
                  </pic:spPr>
                </pic:pic>
              </a:graphicData>
            </a:graphic>
          </wp:inline>
        </w:drawing>
      </w:r>
    </w:p>
    <w:p w14:paraId="008D4C68">
      <w:pPr>
        <w:pStyle w:val="41"/>
        <w:ind w:firstLine="480"/>
        <w:rPr>
          <w:rFonts w:hint="eastAsia"/>
          <w:color w:val="auto"/>
        </w:rPr>
      </w:pPr>
    </w:p>
    <w:p w14:paraId="0ADEA7C1">
      <w:pPr>
        <w:pStyle w:val="41"/>
        <w:ind w:firstLine="480"/>
        <w:rPr>
          <w:rFonts w:hint="eastAsia"/>
          <w:color w:val="auto"/>
        </w:rPr>
      </w:pPr>
    </w:p>
    <w:p w14:paraId="67B1C741">
      <w:pPr>
        <w:pStyle w:val="3"/>
        <w:rPr>
          <w:rFonts w:hint="eastAsia"/>
          <w:color w:val="auto"/>
        </w:rPr>
        <w:sectPr>
          <w:pgSz w:w="11905"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p>
    <w:p w14:paraId="75F4B2EB">
      <w:pPr>
        <w:pStyle w:val="3"/>
        <w:rPr>
          <w:rFonts w:hint="default" w:eastAsia="宋体"/>
          <w:color w:val="auto"/>
          <w:lang w:val="en-US" w:eastAsia="zh-CN"/>
        </w:rPr>
      </w:pPr>
      <w:bookmarkStart w:id="351" w:name="_Toc16406"/>
      <w:bookmarkStart w:id="352" w:name="_Toc22287"/>
      <w:bookmarkStart w:id="353" w:name="_Toc10977"/>
      <w:r>
        <w:rPr>
          <w:rFonts w:hint="eastAsia"/>
          <w:color w:val="auto"/>
        </w:rPr>
        <w:t>附件</w:t>
      </w:r>
      <w:r>
        <w:rPr>
          <w:rFonts w:hint="eastAsia"/>
          <w:color w:val="auto"/>
          <w:lang w:val="en-US" w:eastAsia="zh-CN"/>
        </w:rPr>
        <w:t>9</w:t>
      </w:r>
      <w:r>
        <w:rPr>
          <w:rFonts w:hint="eastAsia"/>
          <w:color w:val="auto"/>
        </w:rPr>
        <w:t xml:space="preserve"> </w:t>
      </w:r>
      <w:r>
        <w:rPr>
          <w:rFonts w:hint="eastAsia"/>
          <w:color w:val="auto"/>
          <w:lang w:val="en-US" w:eastAsia="zh-CN"/>
        </w:rPr>
        <w:t>应急预案备案表</w:t>
      </w:r>
      <w:bookmarkEnd w:id="351"/>
      <w:bookmarkEnd w:id="352"/>
      <w:bookmarkEnd w:id="353"/>
    </w:p>
    <w:p w14:paraId="148315A1">
      <w:pPr>
        <w:rPr>
          <w:rFonts w:hint="eastAsia" w:cs="Times New Roman"/>
          <w:b/>
          <w:bCs/>
          <w:color w:val="auto"/>
          <w:lang w:val="en-US" w:eastAsia="zh-CN"/>
        </w:rPr>
      </w:pPr>
      <w:r>
        <w:rPr>
          <w:rFonts w:hint="eastAsia" w:cs="Times New Roman"/>
          <w:b/>
          <w:bCs/>
          <w:color w:val="auto"/>
          <w:lang w:val="en-US" w:eastAsia="zh-CN"/>
        </w:rPr>
        <w:drawing>
          <wp:inline distT="0" distB="0" distL="114300" distR="114300">
            <wp:extent cx="5688965" cy="8048625"/>
            <wp:effectExtent l="0" t="0" r="0" b="4445"/>
            <wp:docPr id="296" name="图片 296" descr="应急预案备案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应急预案备案表_00"/>
                    <pic:cNvPicPr>
                      <a:picLocks noChangeAspect="1"/>
                    </pic:cNvPicPr>
                  </pic:nvPicPr>
                  <pic:blipFill>
                    <a:blip r:embed="rId102"/>
                    <a:stretch>
                      <a:fillRect/>
                    </a:stretch>
                  </pic:blipFill>
                  <pic:spPr>
                    <a:xfrm>
                      <a:off x="0" y="0"/>
                      <a:ext cx="5688965" cy="8048625"/>
                    </a:xfrm>
                    <a:prstGeom prst="rect">
                      <a:avLst/>
                    </a:prstGeom>
                  </pic:spPr>
                </pic:pic>
              </a:graphicData>
            </a:graphic>
          </wp:inline>
        </w:drawing>
      </w:r>
    </w:p>
    <w:p w14:paraId="44231C37">
      <w:pPr>
        <w:rPr>
          <w:rFonts w:hint="eastAsia" w:cs="Times New Roman"/>
          <w:b/>
          <w:bCs/>
          <w:color w:val="auto"/>
          <w:lang w:val="en-US" w:eastAsia="zh-CN"/>
        </w:rPr>
      </w:pPr>
    </w:p>
    <w:p w14:paraId="69A27E65">
      <w:pPr>
        <w:rPr>
          <w:rFonts w:hint="eastAsia" w:cs="Times New Roman"/>
          <w:b/>
          <w:bCs/>
          <w:color w:val="auto"/>
          <w:lang w:val="en-US" w:eastAsia="zh-CN"/>
        </w:rPr>
      </w:pPr>
      <w:r>
        <w:rPr>
          <w:sz w:val="21"/>
        </w:rPr>
        <mc:AlternateContent>
          <mc:Choice Requires="wps">
            <w:drawing>
              <wp:anchor distT="0" distB="0" distL="114300" distR="114300" simplePos="0" relativeHeight="251813888" behindDoc="0" locked="0" layoutInCell="1" allowOverlap="1">
                <wp:simplePos x="0" y="0"/>
                <wp:positionH relativeFrom="column">
                  <wp:posOffset>3632835</wp:posOffset>
                </wp:positionH>
                <wp:positionV relativeFrom="paragraph">
                  <wp:posOffset>4342765</wp:posOffset>
                </wp:positionV>
                <wp:extent cx="1400175" cy="1257935"/>
                <wp:effectExtent l="0" t="0" r="9525" b="18415"/>
                <wp:wrapNone/>
                <wp:docPr id="208" name="矩形 208"/>
                <wp:cNvGraphicFramePr/>
                <a:graphic xmlns:a="http://schemas.openxmlformats.org/drawingml/2006/main">
                  <a:graphicData uri="http://schemas.microsoft.com/office/word/2010/wordprocessingShape">
                    <wps:wsp>
                      <wps:cNvSpPr/>
                      <wps:spPr>
                        <a:xfrm>
                          <a:off x="0" y="0"/>
                          <a:ext cx="1400175" cy="1257935"/>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05pt;margin-top:341.95pt;height:99.05pt;width:110.25pt;z-index:251813888;v-text-anchor:middle;mso-width-relative:page;mso-height-relative:page;" fillcolor="#FFFFFF [3212]" filled="t" stroked="f" coordsize="21600,21600" o:gfxdata="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lJUYT2gAAAAsBAAAPAAAAAAAAAAEAIAAAACIAAABkcnMvZG93&#10;bnJldi54bWxQSwECFAAUAAAACACHTuJAVyqJvXACAADRBAAADgAAAAAAAAABACAAAAApAQAAZHJz&#10;L2Uyb0RvYy54bWxQSwUGAAAAAAYABgBZAQAACwYAAAAA&#10;">
                <v:fill on="t" focussize="0,0"/>
                <v:stroke on="f" endarrow="open"/>
                <v:imagedata o:title=""/>
                <o:lock v:ext="edit" aspectratio="f"/>
              </v:rect>
            </w:pict>
          </mc:Fallback>
        </mc:AlternateContent>
      </w:r>
      <w:r>
        <w:rPr>
          <w:rFonts w:hint="eastAsia" w:cs="Times New Roman"/>
          <w:b/>
          <w:bCs/>
          <w:color w:val="auto"/>
          <w:lang w:val="en-US" w:eastAsia="zh-CN"/>
        </w:rPr>
        <w:drawing>
          <wp:inline distT="0" distB="0" distL="114300" distR="114300">
            <wp:extent cx="5773420" cy="8168640"/>
            <wp:effectExtent l="0" t="0" r="1905" b="3175"/>
            <wp:docPr id="297" name="图片 297" descr="应急预案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应急预案备案表_01"/>
                    <pic:cNvPicPr>
                      <a:picLocks noChangeAspect="1"/>
                    </pic:cNvPicPr>
                  </pic:nvPicPr>
                  <pic:blipFill>
                    <a:blip r:embed="rId103"/>
                    <a:stretch>
                      <a:fillRect/>
                    </a:stretch>
                  </pic:blipFill>
                  <pic:spPr>
                    <a:xfrm>
                      <a:off x="0" y="0"/>
                      <a:ext cx="5773420" cy="8168640"/>
                    </a:xfrm>
                    <a:prstGeom prst="rect">
                      <a:avLst/>
                    </a:prstGeom>
                  </pic:spPr>
                </pic:pic>
              </a:graphicData>
            </a:graphic>
          </wp:inline>
        </w:drawing>
      </w:r>
    </w:p>
    <w:p w14:paraId="6A14E805">
      <w:pPr>
        <w:rPr>
          <w:rFonts w:hint="eastAsia" w:cs="Times New Roman"/>
          <w:b/>
          <w:bCs/>
          <w:color w:val="auto"/>
          <w:lang w:val="en-US" w:eastAsia="zh-CN"/>
        </w:rPr>
      </w:pPr>
    </w:p>
    <w:p w14:paraId="5C668C39">
      <w:pPr>
        <w:rPr>
          <w:rFonts w:hint="eastAsia" w:cs="Times New Roman"/>
          <w:b/>
          <w:bCs/>
          <w:color w:val="auto"/>
          <w:lang w:val="en-US" w:eastAsia="zh-CN"/>
        </w:rPr>
        <w:sectPr>
          <w:pgSz w:w="11905"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p>
    <w:p w14:paraId="03050BC3">
      <w:pPr>
        <w:pStyle w:val="3"/>
        <w:rPr>
          <w:rFonts w:hint="eastAsia" w:ascii="Times New Roman" w:hAnsi="Times New Roman" w:eastAsia="宋体" w:cs="Times New Roman"/>
          <w:color w:val="auto"/>
          <w:lang w:val="en-US" w:eastAsia="zh-CN"/>
        </w:rPr>
      </w:pPr>
      <w:bookmarkStart w:id="354" w:name="_Toc14095"/>
      <w:bookmarkStart w:id="355" w:name="_Toc14650"/>
      <w:bookmarkStart w:id="356" w:name="_Toc25189"/>
      <w:r>
        <w:rPr>
          <w:rFonts w:hint="eastAsia" w:ascii="Times New Roman" w:hAnsi="Times New Roman" w:eastAsia="宋体" w:cs="Times New Roman"/>
          <w:color w:val="auto"/>
          <w:lang w:val="en-US" w:eastAsia="zh-CN"/>
        </w:rPr>
        <w:t>附件</w:t>
      </w:r>
      <w:r>
        <w:rPr>
          <w:rFonts w:hint="eastAsia" w:cs="Times New Roman"/>
          <w:color w:val="auto"/>
          <w:lang w:val="en-US" w:eastAsia="zh-CN"/>
        </w:rPr>
        <w:t>10</w:t>
      </w:r>
      <w:r>
        <w:rPr>
          <w:rFonts w:hint="eastAsia" w:ascii="Times New Roman" w:hAnsi="Times New Roman" w:eastAsia="宋体" w:cs="Times New Roman"/>
          <w:color w:val="auto"/>
          <w:lang w:val="en-US" w:eastAsia="zh-CN"/>
        </w:rPr>
        <w:t xml:space="preserve"> 取水证</w:t>
      </w:r>
      <w:bookmarkEnd w:id="354"/>
      <w:bookmarkEnd w:id="355"/>
      <w:bookmarkEnd w:id="356"/>
    </w:p>
    <w:p w14:paraId="1D69C1B4">
      <w:pPr>
        <w:rPr>
          <w:rFonts w:hint="default" w:cs="Times New Roman"/>
          <w:b/>
          <w:bCs/>
          <w:color w:val="auto"/>
          <w:lang w:val="en-US" w:eastAsia="zh-CN"/>
        </w:rPr>
      </w:pPr>
      <w:r>
        <w:rPr>
          <w:sz w:val="21"/>
        </w:rPr>
        <mc:AlternateContent>
          <mc:Choice Requires="wps">
            <w:drawing>
              <wp:anchor distT="0" distB="0" distL="114300" distR="114300" simplePos="0" relativeHeight="251814912" behindDoc="0" locked="0" layoutInCell="1" allowOverlap="1">
                <wp:simplePos x="0" y="0"/>
                <wp:positionH relativeFrom="column">
                  <wp:posOffset>4485005</wp:posOffset>
                </wp:positionH>
                <wp:positionV relativeFrom="paragraph">
                  <wp:posOffset>3035935</wp:posOffset>
                </wp:positionV>
                <wp:extent cx="1795780" cy="1550670"/>
                <wp:effectExtent l="0" t="0" r="13970" b="11430"/>
                <wp:wrapNone/>
                <wp:docPr id="209" name="矩形 209"/>
                <wp:cNvGraphicFramePr/>
                <a:graphic xmlns:a="http://schemas.openxmlformats.org/drawingml/2006/main">
                  <a:graphicData uri="http://schemas.microsoft.com/office/word/2010/wordprocessingShape">
                    <wps:wsp>
                      <wps:cNvSpPr/>
                      <wps:spPr>
                        <a:xfrm>
                          <a:off x="0" y="0"/>
                          <a:ext cx="1795780" cy="155067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3.15pt;margin-top:239.05pt;height:122.1pt;width:141.4pt;z-index:251814912;v-text-anchor:middle;mso-width-relative:page;mso-height-relative:page;" fillcolor="#FFFFFF [3212]" filled="t" stroked="f" coordsize="21600,21600" o:gfxdata="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p7X6z2QAAAAsBAAAPAAAAAAAAAAEAIAAAACIAAABkcnMvZG93&#10;bnJldi54bWxQSwECFAAUAAAACACHTuJAs2wHbnECAADRBAAADgAAAAAAAAABACAAAAAoAQAAZHJz&#10;L2Uyb0RvYy54bWxQSwUGAAAAAAYABgBZAQAACwYAAAAA&#10;">
                <v:fill on="t" focussize="0,0"/>
                <v:stroke on="f" endarrow="open"/>
                <v:imagedata o:title=""/>
                <o:lock v:ext="edit" aspectratio="f"/>
              </v:rect>
            </w:pict>
          </mc:Fallback>
        </mc:AlternateContent>
      </w:r>
      <w:r>
        <w:rPr>
          <w:rFonts w:hint="default"/>
          <w:color w:val="auto"/>
          <w:lang w:val="en-US" w:eastAsia="zh-CN"/>
        </w:rPr>
        <w:drawing>
          <wp:inline distT="0" distB="0" distL="114300" distR="114300">
            <wp:extent cx="7202170" cy="5012055"/>
            <wp:effectExtent l="0" t="0" r="8890" b="7620"/>
            <wp:docPr id="303" name="图片 303" descr="取水证-合规有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取水证-合规有效"/>
                    <pic:cNvPicPr>
                      <a:picLocks noChangeAspect="1"/>
                    </pic:cNvPicPr>
                  </pic:nvPicPr>
                  <pic:blipFill>
                    <a:blip r:embed="rId104"/>
                    <a:stretch>
                      <a:fillRect/>
                    </a:stretch>
                  </pic:blipFill>
                  <pic:spPr>
                    <a:xfrm>
                      <a:off x="0" y="0"/>
                      <a:ext cx="7202170" cy="5012055"/>
                    </a:xfrm>
                    <a:prstGeom prst="rect">
                      <a:avLst/>
                    </a:prstGeom>
                  </pic:spPr>
                </pic:pic>
              </a:graphicData>
            </a:graphic>
          </wp:inline>
        </w:drawing>
      </w:r>
    </w:p>
    <w:p w14:paraId="7A940F3E">
      <w:pPr>
        <w:rPr>
          <w:rFonts w:hint="eastAsia"/>
          <w:color w:val="auto"/>
          <w:sz w:val="24"/>
        </w:rPr>
      </w:pPr>
    </w:p>
    <w:p w14:paraId="3871FB45">
      <w:pPr>
        <w:pStyle w:val="3"/>
        <w:rPr>
          <w:rFonts w:hint="eastAsia" w:ascii="Times New Roman" w:hAnsi="Times New Roman" w:eastAsia="宋体" w:cs="Times New Roman"/>
          <w:color w:val="auto"/>
          <w:lang w:val="en-US" w:eastAsia="zh-CN"/>
        </w:rPr>
        <w:sectPr>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p>
    <w:p w14:paraId="579D41BD">
      <w:pPr>
        <w:pStyle w:val="3"/>
        <w:rPr>
          <w:rFonts w:hint="eastAsia" w:ascii="Times New Roman" w:hAnsi="Times New Roman" w:eastAsia="宋体" w:cs="Times New Roman"/>
          <w:color w:val="auto"/>
          <w:lang w:val="en-US" w:eastAsia="zh-CN"/>
        </w:rPr>
      </w:pPr>
      <w:bookmarkStart w:id="357" w:name="_Toc24213"/>
      <w:bookmarkStart w:id="358" w:name="_Toc21639"/>
      <w:bookmarkStart w:id="359" w:name="_Toc22255"/>
      <w:r>
        <w:rPr>
          <w:rFonts w:hint="eastAsia" w:ascii="Times New Roman" w:hAnsi="Times New Roman" w:eastAsia="宋体" w:cs="Times New Roman"/>
          <w:color w:val="auto"/>
          <w:lang w:val="en-US" w:eastAsia="zh-CN"/>
        </w:rPr>
        <w:t>附件</w:t>
      </w:r>
      <w:r>
        <w:rPr>
          <w:rFonts w:hint="eastAsia" w:cs="Times New Roman"/>
          <w:color w:val="auto"/>
          <w:lang w:val="en-US" w:eastAsia="zh-CN"/>
        </w:rPr>
        <w:t>11</w:t>
      </w:r>
      <w:r>
        <w:rPr>
          <w:rFonts w:hint="eastAsia" w:ascii="Times New Roman" w:hAnsi="Times New Roman" w:eastAsia="宋体" w:cs="Times New Roman"/>
          <w:color w:val="auto"/>
          <w:lang w:val="en-US" w:eastAsia="zh-CN"/>
        </w:rPr>
        <w:t xml:space="preserve"> 喀喇沁左翼蒙古族自治县国土空间总体规划（2021—2035年）的批复</w:t>
      </w:r>
      <w:bookmarkEnd w:id="357"/>
      <w:bookmarkEnd w:id="358"/>
      <w:bookmarkEnd w:id="359"/>
    </w:p>
    <w:p w14:paraId="18858DBA">
      <w:pPr>
        <w:pStyle w:val="41"/>
        <w:spacing w:after="0" w:line="360" w:lineRule="auto"/>
        <w:ind w:left="0" w:leftChars="0" w:firstLine="0" w:firstLineChars="0"/>
        <w:jc w:val="both"/>
        <w:rPr>
          <w:rFonts w:hint="default" w:cs="Times New Roman"/>
          <w:color w:val="auto"/>
          <w:lang w:val="en-US" w:eastAsia="zh-CN"/>
        </w:rPr>
      </w:pPr>
      <w:r>
        <w:rPr>
          <w:color w:val="auto"/>
        </w:rPr>
        <w:drawing>
          <wp:inline distT="0" distB="0" distL="114300" distR="114300">
            <wp:extent cx="5269865" cy="7485380"/>
            <wp:effectExtent l="0" t="0" r="8890" b="6350"/>
            <wp:docPr id="3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2"/>
                    <pic:cNvPicPr>
                      <a:picLocks noChangeAspect="1"/>
                    </pic:cNvPicPr>
                  </pic:nvPicPr>
                  <pic:blipFill>
                    <a:blip r:embed="rId105"/>
                    <a:stretch>
                      <a:fillRect/>
                    </a:stretch>
                  </pic:blipFill>
                  <pic:spPr>
                    <a:xfrm>
                      <a:off x="0" y="0"/>
                      <a:ext cx="5269865" cy="7485380"/>
                    </a:xfrm>
                    <a:prstGeom prst="rect">
                      <a:avLst/>
                    </a:prstGeom>
                    <a:noFill/>
                    <a:ln>
                      <a:noFill/>
                    </a:ln>
                  </pic:spPr>
                </pic:pic>
              </a:graphicData>
            </a:graphic>
          </wp:inline>
        </w:drawing>
      </w:r>
    </w:p>
    <w:p w14:paraId="774D96EF">
      <w:pPr>
        <w:pStyle w:val="41"/>
        <w:spacing w:after="0" w:line="360" w:lineRule="auto"/>
        <w:ind w:left="0" w:leftChars="0" w:firstLine="0" w:firstLineChars="0"/>
        <w:jc w:val="both"/>
        <w:rPr>
          <w:rFonts w:hint="eastAsia" w:ascii="Times New Roman" w:hAnsi="Times New Roman" w:cs="Times New Roman"/>
          <w:color w:val="auto"/>
          <w:lang w:val="en-US" w:eastAsia="zh-CN"/>
        </w:rPr>
      </w:pPr>
    </w:p>
    <w:p w14:paraId="1BC2EA73">
      <w:pPr>
        <w:pStyle w:val="41"/>
        <w:spacing w:after="0" w:line="360" w:lineRule="auto"/>
        <w:ind w:left="0" w:leftChars="0" w:firstLine="0" w:firstLineChars="0"/>
        <w:jc w:val="both"/>
        <w:rPr>
          <w:rFonts w:hint="eastAsia" w:ascii="Times New Roman" w:hAnsi="Times New Roman" w:cs="Times New Roman"/>
          <w:color w:val="auto"/>
          <w:lang w:val="en-US" w:eastAsia="zh-CN"/>
        </w:rPr>
      </w:pPr>
      <w:r>
        <w:rPr>
          <w:color w:val="auto"/>
        </w:rPr>
        <w:drawing>
          <wp:inline distT="0" distB="0" distL="114300" distR="114300">
            <wp:extent cx="5708015" cy="7993380"/>
            <wp:effectExtent l="0" t="0" r="2540" b="5715"/>
            <wp:docPr id="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
                    <pic:cNvPicPr>
                      <a:picLocks noChangeAspect="1"/>
                    </pic:cNvPicPr>
                  </pic:nvPicPr>
                  <pic:blipFill>
                    <a:blip r:embed="rId106"/>
                    <a:stretch>
                      <a:fillRect/>
                    </a:stretch>
                  </pic:blipFill>
                  <pic:spPr>
                    <a:xfrm>
                      <a:off x="0" y="0"/>
                      <a:ext cx="5708015" cy="7993380"/>
                    </a:xfrm>
                    <a:prstGeom prst="rect">
                      <a:avLst/>
                    </a:prstGeom>
                    <a:noFill/>
                    <a:ln>
                      <a:noFill/>
                    </a:ln>
                  </pic:spPr>
                </pic:pic>
              </a:graphicData>
            </a:graphic>
          </wp:inline>
        </w:drawing>
      </w:r>
    </w:p>
    <w:p w14:paraId="4E765352">
      <w:pPr>
        <w:rPr>
          <w:color w:val="auto"/>
        </w:rPr>
      </w:pPr>
      <w:r>
        <w:rPr>
          <w:color w:val="auto"/>
        </w:rPr>
        <w:drawing>
          <wp:inline distT="0" distB="0" distL="114300" distR="114300">
            <wp:extent cx="5833110" cy="8213090"/>
            <wp:effectExtent l="0" t="0" r="6985" b="1905"/>
            <wp:docPr id="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4"/>
                    <pic:cNvPicPr>
                      <a:picLocks noChangeAspect="1"/>
                    </pic:cNvPicPr>
                  </pic:nvPicPr>
                  <pic:blipFill>
                    <a:blip r:embed="rId107"/>
                    <a:stretch>
                      <a:fillRect/>
                    </a:stretch>
                  </pic:blipFill>
                  <pic:spPr>
                    <a:xfrm>
                      <a:off x="0" y="0"/>
                      <a:ext cx="5833110" cy="8213090"/>
                    </a:xfrm>
                    <a:prstGeom prst="rect">
                      <a:avLst/>
                    </a:prstGeom>
                    <a:noFill/>
                    <a:ln>
                      <a:noFill/>
                    </a:ln>
                  </pic:spPr>
                </pic:pic>
              </a:graphicData>
            </a:graphic>
          </wp:inline>
        </w:drawing>
      </w:r>
      <w:r>
        <w:rPr>
          <w:color w:val="auto"/>
        </w:rPr>
        <w:drawing>
          <wp:inline distT="0" distB="0" distL="114300" distR="114300">
            <wp:extent cx="5759450" cy="7988300"/>
            <wp:effectExtent l="0" t="0" r="5080" b="0"/>
            <wp:docPr id="3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5"/>
                    <pic:cNvPicPr>
                      <a:picLocks noChangeAspect="1"/>
                    </pic:cNvPicPr>
                  </pic:nvPicPr>
                  <pic:blipFill>
                    <a:blip r:embed="rId108"/>
                    <a:stretch>
                      <a:fillRect/>
                    </a:stretch>
                  </pic:blipFill>
                  <pic:spPr>
                    <a:xfrm>
                      <a:off x="0" y="0"/>
                      <a:ext cx="5759450" cy="7988300"/>
                    </a:xfrm>
                    <a:prstGeom prst="rect">
                      <a:avLst/>
                    </a:prstGeom>
                    <a:noFill/>
                    <a:ln>
                      <a:noFill/>
                    </a:ln>
                  </pic:spPr>
                </pic:pic>
              </a:graphicData>
            </a:graphic>
          </wp:inline>
        </w:drawing>
      </w:r>
      <w:r>
        <w:rPr>
          <w:sz w:val="21"/>
        </w:rPr>
        <mc:AlternateContent>
          <mc:Choice Requires="wps">
            <w:drawing>
              <wp:anchor distT="0" distB="0" distL="114300" distR="114300" simplePos="0" relativeHeight="251815936" behindDoc="0" locked="0" layoutInCell="1" allowOverlap="1">
                <wp:simplePos x="0" y="0"/>
                <wp:positionH relativeFrom="column">
                  <wp:posOffset>2732405</wp:posOffset>
                </wp:positionH>
                <wp:positionV relativeFrom="paragraph">
                  <wp:posOffset>5104130</wp:posOffset>
                </wp:positionV>
                <wp:extent cx="1604645" cy="1573530"/>
                <wp:effectExtent l="0" t="0" r="14605" b="7620"/>
                <wp:wrapNone/>
                <wp:docPr id="210" name="矩形 210"/>
                <wp:cNvGraphicFramePr/>
                <a:graphic xmlns:a="http://schemas.openxmlformats.org/drawingml/2006/main">
                  <a:graphicData uri="http://schemas.microsoft.com/office/word/2010/wordprocessingShape">
                    <wps:wsp>
                      <wps:cNvSpPr/>
                      <wps:spPr>
                        <a:xfrm>
                          <a:off x="0" y="0"/>
                          <a:ext cx="1604645" cy="1573530"/>
                        </a:xfrm>
                        <a:prstGeom prst="rect">
                          <a:avLst/>
                        </a:prstGeom>
                        <a:solidFill>
                          <a:schemeClr val="bg1"/>
                        </a:solidFill>
                        <a:ln w="9525">
                          <a:no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15pt;margin-top:401.9pt;height:123.9pt;width:126.35pt;z-index:251815936;v-text-anchor:middle;mso-width-relative:page;mso-height-relative:page;" fillcolor="#FFFFFF [3212]" filled="t" stroked="f" coordsize="21600,21600" o:gfxdata="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2s95PZAAAADAEAAA8AAAAAAAAAAQAgAAAAIgAAAGRycy9kb3du&#10;cmV2LnhtbFBLAQIUABQAAAAIAIdO4kDQtdQacAIAANEEAAAOAAAAAAAAAAEAIAAAACgBAABkcnMv&#10;ZTJvRG9jLnhtbFBLBQYAAAAABgAGAFkBAAAKBgAAAAA=&#10;">
                <v:fill on="t" focussize="0,0"/>
                <v:stroke on="f" endarrow="open"/>
                <v:imagedata o:title=""/>
                <o:lock v:ext="edit" aspectratio="f"/>
              </v:rect>
            </w:pict>
          </mc:Fallback>
        </mc:AlternateContent>
      </w:r>
      <w:r>
        <w:rPr>
          <w:color w:val="auto"/>
        </w:rPr>
        <w:drawing>
          <wp:inline distT="0" distB="0" distL="114300" distR="114300">
            <wp:extent cx="5549265" cy="7733030"/>
            <wp:effectExtent l="0" t="0" r="10160" b="6985"/>
            <wp:docPr id="3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6"/>
                    <pic:cNvPicPr>
                      <a:picLocks noChangeAspect="1"/>
                    </pic:cNvPicPr>
                  </pic:nvPicPr>
                  <pic:blipFill>
                    <a:blip r:embed="rId109"/>
                    <a:stretch>
                      <a:fillRect/>
                    </a:stretch>
                  </pic:blipFill>
                  <pic:spPr>
                    <a:xfrm>
                      <a:off x="0" y="0"/>
                      <a:ext cx="5549265" cy="7733030"/>
                    </a:xfrm>
                    <a:prstGeom prst="rect">
                      <a:avLst/>
                    </a:prstGeom>
                    <a:noFill/>
                    <a:ln>
                      <a:noFill/>
                    </a:ln>
                  </pic:spPr>
                </pic:pic>
              </a:graphicData>
            </a:graphic>
          </wp:inline>
        </w:drawing>
      </w:r>
    </w:p>
    <w:p w14:paraId="7C4175A5">
      <w:pPr>
        <w:rPr>
          <w:color w:val="auto"/>
        </w:rPr>
      </w:pPr>
    </w:p>
    <w:p w14:paraId="6D09D854">
      <w:pPr>
        <w:pStyle w:val="41"/>
        <w:rPr>
          <w:color w:val="auto"/>
        </w:rPr>
      </w:pPr>
    </w:p>
    <w:p w14:paraId="2A51E374">
      <w:pPr>
        <w:rPr>
          <w:color w:val="auto"/>
        </w:rPr>
      </w:pPr>
    </w:p>
    <w:p w14:paraId="20C9F907">
      <w:pPr>
        <w:rPr>
          <w:color w:val="auto"/>
        </w:rPr>
        <w:sectPr>
          <w:pgSz w:w="11905"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p>
    <w:p w14:paraId="6A57016F">
      <w:pPr>
        <w:pStyle w:val="3"/>
        <w:rPr>
          <w:color w:val="auto"/>
          <w:highlight w:val="none"/>
        </w:rPr>
      </w:pPr>
      <w:bookmarkStart w:id="360" w:name="_Toc7379"/>
      <w:bookmarkStart w:id="361" w:name="_Toc6425"/>
      <w:bookmarkStart w:id="362" w:name="_Toc25886"/>
      <w:r>
        <w:rPr>
          <w:rFonts w:hint="eastAsia"/>
          <w:color w:val="auto"/>
          <w:highlight w:val="none"/>
        </w:rPr>
        <w:t>附件</w:t>
      </w:r>
      <w:r>
        <w:rPr>
          <w:rFonts w:hint="eastAsia"/>
          <w:color w:val="auto"/>
          <w:highlight w:val="none"/>
          <w:lang w:val="en-US" w:eastAsia="zh-CN"/>
        </w:rPr>
        <w:t>12</w:t>
      </w:r>
      <w:r>
        <w:rPr>
          <w:rFonts w:hint="eastAsia"/>
          <w:color w:val="auto"/>
          <w:highlight w:val="none"/>
        </w:rPr>
        <w:t xml:space="preserve"> </w:t>
      </w:r>
      <w:r>
        <w:rPr>
          <w:rFonts w:hint="eastAsia"/>
          <w:color w:val="auto"/>
          <w:highlight w:val="none"/>
          <w:lang w:eastAsia="zh-CN"/>
        </w:rPr>
        <w:t>“三线一单”</w:t>
      </w:r>
      <w:r>
        <w:rPr>
          <w:rFonts w:hint="eastAsia"/>
          <w:color w:val="auto"/>
          <w:highlight w:val="none"/>
        </w:rPr>
        <w:t>查询结果</w:t>
      </w:r>
      <w:bookmarkEnd w:id="360"/>
      <w:bookmarkEnd w:id="361"/>
      <w:bookmarkEnd w:id="362"/>
    </w:p>
    <w:p w14:paraId="37CAED97">
      <w:pPr>
        <w:pStyle w:val="20"/>
        <w:jc w:val="center"/>
        <w:rPr>
          <w:color w:val="auto"/>
        </w:rPr>
      </w:pPr>
    </w:p>
    <w:p w14:paraId="77963F9F">
      <w:pPr>
        <w:pStyle w:val="27"/>
        <w:ind w:left="0" w:leftChars="0"/>
        <w:rPr>
          <w:color w:val="auto"/>
        </w:rPr>
      </w:pPr>
      <w:r>
        <w:rPr>
          <w:color w:val="auto"/>
        </w:rPr>
        <w:drawing>
          <wp:inline distT="0" distB="0" distL="114300" distR="114300">
            <wp:extent cx="6828155" cy="4772025"/>
            <wp:effectExtent l="0" t="0" r="5080" b="10160"/>
            <wp:docPr id="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pic:cNvPicPr>
                      <a:picLocks noChangeAspect="1"/>
                    </pic:cNvPicPr>
                  </pic:nvPicPr>
                  <pic:blipFill>
                    <a:blip r:embed="rId110"/>
                    <a:stretch>
                      <a:fillRect/>
                    </a:stretch>
                  </pic:blipFill>
                  <pic:spPr>
                    <a:xfrm>
                      <a:off x="0" y="0"/>
                      <a:ext cx="6828155" cy="4772025"/>
                    </a:xfrm>
                    <a:prstGeom prst="rect">
                      <a:avLst/>
                    </a:prstGeom>
                    <a:noFill/>
                    <a:ln>
                      <a:noFill/>
                    </a:ln>
                  </pic:spPr>
                </pic:pic>
              </a:graphicData>
            </a:graphic>
          </wp:inline>
        </w:drawing>
      </w:r>
    </w:p>
    <w:p w14:paraId="6E2ADDB1">
      <w:pPr>
        <w:rPr>
          <w:color w:val="auto"/>
        </w:rPr>
      </w:pPr>
    </w:p>
    <w:p w14:paraId="6BFADBB8">
      <w:pPr>
        <w:pStyle w:val="17"/>
        <w:rPr>
          <w:color w:val="auto"/>
        </w:rPr>
      </w:pPr>
    </w:p>
    <w:p w14:paraId="10EE8519">
      <w:pPr>
        <w:pStyle w:val="18"/>
        <w:ind w:firstLine="0" w:firstLineChars="0"/>
        <w:jc w:val="center"/>
        <w:rPr>
          <w:color w:val="auto"/>
        </w:rPr>
      </w:pP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4111625</wp:posOffset>
                </wp:positionH>
                <wp:positionV relativeFrom="paragraph">
                  <wp:posOffset>2594610</wp:posOffset>
                </wp:positionV>
                <wp:extent cx="914400" cy="1042670"/>
                <wp:effectExtent l="4445" t="4445" r="14605" b="19685"/>
                <wp:wrapNone/>
                <wp:docPr id="2" name="任意多边形 2"/>
                <wp:cNvGraphicFramePr/>
                <a:graphic xmlns:a="http://schemas.openxmlformats.org/drawingml/2006/main">
                  <a:graphicData uri="http://schemas.microsoft.com/office/word/2010/wordprocessingShape">
                    <wps:wsp>
                      <wps:cNvSpPr/>
                      <wps:spPr>
                        <a:xfrm>
                          <a:off x="0" y="0"/>
                          <a:ext cx="914400" cy="1042670"/>
                        </a:xfrm>
                        <a:custGeom>
                          <a:avLst/>
                          <a:gdLst/>
                          <a:ahLst/>
                          <a:cxnLst/>
                          <a:pathLst>
                            <a:path w="6600" h="8742">
                              <a:moveTo>
                                <a:pt x="5809" y="477"/>
                              </a:moveTo>
                              <a:lnTo>
                                <a:pt x="5959" y="0"/>
                              </a:lnTo>
                              <a:lnTo>
                                <a:pt x="6061" y="7"/>
                              </a:lnTo>
                              <a:lnTo>
                                <a:pt x="5925" y="566"/>
                              </a:lnTo>
                              <a:lnTo>
                                <a:pt x="6034" y="1002"/>
                              </a:lnTo>
                              <a:lnTo>
                                <a:pt x="6313" y="709"/>
                              </a:lnTo>
                              <a:lnTo>
                                <a:pt x="6436" y="791"/>
                              </a:lnTo>
                              <a:lnTo>
                                <a:pt x="6150" y="1097"/>
                              </a:lnTo>
                              <a:lnTo>
                                <a:pt x="5986" y="1622"/>
                              </a:lnTo>
                              <a:lnTo>
                                <a:pt x="6027" y="1705"/>
                              </a:lnTo>
                              <a:lnTo>
                                <a:pt x="6300" y="1936"/>
                              </a:lnTo>
                              <a:lnTo>
                                <a:pt x="6484" y="1780"/>
                              </a:lnTo>
                              <a:lnTo>
                                <a:pt x="6600" y="1867"/>
                              </a:lnTo>
                              <a:lnTo>
                                <a:pt x="6388" y="2086"/>
                              </a:lnTo>
                              <a:lnTo>
                                <a:pt x="6034" y="1821"/>
                              </a:lnTo>
                              <a:lnTo>
                                <a:pt x="6020" y="1821"/>
                              </a:lnTo>
                              <a:lnTo>
                                <a:pt x="5945" y="1930"/>
                              </a:lnTo>
                              <a:lnTo>
                                <a:pt x="5972" y="1997"/>
                              </a:lnTo>
                              <a:lnTo>
                                <a:pt x="6000" y="2052"/>
                              </a:lnTo>
                              <a:lnTo>
                                <a:pt x="6088" y="2147"/>
                              </a:lnTo>
                              <a:lnTo>
                                <a:pt x="5952" y="2414"/>
                              </a:lnTo>
                              <a:lnTo>
                                <a:pt x="5904" y="2482"/>
                              </a:lnTo>
                              <a:lnTo>
                                <a:pt x="5509" y="3784"/>
                              </a:lnTo>
                              <a:lnTo>
                                <a:pt x="4404" y="5400"/>
                              </a:lnTo>
                              <a:lnTo>
                                <a:pt x="3995" y="6027"/>
                              </a:lnTo>
                              <a:lnTo>
                                <a:pt x="4213" y="6212"/>
                              </a:lnTo>
                              <a:lnTo>
                                <a:pt x="4227" y="6362"/>
                              </a:lnTo>
                              <a:lnTo>
                                <a:pt x="2945" y="8271"/>
                              </a:lnTo>
                              <a:lnTo>
                                <a:pt x="2959" y="8597"/>
                              </a:lnTo>
                              <a:lnTo>
                                <a:pt x="2052" y="8742"/>
                              </a:lnTo>
                              <a:lnTo>
                                <a:pt x="1943" y="8292"/>
                              </a:lnTo>
                              <a:lnTo>
                                <a:pt x="1575" y="7664"/>
                              </a:lnTo>
                              <a:lnTo>
                                <a:pt x="1343" y="7719"/>
                              </a:lnTo>
                              <a:lnTo>
                                <a:pt x="1309" y="7617"/>
                              </a:lnTo>
                              <a:lnTo>
                                <a:pt x="1527" y="7527"/>
                              </a:lnTo>
                              <a:lnTo>
                                <a:pt x="1663" y="7787"/>
                              </a:lnTo>
                              <a:lnTo>
                                <a:pt x="2168" y="7419"/>
                              </a:lnTo>
                              <a:lnTo>
                                <a:pt x="1431" y="6696"/>
                              </a:lnTo>
                              <a:lnTo>
                                <a:pt x="845" y="4814"/>
                              </a:lnTo>
                              <a:lnTo>
                                <a:pt x="163" y="4835"/>
                              </a:lnTo>
                              <a:lnTo>
                                <a:pt x="231" y="4527"/>
                              </a:lnTo>
                              <a:lnTo>
                                <a:pt x="13" y="4242"/>
                              </a:lnTo>
                              <a:lnTo>
                                <a:pt x="0" y="3989"/>
                              </a:lnTo>
                              <a:lnTo>
                                <a:pt x="1050" y="3955"/>
                              </a:lnTo>
                              <a:lnTo>
                                <a:pt x="1193" y="4692"/>
                              </a:lnTo>
                              <a:lnTo>
                                <a:pt x="1234" y="4664"/>
                              </a:lnTo>
                              <a:lnTo>
                                <a:pt x="1663" y="5952"/>
                              </a:lnTo>
                              <a:lnTo>
                                <a:pt x="2488" y="7119"/>
                              </a:lnTo>
                              <a:lnTo>
                                <a:pt x="2529" y="7180"/>
                              </a:lnTo>
                              <a:lnTo>
                                <a:pt x="2693" y="7146"/>
                              </a:lnTo>
                              <a:lnTo>
                                <a:pt x="2863" y="6682"/>
                              </a:lnTo>
                              <a:lnTo>
                                <a:pt x="2993" y="6362"/>
                              </a:lnTo>
                              <a:lnTo>
                                <a:pt x="3129" y="6177"/>
                              </a:lnTo>
                              <a:lnTo>
                                <a:pt x="3463" y="5727"/>
                              </a:lnTo>
                              <a:lnTo>
                                <a:pt x="3838" y="5271"/>
                              </a:lnTo>
                              <a:lnTo>
                                <a:pt x="4179" y="5285"/>
                              </a:lnTo>
                              <a:lnTo>
                                <a:pt x="5222" y="3730"/>
                              </a:lnTo>
                              <a:lnTo>
                                <a:pt x="5690" y="2381"/>
                              </a:lnTo>
                              <a:lnTo>
                                <a:pt x="5504" y="2351"/>
                              </a:lnTo>
                              <a:lnTo>
                                <a:pt x="5540" y="2152"/>
                              </a:lnTo>
                              <a:lnTo>
                                <a:pt x="5696" y="2152"/>
                              </a:lnTo>
                              <a:lnTo>
                                <a:pt x="5696" y="2357"/>
                              </a:lnTo>
                              <a:lnTo>
                                <a:pt x="5846" y="2362"/>
                              </a:lnTo>
                              <a:lnTo>
                                <a:pt x="5852" y="2165"/>
                              </a:lnTo>
                              <a:lnTo>
                                <a:pt x="5852" y="2002"/>
                              </a:lnTo>
                              <a:lnTo>
                                <a:pt x="5756" y="1792"/>
                              </a:lnTo>
                              <a:lnTo>
                                <a:pt x="5636" y="1691"/>
                              </a:lnTo>
                              <a:lnTo>
                                <a:pt x="5420" y="1589"/>
                              </a:lnTo>
                              <a:lnTo>
                                <a:pt x="5468" y="1481"/>
                              </a:lnTo>
                              <a:lnTo>
                                <a:pt x="5732" y="1577"/>
                              </a:lnTo>
                              <a:lnTo>
                                <a:pt x="5690" y="1642"/>
                              </a:lnTo>
                              <a:lnTo>
                                <a:pt x="5918" y="1667"/>
                              </a:lnTo>
                              <a:lnTo>
                                <a:pt x="6008" y="1325"/>
                              </a:lnTo>
                              <a:lnTo>
                                <a:pt x="6008" y="1151"/>
                              </a:lnTo>
                              <a:lnTo>
                                <a:pt x="6008" y="1012"/>
                              </a:lnTo>
                              <a:lnTo>
                                <a:pt x="5870" y="682"/>
                              </a:lnTo>
                              <a:lnTo>
                                <a:pt x="5828" y="599"/>
                              </a:lnTo>
                              <a:lnTo>
                                <a:pt x="5570" y="479"/>
                              </a:lnTo>
                              <a:lnTo>
                                <a:pt x="5216" y="299"/>
                              </a:lnTo>
                              <a:lnTo>
                                <a:pt x="5174" y="232"/>
                              </a:lnTo>
                              <a:lnTo>
                                <a:pt x="5234" y="125"/>
                              </a:lnTo>
                              <a:lnTo>
                                <a:pt x="5809" y="477"/>
                              </a:lnTo>
                              <a:close/>
                            </a:path>
                          </a:pathLst>
                        </a:cu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23.75pt;margin-top:204.3pt;height:82.1pt;width:72pt;z-index:251680768;mso-width-relative:page;mso-height-relative:page;" filled="f" stroked="t" coordsize="6600,8742" o:gfxdata="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BSmgDo2QAAAAsBAAAPAAAAAAAAAAEAIAAAACIAAABkcnMvZG93bnJldi54bWxQSwECFAAUAAAA&#10;CACHTuJAbi33CdIEAACqEQAADgAAAAAAAAABACAAAAAoAQAAZHJzL2Uyb0RvYy54bWxQSwUGAAAA&#10;AAYABgBZAQAAbAgAAAAA&#10;" path="m5809,477l5959,0,6061,7,5925,566,6034,1002,6313,709,6436,791,6150,1097,5986,1622,6027,1705,6300,1936,6484,1780,6600,1867,6388,2086,6034,1821,6020,1821,5945,1930,5972,1997,6000,2052,6088,2147,5952,2414,5904,2482,5509,3784,4404,5400,3995,6027,4213,6212,4227,6362,2945,8271,2959,8597,2052,8742,1943,8292,1575,7664,1343,7719,1309,7617,1527,7527,1663,7787,2168,7419,1431,6696,845,4814,163,4835,231,4527,13,4242,0,3989,1050,3955,1193,4692,1234,4664,1663,5952,2488,7119,2529,7180,2693,7146,2863,6682,2993,6362,3129,6177,3463,5727,3838,5271,4179,5285,5222,3730,5690,2381,5504,2351,5540,2152,5696,2152,5696,2357,5846,2362,5852,2165,5852,2002,5756,1792,5636,1691,5420,1589,5468,1481,5732,1577,5690,1642,5918,1667,6008,1325,6008,1151,6008,1012,5870,682,5828,599,5570,479,5216,299,5174,232,5234,125,5809,477xe">
                <v:fill on="f" focussize="0,0"/>
                <v:stroke color="#FF0000" joinstyle="round"/>
                <v:imagedata o:title=""/>
                <o:lock v:ext="edit" aspectratio="f"/>
              </v:shape>
            </w:pict>
          </mc:Fallback>
        </mc:AlternateContent>
      </w:r>
      <w:r>
        <w:rPr>
          <w:color w:val="auto"/>
        </w:rPr>
        <w:drawing>
          <wp:inline distT="0" distB="0" distL="114300" distR="114300">
            <wp:extent cx="8526145" cy="5476875"/>
            <wp:effectExtent l="0" t="0" r="8255" b="9525"/>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11"/>
                    <a:stretch>
                      <a:fillRect/>
                    </a:stretch>
                  </pic:blipFill>
                  <pic:spPr>
                    <a:xfrm>
                      <a:off x="0" y="0"/>
                      <a:ext cx="8526145" cy="5476875"/>
                    </a:xfrm>
                    <a:prstGeom prst="rect">
                      <a:avLst/>
                    </a:prstGeom>
                    <a:noFill/>
                    <a:ln>
                      <a:noFill/>
                    </a:ln>
                  </pic:spPr>
                </pic:pic>
              </a:graphicData>
            </a:graphic>
          </wp:inline>
        </w:drawing>
      </w:r>
    </w:p>
    <w:p w14:paraId="68562B25">
      <w:pPr>
        <w:pStyle w:val="18"/>
        <w:ind w:firstLine="0" w:firstLineChars="0"/>
        <w:jc w:val="center"/>
        <w:rPr>
          <w:color w:val="auto"/>
        </w:rPr>
      </w:pPr>
    </w:p>
    <w:p w14:paraId="6D7937E3">
      <w:pPr>
        <w:pStyle w:val="18"/>
        <w:ind w:firstLine="0" w:firstLineChars="0"/>
        <w:jc w:val="center"/>
        <w:rPr>
          <w:color w:val="auto"/>
        </w:rPr>
      </w:pPr>
      <w:r>
        <w:rPr>
          <w:color w:val="auto"/>
        </w:rPr>
        <w:drawing>
          <wp:inline distT="0" distB="0" distL="114300" distR="114300">
            <wp:extent cx="8153400" cy="5208270"/>
            <wp:effectExtent l="0" t="0" r="0" b="11430"/>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112"/>
                    <a:stretch>
                      <a:fillRect/>
                    </a:stretch>
                  </pic:blipFill>
                  <pic:spPr>
                    <a:xfrm>
                      <a:off x="0" y="0"/>
                      <a:ext cx="8153400" cy="5208270"/>
                    </a:xfrm>
                    <a:prstGeom prst="rect">
                      <a:avLst/>
                    </a:prstGeom>
                    <a:noFill/>
                    <a:ln>
                      <a:noFill/>
                    </a:ln>
                  </pic:spPr>
                </pic:pic>
              </a:graphicData>
            </a:graphic>
          </wp:inline>
        </w:drawing>
      </w:r>
    </w:p>
    <w:p w14:paraId="630BB126">
      <w:pPr>
        <w:jc w:val="center"/>
        <w:rPr>
          <w:color w:val="auto"/>
        </w:rPr>
        <w:sectPr>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p>
    <w:p w14:paraId="7A30DD5F">
      <w:pPr>
        <w:pStyle w:val="3"/>
        <w:rPr>
          <w:rFonts w:hint="eastAsia"/>
          <w:color w:val="auto"/>
          <w:lang w:val="en-US" w:eastAsia="zh-CN"/>
        </w:rPr>
      </w:pPr>
      <w:bookmarkStart w:id="363" w:name="_Toc16040"/>
      <w:bookmarkStart w:id="364" w:name="_Toc1826"/>
      <w:bookmarkStart w:id="365" w:name="_Toc15377"/>
      <w:r>
        <w:rPr>
          <w:rFonts w:hint="eastAsia"/>
          <w:color w:val="auto"/>
          <w:lang w:val="en-US" w:eastAsia="zh-CN"/>
        </w:rPr>
        <w:t>附件13 危险废物处置协议</w:t>
      </w:r>
      <w:bookmarkEnd w:id="363"/>
      <w:bookmarkEnd w:id="364"/>
      <w:bookmarkEnd w:id="365"/>
    </w:p>
    <w:p w14:paraId="05DCF6CF">
      <w:pPr>
        <w:rPr>
          <w:color w:val="auto"/>
        </w:rPr>
      </w:pPr>
      <w:r>
        <w:rPr>
          <w:color w:val="auto"/>
        </w:rPr>
        <w:drawing>
          <wp:inline distT="0" distB="0" distL="114300" distR="114300">
            <wp:extent cx="5270500" cy="7484110"/>
            <wp:effectExtent l="0" t="0" r="6350" b="2540"/>
            <wp:docPr id="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pic:cNvPicPr>
                      <a:picLocks noChangeAspect="1"/>
                    </pic:cNvPicPr>
                  </pic:nvPicPr>
                  <pic:blipFill>
                    <a:blip r:embed="rId113"/>
                    <a:stretch>
                      <a:fillRect/>
                    </a:stretch>
                  </pic:blipFill>
                  <pic:spPr>
                    <a:xfrm>
                      <a:off x="0" y="0"/>
                      <a:ext cx="5270500" cy="7484110"/>
                    </a:xfrm>
                    <a:prstGeom prst="rect">
                      <a:avLst/>
                    </a:prstGeom>
                    <a:noFill/>
                    <a:ln>
                      <a:noFill/>
                    </a:ln>
                  </pic:spPr>
                </pic:pic>
              </a:graphicData>
            </a:graphic>
          </wp:inline>
        </w:drawing>
      </w:r>
    </w:p>
    <w:p w14:paraId="11777350">
      <w:pPr>
        <w:rPr>
          <w:color w:val="auto"/>
        </w:rPr>
      </w:pPr>
    </w:p>
    <w:p w14:paraId="3B6DE8EF">
      <w:pPr>
        <w:rPr>
          <w:color w:val="auto"/>
        </w:rPr>
      </w:pPr>
    </w:p>
    <w:p w14:paraId="27C3F1F4">
      <w:pPr>
        <w:rPr>
          <w:color w:val="auto"/>
        </w:rPr>
      </w:pPr>
      <w:r>
        <w:rPr>
          <w:color w:val="auto"/>
        </w:rPr>
        <w:drawing>
          <wp:inline distT="0" distB="0" distL="114300" distR="114300">
            <wp:extent cx="5269865" cy="7466330"/>
            <wp:effectExtent l="0" t="0" r="6985" b="1270"/>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114"/>
                    <a:stretch>
                      <a:fillRect/>
                    </a:stretch>
                  </pic:blipFill>
                  <pic:spPr>
                    <a:xfrm>
                      <a:off x="0" y="0"/>
                      <a:ext cx="5269865" cy="7466330"/>
                    </a:xfrm>
                    <a:prstGeom prst="rect">
                      <a:avLst/>
                    </a:prstGeom>
                    <a:noFill/>
                    <a:ln>
                      <a:noFill/>
                    </a:ln>
                  </pic:spPr>
                </pic:pic>
              </a:graphicData>
            </a:graphic>
          </wp:inline>
        </w:drawing>
      </w:r>
    </w:p>
    <w:p w14:paraId="17B6EA28">
      <w:pPr>
        <w:pStyle w:val="41"/>
        <w:ind w:left="0" w:leftChars="0" w:firstLine="0" w:firstLineChars="0"/>
        <w:rPr>
          <w:color w:val="auto"/>
        </w:rPr>
      </w:pPr>
      <w:r>
        <w:rPr>
          <w:color w:val="auto"/>
        </w:rPr>
        <w:drawing>
          <wp:inline distT="0" distB="0" distL="114300" distR="114300">
            <wp:extent cx="5269865" cy="7493635"/>
            <wp:effectExtent l="0" t="0" r="6985" b="12065"/>
            <wp:docPr id="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pic:cNvPicPr>
                      <a:picLocks noChangeAspect="1"/>
                    </pic:cNvPicPr>
                  </pic:nvPicPr>
                  <pic:blipFill>
                    <a:blip r:embed="rId115"/>
                    <a:stretch>
                      <a:fillRect/>
                    </a:stretch>
                  </pic:blipFill>
                  <pic:spPr>
                    <a:xfrm>
                      <a:off x="0" y="0"/>
                      <a:ext cx="5269865" cy="7493635"/>
                    </a:xfrm>
                    <a:prstGeom prst="rect">
                      <a:avLst/>
                    </a:prstGeom>
                    <a:noFill/>
                    <a:ln>
                      <a:noFill/>
                    </a:ln>
                  </pic:spPr>
                </pic:pic>
              </a:graphicData>
            </a:graphic>
          </wp:inline>
        </w:drawing>
      </w:r>
    </w:p>
    <w:p w14:paraId="03352E4C">
      <w:pPr>
        <w:rPr>
          <w:color w:val="auto"/>
        </w:rPr>
      </w:pPr>
    </w:p>
    <w:p w14:paraId="0A83B954">
      <w:pPr>
        <w:pStyle w:val="41"/>
        <w:ind w:left="0" w:leftChars="0" w:firstLine="0" w:firstLineChars="0"/>
        <w:rPr>
          <w:color w:val="auto"/>
        </w:rPr>
      </w:pPr>
      <w:r>
        <w:rPr>
          <w:color w:val="auto"/>
        </w:rPr>
        <w:drawing>
          <wp:inline distT="0" distB="0" distL="114300" distR="114300">
            <wp:extent cx="5269230" cy="7435850"/>
            <wp:effectExtent l="0" t="0" r="7620" b="12700"/>
            <wp:docPr id="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pic:cNvPicPr>
                      <a:picLocks noChangeAspect="1"/>
                    </pic:cNvPicPr>
                  </pic:nvPicPr>
                  <pic:blipFill>
                    <a:blip r:embed="rId116"/>
                    <a:stretch>
                      <a:fillRect/>
                    </a:stretch>
                  </pic:blipFill>
                  <pic:spPr>
                    <a:xfrm>
                      <a:off x="0" y="0"/>
                      <a:ext cx="5269230" cy="7435850"/>
                    </a:xfrm>
                    <a:prstGeom prst="rect">
                      <a:avLst/>
                    </a:prstGeom>
                    <a:noFill/>
                    <a:ln>
                      <a:noFill/>
                    </a:ln>
                  </pic:spPr>
                </pic:pic>
              </a:graphicData>
            </a:graphic>
          </wp:inline>
        </w:drawing>
      </w:r>
    </w:p>
    <w:p w14:paraId="0705422B">
      <w:pPr>
        <w:rPr>
          <w:color w:val="auto"/>
        </w:rPr>
      </w:pPr>
      <w:r>
        <w:rPr>
          <w:color w:val="auto"/>
        </w:rPr>
        <w:drawing>
          <wp:inline distT="0" distB="0" distL="114300" distR="114300">
            <wp:extent cx="5273040" cy="7467600"/>
            <wp:effectExtent l="0" t="0" r="3810" b="0"/>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117"/>
                    <a:stretch>
                      <a:fillRect/>
                    </a:stretch>
                  </pic:blipFill>
                  <pic:spPr>
                    <a:xfrm>
                      <a:off x="0" y="0"/>
                      <a:ext cx="5273040" cy="7467600"/>
                    </a:xfrm>
                    <a:prstGeom prst="rect">
                      <a:avLst/>
                    </a:prstGeom>
                    <a:noFill/>
                    <a:ln>
                      <a:noFill/>
                    </a:ln>
                  </pic:spPr>
                </pic:pic>
              </a:graphicData>
            </a:graphic>
          </wp:inline>
        </w:drawing>
      </w:r>
    </w:p>
    <w:p w14:paraId="7794A1A8">
      <w:pPr>
        <w:pStyle w:val="41"/>
        <w:ind w:left="0" w:leftChars="0" w:firstLine="0" w:firstLineChars="0"/>
        <w:rPr>
          <w:color w:val="auto"/>
        </w:rPr>
      </w:pPr>
      <w:r>
        <w:rPr>
          <w:color w:val="auto"/>
        </w:rPr>
        <w:drawing>
          <wp:inline distT="0" distB="0" distL="114300" distR="114300">
            <wp:extent cx="5272405" cy="7491095"/>
            <wp:effectExtent l="0" t="0" r="4445" b="14605"/>
            <wp:docPr id="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1"/>
                    </pic:cNvPicPr>
                  </pic:nvPicPr>
                  <pic:blipFill>
                    <a:blip r:embed="rId118"/>
                    <a:stretch>
                      <a:fillRect/>
                    </a:stretch>
                  </pic:blipFill>
                  <pic:spPr>
                    <a:xfrm>
                      <a:off x="0" y="0"/>
                      <a:ext cx="5272405" cy="7491095"/>
                    </a:xfrm>
                    <a:prstGeom prst="rect">
                      <a:avLst/>
                    </a:prstGeom>
                    <a:noFill/>
                    <a:ln>
                      <a:noFill/>
                    </a:ln>
                  </pic:spPr>
                </pic:pic>
              </a:graphicData>
            </a:graphic>
          </wp:inline>
        </w:drawing>
      </w:r>
    </w:p>
    <w:p w14:paraId="12442E7A">
      <w:pPr>
        <w:rPr>
          <w:rFonts w:hint="eastAsia" w:eastAsia="宋体"/>
          <w:color w:val="auto"/>
          <w:lang w:val="en-US" w:eastAsia="zh-CN"/>
        </w:rPr>
      </w:pPr>
    </w:p>
    <w:p w14:paraId="256199A4">
      <w:pPr>
        <w:rPr>
          <w:rFonts w:hint="eastAsia"/>
          <w:color w:val="auto"/>
          <w:lang w:val="en-US" w:eastAsia="zh-CN"/>
        </w:rPr>
      </w:pPr>
    </w:p>
    <w:p w14:paraId="21B57D67">
      <w:pPr>
        <w:rPr>
          <w:rFonts w:hint="eastAsia"/>
          <w:color w:val="auto"/>
          <w:lang w:val="en-US" w:eastAsia="zh-CN"/>
        </w:rPr>
      </w:pPr>
    </w:p>
    <w:p w14:paraId="1919A753">
      <w:pPr>
        <w:rPr>
          <w:rFonts w:hint="eastAsia"/>
          <w:color w:val="auto"/>
          <w:lang w:val="en-US" w:eastAsia="zh-CN"/>
        </w:rPr>
      </w:pPr>
    </w:p>
    <w:p w14:paraId="31E791AC">
      <w:pPr>
        <w:rPr>
          <w:rFonts w:hint="eastAsia"/>
          <w:color w:val="auto"/>
          <w:lang w:val="en-US" w:eastAsia="zh-CN"/>
        </w:rPr>
      </w:pPr>
    </w:p>
    <w:p w14:paraId="0E0E9CA4">
      <w:pPr>
        <w:rPr>
          <w:rFonts w:hint="eastAsia"/>
          <w:color w:val="auto"/>
          <w:lang w:val="en-US" w:eastAsia="zh-CN"/>
        </w:rPr>
      </w:pPr>
    </w:p>
    <w:p w14:paraId="6BF5EBF8">
      <w:pPr>
        <w:pStyle w:val="3"/>
        <w:rPr>
          <w:rFonts w:hint="eastAsia"/>
          <w:color w:val="auto"/>
          <w:lang w:val="en-US" w:eastAsia="zh-CN"/>
        </w:rPr>
      </w:pPr>
      <w:bookmarkStart w:id="366" w:name="_Toc5484"/>
      <w:bookmarkStart w:id="367" w:name="_Toc1217"/>
      <w:bookmarkStart w:id="368" w:name="_Toc6223"/>
      <w:r>
        <w:rPr>
          <w:rFonts w:hint="eastAsia"/>
          <w:color w:val="auto"/>
          <w:lang w:val="en-US" w:eastAsia="zh-CN"/>
        </w:rPr>
        <w:t>附件14 危险废物转移联单</w:t>
      </w:r>
      <w:bookmarkEnd w:id="366"/>
      <w:bookmarkEnd w:id="367"/>
      <w:bookmarkEnd w:id="368"/>
    </w:p>
    <w:p w14:paraId="63A3FBE5">
      <w:pPr>
        <w:rPr>
          <w:color w:val="auto"/>
        </w:rPr>
      </w:pPr>
      <w:r>
        <w:rPr>
          <w:color w:val="auto"/>
        </w:rPr>
        <w:drawing>
          <wp:inline distT="0" distB="0" distL="114300" distR="114300">
            <wp:extent cx="5266690" cy="5948680"/>
            <wp:effectExtent l="0" t="0" r="10160" b="13970"/>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119"/>
                    <a:stretch>
                      <a:fillRect/>
                    </a:stretch>
                  </pic:blipFill>
                  <pic:spPr>
                    <a:xfrm>
                      <a:off x="0" y="0"/>
                      <a:ext cx="5266690" cy="5948680"/>
                    </a:xfrm>
                    <a:prstGeom prst="rect">
                      <a:avLst/>
                    </a:prstGeom>
                    <a:noFill/>
                    <a:ln>
                      <a:noFill/>
                    </a:ln>
                  </pic:spPr>
                </pic:pic>
              </a:graphicData>
            </a:graphic>
          </wp:inline>
        </w:drawing>
      </w:r>
    </w:p>
    <w:p w14:paraId="1C780C78">
      <w:pPr>
        <w:rPr>
          <w:color w:val="auto"/>
        </w:rPr>
      </w:pPr>
    </w:p>
    <w:p w14:paraId="43FE7F19">
      <w:pPr>
        <w:rPr>
          <w:color w:val="auto"/>
        </w:rPr>
      </w:pPr>
    </w:p>
    <w:p w14:paraId="100A5215">
      <w:pPr>
        <w:rPr>
          <w:color w:val="auto"/>
        </w:rPr>
      </w:pPr>
    </w:p>
    <w:p w14:paraId="35712839">
      <w:pPr>
        <w:rPr>
          <w:color w:val="auto"/>
        </w:rPr>
      </w:pPr>
    </w:p>
    <w:p w14:paraId="7DA827B8">
      <w:pPr>
        <w:rPr>
          <w:color w:val="auto"/>
        </w:rPr>
      </w:pPr>
    </w:p>
    <w:p w14:paraId="017488DD">
      <w:pPr>
        <w:rPr>
          <w:color w:val="auto"/>
        </w:rPr>
      </w:pPr>
    </w:p>
    <w:p w14:paraId="4EFF2A93">
      <w:pPr>
        <w:rPr>
          <w:color w:val="auto"/>
        </w:rPr>
      </w:pPr>
    </w:p>
    <w:p w14:paraId="3EFAA254">
      <w:pPr>
        <w:rPr>
          <w:color w:val="auto"/>
        </w:rPr>
      </w:pPr>
    </w:p>
    <w:p w14:paraId="5A8A6E8E">
      <w:pPr>
        <w:rPr>
          <w:color w:val="auto"/>
        </w:rPr>
      </w:pPr>
    </w:p>
    <w:p w14:paraId="32A4F18D">
      <w:pPr>
        <w:rPr>
          <w:color w:val="auto"/>
        </w:rPr>
      </w:pPr>
    </w:p>
    <w:p w14:paraId="065EA47A">
      <w:pPr>
        <w:rPr>
          <w:color w:val="auto"/>
        </w:rPr>
      </w:pPr>
    </w:p>
    <w:p w14:paraId="01EE8DA8">
      <w:pPr>
        <w:rPr>
          <w:color w:val="auto"/>
        </w:rPr>
      </w:pPr>
    </w:p>
    <w:p w14:paraId="6C882C60">
      <w:pPr>
        <w:pStyle w:val="3"/>
        <w:rPr>
          <w:rFonts w:hint="default"/>
          <w:color w:val="auto"/>
          <w:lang w:val="en-US" w:eastAsia="zh-CN"/>
        </w:rPr>
      </w:pPr>
      <w:bookmarkStart w:id="369" w:name="_Toc14258"/>
      <w:bookmarkStart w:id="370" w:name="_Toc27139"/>
      <w:bookmarkStart w:id="371" w:name="_Toc4306"/>
      <w:r>
        <w:rPr>
          <w:rFonts w:hint="eastAsia"/>
          <w:color w:val="auto"/>
          <w:lang w:val="en-US" w:eastAsia="zh-CN"/>
        </w:rPr>
        <w:t>附件15 油墨MSDS</w:t>
      </w:r>
      <w:bookmarkEnd w:id="369"/>
      <w:bookmarkEnd w:id="370"/>
      <w:bookmarkEnd w:id="371"/>
    </w:p>
    <w:p w14:paraId="7D0ACAB8">
      <w:pPr>
        <w:rPr>
          <w:color w:val="auto"/>
        </w:rPr>
      </w:pPr>
      <w:r>
        <w:rPr>
          <w:color w:val="auto"/>
        </w:rPr>
        <w:drawing>
          <wp:inline distT="0" distB="0" distL="114300" distR="114300">
            <wp:extent cx="5241925" cy="7416800"/>
            <wp:effectExtent l="0" t="0" r="15875" b="12700"/>
            <wp:docPr id="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pic:cNvPicPr>
                      <a:picLocks noChangeAspect="1"/>
                    </pic:cNvPicPr>
                  </pic:nvPicPr>
                  <pic:blipFill>
                    <a:blip r:embed="rId120"/>
                    <a:stretch>
                      <a:fillRect/>
                    </a:stretch>
                  </pic:blipFill>
                  <pic:spPr>
                    <a:xfrm>
                      <a:off x="0" y="0"/>
                      <a:ext cx="5241925" cy="7416800"/>
                    </a:xfrm>
                    <a:prstGeom prst="rect">
                      <a:avLst/>
                    </a:prstGeom>
                    <a:noFill/>
                    <a:ln>
                      <a:noFill/>
                    </a:ln>
                  </pic:spPr>
                </pic:pic>
              </a:graphicData>
            </a:graphic>
          </wp:inline>
        </w:drawing>
      </w:r>
    </w:p>
    <w:p w14:paraId="0968856E">
      <w:pPr>
        <w:rPr>
          <w:color w:val="auto"/>
        </w:rPr>
      </w:pPr>
    </w:p>
    <w:p w14:paraId="2FEDCF48">
      <w:pPr>
        <w:rPr>
          <w:color w:val="auto"/>
        </w:rPr>
      </w:pPr>
      <w:r>
        <w:rPr>
          <w:color w:val="auto"/>
        </w:rPr>
        <w:drawing>
          <wp:inline distT="0" distB="0" distL="114300" distR="114300">
            <wp:extent cx="5271135" cy="7364730"/>
            <wp:effectExtent l="0" t="0" r="5715" b="762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121"/>
                    <a:stretch>
                      <a:fillRect/>
                    </a:stretch>
                  </pic:blipFill>
                  <pic:spPr>
                    <a:xfrm>
                      <a:off x="0" y="0"/>
                      <a:ext cx="5271135" cy="7364730"/>
                    </a:xfrm>
                    <a:prstGeom prst="rect">
                      <a:avLst/>
                    </a:prstGeom>
                    <a:noFill/>
                    <a:ln>
                      <a:noFill/>
                    </a:ln>
                  </pic:spPr>
                </pic:pic>
              </a:graphicData>
            </a:graphic>
          </wp:inline>
        </w:drawing>
      </w:r>
    </w:p>
    <w:p w14:paraId="7C56BAC6">
      <w:pPr>
        <w:rPr>
          <w:color w:val="auto"/>
        </w:rPr>
      </w:pPr>
      <w:r>
        <w:rPr>
          <w:color w:val="auto"/>
        </w:rPr>
        <w:drawing>
          <wp:inline distT="0" distB="0" distL="114300" distR="114300">
            <wp:extent cx="5272405" cy="7315200"/>
            <wp:effectExtent l="0" t="0" r="4445" b="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122"/>
                    <a:stretch>
                      <a:fillRect/>
                    </a:stretch>
                  </pic:blipFill>
                  <pic:spPr>
                    <a:xfrm>
                      <a:off x="0" y="0"/>
                      <a:ext cx="5272405" cy="7315200"/>
                    </a:xfrm>
                    <a:prstGeom prst="rect">
                      <a:avLst/>
                    </a:prstGeom>
                    <a:noFill/>
                    <a:ln>
                      <a:noFill/>
                    </a:ln>
                  </pic:spPr>
                </pic:pic>
              </a:graphicData>
            </a:graphic>
          </wp:inline>
        </w:drawing>
      </w:r>
    </w:p>
    <w:p w14:paraId="165D9327">
      <w:pPr>
        <w:rPr>
          <w:color w:val="auto"/>
        </w:rPr>
      </w:pPr>
      <w:r>
        <w:rPr>
          <w:color w:val="auto"/>
        </w:rPr>
        <w:drawing>
          <wp:inline distT="0" distB="0" distL="114300" distR="114300">
            <wp:extent cx="5271135" cy="7443470"/>
            <wp:effectExtent l="0" t="0" r="5715" b="5080"/>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123"/>
                    <a:stretch>
                      <a:fillRect/>
                    </a:stretch>
                  </pic:blipFill>
                  <pic:spPr>
                    <a:xfrm>
                      <a:off x="0" y="0"/>
                      <a:ext cx="5271135" cy="7443470"/>
                    </a:xfrm>
                    <a:prstGeom prst="rect">
                      <a:avLst/>
                    </a:prstGeom>
                    <a:noFill/>
                    <a:ln>
                      <a:noFill/>
                    </a:ln>
                  </pic:spPr>
                </pic:pic>
              </a:graphicData>
            </a:graphic>
          </wp:inline>
        </w:drawing>
      </w:r>
    </w:p>
    <w:p w14:paraId="16CA9A94">
      <w:pPr>
        <w:rPr>
          <w:color w:val="auto"/>
        </w:rPr>
      </w:pPr>
    </w:p>
    <w:p w14:paraId="37088FB9">
      <w:pPr>
        <w:rPr>
          <w:color w:val="auto"/>
        </w:rPr>
      </w:pPr>
      <w:r>
        <w:rPr>
          <w:color w:val="auto"/>
        </w:rPr>
        <w:drawing>
          <wp:inline distT="0" distB="0" distL="114300" distR="114300">
            <wp:extent cx="5274310" cy="7486015"/>
            <wp:effectExtent l="0" t="0" r="2540" b="635"/>
            <wp:docPr id="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8"/>
                    <pic:cNvPicPr>
                      <a:picLocks noChangeAspect="1"/>
                    </pic:cNvPicPr>
                  </pic:nvPicPr>
                  <pic:blipFill>
                    <a:blip r:embed="rId124"/>
                    <a:stretch>
                      <a:fillRect/>
                    </a:stretch>
                  </pic:blipFill>
                  <pic:spPr>
                    <a:xfrm>
                      <a:off x="0" y="0"/>
                      <a:ext cx="5274310" cy="7486015"/>
                    </a:xfrm>
                    <a:prstGeom prst="rect">
                      <a:avLst/>
                    </a:prstGeom>
                    <a:noFill/>
                    <a:ln>
                      <a:noFill/>
                    </a:ln>
                  </pic:spPr>
                </pic:pic>
              </a:graphicData>
            </a:graphic>
          </wp:inline>
        </w:drawing>
      </w:r>
    </w:p>
    <w:p w14:paraId="2CB8EA06">
      <w:pPr>
        <w:rPr>
          <w:color w:val="auto"/>
        </w:rPr>
      </w:pPr>
    </w:p>
    <w:p w14:paraId="0BB99380">
      <w:pPr>
        <w:rPr>
          <w:color w:val="auto"/>
        </w:rPr>
      </w:pPr>
      <w:r>
        <w:rPr>
          <w:color w:val="auto"/>
        </w:rPr>
        <w:drawing>
          <wp:inline distT="0" distB="0" distL="114300" distR="114300">
            <wp:extent cx="5248275" cy="7467600"/>
            <wp:effectExtent l="0" t="0" r="9525" b="0"/>
            <wp:docPr id="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1"/>
                    </pic:cNvPicPr>
                  </pic:nvPicPr>
                  <pic:blipFill>
                    <a:blip r:embed="rId125"/>
                    <a:stretch>
                      <a:fillRect/>
                    </a:stretch>
                  </pic:blipFill>
                  <pic:spPr>
                    <a:xfrm>
                      <a:off x="0" y="0"/>
                      <a:ext cx="5248275" cy="7467600"/>
                    </a:xfrm>
                    <a:prstGeom prst="rect">
                      <a:avLst/>
                    </a:prstGeom>
                    <a:noFill/>
                    <a:ln>
                      <a:noFill/>
                    </a:ln>
                  </pic:spPr>
                </pic:pic>
              </a:graphicData>
            </a:graphic>
          </wp:inline>
        </w:drawing>
      </w:r>
    </w:p>
    <w:p w14:paraId="627593C2">
      <w:pPr>
        <w:rPr>
          <w:color w:val="auto"/>
        </w:rPr>
      </w:pPr>
      <w:r>
        <w:rPr>
          <w:color w:val="auto"/>
        </w:rPr>
        <w:drawing>
          <wp:inline distT="0" distB="0" distL="114300" distR="114300">
            <wp:extent cx="5270500" cy="7464425"/>
            <wp:effectExtent l="0" t="0" r="6350" b="3175"/>
            <wp:docPr id="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pic:cNvPicPr>
                      <a:picLocks noChangeAspect="1"/>
                    </pic:cNvPicPr>
                  </pic:nvPicPr>
                  <pic:blipFill>
                    <a:blip r:embed="rId126"/>
                    <a:stretch>
                      <a:fillRect/>
                    </a:stretch>
                  </pic:blipFill>
                  <pic:spPr>
                    <a:xfrm>
                      <a:off x="0" y="0"/>
                      <a:ext cx="5270500" cy="7464425"/>
                    </a:xfrm>
                    <a:prstGeom prst="rect">
                      <a:avLst/>
                    </a:prstGeom>
                    <a:noFill/>
                    <a:ln>
                      <a:noFill/>
                    </a:ln>
                  </pic:spPr>
                </pic:pic>
              </a:graphicData>
            </a:graphic>
          </wp:inline>
        </w:drawing>
      </w:r>
    </w:p>
    <w:p w14:paraId="06ABB340">
      <w:pPr>
        <w:rPr>
          <w:color w:val="auto"/>
        </w:rPr>
      </w:pPr>
    </w:p>
    <w:p w14:paraId="4BA4FF13">
      <w:pPr>
        <w:rPr>
          <w:color w:val="auto"/>
        </w:rPr>
      </w:pPr>
    </w:p>
    <w:p w14:paraId="50E5A721">
      <w:pPr>
        <w:rPr>
          <w:color w:val="auto"/>
        </w:rPr>
      </w:pPr>
    </w:p>
    <w:p w14:paraId="600ABC6D">
      <w:pPr>
        <w:rPr>
          <w:color w:val="auto"/>
        </w:rPr>
      </w:pPr>
    </w:p>
    <w:p w14:paraId="3ACD8388">
      <w:pPr>
        <w:rPr>
          <w:color w:val="auto"/>
        </w:rPr>
      </w:pPr>
    </w:p>
    <w:p w14:paraId="7091BC86">
      <w:pPr>
        <w:rPr>
          <w:color w:val="auto"/>
        </w:rPr>
      </w:pPr>
    </w:p>
    <w:p w14:paraId="49F0F579">
      <w:pPr>
        <w:pStyle w:val="3"/>
        <w:rPr>
          <w:rFonts w:hint="eastAsia"/>
          <w:color w:val="auto"/>
          <w:lang w:val="en-US" w:eastAsia="zh-CN"/>
        </w:rPr>
      </w:pPr>
      <w:bookmarkStart w:id="372" w:name="_Toc5115"/>
      <w:bookmarkStart w:id="373" w:name="_Toc3587"/>
      <w:bookmarkStart w:id="374" w:name="_Toc18687"/>
      <w:r>
        <w:rPr>
          <w:rFonts w:hint="eastAsia"/>
          <w:color w:val="auto"/>
          <w:lang w:val="en-US" w:eastAsia="zh-CN"/>
        </w:rPr>
        <w:t>附件16 油墨添加剂MSDS</w:t>
      </w:r>
      <w:bookmarkEnd w:id="372"/>
      <w:bookmarkEnd w:id="373"/>
      <w:bookmarkEnd w:id="374"/>
    </w:p>
    <w:p w14:paraId="32504246">
      <w:pPr>
        <w:rPr>
          <w:color w:val="auto"/>
        </w:rPr>
      </w:pPr>
      <w:r>
        <w:rPr>
          <w:color w:val="auto"/>
        </w:rPr>
        <w:drawing>
          <wp:inline distT="0" distB="0" distL="114300" distR="114300">
            <wp:extent cx="5504815" cy="7200265"/>
            <wp:effectExtent l="0" t="0" r="635" b="635"/>
            <wp:docPr id="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pic:cNvPicPr>
                      <a:picLocks noChangeAspect="1"/>
                    </pic:cNvPicPr>
                  </pic:nvPicPr>
                  <pic:blipFill>
                    <a:blip r:embed="rId127"/>
                    <a:stretch>
                      <a:fillRect/>
                    </a:stretch>
                  </pic:blipFill>
                  <pic:spPr>
                    <a:xfrm>
                      <a:off x="0" y="0"/>
                      <a:ext cx="5504815" cy="7200265"/>
                    </a:xfrm>
                    <a:prstGeom prst="rect">
                      <a:avLst/>
                    </a:prstGeom>
                    <a:noFill/>
                    <a:ln>
                      <a:noFill/>
                    </a:ln>
                  </pic:spPr>
                </pic:pic>
              </a:graphicData>
            </a:graphic>
          </wp:inline>
        </w:drawing>
      </w:r>
    </w:p>
    <w:p w14:paraId="6F70D9C3">
      <w:pPr>
        <w:rPr>
          <w:color w:val="auto"/>
        </w:rPr>
      </w:pPr>
    </w:p>
    <w:p w14:paraId="6898E2A4">
      <w:pPr>
        <w:rPr>
          <w:color w:val="auto"/>
        </w:rPr>
      </w:pPr>
      <w:r>
        <w:rPr>
          <w:color w:val="auto"/>
        </w:rPr>
        <w:drawing>
          <wp:inline distT="0" distB="0" distL="114300" distR="114300">
            <wp:extent cx="5328285" cy="7454900"/>
            <wp:effectExtent l="0" t="0" r="5715" b="12700"/>
            <wp:docPr id="9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3"/>
                    <pic:cNvPicPr>
                      <a:picLocks noChangeAspect="1"/>
                    </pic:cNvPicPr>
                  </pic:nvPicPr>
                  <pic:blipFill>
                    <a:blip r:embed="rId128"/>
                    <a:stretch>
                      <a:fillRect/>
                    </a:stretch>
                  </pic:blipFill>
                  <pic:spPr>
                    <a:xfrm>
                      <a:off x="0" y="0"/>
                      <a:ext cx="5328285" cy="7454900"/>
                    </a:xfrm>
                    <a:prstGeom prst="rect">
                      <a:avLst/>
                    </a:prstGeom>
                    <a:noFill/>
                    <a:ln>
                      <a:noFill/>
                    </a:ln>
                  </pic:spPr>
                </pic:pic>
              </a:graphicData>
            </a:graphic>
          </wp:inline>
        </w:drawing>
      </w:r>
    </w:p>
    <w:p w14:paraId="5EDD9D73">
      <w:pPr>
        <w:rPr>
          <w:color w:val="auto"/>
        </w:rPr>
      </w:pPr>
    </w:p>
    <w:p w14:paraId="3A3375B4">
      <w:pPr>
        <w:rPr>
          <w:rFonts w:hint="eastAsia"/>
          <w:color w:val="auto"/>
          <w:lang w:val="en-US" w:eastAsia="zh-CN"/>
        </w:rPr>
      </w:pPr>
    </w:p>
    <w:p w14:paraId="4BABAB74">
      <w:pPr>
        <w:rPr>
          <w:color w:val="auto"/>
        </w:rPr>
      </w:pPr>
      <w:r>
        <w:rPr>
          <w:color w:val="auto"/>
        </w:rPr>
        <w:drawing>
          <wp:inline distT="0" distB="0" distL="114300" distR="114300">
            <wp:extent cx="5133975" cy="7258050"/>
            <wp:effectExtent l="0" t="0" r="9525" b="0"/>
            <wp:docPr id="10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4"/>
                    <pic:cNvPicPr>
                      <a:picLocks noChangeAspect="1"/>
                    </pic:cNvPicPr>
                  </pic:nvPicPr>
                  <pic:blipFill>
                    <a:blip r:embed="rId129"/>
                    <a:stretch>
                      <a:fillRect/>
                    </a:stretch>
                  </pic:blipFill>
                  <pic:spPr>
                    <a:xfrm>
                      <a:off x="0" y="0"/>
                      <a:ext cx="5133975" cy="7258050"/>
                    </a:xfrm>
                    <a:prstGeom prst="rect">
                      <a:avLst/>
                    </a:prstGeom>
                    <a:noFill/>
                    <a:ln>
                      <a:noFill/>
                    </a:ln>
                  </pic:spPr>
                </pic:pic>
              </a:graphicData>
            </a:graphic>
          </wp:inline>
        </w:drawing>
      </w:r>
    </w:p>
    <w:p w14:paraId="64FA42B0">
      <w:pPr>
        <w:rPr>
          <w:color w:val="auto"/>
        </w:rPr>
      </w:pPr>
    </w:p>
    <w:p w14:paraId="3F8DDEE3">
      <w:pPr>
        <w:rPr>
          <w:color w:val="auto"/>
        </w:rPr>
      </w:pPr>
      <w:r>
        <w:rPr>
          <w:color w:val="auto"/>
        </w:rPr>
        <w:drawing>
          <wp:inline distT="0" distB="0" distL="114300" distR="114300">
            <wp:extent cx="5086350" cy="7077075"/>
            <wp:effectExtent l="0" t="0" r="0" b="9525"/>
            <wp:docPr id="10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5"/>
                    <pic:cNvPicPr>
                      <a:picLocks noChangeAspect="1"/>
                    </pic:cNvPicPr>
                  </pic:nvPicPr>
                  <pic:blipFill>
                    <a:blip r:embed="rId130"/>
                    <a:stretch>
                      <a:fillRect/>
                    </a:stretch>
                  </pic:blipFill>
                  <pic:spPr>
                    <a:xfrm>
                      <a:off x="0" y="0"/>
                      <a:ext cx="5086350" cy="7077075"/>
                    </a:xfrm>
                    <a:prstGeom prst="rect">
                      <a:avLst/>
                    </a:prstGeom>
                    <a:noFill/>
                    <a:ln>
                      <a:noFill/>
                    </a:ln>
                  </pic:spPr>
                </pic:pic>
              </a:graphicData>
            </a:graphic>
          </wp:inline>
        </w:drawing>
      </w:r>
    </w:p>
    <w:p w14:paraId="322A1547">
      <w:pPr>
        <w:rPr>
          <w:color w:val="auto"/>
        </w:rPr>
      </w:pPr>
      <w:r>
        <w:rPr>
          <w:color w:val="auto"/>
        </w:rPr>
        <w:drawing>
          <wp:inline distT="0" distB="0" distL="114300" distR="114300">
            <wp:extent cx="5019675" cy="7429500"/>
            <wp:effectExtent l="0" t="0" r="9525" b="0"/>
            <wp:docPr id="10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6"/>
                    <pic:cNvPicPr>
                      <a:picLocks noChangeAspect="1"/>
                    </pic:cNvPicPr>
                  </pic:nvPicPr>
                  <pic:blipFill>
                    <a:blip r:embed="rId131"/>
                    <a:stretch>
                      <a:fillRect/>
                    </a:stretch>
                  </pic:blipFill>
                  <pic:spPr>
                    <a:xfrm>
                      <a:off x="0" y="0"/>
                      <a:ext cx="5019675" cy="7429500"/>
                    </a:xfrm>
                    <a:prstGeom prst="rect">
                      <a:avLst/>
                    </a:prstGeom>
                    <a:noFill/>
                    <a:ln>
                      <a:noFill/>
                    </a:ln>
                  </pic:spPr>
                </pic:pic>
              </a:graphicData>
            </a:graphic>
          </wp:inline>
        </w:drawing>
      </w:r>
    </w:p>
    <w:p w14:paraId="0681AE3A">
      <w:pPr>
        <w:rPr>
          <w:color w:val="auto"/>
        </w:rPr>
      </w:pPr>
      <w:r>
        <w:rPr>
          <w:color w:val="auto"/>
        </w:rPr>
        <w:drawing>
          <wp:inline distT="0" distB="0" distL="114300" distR="114300">
            <wp:extent cx="5067300" cy="7343775"/>
            <wp:effectExtent l="0" t="0" r="0" b="9525"/>
            <wp:docPr id="1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7"/>
                    <pic:cNvPicPr>
                      <a:picLocks noChangeAspect="1"/>
                    </pic:cNvPicPr>
                  </pic:nvPicPr>
                  <pic:blipFill>
                    <a:blip r:embed="rId132"/>
                    <a:stretch>
                      <a:fillRect/>
                    </a:stretch>
                  </pic:blipFill>
                  <pic:spPr>
                    <a:xfrm>
                      <a:off x="0" y="0"/>
                      <a:ext cx="5067300" cy="7343775"/>
                    </a:xfrm>
                    <a:prstGeom prst="rect">
                      <a:avLst/>
                    </a:prstGeom>
                    <a:noFill/>
                    <a:ln>
                      <a:noFill/>
                    </a:ln>
                  </pic:spPr>
                </pic:pic>
              </a:graphicData>
            </a:graphic>
          </wp:inline>
        </w:drawing>
      </w:r>
    </w:p>
    <w:p w14:paraId="6A54BBF4">
      <w:pPr>
        <w:rPr>
          <w:color w:val="auto"/>
        </w:rPr>
      </w:pPr>
      <w:r>
        <w:rPr>
          <w:color w:val="auto"/>
        </w:rPr>
        <w:drawing>
          <wp:inline distT="0" distB="0" distL="114300" distR="114300">
            <wp:extent cx="5076825" cy="7629525"/>
            <wp:effectExtent l="0" t="0" r="9525" b="9525"/>
            <wp:docPr id="1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8"/>
                    <pic:cNvPicPr>
                      <a:picLocks noChangeAspect="1"/>
                    </pic:cNvPicPr>
                  </pic:nvPicPr>
                  <pic:blipFill>
                    <a:blip r:embed="rId133"/>
                    <a:stretch>
                      <a:fillRect/>
                    </a:stretch>
                  </pic:blipFill>
                  <pic:spPr>
                    <a:xfrm>
                      <a:off x="0" y="0"/>
                      <a:ext cx="5076825" cy="7629525"/>
                    </a:xfrm>
                    <a:prstGeom prst="rect">
                      <a:avLst/>
                    </a:prstGeom>
                    <a:noFill/>
                    <a:ln>
                      <a:noFill/>
                    </a:ln>
                  </pic:spPr>
                </pic:pic>
              </a:graphicData>
            </a:graphic>
          </wp:inline>
        </w:drawing>
      </w:r>
    </w:p>
    <w:p w14:paraId="5E4543EC">
      <w:pPr>
        <w:rPr>
          <w:color w:val="auto"/>
        </w:rPr>
      </w:pPr>
    </w:p>
    <w:p w14:paraId="379D65F6">
      <w:pPr>
        <w:rPr>
          <w:rFonts w:hint="eastAsia"/>
          <w:color w:val="auto"/>
          <w:lang w:val="en-US" w:eastAsia="zh-CN"/>
        </w:rPr>
        <w:sectPr>
          <w:footerReference r:id="rId18" w:type="default"/>
          <w:pgSz w:w="11906" w:h="16838"/>
          <w:pgMar w:top="1440" w:right="1800" w:bottom="1440" w:left="1800" w:header="851" w:footer="1020" w:gutter="0"/>
          <w:pgBorders>
            <w:top w:val="none" w:sz="0" w:space="0"/>
            <w:left w:val="none" w:sz="0" w:space="0"/>
            <w:bottom w:val="none" w:sz="0" w:space="0"/>
            <w:right w:val="none" w:sz="0" w:space="0"/>
          </w:pgBorders>
          <w:pgNumType w:fmt="decimal"/>
          <w:cols w:space="720" w:num="1"/>
          <w:docGrid w:type="lines" w:linePitch="312" w:charSpace="0"/>
        </w:sectPr>
      </w:pPr>
    </w:p>
    <w:p w14:paraId="262A16F9">
      <w:pPr>
        <w:pStyle w:val="3"/>
        <w:rPr>
          <w:rFonts w:hint="eastAsia"/>
          <w:color w:val="auto"/>
          <w:lang w:val="en-US" w:eastAsia="zh-CN"/>
        </w:rPr>
      </w:pPr>
      <w:bookmarkStart w:id="375" w:name="_Toc11770"/>
      <w:bookmarkStart w:id="376" w:name="_Toc25010"/>
      <w:bookmarkStart w:id="377" w:name="_Toc461"/>
      <w:r>
        <w:rPr>
          <w:rFonts w:hint="eastAsia"/>
          <w:color w:val="auto"/>
          <w:lang w:val="en-US" w:eastAsia="zh-CN"/>
        </w:rPr>
        <w:t>附件17 油墨VOCS检测报告</w:t>
      </w:r>
      <w:bookmarkEnd w:id="375"/>
      <w:bookmarkEnd w:id="376"/>
      <w:bookmarkEnd w:id="377"/>
    </w:p>
    <w:p w14:paraId="315F2649">
      <w:pPr>
        <w:rPr>
          <w:color w:val="auto"/>
        </w:rPr>
      </w:pPr>
      <w:r>
        <w:rPr>
          <w:color w:val="auto"/>
        </w:rPr>
        <w:drawing>
          <wp:inline distT="0" distB="0" distL="114300" distR="114300">
            <wp:extent cx="4819650" cy="7010400"/>
            <wp:effectExtent l="0" t="0" r="0" b="0"/>
            <wp:docPr id="1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9"/>
                    <pic:cNvPicPr>
                      <a:picLocks noChangeAspect="1"/>
                    </pic:cNvPicPr>
                  </pic:nvPicPr>
                  <pic:blipFill>
                    <a:blip r:embed="rId134"/>
                    <a:stretch>
                      <a:fillRect/>
                    </a:stretch>
                  </pic:blipFill>
                  <pic:spPr>
                    <a:xfrm>
                      <a:off x="0" y="0"/>
                      <a:ext cx="4819650" cy="7010400"/>
                    </a:xfrm>
                    <a:prstGeom prst="rect">
                      <a:avLst/>
                    </a:prstGeom>
                    <a:noFill/>
                    <a:ln>
                      <a:noFill/>
                    </a:ln>
                  </pic:spPr>
                </pic:pic>
              </a:graphicData>
            </a:graphic>
          </wp:inline>
        </w:drawing>
      </w:r>
    </w:p>
    <w:p w14:paraId="6DDAECD2">
      <w:pPr>
        <w:rPr>
          <w:color w:val="auto"/>
        </w:rPr>
      </w:pPr>
      <w:r>
        <w:rPr>
          <w:color w:val="auto"/>
        </w:rPr>
        <w:drawing>
          <wp:inline distT="0" distB="0" distL="114300" distR="114300">
            <wp:extent cx="5076825" cy="7496175"/>
            <wp:effectExtent l="0" t="0" r="9525" b="9525"/>
            <wp:docPr id="1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0"/>
                    <pic:cNvPicPr>
                      <a:picLocks noChangeAspect="1"/>
                    </pic:cNvPicPr>
                  </pic:nvPicPr>
                  <pic:blipFill>
                    <a:blip r:embed="rId135"/>
                    <a:stretch>
                      <a:fillRect/>
                    </a:stretch>
                  </pic:blipFill>
                  <pic:spPr>
                    <a:xfrm>
                      <a:off x="0" y="0"/>
                      <a:ext cx="5076825" cy="7496175"/>
                    </a:xfrm>
                    <a:prstGeom prst="rect">
                      <a:avLst/>
                    </a:prstGeom>
                    <a:noFill/>
                    <a:ln>
                      <a:noFill/>
                    </a:ln>
                  </pic:spPr>
                </pic:pic>
              </a:graphicData>
            </a:graphic>
          </wp:inline>
        </w:drawing>
      </w:r>
    </w:p>
    <w:p w14:paraId="6021B29B">
      <w:pPr>
        <w:rPr>
          <w:color w:val="auto"/>
        </w:rPr>
      </w:pPr>
    </w:p>
    <w:p w14:paraId="46EB5D17">
      <w:pPr>
        <w:rPr>
          <w:color w:val="auto"/>
        </w:rPr>
      </w:pPr>
    </w:p>
    <w:p w14:paraId="17EFF728">
      <w:pPr>
        <w:rPr>
          <w:color w:val="auto"/>
        </w:rPr>
      </w:pPr>
      <w:r>
        <w:rPr>
          <w:color w:val="auto"/>
        </w:rPr>
        <w:drawing>
          <wp:inline distT="0" distB="0" distL="114300" distR="114300">
            <wp:extent cx="5153025" cy="7324725"/>
            <wp:effectExtent l="0" t="0" r="9525" b="9525"/>
            <wp:docPr id="1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1"/>
                    <pic:cNvPicPr>
                      <a:picLocks noChangeAspect="1"/>
                    </pic:cNvPicPr>
                  </pic:nvPicPr>
                  <pic:blipFill>
                    <a:blip r:embed="rId136"/>
                    <a:stretch>
                      <a:fillRect/>
                    </a:stretch>
                  </pic:blipFill>
                  <pic:spPr>
                    <a:xfrm>
                      <a:off x="0" y="0"/>
                      <a:ext cx="5153025" cy="7324725"/>
                    </a:xfrm>
                    <a:prstGeom prst="rect">
                      <a:avLst/>
                    </a:prstGeom>
                    <a:noFill/>
                    <a:ln>
                      <a:noFill/>
                    </a:ln>
                  </pic:spPr>
                </pic:pic>
              </a:graphicData>
            </a:graphic>
          </wp:inline>
        </w:drawing>
      </w:r>
    </w:p>
    <w:p w14:paraId="4459AF2A">
      <w:pPr>
        <w:rPr>
          <w:color w:val="auto"/>
        </w:rPr>
        <w:sectPr>
          <w:pgSz w:w="11906" w:h="16838"/>
          <w:pgMar w:top="1440" w:right="1800" w:bottom="1440" w:left="1800" w:header="851" w:footer="1020" w:gutter="0"/>
          <w:pgBorders>
            <w:top w:val="none" w:sz="0" w:space="0"/>
            <w:left w:val="none" w:sz="0" w:space="0"/>
            <w:bottom w:val="none" w:sz="0" w:space="0"/>
            <w:right w:val="none" w:sz="0" w:space="0"/>
          </w:pgBorders>
          <w:pgNumType w:fmt="decimal"/>
          <w:cols w:space="720" w:num="1"/>
          <w:docGrid w:type="lines" w:linePitch="312" w:charSpace="0"/>
        </w:sectPr>
      </w:pPr>
    </w:p>
    <w:p w14:paraId="62831CC2">
      <w:pPr>
        <w:pStyle w:val="3"/>
        <w:rPr>
          <w:rFonts w:hint="eastAsia"/>
          <w:color w:val="auto"/>
          <w:lang w:val="en-US" w:eastAsia="zh-CN"/>
        </w:rPr>
      </w:pPr>
      <w:bookmarkStart w:id="378" w:name="_Toc7147"/>
      <w:bookmarkStart w:id="379" w:name="_Toc13971"/>
      <w:bookmarkStart w:id="380" w:name="_Toc3156"/>
      <w:r>
        <w:rPr>
          <w:rFonts w:hint="eastAsia"/>
          <w:color w:val="auto"/>
          <w:lang w:val="en-US" w:eastAsia="zh-CN"/>
        </w:rPr>
        <w:t>附件19  油墨添加剂VOCS检测报告</w:t>
      </w:r>
      <w:bookmarkEnd w:id="378"/>
      <w:bookmarkEnd w:id="379"/>
      <w:bookmarkEnd w:id="380"/>
    </w:p>
    <w:p w14:paraId="2424C51B">
      <w:pPr>
        <w:rPr>
          <w:color w:val="auto"/>
        </w:rPr>
      </w:pPr>
      <w:r>
        <w:rPr>
          <w:color w:val="auto"/>
        </w:rPr>
        <w:drawing>
          <wp:inline distT="0" distB="0" distL="114300" distR="114300">
            <wp:extent cx="4924425" cy="7000875"/>
            <wp:effectExtent l="0" t="0" r="9525" b="9525"/>
            <wp:docPr id="13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2"/>
                    <pic:cNvPicPr>
                      <a:picLocks noChangeAspect="1"/>
                    </pic:cNvPicPr>
                  </pic:nvPicPr>
                  <pic:blipFill>
                    <a:blip r:embed="rId137"/>
                    <a:stretch>
                      <a:fillRect/>
                    </a:stretch>
                  </pic:blipFill>
                  <pic:spPr>
                    <a:xfrm>
                      <a:off x="0" y="0"/>
                      <a:ext cx="4924425" cy="7000875"/>
                    </a:xfrm>
                    <a:prstGeom prst="rect">
                      <a:avLst/>
                    </a:prstGeom>
                    <a:noFill/>
                    <a:ln>
                      <a:noFill/>
                    </a:ln>
                  </pic:spPr>
                </pic:pic>
              </a:graphicData>
            </a:graphic>
          </wp:inline>
        </w:drawing>
      </w:r>
    </w:p>
    <w:p w14:paraId="12B2FBE8">
      <w:pPr>
        <w:rPr>
          <w:color w:val="auto"/>
        </w:rPr>
      </w:pPr>
      <w:r>
        <w:rPr>
          <w:color w:val="auto"/>
        </w:rPr>
        <w:drawing>
          <wp:inline distT="0" distB="0" distL="114300" distR="114300">
            <wp:extent cx="5133975" cy="7458075"/>
            <wp:effectExtent l="0" t="0" r="9525" b="9525"/>
            <wp:docPr id="13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3"/>
                    <pic:cNvPicPr>
                      <a:picLocks noChangeAspect="1"/>
                    </pic:cNvPicPr>
                  </pic:nvPicPr>
                  <pic:blipFill>
                    <a:blip r:embed="rId138"/>
                    <a:stretch>
                      <a:fillRect/>
                    </a:stretch>
                  </pic:blipFill>
                  <pic:spPr>
                    <a:xfrm>
                      <a:off x="0" y="0"/>
                      <a:ext cx="5133975" cy="7458075"/>
                    </a:xfrm>
                    <a:prstGeom prst="rect">
                      <a:avLst/>
                    </a:prstGeom>
                    <a:noFill/>
                    <a:ln>
                      <a:noFill/>
                    </a:ln>
                  </pic:spPr>
                </pic:pic>
              </a:graphicData>
            </a:graphic>
          </wp:inline>
        </w:drawing>
      </w:r>
    </w:p>
    <w:p w14:paraId="164A65D1">
      <w:pPr>
        <w:rPr>
          <w:color w:val="auto"/>
        </w:rPr>
      </w:pPr>
      <w:r>
        <w:rPr>
          <w:color w:val="auto"/>
        </w:rPr>
        <w:drawing>
          <wp:inline distT="0" distB="0" distL="114300" distR="114300">
            <wp:extent cx="5010150" cy="7400925"/>
            <wp:effectExtent l="0" t="0" r="0" b="9525"/>
            <wp:docPr id="13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4"/>
                    <pic:cNvPicPr>
                      <a:picLocks noChangeAspect="1"/>
                    </pic:cNvPicPr>
                  </pic:nvPicPr>
                  <pic:blipFill>
                    <a:blip r:embed="rId139"/>
                    <a:stretch>
                      <a:fillRect/>
                    </a:stretch>
                  </pic:blipFill>
                  <pic:spPr>
                    <a:xfrm>
                      <a:off x="0" y="0"/>
                      <a:ext cx="5010150" cy="7400925"/>
                    </a:xfrm>
                    <a:prstGeom prst="rect">
                      <a:avLst/>
                    </a:prstGeom>
                    <a:noFill/>
                    <a:ln>
                      <a:noFill/>
                    </a:ln>
                  </pic:spPr>
                </pic:pic>
              </a:graphicData>
            </a:graphic>
          </wp:inline>
        </w:drawing>
      </w:r>
    </w:p>
    <w:p w14:paraId="40FF9705">
      <w:pPr>
        <w:rPr>
          <w:rFonts w:hint="default"/>
          <w:color w:val="auto"/>
          <w:lang w:val="en-US" w:eastAsia="zh-CN"/>
        </w:rPr>
      </w:pPr>
      <w:r>
        <w:rPr>
          <w:color w:val="auto"/>
        </w:rPr>
        <w:drawing>
          <wp:inline distT="0" distB="0" distL="114300" distR="114300">
            <wp:extent cx="5153025" cy="7419975"/>
            <wp:effectExtent l="0" t="0" r="9525" b="9525"/>
            <wp:docPr id="16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5"/>
                    <pic:cNvPicPr>
                      <a:picLocks noChangeAspect="1"/>
                    </pic:cNvPicPr>
                  </pic:nvPicPr>
                  <pic:blipFill>
                    <a:blip r:embed="rId140"/>
                    <a:stretch>
                      <a:fillRect/>
                    </a:stretch>
                  </pic:blipFill>
                  <pic:spPr>
                    <a:xfrm>
                      <a:off x="0" y="0"/>
                      <a:ext cx="5153025" cy="7419975"/>
                    </a:xfrm>
                    <a:prstGeom prst="rect">
                      <a:avLst/>
                    </a:prstGeom>
                    <a:noFill/>
                    <a:ln>
                      <a:noFill/>
                    </a:ln>
                  </pic:spPr>
                </pic:pic>
              </a:graphicData>
            </a:graphic>
          </wp:inline>
        </w:drawing>
      </w:r>
    </w:p>
    <w:p w14:paraId="16182525">
      <w:pPr>
        <w:pStyle w:val="3"/>
        <w:rPr>
          <w:rFonts w:hint="default"/>
          <w:color w:val="auto"/>
          <w:lang w:val="en-US" w:eastAsia="zh-CN"/>
        </w:rPr>
      </w:pPr>
      <w:bookmarkStart w:id="381" w:name="_Toc29461"/>
      <w:bookmarkStart w:id="382" w:name="_Toc27452"/>
      <w:bookmarkStart w:id="383" w:name="_Toc5980"/>
      <w:r>
        <w:rPr>
          <w:rFonts w:hint="eastAsia"/>
          <w:color w:val="auto"/>
          <w:lang w:val="en-US" w:eastAsia="zh-CN"/>
        </w:rPr>
        <w:t>附件18 引用环境质量检测报告</w:t>
      </w:r>
      <w:bookmarkEnd w:id="381"/>
      <w:bookmarkEnd w:id="382"/>
      <w:bookmarkEnd w:id="383"/>
    </w:p>
    <w:p w14:paraId="1ED4BEEB">
      <w:pPr>
        <w:pStyle w:val="43"/>
        <w:rPr>
          <w:rFonts w:hint="default"/>
          <w:color w:val="auto"/>
          <w:lang w:val="en-US" w:eastAsia="zh-CN"/>
        </w:rPr>
      </w:pPr>
      <w:r>
        <w:rPr>
          <w:rFonts w:hint="default"/>
          <w:color w:val="auto"/>
          <w:lang w:val="en-US" w:eastAsia="zh-CN"/>
        </w:rPr>
        <w:drawing>
          <wp:inline distT="0" distB="0" distL="114300" distR="114300">
            <wp:extent cx="5267960" cy="7475855"/>
            <wp:effectExtent l="0" t="0" r="0" b="5080"/>
            <wp:docPr id="327" name="图片 327" descr="111060红山扫描件(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111060红山扫描件(1)_00"/>
                    <pic:cNvPicPr>
                      <a:picLocks noChangeAspect="1"/>
                    </pic:cNvPicPr>
                  </pic:nvPicPr>
                  <pic:blipFill>
                    <a:blip r:embed="rId141"/>
                    <a:stretch>
                      <a:fillRect/>
                    </a:stretch>
                  </pic:blipFill>
                  <pic:spPr>
                    <a:xfrm>
                      <a:off x="0" y="0"/>
                      <a:ext cx="5267960" cy="7475855"/>
                    </a:xfrm>
                    <a:prstGeom prst="rect">
                      <a:avLst/>
                    </a:prstGeom>
                  </pic:spPr>
                </pic:pic>
              </a:graphicData>
            </a:graphic>
          </wp:inline>
        </w:drawing>
      </w:r>
    </w:p>
    <w:p w14:paraId="7FFD5F67">
      <w:pPr>
        <w:pStyle w:val="43"/>
        <w:rPr>
          <w:rFonts w:hint="default"/>
          <w:color w:val="auto"/>
          <w:lang w:val="en-US" w:eastAsia="zh-CN"/>
        </w:rPr>
      </w:pPr>
    </w:p>
    <w:p w14:paraId="3D709407">
      <w:pPr>
        <w:pStyle w:val="43"/>
        <w:rPr>
          <w:rFonts w:hint="default"/>
          <w:color w:val="auto"/>
          <w:lang w:val="en-US" w:eastAsia="zh-CN"/>
        </w:rPr>
      </w:pPr>
      <w:r>
        <w:rPr>
          <w:rFonts w:hint="default"/>
          <w:color w:val="auto"/>
          <w:lang w:val="en-US" w:eastAsia="zh-CN"/>
        </w:rPr>
        <w:drawing>
          <wp:inline distT="0" distB="0" distL="114300" distR="114300">
            <wp:extent cx="5273040" cy="7472045"/>
            <wp:effectExtent l="0" t="0" r="5715" b="8890"/>
            <wp:docPr id="325" name="图片 325" descr="111060红山扫描件(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111060红山扫描件(1)_02"/>
                    <pic:cNvPicPr>
                      <a:picLocks noChangeAspect="1"/>
                    </pic:cNvPicPr>
                  </pic:nvPicPr>
                  <pic:blipFill>
                    <a:blip r:embed="rId142"/>
                    <a:stretch>
                      <a:fillRect/>
                    </a:stretch>
                  </pic:blipFill>
                  <pic:spPr>
                    <a:xfrm>
                      <a:off x="0" y="0"/>
                      <a:ext cx="5273040" cy="7472045"/>
                    </a:xfrm>
                    <a:prstGeom prst="rect">
                      <a:avLst/>
                    </a:prstGeom>
                  </pic:spPr>
                </pic:pic>
              </a:graphicData>
            </a:graphic>
          </wp:inline>
        </w:drawing>
      </w:r>
    </w:p>
    <w:p w14:paraId="24F15475">
      <w:pPr>
        <w:pStyle w:val="43"/>
        <w:rPr>
          <w:rFonts w:hint="default"/>
          <w:color w:val="auto"/>
          <w:lang w:val="en-US" w:eastAsia="zh-CN"/>
        </w:rPr>
      </w:pPr>
    </w:p>
    <w:p w14:paraId="7AF1C10C">
      <w:pPr>
        <w:pStyle w:val="43"/>
        <w:rPr>
          <w:rFonts w:hint="default"/>
          <w:color w:val="auto"/>
          <w:lang w:val="en-US" w:eastAsia="zh-CN"/>
        </w:rPr>
      </w:pPr>
      <w:r>
        <w:rPr>
          <w:rFonts w:hint="default"/>
          <w:color w:val="auto"/>
          <w:lang w:val="en-US" w:eastAsia="zh-CN"/>
        </w:rPr>
        <w:drawing>
          <wp:inline distT="0" distB="0" distL="114300" distR="114300">
            <wp:extent cx="5269865" cy="7472045"/>
            <wp:effectExtent l="0" t="0" r="8890" b="8890"/>
            <wp:docPr id="324" name="图片 324" descr="111060红山扫描件(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111060红山扫描件(1)_03"/>
                    <pic:cNvPicPr>
                      <a:picLocks noChangeAspect="1"/>
                    </pic:cNvPicPr>
                  </pic:nvPicPr>
                  <pic:blipFill>
                    <a:blip r:embed="rId143"/>
                    <a:stretch>
                      <a:fillRect/>
                    </a:stretch>
                  </pic:blipFill>
                  <pic:spPr>
                    <a:xfrm>
                      <a:off x="0" y="0"/>
                      <a:ext cx="5269865" cy="7472045"/>
                    </a:xfrm>
                    <a:prstGeom prst="rect">
                      <a:avLst/>
                    </a:prstGeom>
                  </pic:spPr>
                </pic:pic>
              </a:graphicData>
            </a:graphic>
          </wp:inline>
        </w:drawing>
      </w:r>
    </w:p>
    <w:p w14:paraId="5F8EC602">
      <w:pPr>
        <w:pStyle w:val="43"/>
        <w:rPr>
          <w:rFonts w:hint="default"/>
          <w:color w:val="auto"/>
          <w:lang w:val="en-US" w:eastAsia="zh-CN"/>
        </w:rPr>
      </w:pPr>
    </w:p>
    <w:p w14:paraId="6AB6221D">
      <w:pPr>
        <w:pStyle w:val="43"/>
        <w:rPr>
          <w:rFonts w:hint="default"/>
          <w:color w:val="auto"/>
          <w:lang w:val="en-US" w:eastAsia="zh-CN"/>
        </w:rPr>
      </w:pPr>
      <w:r>
        <w:rPr>
          <w:rFonts w:hint="default"/>
          <w:color w:val="auto"/>
          <w:lang w:val="en-US" w:eastAsia="zh-CN"/>
        </w:rPr>
        <w:drawing>
          <wp:inline distT="0" distB="0" distL="114300" distR="114300">
            <wp:extent cx="5273040" cy="7465060"/>
            <wp:effectExtent l="0" t="0" r="5715" b="5080"/>
            <wp:docPr id="323" name="图片 323" descr="111060红山扫描件(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111060红山扫描件(1)_04"/>
                    <pic:cNvPicPr>
                      <a:picLocks noChangeAspect="1"/>
                    </pic:cNvPicPr>
                  </pic:nvPicPr>
                  <pic:blipFill>
                    <a:blip r:embed="rId144"/>
                    <a:stretch>
                      <a:fillRect/>
                    </a:stretch>
                  </pic:blipFill>
                  <pic:spPr>
                    <a:xfrm>
                      <a:off x="0" y="0"/>
                      <a:ext cx="5273040" cy="7465060"/>
                    </a:xfrm>
                    <a:prstGeom prst="rect">
                      <a:avLst/>
                    </a:prstGeom>
                  </pic:spPr>
                </pic:pic>
              </a:graphicData>
            </a:graphic>
          </wp:inline>
        </w:drawing>
      </w:r>
    </w:p>
    <w:p w14:paraId="1B5A838A">
      <w:pPr>
        <w:pStyle w:val="43"/>
        <w:rPr>
          <w:rFonts w:hint="default"/>
          <w:color w:val="auto"/>
          <w:lang w:val="en-US" w:eastAsia="zh-CN"/>
        </w:rPr>
      </w:pPr>
      <w:r>
        <w:rPr>
          <w:rFonts w:hint="default"/>
          <w:color w:val="auto"/>
          <w:lang w:val="en-US" w:eastAsia="zh-CN"/>
        </w:rPr>
        <w:drawing>
          <wp:inline distT="0" distB="0" distL="114300" distR="114300">
            <wp:extent cx="5269865" cy="7472045"/>
            <wp:effectExtent l="0" t="0" r="8890" b="8890"/>
            <wp:docPr id="322" name="图片 322" descr="111060红山扫描件(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111060红山扫描件(1)_05"/>
                    <pic:cNvPicPr>
                      <a:picLocks noChangeAspect="1"/>
                    </pic:cNvPicPr>
                  </pic:nvPicPr>
                  <pic:blipFill>
                    <a:blip r:embed="rId145"/>
                    <a:stretch>
                      <a:fillRect/>
                    </a:stretch>
                  </pic:blipFill>
                  <pic:spPr>
                    <a:xfrm>
                      <a:off x="0" y="0"/>
                      <a:ext cx="5269865" cy="7472045"/>
                    </a:xfrm>
                    <a:prstGeom prst="rect">
                      <a:avLst/>
                    </a:prstGeom>
                  </pic:spPr>
                </pic:pic>
              </a:graphicData>
            </a:graphic>
          </wp:inline>
        </w:drawing>
      </w:r>
    </w:p>
    <w:p w14:paraId="48FF8D1A">
      <w:pPr>
        <w:pStyle w:val="43"/>
        <w:rPr>
          <w:rFonts w:hint="default"/>
          <w:color w:val="auto"/>
          <w:lang w:val="en-US" w:eastAsia="zh-CN"/>
        </w:rPr>
      </w:pPr>
    </w:p>
    <w:p w14:paraId="2C1AC033">
      <w:pPr>
        <w:pStyle w:val="43"/>
        <w:rPr>
          <w:rFonts w:hint="default"/>
          <w:color w:val="auto"/>
          <w:lang w:val="en-US" w:eastAsia="zh-CN"/>
        </w:rPr>
      </w:pPr>
      <w:r>
        <w:rPr>
          <w:rFonts w:hint="default"/>
          <w:color w:val="auto"/>
          <w:lang w:val="en-US" w:eastAsia="zh-CN"/>
        </w:rPr>
        <w:drawing>
          <wp:inline distT="0" distB="0" distL="114300" distR="114300">
            <wp:extent cx="5271135" cy="7479030"/>
            <wp:effectExtent l="0" t="0" r="7620" b="1905"/>
            <wp:docPr id="321" name="图片 321" descr="111060红山扫描件(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111060红山扫描件(1)_06"/>
                    <pic:cNvPicPr>
                      <a:picLocks noChangeAspect="1"/>
                    </pic:cNvPicPr>
                  </pic:nvPicPr>
                  <pic:blipFill>
                    <a:blip r:embed="rId146"/>
                    <a:stretch>
                      <a:fillRect/>
                    </a:stretch>
                  </pic:blipFill>
                  <pic:spPr>
                    <a:xfrm>
                      <a:off x="0" y="0"/>
                      <a:ext cx="5271135" cy="7479030"/>
                    </a:xfrm>
                    <a:prstGeom prst="rect">
                      <a:avLst/>
                    </a:prstGeom>
                  </pic:spPr>
                </pic:pic>
              </a:graphicData>
            </a:graphic>
          </wp:inline>
        </w:drawing>
      </w:r>
    </w:p>
    <w:p w14:paraId="1639074C">
      <w:pPr>
        <w:pStyle w:val="43"/>
        <w:rPr>
          <w:rFonts w:hint="default"/>
          <w:color w:val="auto"/>
          <w:lang w:val="en-US" w:eastAsia="zh-CN"/>
        </w:rPr>
      </w:pPr>
      <w:r>
        <w:rPr>
          <w:rFonts w:hint="default"/>
          <w:color w:val="auto"/>
          <w:lang w:val="en-US" w:eastAsia="zh-CN"/>
        </w:rPr>
        <w:drawing>
          <wp:inline distT="0" distB="0" distL="114300" distR="114300">
            <wp:extent cx="5266690" cy="7462520"/>
            <wp:effectExtent l="0" t="0" r="1270" b="7620"/>
            <wp:docPr id="320" name="图片 320" descr="111060红山扫描件(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111060红山扫描件(1)_07"/>
                    <pic:cNvPicPr>
                      <a:picLocks noChangeAspect="1"/>
                    </pic:cNvPicPr>
                  </pic:nvPicPr>
                  <pic:blipFill>
                    <a:blip r:embed="rId147"/>
                    <a:stretch>
                      <a:fillRect/>
                    </a:stretch>
                  </pic:blipFill>
                  <pic:spPr>
                    <a:xfrm>
                      <a:off x="0" y="0"/>
                      <a:ext cx="5266690" cy="7462520"/>
                    </a:xfrm>
                    <a:prstGeom prst="rect">
                      <a:avLst/>
                    </a:prstGeom>
                  </pic:spPr>
                </pic:pic>
              </a:graphicData>
            </a:graphic>
          </wp:inline>
        </w:drawing>
      </w:r>
    </w:p>
    <w:p w14:paraId="47863461">
      <w:pPr>
        <w:pStyle w:val="43"/>
        <w:rPr>
          <w:rFonts w:hint="default"/>
          <w:color w:val="auto"/>
          <w:lang w:val="en-US" w:eastAsia="zh-CN"/>
        </w:rPr>
      </w:pPr>
    </w:p>
    <w:p w14:paraId="5E274E57">
      <w:pPr>
        <w:pStyle w:val="43"/>
        <w:rPr>
          <w:rFonts w:hint="default"/>
          <w:color w:val="auto"/>
          <w:lang w:val="en-US" w:eastAsia="zh-CN"/>
        </w:rPr>
      </w:pPr>
      <w:r>
        <w:rPr>
          <w:rFonts w:hint="default"/>
          <w:color w:val="auto"/>
          <w:lang w:val="en-US" w:eastAsia="zh-CN"/>
        </w:rPr>
        <w:drawing>
          <wp:inline distT="0" distB="0" distL="114300" distR="114300">
            <wp:extent cx="5273040" cy="7465060"/>
            <wp:effectExtent l="0" t="0" r="5715" b="5080"/>
            <wp:docPr id="319" name="图片 319" descr="111060红山扫描件(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111060红山扫描件(1)_08"/>
                    <pic:cNvPicPr>
                      <a:picLocks noChangeAspect="1"/>
                    </pic:cNvPicPr>
                  </pic:nvPicPr>
                  <pic:blipFill>
                    <a:blip r:embed="rId148"/>
                    <a:stretch>
                      <a:fillRect/>
                    </a:stretch>
                  </pic:blipFill>
                  <pic:spPr>
                    <a:xfrm>
                      <a:off x="0" y="0"/>
                      <a:ext cx="5273040" cy="7465060"/>
                    </a:xfrm>
                    <a:prstGeom prst="rect">
                      <a:avLst/>
                    </a:prstGeom>
                  </pic:spPr>
                </pic:pic>
              </a:graphicData>
            </a:graphic>
          </wp:inline>
        </w:drawing>
      </w:r>
    </w:p>
    <w:p w14:paraId="694892E2">
      <w:pPr>
        <w:pStyle w:val="43"/>
        <w:rPr>
          <w:rFonts w:hint="default"/>
          <w:color w:val="auto"/>
          <w:lang w:val="en-US" w:eastAsia="zh-CN"/>
        </w:rPr>
      </w:pPr>
    </w:p>
    <w:p w14:paraId="22CB3D35">
      <w:pPr>
        <w:pStyle w:val="43"/>
        <w:rPr>
          <w:color w:val="auto"/>
        </w:rPr>
      </w:pPr>
      <w:r>
        <w:rPr>
          <w:color w:val="auto"/>
        </w:rPr>
        <w:drawing>
          <wp:inline distT="0" distB="0" distL="114300" distR="114300">
            <wp:extent cx="5273040" cy="7476490"/>
            <wp:effectExtent l="0" t="0" r="5715" b="4445"/>
            <wp:docPr id="3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2"/>
                    <pic:cNvPicPr>
                      <a:picLocks noChangeAspect="1"/>
                    </pic:cNvPicPr>
                  </pic:nvPicPr>
                  <pic:blipFill>
                    <a:blip r:embed="rId149"/>
                    <a:stretch>
                      <a:fillRect/>
                    </a:stretch>
                  </pic:blipFill>
                  <pic:spPr>
                    <a:xfrm>
                      <a:off x="0" y="0"/>
                      <a:ext cx="5273040" cy="7476490"/>
                    </a:xfrm>
                    <a:prstGeom prst="rect">
                      <a:avLst/>
                    </a:prstGeom>
                    <a:noFill/>
                    <a:ln>
                      <a:noFill/>
                    </a:ln>
                  </pic:spPr>
                </pic:pic>
              </a:graphicData>
            </a:graphic>
          </wp:inline>
        </w:drawing>
      </w:r>
    </w:p>
    <w:p w14:paraId="28C81F55">
      <w:pPr>
        <w:pStyle w:val="43"/>
        <w:rPr>
          <w:color w:val="auto"/>
        </w:rPr>
      </w:pPr>
    </w:p>
    <w:p w14:paraId="5C04C2C1">
      <w:pPr>
        <w:pStyle w:val="43"/>
        <w:rPr>
          <w:rFonts w:hint="default"/>
          <w:color w:val="auto"/>
          <w:lang w:val="en-US" w:eastAsia="zh-CN"/>
        </w:rPr>
      </w:pPr>
      <w:r>
        <w:rPr>
          <w:rFonts w:hint="default"/>
          <w:color w:val="auto"/>
          <w:lang w:val="en-US" w:eastAsia="zh-CN"/>
        </w:rPr>
        <w:drawing>
          <wp:inline distT="0" distB="0" distL="114300" distR="114300">
            <wp:extent cx="5269865" cy="7472045"/>
            <wp:effectExtent l="0" t="0" r="8890" b="8890"/>
            <wp:docPr id="308" name="图片 308" descr="111060红山扫描件(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111060红山扫描件(1)_20"/>
                    <pic:cNvPicPr>
                      <a:picLocks noChangeAspect="1"/>
                    </pic:cNvPicPr>
                  </pic:nvPicPr>
                  <pic:blipFill>
                    <a:blip r:embed="rId150"/>
                    <a:stretch>
                      <a:fillRect/>
                    </a:stretch>
                  </pic:blipFill>
                  <pic:spPr>
                    <a:xfrm>
                      <a:off x="0" y="0"/>
                      <a:ext cx="5269865" cy="7472045"/>
                    </a:xfrm>
                    <a:prstGeom prst="rect">
                      <a:avLst/>
                    </a:prstGeom>
                  </pic:spPr>
                </pic:pic>
              </a:graphicData>
            </a:graphic>
          </wp:inline>
        </w:drawing>
      </w:r>
    </w:p>
    <w:p w14:paraId="49EA39DA">
      <w:pPr>
        <w:pStyle w:val="43"/>
        <w:rPr>
          <w:rFonts w:hint="default"/>
          <w:color w:val="auto"/>
          <w:lang w:val="en-US" w:eastAsia="zh-CN"/>
        </w:rPr>
      </w:pPr>
      <w:r>
        <w:rPr>
          <w:rFonts w:hint="default"/>
          <w:color w:val="auto"/>
          <w:lang w:val="en-US" w:eastAsia="zh-CN"/>
        </w:rPr>
        <w:drawing>
          <wp:inline distT="0" distB="0" distL="114300" distR="114300">
            <wp:extent cx="5267960" cy="7479030"/>
            <wp:effectExtent l="0" t="0" r="0" b="1905"/>
            <wp:docPr id="309" name="图片 309" descr="111060红山扫描件(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111060红山扫描件(1)_24"/>
                    <pic:cNvPicPr>
                      <a:picLocks noChangeAspect="1"/>
                    </pic:cNvPicPr>
                  </pic:nvPicPr>
                  <pic:blipFill>
                    <a:blip r:embed="rId151"/>
                    <a:stretch>
                      <a:fillRect/>
                    </a:stretch>
                  </pic:blipFill>
                  <pic:spPr>
                    <a:xfrm>
                      <a:off x="0" y="0"/>
                      <a:ext cx="5267960" cy="7479030"/>
                    </a:xfrm>
                    <a:prstGeom prst="rect">
                      <a:avLst/>
                    </a:prstGeom>
                  </pic:spPr>
                </pic:pic>
              </a:graphicData>
            </a:graphic>
          </wp:inline>
        </w:drawing>
      </w:r>
    </w:p>
    <w:p w14:paraId="1A2EEAB4">
      <w:pPr>
        <w:pStyle w:val="43"/>
        <w:rPr>
          <w:rFonts w:hint="default"/>
          <w:color w:val="auto"/>
          <w:lang w:val="en-US" w:eastAsia="zh-CN"/>
        </w:rPr>
      </w:pPr>
      <w:r>
        <w:rPr>
          <w:rFonts w:hint="default"/>
          <w:color w:val="auto"/>
          <w:lang w:val="en-US" w:eastAsia="zh-CN"/>
        </w:rPr>
        <w:drawing>
          <wp:inline distT="0" distB="0" distL="114300" distR="114300">
            <wp:extent cx="5273040" cy="7468235"/>
            <wp:effectExtent l="0" t="0" r="5715" b="1905"/>
            <wp:docPr id="313" name="图片 313" descr="111060红山扫描件(1)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111060红山扫描件(1)_32"/>
                    <pic:cNvPicPr>
                      <a:picLocks noChangeAspect="1"/>
                    </pic:cNvPicPr>
                  </pic:nvPicPr>
                  <pic:blipFill>
                    <a:blip r:embed="rId152"/>
                    <a:stretch>
                      <a:fillRect/>
                    </a:stretch>
                  </pic:blipFill>
                  <pic:spPr>
                    <a:xfrm>
                      <a:off x="0" y="0"/>
                      <a:ext cx="5273040" cy="7468235"/>
                    </a:xfrm>
                    <a:prstGeom prst="rect">
                      <a:avLst/>
                    </a:prstGeom>
                  </pic:spPr>
                </pic:pic>
              </a:graphicData>
            </a:graphic>
          </wp:inline>
        </w:drawing>
      </w:r>
    </w:p>
    <w:p w14:paraId="61E573D9">
      <w:pPr>
        <w:pStyle w:val="43"/>
        <w:rPr>
          <w:rFonts w:hint="default"/>
          <w:color w:val="auto"/>
          <w:lang w:val="en-US" w:eastAsia="zh-CN"/>
        </w:rPr>
      </w:pPr>
      <w:r>
        <w:rPr>
          <w:rFonts w:hint="default"/>
          <w:color w:val="auto"/>
          <w:lang w:val="en-US" w:eastAsia="zh-CN"/>
        </w:rPr>
        <w:drawing>
          <wp:inline distT="0" distB="0" distL="114300" distR="114300">
            <wp:extent cx="5269865" cy="7472045"/>
            <wp:effectExtent l="0" t="0" r="8890" b="8890"/>
            <wp:docPr id="314" name="图片 314" descr="111060红山扫描件(1)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111060红山扫描件(1)_33"/>
                    <pic:cNvPicPr>
                      <a:picLocks noChangeAspect="1"/>
                    </pic:cNvPicPr>
                  </pic:nvPicPr>
                  <pic:blipFill>
                    <a:blip r:embed="rId153"/>
                    <a:stretch>
                      <a:fillRect/>
                    </a:stretch>
                  </pic:blipFill>
                  <pic:spPr>
                    <a:xfrm>
                      <a:off x="0" y="0"/>
                      <a:ext cx="5269865" cy="7472045"/>
                    </a:xfrm>
                    <a:prstGeom prst="rect">
                      <a:avLst/>
                    </a:prstGeom>
                  </pic:spPr>
                </pic:pic>
              </a:graphicData>
            </a:graphic>
          </wp:inline>
        </w:drawing>
      </w:r>
      <w:r>
        <w:rPr>
          <w:rFonts w:hint="default"/>
          <w:color w:val="auto"/>
          <w:lang w:val="en-US" w:eastAsia="zh-CN"/>
        </w:rPr>
        <w:drawing>
          <wp:inline distT="0" distB="0" distL="114300" distR="114300">
            <wp:extent cx="5268595" cy="7464425"/>
            <wp:effectExtent l="0" t="0" r="10160" b="5715"/>
            <wp:docPr id="315" name="图片 315" descr="111060红山扫描件(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111060红山扫描件(1)_34"/>
                    <pic:cNvPicPr>
                      <a:picLocks noChangeAspect="1"/>
                    </pic:cNvPicPr>
                  </pic:nvPicPr>
                  <pic:blipFill>
                    <a:blip r:embed="rId154"/>
                    <a:stretch>
                      <a:fillRect/>
                    </a:stretch>
                  </pic:blipFill>
                  <pic:spPr>
                    <a:xfrm>
                      <a:off x="0" y="0"/>
                      <a:ext cx="5268595" cy="7464425"/>
                    </a:xfrm>
                    <a:prstGeom prst="rect">
                      <a:avLst/>
                    </a:prstGeom>
                  </pic:spPr>
                </pic:pic>
              </a:graphicData>
            </a:graphic>
          </wp:inline>
        </w:drawing>
      </w:r>
    </w:p>
    <w:p w14:paraId="1E5275CF">
      <w:pPr>
        <w:pStyle w:val="43"/>
        <w:rPr>
          <w:rFonts w:hint="default"/>
          <w:color w:val="auto"/>
          <w:lang w:val="en-US" w:eastAsia="zh-CN"/>
        </w:rPr>
      </w:pPr>
      <w:r>
        <w:rPr>
          <w:rFonts w:hint="default"/>
          <w:color w:val="auto"/>
          <w:lang w:val="en-US" w:eastAsia="zh-CN"/>
        </w:rPr>
        <w:drawing>
          <wp:inline distT="0" distB="0" distL="114300" distR="114300">
            <wp:extent cx="5269865" cy="7478395"/>
            <wp:effectExtent l="0" t="0" r="8890" b="2540"/>
            <wp:docPr id="316" name="图片 316" descr="111060红山扫描件(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111060红山扫描件(1)_35"/>
                    <pic:cNvPicPr>
                      <a:picLocks noChangeAspect="1"/>
                    </pic:cNvPicPr>
                  </pic:nvPicPr>
                  <pic:blipFill>
                    <a:blip r:embed="rId155"/>
                    <a:stretch>
                      <a:fillRect/>
                    </a:stretch>
                  </pic:blipFill>
                  <pic:spPr>
                    <a:xfrm>
                      <a:off x="0" y="0"/>
                      <a:ext cx="5269865" cy="7478395"/>
                    </a:xfrm>
                    <a:prstGeom prst="rect">
                      <a:avLst/>
                    </a:prstGeom>
                  </pic:spPr>
                </pic:pic>
              </a:graphicData>
            </a:graphic>
          </wp:inline>
        </w:drawing>
      </w:r>
    </w:p>
    <w:p w14:paraId="257598DE">
      <w:pPr>
        <w:pStyle w:val="43"/>
        <w:rPr>
          <w:rFonts w:hint="default"/>
          <w:color w:val="auto"/>
          <w:lang w:val="en-US" w:eastAsia="zh-CN"/>
        </w:rPr>
      </w:pPr>
      <w:r>
        <w:rPr>
          <w:rFonts w:hint="default"/>
          <w:color w:val="auto"/>
          <w:lang w:val="en-US" w:eastAsia="zh-CN"/>
        </w:rPr>
        <w:drawing>
          <wp:inline distT="0" distB="0" distL="114300" distR="114300">
            <wp:extent cx="5266690" cy="7478395"/>
            <wp:effectExtent l="0" t="0" r="1270" b="2540"/>
            <wp:docPr id="317" name="图片 317" descr="111060红山扫描件(1)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111060红山扫描件(1)_36"/>
                    <pic:cNvPicPr>
                      <a:picLocks noChangeAspect="1"/>
                    </pic:cNvPicPr>
                  </pic:nvPicPr>
                  <pic:blipFill>
                    <a:blip r:embed="rId156"/>
                    <a:stretch>
                      <a:fillRect/>
                    </a:stretch>
                  </pic:blipFill>
                  <pic:spPr>
                    <a:xfrm>
                      <a:off x="0" y="0"/>
                      <a:ext cx="5266690" cy="7478395"/>
                    </a:xfrm>
                    <a:prstGeom prst="rect">
                      <a:avLst/>
                    </a:prstGeom>
                  </pic:spPr>
                </pic:pic>
              </a:graphicData>
            </a:graphic>
          </wp:inline>
        </w:drawing>
      </w:r>
    </w:p>
    <w:p w14:paraId="129B53C4">
      <w:pPr>
        <w:pStyle w:val="43"/>
        <w:rPr>
          <w:rFonts w:hint="default"/>
          <w:color w:val="auto"/>
          <w:lang w:val="en-US" w:eastAsia="zh-CN"/>
        </w:rPr>
      </w:pPr>
      <w:r>
        <w:rPr>
          <w:rFonts w:hint="default"/>
          <w:color w:val="auto"/>
          <w:lang w:val="en-US" w:eastAsia="zh-CN"/>
        </w:rPr>
        <w:drawing>
          <wp:inline distT="0" distB="0" distL="114300" distR="114300">
            <wp:extent cx="5266690" cy="7468235"/>
            <wp:effectExtent l="0" t="0" r="1270" b="1905"/>
            <wp:docPr id="318" name="图片 318" descr="111060红山扫描件(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111060红山扫描件(1)_37"/>
                    <pic:cNvPicPr>
                      <a:picLocks noChangeAspect="1"/>
                    </pic:cNvPicPr>
                  </pic:nvPicPr>
                  <pic:blipFill>
                    <a:blip r:embed="rId157"/>
                    <a:stretch>
                      <a:fillRect/>
                    </a:stretch>
                  </pic:blipFill>
                  <pic:spPr>
                    <a:xfrm>
                      <a:off x="0" y="0"/>
                      <a:ext cx="5266690" cy="7468235"/>
                    </a:xfrm>
                    <a:prstGeom prst="rect">
                      <a:avLst/>
                    </a:prstGeom>
                  </pic:spPr>
                </pic:pic>
              </a:graphicData>
            </a:graphic>
          </wp:inline>
        </w:drawing>
      </w:r>
    </w:p>
    <w:p w14:paraId="0E81C6E7">
      <w:pPr>
        <w:pStyle w:val="43"/>
        <w:rPr>
          <w:rFonts w:hint="default"/>
          <w:color w:val="auto"/>
          <w:lang w:val="en-US" w:eastAsia="zh-CN"/>
        </w:rPr>
      </w:pPr>
      <w:r>
        <w:rPr>
          <w:rFonts w:hint="default"/>
          <w:color w:val="auto"/>
          <w:lang w:val="en-US" w:eastAsia="zh-CN"/>
        </w:rPr>
        <w:drawing>
          <wp:inline distT="0" distB="0" distL="114300" distR="114300">
            <wp:extent cx="5266690" cy="7462520"/>
            <wp:effectExtent l="0" t="0" r="1270" b="7620"/>
            <wp:docPr id="326" name="图片 326" descr="111060红山扫描件(1)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111060红山扫描件(1)_38"/>
                    <pic:cNvPicPr>
                      <a:picLocks noChangeAspect="1"/>
                    </pic:cNvPicPr>
                  </pic:nvPicPr>
                  <pic:blipFill>
                    <a:blip r:embed="rId158"/>
                    <a:stretch>
                      <a:fillRect/>
                    </a:stretch>
                  </pic:blipFill>
                  <pic:spPr>
                    <a:xfrm>
                      <a:off x="0" y="0"/>
                      <a:ext cx="5266690" cy="7462520"/>
                    </a:xfrm>
                    <a:prstGeom prst="rect">
                      <a:avLst/>
                    </a:prstGeom>
                  </pic:spPr>
                </pic:pic>
              </a:graphicData>
            </a:graphic>
          </wp:inline>
        </w:drawing>
      </w:r>
    </w:p>
    <w:p w14:paraId="1B538FE4">
      <w:pPr>
        <w:pStyle w:val="43"/>
        <w:rPr>
          <w:rFonts w:hint="default"/>
          <w:color w:val="auto"/>
          <w:lang w:val="en-US" w:eastAsia="zh-CN"/>
        </w:rPr>
      </w:pPr>
      <w:r>
        <w:rPr>
          <w:rFonts w:hint="default"/>
          <w:color w:val="auto"/>
          <w:lang w:val="en-US" w:eastAsia="zh-CN"/>
        </w:rPr>
        <w:drawing>
          <wp:inline distT="0" distB="0" distL="114300" distR="114300">
            <wp:extent cx="5271135" cy="7475855"/>
            <wp:effectExtent l="0" t="0" r="7620" b="5080"/>
            <wp:docPr id="328" name="图片 328" descr="111060红山扫描件(1)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111060红山扫描件(1)_39"/>
                    <pic:cNvPicPr>
                      <a:picLocks noChangeAspect="1"/>
                    </pic:cNvPicPr>
                  </pic:nvPicPr>
                  <pic:blipFill>
                    <a:blip r:embed="rId159"/>
                    <a:stretch>
                      <a:fillRect/>
                    </a:stretch>
                  </pic:blipFill>
                  <pic:spPr>
                    <a:xfrm>
                      <a:off x="0" y="0"/>
                      <a:ext cx="5271135" cy="7475855"/>
                    </a:xfrm>
                    <a:prstGeom prst="rect">
                      <a:avLst/>
                    </a:prstGeom>
                  </pic:spPr>
                </pic:pic>
              </a:graphicData>
            </a:graphic>
          </wp:inline>
        </w:drawing>
      </w:r>
    </w:p>
    <w:p w14:paraId="6C8520C4">
      <w:pPr>
        <w:pStyle w:val="43"/>
        <w:rPr>
          <w:rFonts w:hint="default"/>
          <w:color w:val="auto"/>
          <w:lang w:val="en-US" w:eastAsia="zh-CN"/>
        </w:rPr>
      </w:pPr>
      <w:r>
        <w:rPr>
          <w:rFonts w:hint="default"/>
          <w:color w:val="auto"/>
          <w:lang w:val="en-US" w:eastAsia="zh-CN"/>
        </w:rPr>
        <w:drawing>
          <wp:inline distT="0" distB="0" distL="114300" distR="114300">
            <wp:extent cx="5269865" cy="7472045"/>
            <wp:effectExtent l="0" t="0" r="8890" b="8890"/>
            <wp:docPr id="329" name="图片 329" descr="111060红山扫描件(1)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111060红山扫描件(1)_40"/>
                    <pic:cNvPicPr>
                      <a:picLocks noChangeAspect="1"/>
                    </pic:cNvPicPr>
                  </pic:nvPicPr>
                  <pic:blipFill>
                    <a:blip r:embed="rId160"/>
                    <a:stretch>
                      <a:fillRect/>
                    </a:stretch>
                  </pic:blipFill>
                  <pic:spPr>
                    <a:xfrm>
                      <a:off x="0" y="0"/>
                      <a:ext cx="5269865" cy="7472045"/>
                    </a:xfrm>
                    <a:prstGeom prst="rect">
                      <a:avLst/>
                    </a:prstGeom>
                  </pic:spPr>
                </pic:pic>
              </a:graphicData>
            </a:graphic>
          </wp:inline>
        </w:drawing>
      </w:r>
    </w:p>
    <w:p w14:paraId="1E0304D6">
      <w:pPr>
        <w:pStyle w:val="43"/>
        <w:rPr>
          <w:rFonts w:hint="default"/>
          <w:color w:val="auto"/>
          <w:lang w:val="en-US" w:eastAsia="zh-CN"/>
        </w:rPr>
      </w:pPr>
      <w:r>
        <w:rPr>
          <w:rFonts w:hint="default"/>
          <w:color w:val="auto"/>
          <w:lang w:val="en-US" w:eastAsia="zh-CN"/>
        </w:rPr>
        <w:drawing>
          <wp:inline distT="0" distB="0" distL="114300" distR="114300">
            <wp:extent cx="5269865" cy="7478395"/>
            <wp:effectExtent l="0" t="0" r="8890" b="2540"/>
            <wp:docPr id="330" name="图片 330" descr="111060红山扫描件(1)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111060红山扫描件(1)_41"/>
                    <pic:cNvPicPr>
                      <a:picLocks noChangeAspect="1"/>
                    </pic:cNvPicPr>
                  </pic:nvPicPr>
                  <pic:blipFill>
                    <a:blip r:embed="rId161"/>
                    <a:stretch>
                      <a:fillRect/>
                    </a:stretch>
                  </pic:blipFill>
                  <pic:spPr>
                    <a:xfrm>
                      <a:off x="0" y="0"/>
                      <a:ext cx="5269865" cy="7478395"/>
                    </a:xfrm>
                    <a:prstGeom prst="rect">
                      <a:avLst/>
                    </a:prstGeom>
                  </pic:spPr>
                </pic:pic>
              </a:graphicData>
            </a:graphic>
          </wp:inline>
        </w:drawing>
      </w:r>
    </w:p>
    <w:p w14:paraId="35D2A1FD">
      <w:pPr>
        <w:pStyle w:val="43"/>
        <w:rPr>
          <w:rFonts w:hint="default"/>
          <w:color w:val="auto"/>
          <w:lang w:val="en-US" w:eastAsia="zh-CN"/>
        </w:rPr>
      </w:pPr>
      <w:r>
        <w:rPr>
          <w:rFonts w:hint="default"/>
          <w:color w:val="auto"/>
          <w:lang w:val="en-US" w:eastAsia="zh-CN"/>
        </w:rPr>
        <w:drawing>
          <wp:inline distT="0" distB="0" distL="114300" distR="114300">
            <wp:extent cx="5269865" cy="7472045"/>
            <wp:effectExtent l="0" t="0" r="8890" b="8890"/>
            <wp:docPr id="331" name="图片 331" descr="111060红山扫描件(1)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111060红山扫描件(1)_42"/>
                    <pic:cNvPicPr>
                      <a:picLocks noChangeAspect="1"/>
                    </pic:cNvPicPr>
                  </pic:nvPicPr>
                  <pic:blipFill>
                    <a:blip r:embed="rId162"/>
                    <a:stretch>
                      <a:fillRect/>
                    </a:stretch>
                  </pic:blipFill>
                  <pic:spPr>
                    <a:xfrm>
                      <a:off x="0" y="0"/>
                      <a:ext cx="5269865" cy="7472045"/>
                    </a:xfrm>
                    <a:prstGeom prst="rect">
                      <a:avLst/>
                    </a:prstGeom>
                  </pic:spPr>
                </pic:pic>
              </a:graphicData>
            </a:graphic>
          </wp:inline>
        </w:drawing>
      </w:r>
    </w:p>
    <w:p w14:paraId="3F04CBDF">
      <w:pPr>
        <w:pStyle w:val="43"/>
        <w:rPr>
          <w:rFonts w:hint="default"/>
          <w:color w:val="auto"/>
          <w:lang w:val="en-US" w:eastAsia="zh-CN"/>
        </w:rPr>
      </w:pPr>
      <w:r>
        <w:rPr>
          <w:rFonts w:hint="default"/>
          <w:color w:val="auto"/>
          <w:lang w:val="en-US" w:eastAsia="zh-CN"/>
        </w:rPr>
        <w:drawing>
          <wp:inline distT="0" distB="0" distL="114300" distR="114300">
            <wp:extent cx="5271135" cy="7475855"/>
            <wp:effectExtent l="0" t="0" r="7620" b="5080"/>
            <wp:docPr id="332" name="图片 332" descr="111060红山扫描件(1)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111060红山扫描件(1)_43"/>
                    <pic:cNvPicPr>
                      <a:picLocks noChangeAspect="1"/>
                    </pic:cNvPicPr>
                  </pic:nvPicPr>
                  <pic:blipFill>
                    <a:blip r:embed="rId163"/>
                    <a:stretch>
                      <a:fillRect/>
                    </a:stretch>
                  </pic:blipFill>
                  <pic:spPr>
                    <a:xfrm>
                      <a:off x="0" y="0"/>
                      <a:ext cx="5271135" cy="7475855"/>
                    </a:xfrm>
                    <a:prstGeom prst="rect">
                      <a:avLst/>
                    </a:prstGeom>
                  </pic:spPr>
                </pic:pic>
              </a:graphicData>
            </a:graphic>
          </wp:inline>
        </w:drawing>
      </w:r>
    </w:p>
    <w:p w14:paraId="45EE8796">
      <w:pPr>
        <w:pStyle w:val="43"/>
        <w:rPr>
          <w:rFonts w:hint="default"/>
          <w:color w:val="auto"/>
          <w:lang w:val="en-US" w:eastAsia="zh-CN"/>
        </w:rPr>
      </w:pPr>
      <w:r>
        <w:rPr>
          <w:rFonts w:hint="default"/>
          <w:color w:val="auto"/>
          <w:lang w:val="en-US" w:eastAsia="zh-CN"/>
        </w:rPr>
        <w:drawing>
          <wp:inline distT="0" distB="0" distL="114300" distR="114300">
            <wp:extent cx="5273040" cy="7472045"/>
            <wp:effectExtent l="0" t="0" r="5715" b="8890"/>
            <wp:docPr id="333" name="图片 333" descr="111060红山扫描件(1)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111060红山扫描件(1)_44"/>
                    <pic:cNvPicPr>
                      <a:picLocks noChangeAspect="1"/>
                    </pic:cNvPicPr>
                  </pic:nvPicPr>
                  <pic:blipFill>
                    <a:blip r:embed="rId164"/>
                    <a:stretch>
                      <a:fillRect/>
                    </a:stretch>
                  </pic:blipFill>
                  <pic:spPr>
                    <a:xfrm>
                      <a:off x="0" y="0"/>
                      <a:ext cx="5273040" cy="7472045"/>
                    </a:xfrm>
                    <a:prstGeom prst="rect">
                      <a:avLst/>
                    </a:prstGeom>
                  </pic:spPr>
                </pic:pic>
              </a:graphicData>
            </a:graphic>
          </wp:inline>
        </w:drawing>
      </w:r>
    </w:p>
    <w:p w14:paraId="619C265B">
      <w:pPr>
        <w:pStyle w:val="43"/>
        <w:rPr>
          <w:rFonts w:hint="default"/>
          <w:color w:val="auto"/>
          <w:lang w:val="en-US" w:eastAsia="zh-CN"/>
        </w:rPr>
      </w:pPr>
      <w:r>
        <w:rPr>
          <w:rFonts w:hint="default"/>
          <w:color w:val="auto"/>
          <w:lang w:val="en-US" w:eastAsia="zh-CN"/>
        </w:rPr>
        <w:drawing>
          <wp:inline distT="0" distB="0" distL="114300" distR="114300">
            <wp:extent cx="5271135" cy="7479030"/>
            <wp:effectExtent l="0" t="0" r="7620" b="1905"/>
            <wp:docPr id="334" name="图片 334" descr="111060红山扫描件(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111060红山扫描件(1)_45"/>
                    <pic:cNvPicPr>
                      <a:picLocks noChangeAspect="1"/>
                    </pic:cNvPicPr>
                  </pic:nvPicPr>
                  <pic:blipFill>
                    <a:blip r:embed="rId165"/>
                    <a:stretch>
                      <a:fillRect/>
                    </a:stretch>
                  </pic:blipFill>
                  <pic:spPr>
                    <a:xfrm>
                      <a:off x="0" y="0"/>
                      <a:ext cx="5271135" cy="7479030"/>
                    </a:xfrm>
                    <a:prstGeom prst="rect">
                      <a:avLst/>
                    </a:prstGeom>
                  </pic:spPr>
                </pic:pic>
              </a:graphicData>
            </a:graphic>
          </wp:inline>
        </w:drawing>
      </w:r>
    </w:p>
    <w:p w14:paraId="02E0F7F6">
      <w:pPr>
        <w:pStyle w:val="43"/>
        <w:rPr>
          <w:rFonts w:hint="default"/>
          <w:color w:val="auto"/>
          <w:lang w:val="en-US" w:eastAsia="zh-CN"/>
        </w:rPr>
      </w:pPr>
      <w:r>
        <w:rPr>
          <w:rFonts w:hint="default"/>
          <w:color w:val="auto"/>
          <w:lang w:val="en-US" w:eastAsia="zh-CN"/>
        </w:rPr>
        <w:drawing>
          <wp:inline distT="0" distB="0" distL="114300" distR="114300">
            <wp:extent cx="5268595" cy="7467600"/>
            <wp:effectExtent l="0" t="0" r="10160" b="2540"/>
            <wp:docPr id="281" name="图片 281" descr="111060红山扫描件(1)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111060红山扫描件(1)_46"/>
                    <pic:cNvPicPr>
                      <a:picLocks noChangeAspect="1"/>
                    </pic:cNvPicPr>
                  </pic:nvPicPr>
                  <pic:blipFill>
                    <a:blip r:embed="rId166"/>
                    <a:stretch>
                      <a:fillRect/>
                    </a:stretch>
                  </pic:blipFill>
                  <pic:spPr>
                    <a:xfrm>
                      <a:off x="0" y="0"/>
                      <a:ext cx="5268595" cy="7467600"/>
                    </a:xfrm>
                    <a:prstGeom prst="rect">
                      <a:avLst/>
                    </a:prstGeom>
                  </pic:spPr>
                </pic:pic>
              </a:graphicData>
            </a:graphic>
          </wp:inline>
        </w:drawing>
      </w:r>
    </w:p>
    <w:p w14:paraId="69D718F2">
      <w:pPr>
        <w:pStyle w:val="43"/>
        <w:rPr>
          <w:rFonts w:hint="default"/>
          <w:color w:val="auto"/>
          <w:lang w:val="en-US" w:eastAsia="zh-CN"/>
        </w:rPr>
      </w:pPr>
      <w:r>
        <w:rPr>
          <w:rFonts w:hint="default"/>
          <w:color w:val="auto"/>
          <w:lang w:val="en-US" w:eastAsia="zh-CN"/>
        </w:rPr>
        <w:drawing>
          <wp:inline distT="0" distB="0" distL="114300" distR="114300">
            <wp:extent cx="5271135" cy="7479030"/>
            <wp:effectExtent l="0" t="0" r="7620" b="1905"/>
            <wp:docPr id="280" name="图片 280" descr="111060红山扫描件(1)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111060红山扫描件(1)_47"/>
                    <pic:cNvPicPr>
                      <a:picLocks noChangeAspect="1"/>
                    </pic:cNvPicPr>
                  </pic:nvPicPr>
                  <pic:blipFill>
                    <a:blip r:embed="rId167"/>
                    <a:stretch>
                      <a:fillRect/>
                    </a:stretch>
                  </pic:blipFill>
                  <pic:spPr>
                    <a:xfrm>
                      <a:off x="0" y="0"/>
                      <a:ext cx="5271135" cy="7479030"/>
                    </a:xfrm>
                    <a:prstGeom prst="rect">
                      <a:avLst/>
                    </a:prstGeom>
                  </pic:spPr>
                </pic:pic>
              </a:graphicData>
            </a:graphic>
          </wp:inline>
        </w:drawing>
      </w:r>
    </w:p>
    <w:p w14:paraId="55B86B0C">
      <w:pPr>
        <w:pStyle w:val="43"/>
        <w:rPr>
          <w:rFonts w:hint="default"/>
          <w:color w:val="auto"/>
          <w:lang w:val="en-US" w:eastAsia="zh-CN"/>
        </w:rPr>
      </w:pPr>
      <w:r>
        <w:rPr>
          <w:rFonts w:hint="default"/>
          <w:color w:val="auto"/>
          <w:lang w:val="en-US" w:eastAsia="zh-CN"/>
        </w:rPr>
        <w:drawing>
          <wp:inline distT="0" distB="0" distL="114300" distR="114300">
            <wp:extent cx="5266690" cy="7484745"/>
            <wp:effectExtent l="0" t="0" r="1270" b="6985"/>
            <wp:docPr id="279" name="图片 279" descr="111060红山扫描件(1)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111060红山扫描件(1)_48"/>
                    <pic:cNvPicPr>
                      <a:picLocks noChangeAspect="1"/>
                    </pic:cNvPicPr>
                  </pic:nvPicPr>
                  <pic:blipFill>
                    <a:blip r:embed="rId168"/>
                    <a:stretch>
                      <a:fillRect/>
                    </a:stretch>
                  </pic:blipFill>
                  <pic:spPr>
                    <a:xfrm>
                      <a:off x="0" y="0"/>
                      <a:ext cx="5266690" cy="7484745"/>
                    </a:xfrm>
                    <a:prstGeom prst="rect">
                      <a:avLst/>
                    </a:prstGeom>
                  </pic:spPr>
                </pic:pic>
              </a:graphicData>
            </a:graphic>
          </wp:inline>
        </w:drawing>
      </w:r>
    </w:p>
    <w:p w14:paraId="3D15AEA4">
      <w:pPr>
        <w:pStyle w:val="43"/>
        <w:rPr>
          <w:rFonts w:hint="default"/>
          <w:color w:val="auto"/>
          <w:lang w:val="en-US" w:eastAsia="zh-CN"/>
        </w:rPr>
      </w:pPr>
      <w:r>
        <w:rPr>
          <w:rFonts w:hint="default"/>
          <w:color w:val="auto"/>
          <w:lang w:val="en-US" w:eastAsia="zh-CN"/>
        </w:rPr>
        <w:drawing>
          <wp:inline distT="0" distB="0" distL="114300" distR="114300">
            <wp:extent cx="5267960" cy="7489190"/>
            <wp:effectExtent l="0" t="0" r="0" b="2540"/>
            <wp:docPr id="335" name="图片 335" descr="111060红山扫描件(1)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111060红山扫描件(1)_49"/>
                    <pic:cNvPicPr>
                      <a:picLocks noChangeAspect="1"/>
                    </pic:cNvPicPr>
                  </pic:nvPicPr>
                  <pic:blipFill>
                    <a:blip r:embed="rId169"/>
                    <a:stretch>
                      <a:fillRect/>
                    </a:stretch>
                  </pic:blipFill>
                  <pic:spPr>
                    <a:xfrm>
                      <a:off x="0" y="0"/>
                      <a:ext cx="5267960" cy="7489190"/>
                    </a:xfrm>
                    <a:prstGeom prst="rect">
                      <a:avLst/>
                    </a:prstGeom>
                  </pic:spPr>
                </pic:pic>
              </a:graphicData>
            </a:graphic>
          </wp:inline>
        </w:drawing>
      </w:r>
    </w:p>
    <w:p w14:paraId="18F764C2">
      <w:pPr>
        <w:pStyle w:val="43"/>
        <w:rPr>
          <w:rFonts w:hint="default"/>
          <w:color w:val="auto"/>
          <w:lang w:val="en-US" w:eastAsia="zh-CN"/>
        </w:rPr>
      </w:pPr>
      <w:r>
        <w:rPr>
          <w:rFonts w:hint="default"/>
          <w:color w:val="auto"/>
          <w:lang w:val="en-US" w:eastAsia="zh-CN"/>
        </w:rPr>
        <w:drawing>
          <wp:inline distT="0" distB="0" distL="114300" distR="114300">
            <wp:extent cx="5269865" cy="7472045"/>
            <wp:effectExtent l="0" t="0" r="8890" b="8890"/>
            <wp:docPr id="336" name="图片 336" descr="111060红山扫描件(1)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111060红山扫描件(1)_50"/>
                    <pic:cNvPicPr>
                      <a:picLocks noChangeAspect="1"/>
                    </pic:cNvPicPr>
                  </pic:nvPicPr>
                  <pic:blipFill>
                    <a:blip r:embed="rId170"/>
                    <a:stretch>
                      <a:fillRect/>
                    </a:stretch>
                  </pic:blipFill>
                  <pic:spPr>
                    <a:xfrm>
                      <a:off x="0" y="0"/>
                      <a:ext cx="5269865" cy="7472045"/>
                    </a:xfrm>
                    <a:prstGeom prst="rect">
                      <a:avLst/>
                    </a:prstGeom>
                  </pic:spPr>
                </pic:pic>
              </a:graphicData>
            </a:graphic>
          </wp:inline>
        </w:drawing>
      </w:r>
    </w:p>
    <w:p w14:paraId="1A36609D">
      <w:pPr>
        <w:pStyle w:val="43"/>
        <w:rPr>
          <w:rFonts w:hint="default"/>
          <w:color w:val="auto"/>
          <w:lang w:val="en-US" w:eastAsia="zh-CN"/>
        </w:rPr>
      </w:pPr>
      <w:r>
        <w:rPr>
          <w:rFonts w:hint="default"/>
          <w:color w:val="auto"/>
          <w:lang w:val="en-US" w:eastAsia="zh-CN"/>
        </w:rPr>
        <w:drawing>
          <wp:inline distT="0" distB="0" distL="114300" distR="114300">
            <wp:extent cx="5266690" cy="7478395"/>
            <wp:effectExtent l="0" t="0" r="1270" b="2540"/>
            <wp:docPr id="337" name="图片 337" descr="111060红山扫描件(1)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111060红山扫描件(1)_51"/>
                    <pic:cNvPicPr>
                      <a:picLocks noChangeAspect="1"/>
                    </pic:cNvPicPr>
                  </pic:nvPicPr>
                  <pic:blipFill>
                    <a:blip r:embed="rId171"/>
                    <a:stretch>
                      <a:fillRect/>
                    </a:stretch>
                  </pic:blipFill>
                  <pic:spPr>
                    <a:xfrm>
                      <a:off x="0" y="0"/>
                      <a:ext cx="5266690" cy="7478395"/>
                    </a:xfrm>
                    <a:prstGeom prst="rect">
                      <a:avLst/>
                    </a:prstGeom>
                  </pic:spPr>
                </pic:pic>
              </a:graphicData>
            </a:graphic>
          </wp:inline>
        </w:drawing>
      </w:r>
    </w:p>
    <w:p w14:paraId="1CC9764B">
      <w:pPr>
        <w:pStyle w:val="43"/>
        <w:rPr>
          <w:rFonts w:hint="default"/>
          <w:color w:val="auto"/>
          <w:lang w:val="en-US" w:eastAsia="zh-CN"/>
        </w:rPr>
      </w:pPr>
      <w:r>
        <w:rPr>
          <w:rFonts w:hint="default"/>
          <w:color w:val="auto"/>
          <w:lang w:val="en-US" w:eastAsia="zh-CN"/>
        </w:rPr>
        <w:drawing>
          <wp:inline distT="0" distB="0" distL="114300" distR="114300">
            <wp:extent cx="5266690" cy="7472045"/>
            <wp:effectExtent l="0" t="0" r="1270" b="8890"/>
            <wp:docPr id="338" name="图片 338" descr="111060红山扫描件(1)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111060红山扫描件(1)_52"/>
                    <pic:cNvPicPr>
                      <a:picLocks noChangeAspect="1"/>
                    </pic:cNvPicPr>
                  </pic:nvPicPr>
                  <pic:blipFill>
                    <a:blip r:embed="rId172"/>
                    <a:stretch>
                      <a:fillRect/>
                    </a:stretch>
                  </pic:blipFill>
                  <pic:spPr>
                    <a:xfrm>
                      <a:off x="0" y="0"/>
                      <a:ext cx="5266690" cy="7472045"/>
                    </a:xfrm>
                    <a:prstGeom prst="rect">
                      <a:avLst/>
                    </a:prstGeom>
                  </pic:spPr>
                </pic:pic>
              </a:graphicData>
            </a:graphic>
          </wp:inline>
        </w:drawing>
      </w:r>
    </w:p>
    <w:p w14:paraId="15D72FAC">
      <w:pPr>
        <w:pStyle w:val="43"/>
        <w:rPr>
          <w:rFonts w:hint="default"/>
          <w:color w:val="auto"/>
          <w:lang w:val="en-US" w:eastAsia="zh-CN"/>
        </w:rPr>
      </w:pPr>
      <w:r>
        <w:rPr>
          <w:rFonts w:hint="default"/>
          <w:color w:val="auto"/>
          <w:lang w:val="en-US" w:eastAsia="zh-CN"/>
        </w:rPr>
        <w:drawing>
          <wp:inline distT="0" distB="0" distL="114300" distR="114300">
            <wp:extent cx="5269865" cy="7481570"/>
            <wp:effectExtent l="0" t="0" r="8890" b="10160"/>
            <wp:docPr id="339" name="图片 339" descr="111060红山扫描件(1)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111060红山扫描件(1)_53"/>
                    <pic:cNvPicPr>
                      <a:picLocks noChangeAspect="1"/>
                    </pic:cNvPicPr>
                  </pic:nvPicPr>
                  <pic:blipFill>
                    <a:blip r:embed="rId173"/>
                    <a:stretch>
                      <a:fillRect/>
                    </a:stretch>
                  </pic:blipFill>
                  <pic:spPr>
                    <a:xfrm>
                      <a:off x="0" y="0"/>
                      <a:ext cx="5269865" cy="7481570"/>
                    </a:xfrm>
                    <a:prstGeom prst="rect">
                      <a:avLst/>
                    </a:prstGeom>
                  </pic:spPr>
                </pic:pic>
              </a:graphicData>
            </a:graphic>
          </wp:inline>
        </w:drawing>
      </w:r>
    </w:p>
    <w:p w14:paraId="632C393D">
      <w:pPr>
        <w:pStyle w:val="43"/>
        <w:rPr>
          <w:rFonts w:hint="default"/>
          <w:color w:val="auto"/>
          <w:lang w:val="en-US" w:eastAsia="zh-CN"/>
        </w:rPr>
      </w:pPr>
      <w:r>
        <w:rPr>
          <w:rFonts w:hint="default"/>
          <w:color w:val="auto"/>
          <w:lang w:val="en-US" w:eastAsia="zh-CN"/>
        </w:rPr>
        <w:drawing>
          <wp:inline distT="0" distB="0" distL="114300" distR="114300">
            <wp:extent cx="5269865" cy="7478395"/>
            <wp:effectExtent l="0" t="0" r="8890" b="2540"/>
            <wp:docPr id="341" name="图片 341" descr="111060红山扫描件(1)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111060红山扫描件(1)_90"/>
                    <pic:cNvPicPr>
                      <a:picLocks noChangeAspect="1"/>
                    </pic:cNvPicPr>
                  </pic:nvPicPr>
                  <pic:blipFill>
                    <a:blip r:embed="rId174"/>
                    <a:stretch>
                      <a:fillRect/>
                    </a:stretch>
                  </pic:blipFill>
                  <pic:spPr>
                    <a:xfrm>
                      <a:off x="0" y="0"/>
                      <a:ext cx="5269865" cy="7478395"/>
                    </a:xfrm>
                    <a:prstGeom prst="rect">
                      <a:avLst/>
                    </a:prstGeom>
                  </pic:spPr>
                </pic:pic>
              </a:graphicData>
            </a:graphic>
          </wp:inline>
        </w:drawing>
      </w:r>
    </w:p>
    <w:p w14:paraId="5CCBB203">
      <w:pPr>
        <w:pStyle w:val="43"/>
        <w:rPr>
          <w:rFonts w:hint="default"/>
          <w:color w:val="auto"/>
          <w:lang w:val="en-US" w:eastAsia="zh-CN"/>
        </w:rPr>
      </w:pPr>
    </w:p>
    <w:p w14:paraId="7F5877F2">
      <w:pPr>
        <w:pStyle w:val="43"/>
        <w:rPr>
          <w:rFonts w:hint="default"/>
          <w:color w:val="auto"/>
          <w:lang w:val="en-US" w:eastAsia="zh-CN"/>
        </w:rPr>
      </w:pPr>
    </w:p>
    <w:p w14:paraId="3E3CDD81">
      <w:pPr>
        <w:pStyle w:val="43"/>
        <w:rPr>
          <w:rFonts w:hint="default"/>
          <w:color w:val="auto"/>
          <w:lang w:val="en-US" w:eastAsia="zh-CN"/>
        </w:rPr>
      </w:pPr>
    </w:p>
    <w:p w14:paraId="5FC12882">
      <w:pPr>
        <w:pStyle w:val="43"/>
        <w:rPr>
          <w:rFonts w:hint="default"/>
          <w:color w:val="auto"/>
          <w:lang w:val="en-US" w:eastAsia="zh-CN"/>
        </w:rPr>
      </w:pPr>
    </w:p>
    <w:p w14:paraId="00347DFA">
      <w:pPr>
        <w:pStyle w:val="43"/>
        <w:rPr>
          <w:rFonts w:hint="default"/>
          <w:color w:val="auto"/>
          <w:lang w:val="en-US" w:eastAsia="zh-CN"/>
        </w:rPr>
      </w:pPr>
    </w:p>
    <w:p w14:paraId="2450525C">
      <w:pPr>
        <w:pStyle w:val="43"/>
        <w:rPr>
          <w:rFonts w:hint="default"/>
          <w:color w:val="auto"/>
          <w:lang w:val="en-US" w:eastAsia="zh-CN"/>
        </w:rPr>
      </w:pPr>
    </w:p>
    <w:p w14:paraId="5F5F42C0">
      <w:pPr>
        <w:pStyle w:val="3"/>
        <w:rPr>
          <w:rFonts w:hint="eastAsia" w:ascii="Times New Roman" w:hAnsi="Times New Roman" w:eastAsia="宋体" w:cs="Times New Roman"/>
          <w:color w:val="auto"/>
          <w:lang w:val="en-US" w:eastAsia="zh-CN"/>
        </w:rPr>
      </w:pPr>
      <w:bookmarkStart w:id="384" w:name="_Toc26619"/>
      <w:bookmarkStart w:id="385" w:name="_Toc9150"/>
      <w:bookmarkStart w:id="386" w:name="_Toc19279"/>
      <w:r>
        <w:rPr>
          <w:rFonts w:hint="eastAsia" w:ascii="Times New Roman" w:hAnsi="Times New Roman" w:eastAsia="宋体" w:cs="Times New Roman"/>
          <w:color w:val="auto"/>
          <w:lang w:val="en-US" w:eastAsia="zh-CN"/>
        </w:rPr>
        <w:t>附件</w:t>
      </w:r>
      <w:r>
        <w:rPr>
          <w:rFonts w:hint="eastAsia" w:cs="Times New Roman"/>
          <w:color w:val="auto"/>
          <w:lang w:val="en-US" w:eastAsia="zh-CN"/>
        </w:rPr>
        <w:t>19</w:t>
      </w:r>
      <w:r>
        <w:rPr>
          <w:rFonts w:hint="eastAsia" w:ascii="Times New Roman" w:hAnsi="Times New Roman" w:eastAsia="宋体" w:cs="Times New Roman"/>
          <w:color w:val="auto"/>
          <w:lang w:val="en-US" w:eastAsia="zh-CN"/>
        </w:rPr>
        <w:t xml:space="preserve"> 本项目环境质量检测报告</w:t>
      </w:r>
      <w:bookmarkEnd w:id="384"/>
      <w:bookmarkEnd w:id="385"/>
      <w:bookmarkEnd w:id="386"/>
    </w:p>
    <w:p w14:paraId="19EEB717">
      <w:pPr>
        <w:rPr>
          <w:color w:val="auto"/>
        </w:rPr>
      </w:pPr>
      <w:r>
        <w:rPr>
          <w:color w:val="auto"/>
        </w:rPr>
        <w:drawing>
          <wp:inline distT="0" distB="0" distL="114300" distR="114300">
            <wp:extent cx="5271135" cy="7472045"/>
            <wp:effectExtent l="0" t="0" r="5715" b="1460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175"/>
                    <a:stretch>
                      <a:fillRect/>
                    </a:stretch>
                  </pic:blipFill>
                  <pic:spPr>
                    <a:xfrm>
                      <a:off x="0" y="0"/>
                      <a:ext cx="5271135" cy="7472045"/>
                    </a:xfrm>
                    <a:prstGeom prst="rect">
                      <a:avLst/>
                    </a:prstGeom>
                    <a:noFill/>
                    <a:ln>
                      <a:noFill/>
                    </a:ln>
                  </pic:spPr>
                </pic:pic>
              </a:graphicData>
            </a:graphic>
          </wp:inline>
        </w:drawing>
      </w:r>
    </w:p>
    <w:p w14:paraId="52615211">
      <w:pPr>
        <w:rPr>
          <w:color w:val="auto"/>
        </w:rPr>
      </w:pPr>
      <w:r>
        <w:rPr>
          <w:color w:val="auto"/>
        </w:rPr>
        <w:drawing>
          <wp:inline distT="0" distB="0" distL="114300" distR="114300">
            <wp:extent cx="5274310" cy="7539990"/>
            <wp:effectExtent l="0" t="0" r="254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6"/>
                    <a:stretch>
                      <a:fillRect/>
                    </a:stretch>
                  </pic:blipFill>
                  <pic:spPr>
                    <a:xfrm>
                      <a:off x="0" y="0"/>
                      <a:ext cx="5274310" cy="7539990"/>
                    </a:xfrm>
                    <a:prstGeom prst="rect">
                      <a:avLst/>
                    </a:prstGeom>
                    <a:noFill/>
                    <a:ln>
                      <a:noFill/>
                    </a:ln>
                  </pic:spPr>
                </pic:pic>
              </a:graphicData>
            </a:graphic>
          </wp:inline>
        </w:drawing>
      </w:r>
    </w:p>
    <w:p w14:paraId="7B1E44BA">
      <w:pPr>
        <w:rPr>
          <w:color w:val="auto"/>
        </w:rPr>
      </w:pPr>
      <w:r>
        <w:rPr>
          <w:color w:val="auto"/>
        </w:rPr>
        <w:drawing>
          <wp:inline distT="0" distB="0" distL="114300" distR="114300">
            <wp:extent cx="5273040" cy="7543165"/>
            <wp:effectExtent l="0" t="0" r="3810" b="63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177"/>
                    <a:stretch>
                      <a:fillRect/>
                    </a:stretch>
                  </pic:blipFill>
                  <pic:spPr>
                    <a:xfrm>
                      <a:off x="0" y="0"/>
                      <a:ext cx="5273040" cy="7543165"/>
                    </a:xfrm>
                    <a:prstGeom prst="rect">
                      <a:avLst/>
                    </a:prstGeom>
                    <a:noFill/>
                    <a:ln>
                      <a:noFill/>
                    </a:ln>
                  </pic:spPr>
                </pic:pic>
              </a:graphicData>
            </a:graphic>
          </wp:inline>
        </w:drawing>
      </w:r>
    </w:p>
    <w:p w14:paraId="5B0DF0D3">
      <w:pPr>
        <w:rPr>
          <w:color w:val="auto"/>
        </w:rPr>
      </w:pPr>
      <w:r>
        <w:rPr>
          <w:color w:val="auto"/>
        </w:rPr>
        <w:drawing>
          <wp:inline distT="0" distB="0" distL="114300" distR="114300">
            <wp:extent cx="5219700" cy="7515225"/>
            <wp:effectExtent l="0" t="0" r="0" b="9525"/>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78"/>
                    <a:stretch>
                      <a:fillRect/>
                    </a:stretch>
                  </pic:blipFill>
                  <pic:spPr>
                    <a:xfrm>
                      <a:off x="0" y="0"/>
                      <a:ext cx="5219700" cy="7515225"/>
                    </a:xfrm>
                    <a:prstGeom prst="rect">
                      <a:avLst/>
                    </a:prstGeom>
                    <a:noFill/>
                    <a:ln>
                      <a:noFill/>
                    </a:ln>
                  </pic:spPr>
                </pic:pic>
              </a:graphicData>
            </a:graphic>
          </wp:inline>
        </w:drawing>
      </w:r>
    </w:p>
    <w:p w14:paraId="7E142E20">
      <w:pPr>
        <w:rPr>
          <w:color w:val="auto"/>
        </w:rPr>
      </w:pPr>
      <w:r>
        <w:rPr>
          <w:color w:val="auto"/>
        </w:rPr>
        <w:drawing>
          <wp:inline distT="0" distB="0" distL="114300" distR="114300">
            <wp:extent cx="5257800" cy="7467600"/>
            <wp:effectExtent l="0" t="0" r="0" b="0"/>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179"/>
                    <a:stretch>
                      <a:fillRect/>
                    </a:stretch>
                  </pic:blipFill>
                  <pic:spPr>
                    <a:xfrm>
                      <a:off x="0" y="0"/>
                      <a:ext cx="5257800" cy="7467600"/>
                    </a:xfrm>
                    <a:prstGeom prst="rect">
                      <a:avLst/>
                    </a:prstGeom>
                    <a:noFill/>
                    <a:ln>
                      <a:noFill/>
                    </a:ln>
                  </pic:spPr>
                </pic:pic>
              </a:graphicData>
            </a:graphic>
          </wp:inline>
        </w:drawing>
      </w:r>
    </w:p>
    <w:p w14:paraId="2C3E4953">
      <w:pPr>
        <w:rPr>
          <w:color w:val="auto"/>
        </w:rPr>
      </w:pPr>
    </w:p>
    <w:p w14:paraId="60BDC714">
      <w:pPr>
        <w:rPr>
          <w:color w:val="auto"/>
        </w:rPr>
      </w:pPr>
      <w:r>
        <w:rPr>
          <w:color w:val="auto"/>
        </w:rPr>
        <w:drawing>
          <wp:inline distT="0" distB="0" distL="114300" distR="114300">
            <wp:extent cx="5267325" cy="7496175"/>
            <wp:effectExtent l="0" t="0" r="9525" b="9525"/>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180"/>
                    <a:stretch>
                      <a:fillRect/>
                    </a:stretch>
                  </pic:blipFill>
                  <pic:spPr>
                    <a:xfrm>
                      <a:off x="0" y="0"/>
                      <a:ext cx="5267325" cy="7496175"/>
                    </a:xfrm>
                    <a:prstGeom prst="rect">
                      <a:avLst/>
                    </a:prstGeom>
                    <a:noFill/>
                    <a:ln>
                      <a:noFill/>
                    </a:ln>
                  </pic:spPr>
                </pic:pic>
              </a:graphicData>
            </a:graphic>
          </wp:inline>
        </w:drawing>
      </w:r>
    </w:p>
    <w:p w14:paraId="2B78FA84">
      <w:pPr>
        <w:rPr>
          <w:color w:val="auto"/>
        </w:rPr>
      </w:pPr>
    </w:p>
    <w:p w14:paraId="1F8D6A52">
      <w:pPr>
        <w:rPr>
          <w:rFonts w:hint="eastAsia"/>
          <w:color w:val="auto"/>
          <w:lang w:val="en-US" w:eastAsia="zh-CN"/>
        </w:rPr>
      </w:pPr>
    </w:p>
    <w:p w14:paraId="40A5C732">
      <w:pPr>
        <w:rPr>
          <w:rFonts w:hint="eastAsia" w:ascii="Times New Roman" w:hAnsi="Times New Roman" w:eastAsia="宋体" w:cs="Times New Roman"/>
          <w:color w:val="auto"/>
          <w:lang w:val="en-US" w:eastAsia="zh-CN"/>
        </w:rPr>
      </w:pPr>
      <w:r>
        <w:rPr>
          <w:color w:val="auto"/>
        </w:rPr>
        <w:drawing>
          <wp:inline distT="0" distB="0" distL="114300" distR="114300">
            <wp:extent cx="5248275" cy="7477125"/>
            <wp:effectExtent l="0" t="0" r="9525" b="9525"/>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181"/>
                    <a:stretch>
                      <a:fillRect/>
                    </a:stretch>
                  </pic:blipFill>
                  <pic:spPr>
                    <a:xfrm>
                      <a:off x="0" y="0"/>
                      <a:ext cx="5248275" cy="7477125"/>
                    </a:xfrm>
                    <a:prstGeom prst="rect">
                      <a:avLst/>
                    </a:prstGeom>
                    <a:noFill/>
                    <a:ln>
                      <a:noFill/>
                    </a:ln>
                  </pic:spPr>
                </pic:pic>
              </a:graphicData>
            </a:graphic>
          </wp:inline>
        </w:drawing>
      </w:r>
    </w:p>
    <w:p w14:paraId="71FA0B2D">
      <w:pPr>
        <w:rPr>
          <w:rFonts w:hint="default" w:ascii="Times New Roman" w:hAnsi="Times New Roman" w:eastAsia="宋体" w:cs="Times New Roman"/>
          <w:color w:val="auto"/>
          <w:lang w:val="en-US" w:eastAsia="zh-CN"/>
        </w:rPr>
      </w:pPr>
    </w:p>
    <w:p w14:paraId="15D92EA5">
      <w:pPr>
        <w:rPr>
          <w:rFonts w:hint="default" w:ascii="Times New Roman" w:hAnsi="Times New Roman" w:eastAsia="宋体" w:cs="Times New Roman"/>
          <w:color w:val="auto"/>
          <w:lang w:val="en-US" w:eastAsia="zh-CN"/>
        </w:rPr>
      </w:pPr>
    </w:p>
    <w:p w14:paraId="0C63B534">
      <w:pPr>
        <w:rPr>
          <w:rFonts w:hint="default" w:ascii="Times New Roman" w:hAnsi="Times New Roman" w:eastAsia="宋体" w:cs="Times New Roman"/>
          <w:color w:val="auto"/>
          <w:lang w:val="en-US" w:eastAsia="zh-CN"/>
        </w:rPr>
      </w:pPr>
    </w:p>
    <w:p w14:paraId="59C99D64">
      <w:pPr>
        <w:rPr>
          <w:rFonts w:hint="default" w:ascii="Times New Roman" w:hAnsi="Times New Roman" w:eastAsia="宋体" w:cs="Times New Roman"/>
          <w:color w:val="auto"/>
          <w:lang w:val="en-US" w:eastAsia="zh-CN"/>
        </w:rPr>
      </w:pPr>
    </w:p>
    <w:p w14:paraId="31EA665D">
      <w:pPr>
        <w:rPr>
          <w:rFonts w:hint="default" w:ascii="Times New Roman" w:hAnsi="Times New Roman" w:eastAsia="宋体" w:cs="Times New Roman"/>
          <w:color w:val="auto"/>
          <w:lang w:val="en-US" w:eastAsia="zh-CN"/>
        </w:rPr>
      </w:pPr>
    </w:p>
    <w:p w14:paraId="45706969">
      <w:pPr>
        <w:rPr>
          <w:rFonts w:hint="default" w:ascii="Times New Roman" w:hAnsi="Times New Roman" w:eastAsia="宋体" w:cs="Times New Roman"/>
          <w:color w:val="auto"/>
          <w:lang w:val="en-US" w:eastAsia="zh-CN"/>
        </w:rPr>
      </w:pPr>
    </w:p>
    <w:p w14:paraId="3B16DD3A">
      <w:pPr>
        <w:rPr>
          <w:color w:val="auto"/>
        </w:rPr>
      </w:pPr>
      <w:r>
        <w:rPr>
          <w:color w:val="auto"/>
        </w:rPr>
        <w:drawing>
          <wp:inline distT="0" distB="0" distL="114300" distR="114300">
            <wp:extent cx="5271135" cy="7397750"/>
            <wp:effectExtent l="0" t="0" r="5715" b="1270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182"/>
                    <a:stretch>
                      <a:fillRect/>
                    </a:stretch>
                  </pic:blipFill>
                  <pic:spPr>
                    <a:xfrm>
                      <a:off x="0" y="0"/>
                      <a:ext cx="5271135" cy="7397750"/>
                    </a:xfrm>
                    <a:prstGeom prst="rect">
                      <a:avLst/>
                    </a:prstGeom>
                    <a:noFill/>
                    <a:ln>
                      <a:noFill/>
                    </a:ln>
                  </pic:spPr>
                </pic:pic>
              </a:graphicData>
            </a:graphic>
          </wp:inline>
        </w:drawing>
      </w:r>
    </w:p>
    <w:p w14:paraId="16651C8F">
      <w:pPr>
        <w:rPr>
          <w:rFonts w:hint="default"/>
          <w:color w:val="auto"/>
          <w:lang w:val="en-US" w:eastAsia="zh-CN"/>
        </w:rPr>
      </w:pPr>
    </w:p>
    <w:p w14:paraId="087C9A3D">
      <w:pPr>
        <w:rPr>
          <w:color w:val="auto"/>
        </w:rPr>
      </w:pPr>
      <w:r>
        <w:rPr>
          <w:color w:val="auto"/>
        </w:rPr>
        <w:drawing>
          <wp:inline distT="0" distB="0" distL="114300" distR="114300">
            <wp:extent cx="5269230" cy="7430135"/>
            <wp:effectExtent l="0" t="0" r="7620" b="18415"/>
            <wp:docPr id="1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pic:cNvPicPr>
                      <a:picLocks noChangeAspect="1"/>
                    </pic:cNvPicPr>
                  </pic:nvPicPr>
                  <pic:blipFill>
                    <a:blip r:embed="rId183"/>
                    <a:stretch>
                      <a:fillRect/>
                    </a:stretch>
                  </pic:blipFill>
                  <pic:spPr>
                    <a:xfrm>
                      <a:off x="0" y="0"/>
                      <a:ext cx="5269230" cy="7430135"/>
                    </a:xfrm>
                    <a:prstGeom prst="rect">
                      <a:avLst/>
                    </a:prstGeom>
                    <a:noFill/>
                    <a:ln>
                      <a:noFill/>
                    </a:ln>
                  </pic:spPr>
                </pic:pic>
              </a:graphicData>
            </a:graphic>
          </wp:inline>
        </w:drawing>
      </w:r>
    </w:p>
    <w:p w14:paraId="02804711">
      <w:pPr>
        <w:rPr>
          <w:color w:val="auto"/>
        </w:rPr>
      </w:pPr>
      <w:r>
        <w:rPr>
          <w:color w:val="auto"/>
        </w:rPr>
        <w:drawing>
          <wp:inline distT="0" distB="0" distL="114300" distR="114300">
            <wp:extent cx="5271135" cy="7392670"/>
            <wp:effectExtent l="0" t="0" r="5715" b="17780"/>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184"/>
                    <a:stretch>
                      <a:fillRect/>
                    </a:stretch>
                  </pic:blipFill>
                  <pic:spPr>
                    <a:xfrm>
                      <a:off x="0" y="0"/>
                      <a:ext cx="5271135" cy="7392670"/>
                    </a:xfrm>
                    <a:prstGeom prst="rect">
                      <a:avLst/>
                    </a:prstGeom>
                    <a:noFill/>
                    <a:ln>
                      <a:noFill/>
                    </a:ln>
                  </pic:spPr>
                </pic:pic>
              </a:graphicData>
            </a:graphic>
          </wp:inline>
        </w:drawing>
      </w:r>
    </w:p>
    <w:p w14:paraId="6D2B297B">
      <w:pPr>
        <w:rPr>
          <w:rFonts w:hint="default"/>
          <w:color w:val="auto"/>
          <w:lang w:val="en-US" w:eastAsia="zh-CN"/>
        </w:rPr>
      </w:pPr>
    </w:p>
    <w:p w14:paraId="141E1F65">
      <w:pPr>
        <w:rPr>
          <w:rFonts w:hint="default" w:ascii="Times New Roman" w:hAnsi="Times New Roman" w:eastAsia="宋体" w:cs="Times New Roman"/>
          <w:color w:val="auto"/>
          <w:lang w:val="en-US" w:eastAsia="zh-CN"/>
        </w:rPr>
      </w:pPr>
    </w:p>
    <w:p w14:paraId="13D83C09">
      <w:pPr>
        <w:pStyle w:val="43"/>
        <w:rPr>
          <w:color w:val="auto"/>
        </w:rPr>
      </w:pPr>
      <w:r>
        <w:rPr>
          <w:color w:val="auto"/>
        </w:rPr>
        <w:drawing>
          <wp:inline distT="0" distB="0" distL="114300" distR="114300">
            <wp:extent cx="5271135" cy="7447280"/>
            <wp:effectExtent l="0" t="0" r="5715" b="1270"/>
            <wp:docPr id="1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8"/>
                    <pic:cNvPicPr>
                      <a:picLocks noChangeAspect="1"/>
                    </pic:cNvPicPr>
                  </pic:nvPicPr>
                  <pic:blipFill>
                    <a:blip r:embed="rId185"/>
                    <a:stretch>
                      <a:fillRect/>
                    </a:stretch>
                  </pic:blipFill>
                  <pic:spPr>
                    <a:xfrm>
                      <a:off x="0" y="0"/>
                      <a:ext cx="5271135" cy="7447280"/>
                    </a:xfrm>
                    <a:prstGeom prst="rect">
                      <a:avLst/>
                    </a:prstGeom>
                    <a:noFill/>
                    <a:ln>
                      <a:noFill/>
                    </a:ln>
                  </pic:spPr>
                </pic:pic>
              </a:graphicData>
            </a:graphic>
          </wp:inline>
        </w:drawing>
      </w:r>
    </w:p>
    <w:p w14:paraId="0E849A17">
      <w:pPr>
        <w:pStyle w:val="43"/>
        <w:rPr>
          <w:color w:val="auto"/>
        </w:rPr>
      </w:pPr>
      <w:r>
        <w:rPr>
          <w:color w:val="auto"/>
        </w:rPr>
        <w:drawing>
          <wp:inline distT="0" distB="0" distL="114300" distR="114300">
            <wp:extent cx="5269230" cy="7347585"/>
            <wp:effectExtent l="0" t="0" r="7620" b="5715"/>
            <wp:docPr id="1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pic:cNvPicPr>
                      <a:picLocks noChangeAspect="1"/>
                    </pic:cNvPicPr>
                  </pic:nvPicPr>
                  <pic:blipFill>
                    <a:blip r:embed="rId186"/>
                    <a:stretch>
                      <a:fillRect/>
                    </a:stretch>
                  </pic:blipFill>
                  <pic:spPr>
                    <a:xfrm>
                      <a:off x="0" y="0"/>
                      <a:ext cx="5269230" cy="7347585"/>
                    </a:xfrm>
                    <a:prstGeom prst="rect">
                      <a:avLst/>
                    </a:prstGeom>
                    <a:noFill/>
                    <a:ln>
                      <a:noFill/>
                    </a:ln>
                  </pic:spPr>
                </pic:pic>
              </a:graphicData>
            </a:graphic>
          </wp:inline>
        </w:drawing>
      </w:r>
    </w:p>
    <w:p w14:paraId="3212E3E7">
      <w:pPr>
        <w:pStyle w:val="43"/>
        <w:rPr>
          <w:color w:val="auto"/>
        </w:rPr>
      </w:pPr>
    </w:p>
    <w:p w14:paraId="3D3A3282">
      <w:pPr>
        <w:pStyle w:val="43"/>
        <w:rPr>
          <w:color w:val="auto"/>
        </w:rPr>
      </w:pPr>
      <w:r>
        <w:rPr>
          <w:color w:val="auto"/>
        </w:rPr>
        <w:drawing>
          <wp:inline distT="0" distB="0" distL="114300" distR="114300">
            <wp:extent cx="5271135" cy="7372985"/>
            <wp:effectExtent l="0" t="0" r="5715" b="18415"/>
            <wp:docPr id="1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0"/>
                    <pic:cNvPicPr>
                      <a:picLocks noChangeAspect="1"/>
                    </pic:cNvPicPr>
                  </pic:nvPicPr>
                  <pic:blipFill>
                    <a:blip r:embed="rId187"/>
                    <a:stretch>
                      <a:fillRect/>
                    </a:stretch>
                  </pic:blipFill>
                  <pic:spPr>
                    <a:xfrm>
                      <a:off x="0" y="0"/>
                      <a:ext cx="5271135" cy="7372985"/>
                    </a:xfrm>
                    <a:prstGeom prst="rect">
                      <a:avLst/>
                    </a:prstGeom>
                    <a:noFill/>
                    <a:ln>
                      <a:noFill/>
                    </a:ln>
                  </pic:spPr>
                </pic:pic>
              </a:graphicData>
            </a:graphic>
          </wp:inline>
        </w:drawing>
      </w:r>
    </w:p>
    <w:p w14:paraId="38174B86">
      <w:pPr>
        <w:pStyle w:val="43"/>
        <w:rPr>
          <w:color w:val="auto"/>
        </w:rPr>
      </w:pPr>
    </w:p>
    <w:p w14:paraId="32600045">
      <w:pPr>
        <w:pStyle w:val="43"/>
        <w:rPr>
          <w:color w:val="auto"/>
        </w:rPr>
      </w:pPr>
      <w:r>
        <w:rPr>
          <w:color w:val="auto"/>
        </w:rPr>
        <w:drawing>
          <wp:inline distT="0" distB="0" distL="114300" distR="114300">
            <wp:extent cx="5269230" cy="7404735"/>
            <wp:effectExtent l="0" t="0" r="7620" b="5715"/>
            <wp:docPr id="11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1"/>
                    <pic:cNvPicPr>
                      <a:picLocks noChangeAspect="1"/>
                    </pic:cNvPicPr>
                  </pic:nvPicPr>
                  <pic:blipFill>
                    <a:blip r:embed="rId188"/>
                    <a:stretch>
                      <a:fillRect/>
                    </a:stretch>
                  </pic:blipFill>
                  <pic:spPr>
                    <a:xfrm>
                      <a:off x="0" y="0"/>
                      <a:ext cx="5269230" cy="7404735"/>
                    </a:xfrm>
                    <a:prstGeom prst="rect">
                      <a:avLst/>
                    </a:prstGeom>
                    <a:noFill/>
                    <a:ln>
                      <a:noFill/>
                    </a:ln>
                  </pic:spPr>
                </pic:pic>
              </a:graphicData>
            </a:graphic>
          </wp:inline>
        </w:drawing>
      </w:r>
    </w:p>
    <w:p w14:paraId="0E9558CC">
      <w:pPr>
        <w:pStyle w:val="43"/>
        <w:rPr>
          <w:color w:val="auto"/>
        </w:rPr>
      </w:pPr>
      <w:r>
        <w:rPr>
          <w:color w:val="auto"/>
        </w:rPr>
        <w:drawing>
          <wp:inline distT="0" distB="0" distL="114300" distR="114300">
            <wp:extent cx="5269230" cy="7480300"/>
            <wp:effectExtent l="0" t="0" r="7620" b="6350"/>
            <wp:docPr id="1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2"/>
                    <pic:cNvPicPr>
                      <a:picLocks noChangeAspect="1"/>
                    </pic:cNvPicPr>
                  </pic:nvPicPr>
                  <pic:blipFill>
                    <a:blip r:embed="rId189"/>
                    <a:stretch>
                      <a:fillRect/>
                    </a:stretch>
                  </pic:blipFill>
                  <pic:spPr>
                    <a:xfrm>
                      <a:off x="0" y="0"/>
                      <a:ext cx="5269230" cy="7480300"/>
                    </a:xfrm>
                    <a:prstGeom prst="rect">
                      <a:avLst/>
                    </a:prstGeom>
                    <a:noFill/>
                    <a:ln>
                      <a:noFill/>
                    </a:ln>
                  </pic:spPr>
                </pic:pic>
              </a:graphicData>
            </a:graphic>
          </wp:inline>
        </w:drawing>
      </w:r>
    </w:p>
    <w:p w14:paraId="3BF74F6A">
      <w:pPr>
        <w:pStyle w:val="43"/>
        <w:rPr>
          <w:color w:val="auto"/>
        </w:rPr>
      </w:pPr>
      <w:r>
        <w:rPr>
          <w:color w:val="auto"/>
        </w:rPr>
        <w:drawing>
          <wp:inline distT="0" distB="0" distL="114300" distR="114300">
            <wp:extent cx="5269230" cy="7396480"/>
            <wp:effectExtent l="0" t="0" r="7620" b="13970"/>
            <wp:docPr id="1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3"/>
                    <pic:cNvPicPr>
                      <a:picLocks noChangeAspect="1"/>
                    </pic:cNvPicPr>
                  </pic:nvPicPr>
                  <pic:blipFill>
                    <a:blip r:embed="rId190"/>
                    <a:stretch>
                      <a:fillRect/>
                    </a:stretch>
                  </pic:blipFill>
                  <pic:spPr>
                    <a:xfrm>
                      <a:off x="0" y="0"/>
                      <a:ext cx="5269230" cy="7396480"/>
                    </a:xfrm>
                    <a:prstGeom prst="rect">
                      <a:avLst/>
                    </a:prstGeom>
                    <a:noFill/>
                    <a:ln>
                      <a:noFill/>
                    </a:ln>
                  </pic:spPr>
                </pic:pic>
              </a:graphicData>
            </a:graphic>
          </wp:inline>
        </w:drawing>
      </w:r>
    </w:p>
    <w:p w14:paraId="4F2D00E9">
      <w:pPr>
        <w:pStyle w:val="43"/>
        <w:rPr>
          <w:rFonts w:hint="default"/>
          <w:color w:val="auto"/>
          <w:lang w:val="en-US" w:eastAsia="zh-CN"/>
        </w:rPr>
        <w:sectPr>
          <w:pgSz w:w="11906" w:h="16838"/>
          <w:pgMar w:top="1440" w:right="1800" w:bottom="1440" w:left="1800" w:header="851" w:footer="1020" w:gutter="0"/>
          <w:pgBorders>
            <w:top w:val="none" w:sz="0" w:space="0"/>
            <w:left w:val="none" w:sz="0" w:space="0"/>
            <w:bottom w:val="none" w:sz="0" w:space="0"/>
            <w:right w:val="none" w:sz="0" w:space="0"/>
          </w:pgBorders>
          <w:pgNumType w:fmt="decimal"/>
          <w:cols w:space="720" w:num="1"/>
          <w:docGrid w:type="lines" w:linePitch="312" w:charSpace="0"/>
        </w:sectPr>
      </w:pPr>
    </w:p>
    <w:p w14:paraId="78771D4F">
      <w:pPr>
        <w:pStyle w:val="3"/>
        <w:rPr>
          <w:rFonts w:hint="eastAsia" w:ascii="Times New Roman" w:hAnsi="Times New Roman" w:eastAsia="宋体" w:cs="Times New Roman"/>
          <w:color w:val="auto"/>
          <w:lang w:val="en-US" w:eastAsia="zh-CN"/>
        </w:rPr>
      </w:pPr>
      <w:bookmarkStart w:id="387" w:name="_Toc7127"/>
      <w:bookmarkStart w:id="388" w:name="_Toc22009"/>
      <w:bookmarkStart w:id="389" w:name="_Toc18552"/>
      <w:r>
        <w:rPr>
          <w:rFonts w:hint="eastAsia" w:ascii="Times New Roman" w:hAnsi="Times New Roman" w:eastAsia="宋体" w:cs="Times New Roman"/>
          <w:color w:val="auto"/>
          <w:lang w:val="en-US" w:eastAsia="zh-CN"/>
        </w:rPr>
        <w:t>附件</w:t>
      </w:r>
      <w:r>
        <w:rPr>
          <w:rFonts w:hint="eastAsia" w:cs="Times New Roman"/>
          <w:color w:val="auto"/>
          <w:lang w:val="en-US" w:eastAsia="zh-CN"/>
        </w:rPr>
        <w:t>20</w:t>
      </w:r>
      <w:r>
        <w:rPr>
          <w:rFonts w:hint="eastAsia" w:ascii="Times New Roman" w:hAnsi="Times New Roman" w:eastAsia="宋体" w:cs="Times New Roman"/>
          <w:color w:val="auto"/>
          <w:lang w:val="en-US" w:eastAsia="zh-CN"/>
        </w:rPr>
        <w:t xml:space="preserve"> 引用现有项目检测报告</w:t>
      </w:r>
      <w:bookmarkEnd w:id="387"/>
      <w:bookmarkEnd w:id="388"/>
      <w:bookmarkEnd w:id="389"/>
    </w:p>
    <w:p w14:paraId="5D5AFA82">
      <w:pPr>
        <w:rPr>
          <w:rFonts w:hint="eastAsia" w:cs="Times New Roman"/>
          <w:color w:val="auto"/>
          <w:lang w:val="en-US" w:eastAsia="zh-CN"/>
        </w:rPr>
      </w:pPr>
      <w:r>
        <w:rPr>
          <w:rFonts w:hint="eastAsia" w:cs="Times New Roman"/>
          <w:color w:val="auto"/>
          <w:lang w:val="en-US" w:eastAsia="zh-CN"/>
        </w:rPr>
        <w:drawing>
          <wp:inline distT="0" distB="0" distL="114300" distR="114300">
            <wp:extent cx="5425440" cy="7663815"/>
            <wp:effectExtent l="0" t="0" r="4445" b="635"/>
            <wp:docPr id="356" name="图片 3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1"/>
                    <pic:cNvPicPr>
                      <a:picLocks noChangeAspect="1"/>
                    </pic:cNvPicPr>
                  </pic:nvPicPr>
                  <pic:blipFill>
                    <a:blip r:embed="rId191"/>
                    <a:stretch>
                      <a:fillRect/>
                    </a:stretch>
                  </pic:blipFill>
                  <pic:spPr>
                    <a:xfrm>
                      <a:off x="0" y="0"/>
                      <a:ext cx="5425440" cy="7663815"/>
                    </a:xfrm>
                    <a:prstGeom prst="rect">
                      <a:avLst/>
                    </a:prstGeom>
                  </pic:spPr>
                </pic:pic>
              </a:graphicData>
            </a:graphic>
          </wp:inline>
        </w:drawing>
      </w:r>
      <w:r>
        <w:rPr>
          <w:rFonts w:hint="eastAsia" w:cs="Times New Roman"/>
          <w:color w:val="auto"/>
          <w:lang w:val="en-US" w:eastAsia="zh-CN"/>
        </w:rPr>
        <w:drawing>
          <wp:inline distT="0" distB="0" distL="114300" distR="114300">
            <wp:extent cx="5434965" cy="7677150"/>
            <wp:effectExtent l="0" t="0" r="5715" b="8890"/>
            <wp:docPr id="357" name="图片 3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2"/>
                    <pic:cNvPicPr>
                      <a:picLocks noChangeAspect="1"/>
                    </pic:cNvPicPr>
                  </pic:nvPicPr>
                  <pic:blipFill>
                    <a:blip r:embed="rId192"/>
                    <a:stretch>
                      <a:fillRect/>
                    </a:stretch>
                  </pic:blipFill>
                  <pic:spPr>
                    <a:xfrm>
                      <a:off x="0" y="0"/>
                      <a:ext cx="5434965" cy="7677150"/>
                    </a:xfrm>
                    <a:prstGeom prst="rect">
                      <a:avLst/>
                    </a:prstGeom>
                  </pic:spPr>
                </pic:pic>
              </a:graphicData>
            </a:graphic>
          </wp:inline>
        </w:drawing>
      </w:r>
      <w:r>
        <w:rPr>
          <w:rFonts w:hint="eastAsia" w:cs="Times New Roman"/>
          <w:color w:val="auto"/>
          <w:lang w:val="en-US" w:eastAsia="zh-CN"/>
        </w:rPr>
        <w:drawing>
          <wp:inline distT="0" distB="0" distL="114300" distR="114300">
            <wp:extent cx="5659755" cy="7994650"/>
            <wp:effectExtent l="0" t="0" r="7620" b="4445"/>
            <wp:docPr id="358" name="图片 3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3"/>
                    <pic:cNvPicPr>
                      <a:picLocks noChangeAspect="1"/>
                    </pic:cNvPicPr>
                  </pic:nvPicPr>
                  <pic:blipFill>
                    <a:blip r:embed="rId193"/>
                    <a:stretch>
                      <a:fillRect/>
                    </a:stretch>
                  </pic:blipFill>
                  <pic:spPr>
                    <a:xfrm>
                      <a:off x="0" y="0"/>
                      <a:ext cx="5659755" cy="7994650"/>
                    </a:xfrm>
                    <a:prstGeom prst="rect">
                      <a:avLst/>
                    </a:prstGeom>
                  </pic:spPr>
                </pic:pic>
              </a:graphicData>
            </a:graphic>
          </wp:inline>
        </w:drawing>
      </w:r>
      <w:r>
        <w:rPr>
          <w:rFonts w:hint="eastAsia" w:cs="Times New Roman"/>
          <w:color w:val="auto"/>
          <w:lang w:val="en-US" w:eastAsia="zh-CN"/>
        </w:rPr>
        <w:drawing>
          <wp:inline distT="0" distB="0" distL="114300" distR="114300">
            <wp:extent cx="5366385" cy="7581265"/>
            <wp:effectExtent l="0" t="0" r="9525" b="7620"/>
            <wp:docPr id="359" name="图片 3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4"/>
                    <pic:cNvPicPr>
                      <a:picLocks noChangeAspect="1"/>
                    </pic:cNvPicPr>
                  </pic:nvPicPr>
                  <pic:blipFill>
                    <a:blip r:embed="rId194"/>
                    <a:stretch>
                      <a:fillRect/>
                    </a:stretch>
                  </pic:blipFill>
                  <pic:spPr>
                    <a:xfrm>
                      <a:off x="0" y="0"/>
                      <a:ext cx="5366385" cy="7581265"/>
                    </a:xfrm>
                    <a:prstGeom prst="rect">
                      <a:avLst/>
                    </a:prstGeom>
                  </pic:spPr>
                </pic:pic>
              </a:graphicData>
            </a:graphic>
          </wp:inline>
        </w:drawing>
      </w:r>
      <w:r>
        <w:rPr>
          <w:rFonts w:hint="eastAsia" w:cs="Times New Roman"/>
          <w:color w:val="auto"/>
          <w:lang w:val="en-US" w:eastAsia="zh-CN"/>
        </w:rPr>
        <w:drawing>
          <wp:inline distT="0" distB="0" distL="114300" distR="114300">
            <wp:extent cx="5362575" cy="7574915"/>
            <wp:effectExtent l="0" t="0" r="2540" b="3175"/>
            <wp:docPr id="80" name="图片 8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5"/>
                    <pic:cNvPicPr>
                      <a:picLocks noChangeAspect="1"/>
                    </pic:cNvPicPr>
                  </pic:nvPicPr>
                  <pic:blipFill>
                    <a:blip r:embed="rId195"/>
                    <a:stretch>
                      <a:fillRect/>
                    </a:stretch>
                  </pic:blipFill>
                  <pic:spPr>
                    <a:xfrm>
                      <a:off x="0" y="0"/>
                      <a:ext cx="5362575" cy="7574915"/>
                    </a:xfrm>
                    <a:prstGeom prst="rect">
                      <a:avLst/>
                    </a:prstGeom>
                  </pic:spPr>
                </pic:pic>
              </a:graphicData>
            </a:graphic>
          </wp:inline>
        </w:drawing>
      </w:r>
      <w:r>
        <w:rPr>
          <w:rFonts w:hint="eastAsia" w:cs="Times New Roman"/>
          <w:color w:val="auto"/>
          <w:lang w:val="en-US" w:eastAsia="zh-CN"/>
        </w:rPr>
        <w:drawing>
          <wp:inline distT="0" distB="0" distL="114300" distR="114300">
            <wp:extent cx="5715635" cy="8074025"/>
            <wp:effectExtent l="0" t="0" r="5715" b="635"/>
            <wp:docPr id="79" name="图片 7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6"/>
                    <pic:cNvPicPr>
                      <a:picLocks noChangeAspect="1"/>
                    </pic:cNvPicPr>
                  </pic:nvPicPr>
                  <pic:blipFill>
                    <a:blip r:embed="rId196"/>
                    <a:stretch>
                      <a:fillRect/>
                    </a:stretch>
                  </pic:blipFill>
                  <pic:spPr>
                    <a:xfrm>
                      <a:off x="0" y="0"/>
                      <a:ext cx="5715635" cy="8074025"/>
                    </a:xfrm>
                    <a:prstGeom prst="rect">
                      <a:avLst/>
                    </a:prstGeom>
                  </pic:spPr>
                </pic:pic>
              </a:graphicData>
            </a:graphic>
          </wp:inline>
        </w:drawing>
      </w:r>
      <w:r>
        <w:rPr>
          <w:rFonts w:hint="eastAsia" w:cs="Times New Roman"/>
          <w:color w:val="auto"/>
          <w:lang w:val="en-US" w:eastAsia="zh-CN"/>
        </w:rPr>
        <w:drawing>
          <wp:inline distT="0" distB="0" distL="114300" distR="114300">
            <wp:extent cx="5700395" cy="8051800"/>
            <wp:effectExtent l="0" t="0" r="10160" b="1270"/>
            <wp:docPr id="78" name="图片 7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7"/>
                    <pic:cNvPicPr>
                      <a:picLocks noChangeAspect="1"/>
                    </pic:cNvPicPr>
                  </pic:nvPicPr>
                  <pic:blipFill>
                    <a:blip r:embed="rId197"/>
                    <a:stretch>
                      <a:fillRect/>
                    </a:stretch>
                  </pic:blipFill>
                  <pic:spPr>
                    <a:xfrm>
                      <a:off x="0" y="0"/>
                      <a:ext cx="5700395" cy="8051800"/>
                    </a:xfrm>
                    <a:prstGeom prst="rect">
                      <a:avLst/>
                    </a:prstGeom>
                  </pic:spPr>
                </pic:pic>
              </a:graphicData>
            </a:graphic>
          </wp:inline>
        </w:drawing>
      </w:r>
      <w:r>
        <w:rPr>
          <w:rFonts w:hint="eastAsia" w:cs="Times New Roman"/>
          <w:color w:val="auto"/>
          <w:lang w:val="en-US" w:eastAsia="zh-CN"/>
        </w:rPr>
        <w:drawing>
          <wp:inline distT="0" distB="0" distL="114300" distR="114300">
            <wp:extent cx="5554345" cy="7845425"/>
            <wp:effectExtent l="0" t="0" r="5080" b="2540"/>
            <wp:docPr id="77" name="图片 7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8"/>
                    <pic:cNvPicPr>
                      <a:picLocks noChangeAspect="1"/>
                    </pic:cNvPicPr>
                  </pic:nvPicPr>
                  <pic:blipFill>
                    <a:blip r:embed="rId198"/>
                    <a:stretch>
                      <a:fillRect/>
                    </a:stretch>
                  </pic:blipFill>
                  <pic:spPr>
                    <a:xfrm>
                      <a:off x="0" y="0"/>
                      <a:ext cx="5554345" cy="7845425"/>
                    </a:xfrm>
                    <a:prstGeom prst="rect">
                      <a:avLst/>
                    </a:prstGeom>
                  </pic:spPr>
                </pic:pic>
              </a:graphicData>
            </a:graphic>
          </wp:inline>
        </w:drawing>
      </w:r>
      <w:r>
        <w:rPr>
          <w:rFonts w:hint="eastAsia" w:cs="Times New Roman"/>
          <w:color w:val="auto"/>
          <w:lang w:val="en-US" w:eastAsia="zh-CN"/>
        </w:rPr>
        <w:drawing>
          <wp:inline distT="0" distB="0" distL="114300" distR="114300">
            <wp:extent cx="5549900" cy="7839710"/>
            <wp:effectExtent l="0" t="0" r="9525" b="8255"/>
            <wp:docPr id="76" name="图片 7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9"/>
                    <pic:cNvPicPr>
                      <a:picLocks noChangeAspect="1"/>
                    </pic:cNvPicPr>
                  </pic:nvPicPr>
                  <pic:blipFill>
                    <a:blip r:embed="rId199"/>
                    <a:stretch>
                      <a:fillRect/>
                    </a:stretch>
                  </pic:blipFill>
                  <pic:spPr>
                    <a:xfrm>
                      <a:off x="0" y="0"/>
                      <a:ext cx="5549900" cy="7839710"/>
                    </a:xfrm>
                    <a:prstGeom prst="rect">
                      <a:avLst/>
                    </a:prstGeom>
                  </pic:spPr>
                </pic:pic>
              </a:graphicData>
            </a:graphic>
          </wp:inline>
        </w:drawing>
      </w:r>
      <w:r>
        <w:rPr>
          <w:rFonts w:hint="eastAsia" w:cs="Times New Roman"/>
          <w:color w:val="auto"/>
          <w:lang w:val="en-US" w:eastAsia="zh-CN"/>
        </w:rPr>
        <w:drawing>
          <wp:inline distT="0" distB="0" distL="114300" distR="114300">
            <wp:extent cx="5092065" cy="7192645"/>
            <wp:effectExtent l="0" t="0" r="3175" b="7620"/>
            <wp:docPr id="75" name="图片 7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0"/>
                    <pic:cNvPicPr>
                      <a:picLocks noChangeAspect="1"/>
                    </pic:cNvPicPr>
                  </pic:nvPicPr>
                  <pic:blipFill>
                    <a:blip r:embed="rId200"/>
                    <a:stretch>
                      <a:fillRect/>
                    </a:stretch>
                  </pic:blipFill>
                  <pic:spPr>
                    <a:xfrm>
                      <a:off x="0" y="0"/>
                      <a:ext cx="5092065" cy="7192645"/>
                    </a:xfrm>
                    <a:prstGeom prst="rect">
                      <a:avLst/>
                    </a:prstGeom>
                  </pic:spPr>
                </pic:pic>
              </a:graphicData>
            </a:graphic>
          </wp:inline>
        </w:drawing>
      </w:r>
      <w:r>
        <w:rPr>
          <w:rFonts w:hint="eastAsia" w:cs="Times New Roman"/>
          <w:color w:val="auto"/>
          <w:lang w:val="en-US" w:eastAsia="zh-CN"/>
        </w:rPr>
        <w:drawing>
          <wp:inline distT="0" distB="0" distL="114300" distR="114300">
            <wp:extent cx="5139055" cy="7259955"/>
            <wp:effectExtent l="0" t="0" r="10160" b="5080"/>
            <wp:docPr id="74" name="图片 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1"/>
                    <pic:cNvPicPr>
                      <a:picLocks noChangeAspect="1"/>
                    </pic:cNvPicPr>
                  </pic:nvPicPr>
                  <pic:blipFill>
                    <a:blip r:embed="rId201"/>
                    <a:stretch>
                      <a:fillRect/>
                    </a:stretch>
                  </pic:blipFill>
                  <pic:spPr>
                    <a:xfrm>
                      <a:off x="0" y="0"/>
                      <a:ext cx="5139055" cy="7259955"/>
                    </a:xfrm>
                    <a:prstGeom prst="rect">
                      <a:avLst/>
                    </a:prstGeom>
                  </pic:spPr>
                </pic:pic>
              </a:graphicData>
            </a:graphic>
          </wp:inline>
        </w:drawing>
      </w:r>
    </w:p>
    <w:p w14:paraId="63859567">
      <w:pPr>
        <w:rPr>
          <w:rFonts w:hint="eastAsia" w:cs="Times New Roman"/>
          <w:color w:val="auto"/>
          <w:lang w:val="en-US" w:eastAsia="zh-CN"/>
        </w:rPr>
      </w:pPr>
      <w:r>
        <w:rPr>
          <w:rFonts w:hint="eastAsia" w:cs="Times New Roman"/>
          <w:color w:val="auto"/>
          <w:lang w:val="en-US" w:eastAsia="zh-CN"/>
        </w:rPr>
        <w:drawing>
          <wp:inline distT="0" distB="0" distL="114300" distR="114300">
            <wp:extent cx="5352415" cy="7560310"/>
            <wp:effectExtent l="0" t="0" r="1905" b="6985"/>
            <wp:docPr id="360" name="图片 36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12"/>
                    <pic:cNvPicPr>
                      <a:picLocks noChangeAspect="1"/>
                    </pic:cNvPicPr>
                  </pic:nvPicPr>
                  <pic:blipFill>
                    <a:blip r:embed="rId202"/>
                    <a:stretch>
                      <a:fillRect/>
                    </a:stretch>
                  </pic:blipFill>
                  <pic:spPr>
                    <a:xfrm>
                      <a:off x="0" y="0"/>
                      <a:ext cx="5352415" cy="7560310"/>
                    </a:xfrm>
                    <a:prstGeom prst="rect">
                      <a:avLst/>
                    </a:prstGeom>
                  </pic:spPr>
                </pic:pic>
              </a:graphicData>
            </a:graphic>
          </wp:inline>
        </w:drawing>
      </w:r>
    </w:p>
    <w:p w14:paraId="5542155F">
      <w:pPr>
        <w:rPr>
          <w:rFonts w:hint="eastAsia" w:ascii="Times New Roman" w:hAnsi="Times New Roman" w:eastAsia="宋体" w:cs="Times New Roman"/>
          <w:color w:val="auto"/>
          <w:lang w:val="en-US" w:eastAsia="zh-CN"/>
        </w:rPr>
      </w:pPr>
    </w:p>
    <w:p w14:paraId="3927D28F">
      <w:pPr>
        <w:rPr>
          <w:rFonts w:hint="default" w:ascii="Times New Roman" w:hAnsi="Times New Roman" w:eastAsia="宋体" w:cs="Times New Roman"/>
          <w:color w:val="auto"/>
          <w:lang w:val="en-US" w:eastAsia="zh-CN"/>
        </w:rPr>
      </w:pPr>
    </w:p>
    <w:p w14:paraId="56685939">
      <w:pPr>
        <w:spacing w:before="172" w:line="11708" w:lineRule="exact"/>
        <w:ind w:firstLine="16"/>
        <w:rPr>
          <w:color w:val="auto"/>
        </w:rPr>
      </w:pPr>
      <w:r>
        <w:rPr>
          <w:color w:val="auto"/>
          <w:position w:val="-234"/>
        </w:rPr>
        <w:drawing>
          <wp:inline distT="0" distB="0" distL="0" distR="0">
            <wp:extent cx="5269865" cy="7433945"/>
            <wp:effectExtent l="0" t="0" r="8890" b="3810"/>
            <wp:docPr id="342" name="IM 126"/>
            <wp:cNvGraphicFramePr/>
            <a:graphic xmlns:a="http://schemas.openxmlformats.org/drawingml/2006/main">
              <a:graphicData uri="http://schemas.openxmlformats.org/drawingml/2006/picture">
                <pic:pic xmlns:pic="http://schemas.openxmlformats.org/drawingml/2006/picture">
                  <pic:nvPicPr>
                    <pic:cNvPr id="342" name="IM 126"/>
                    <pic:cNvPicPr/>
                  </pic:nvPicPr>
                  <pic:blipFill>
                    <a:blip r:embed="rId203"/>
                    <a:stretch>
                      <a:fillRect/>
                    </a:stretch>
                  </pic:blipFill>
                  <pic:spPr>
                    <a:xfrm>
                      <a:off x="0" y="0"/>
                      <a:ext cx="5269991" cy="7434071"/>
                    </a:xfrm>
                    <a:prstGeom prst="rect">
                      <a:avLst/>
                    </a:prstGeom>
                  </pic:spPr>
                </pic:pic>
              </a:graphicData>
            </a:graphic>
          </wp:inline>
        </w:drawing>
      </w:r>
    </w:p>
    <w:p w14:paraId="124931A7">
      <w:pPr>
        <w:spacing w:line="11708" w:lineRule="exact"/>
        <w:rPr>
          <w:color w:val="auto"/>
        </w:rPr>
        <w:sectPr>
          <w:pgSz w:w="11906" w:h="16839"/>
          <w:pgMar w:top="1440" w:right="1785" w:bottom="1440" w:left="1785" w:header="850" w:footer="1134" w:gutter="0"/>
          <w:pgBorders>
            <w:top w:val="none" w:sz="0" w:space="0"/>
            <w:left w:val="none" w:sz="0" w:space="0"/>
            <w:bottom w:val="none" w:sz="0" w:space="0"/>
            <w:right w:val="none" w:sz="0" w:space="0"/>
          </w:pgBorders>
          <w:pgNumType w:fmt="decimal"/>
          <w:cols w:space="720" w:num="1"/>
        </w:sectPr>
      </w:pPr>
    </w:p>
    <w:p w14:paraId="4A17E876">
      <w:pPr>
        <w:pStyle w:val="10"/>
        <w:spacing w:line="331" w:lineRule="auto"/>
        <w:rPr>
          <w:color w:val="auto"/>
        </w:rPr>
      </w:pPr>
    </w:p>
    <w:p w14:paraId="6066EB73">
      <w:pPr>
        <w:spacing w:line="11707" w:lineRule="exact"/>
        <w:ind w:firstLine="16"/>
        <w:rPr>
          <w:color w:val="auto"/>
        </w:rPr>
      </w:pPr>
      <w:r>
        <w:rPr>
          <w:color w:val="auto"/>
          <w:position w:val="-234"/>
        </w:rPr>
        <w:drawing>
          <wp:inline distT="0" distB="0" distL="0" distR="0">
            <wp:extent cx="5269865" cy="7433945"/>
            <wp:effectExtent l="0" t="0" r="8890" b="3810"/>
            <wp:docPr id="344" name="IM 130"/>
            <wp:cNvGraphicFramePr/>
            <a:graphic xmlns:a="http://schemas.openxmlformats.org/drawingml/2006/main">
              <a:graphicData uri="http://schemas.openxmlformats.org/drawingml/2006/picture">
                <pic:pic xmlns:pic="http://schemas.openxmlformats.org/drawingml/2006/picture">
                  <pic:nvPicPr>
                    <pic:cNvPr id="344" name="IM 130"/>
                    <pic:cNvPicPr/>
                  </pic:nvPicPr>
                  <pic:blipFill>
                    <a:blip r:embed="rId204"/>
                    <a:stretch>
                      <a:fillRect/>
                    </a:stretch>
                  </pic:blipFill>
                  <pic:spPr>
                    <a:xfrm>
                      <a:off x="0" y="0"/>
                      <a:ext cx="5269991" cy="7434071"/>
                    </a:xfrm>
                    <a:prstGeom prst="rect">
                      <a:avLst/>
                    </a:prstGeom>
                  </pic:spPr>
                </pic:pic>
              </a:graphicData>
            </a:graphic>
          </wp:inline>
        </w:drawing>
      </w:r>
      <w:r>
        <w:rPr>
          <w:color w:val="auto"/>
          <w:position w:val="-234"/>
        </w:rPr>
        <w:drawing>
          <wp:inline distT="0" distB="0" distL="0" distR="0">
            <wp:extent cx="5269865" cy="7433945"/>
            <wp:effectExtent l="0" t="0" r="8890" b="3810"/>
            <wp:docPr id="343" name="IM 128"/>
            <wp:cNvGraphicFramePr/>
            <a:graphic xmlns:a="http://schemas.openxmlformats.org/drawingml/2006/main">
              <a:graphicData uri="http://schemas.openxmlformats.org/drawingml/2006/picture">
                <pic:pic xmlns:pic="http://schemas.openxmlformats.org/drawingml/2006/picture">
                  <pic:nvPicPr>
                    <pic:cNvPr id="343" name="IM 128"/>
                    <pic:cNvPicPr/>
                  </pic:nvPicPr>
                  <pic:blipFill>
                    <a:blip r:embed="rId205"/>
                    <a:stretch>
                      <a:fillRect/>
                    </a:stretch>
                  </pic:blipFill>
                  <pic:spPr>
                    <a:xfrm>
                      <a:off x="0" y="0"/>
                      <a:ext cx="5269991" cy="7434071"/>
                    </a:xfrm>
                    <a:prstGeom prst="rect">
                      <a:avLst/>
                    </a:prstGeom>
                  </pic:spPr>
                </pic:pic>
              </a:graphicData>
            </a:graphic>
          </wp:inline>
        </w:drawing>
      </w:r>
    </w:p>
    <w:p w14:paraId="085698B7">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65181DC1">
      <w:pPr>
        <w:spacing w:line="11707" w:lineRule="exact"/>
        <w:ind w:firstLine="16"/>
        <w:rPr>
          <w:color w:val="auto"/>
        </w:rPr>
      </w:pPr>
      <w:r>
        <w:rPr>
          <w:color w:val="auto"/>
          <w:position w:val="-234"/>
        </w:rPr>
        <w:drawing>
          <wp:inline distT="0" distB="0" distL="0" distR="0">
            <wp:extent cx="5269865" cy="7433945"/>
            <wp:effectExtent l="0" t="0" r="8890" b="3810"/>
            <wp:docPr id="345" name="IM 132"/>
            <wp:cNvGraphicFramePr/>
            <a:graphic xmlns:a="http://schemas.openxmlformats.org/drawingml/2006/main">
              <a:graphicData uri="http://schemas.openxmlformats.org/drawingml/2006/picture">
                <pic:pic xmlns:pic="http://schemas.openxmlformats.org/drawingml/2006/picture">
                  <pic:nvPicPr>
                    <pic:cNvPr id="345" name="IM 132"/>
                    <pic:cNvPicPr/>
                  </pic:nvPicPr>
                  <pic:blipFill>
                    <a:blip r:embed="rId206"/>
                    <a:stretch>
                      <a:fillRect/>
                    </a:stretch>
                  </pic:blipFill>
                  <pic:spPr>
                    <a:xfrm>
                      <a:off x="0" y="0"/>
                      <a:ext cx="5269991" cy="7434071"/>
                    </a:xfrm>
                    <a:prstGeom prst="rect">
                      <a:avLst/>
                    </a:prstGeom>
                  </pic:spPr>
                </pic:pic>
              </a:graphicData>
            </a:graphic>
          </wp:inline>
        </w:drawing>
      </w:r>
    </w:p>
    <w:p w14:paraId="4803222E">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2931AD64">
      <w:pPr>
        <w:pStyle w:val="10"/>
        <w:spacing w:line="331" w:lineRule="auto"/>
        <w:rPr>
          <w:color w:val="auto"/>
        </w:rPr>
      </w:pPr>
    </w:p>
    <w:p w14:paraId="456A5C08">
      <w:pPr>
        <w:spacing w:line="11707" w:lineRule="exact"/>
        <w:ind w:firstLine="16"/>
        <w:rPr>
          <w:color w:val="auto"/>
        </w:rPr>
      </w:pPr>
      <w:r>
        <w:rPr>
          <w:color w:val="auto"/>
          <w:position w:val="-234"/>
        </w:rPr>
        <w:drawing>
          <wp:inline distT="0" distB="0" distL="0" distR="0">
            <wp:extent cx="5269865" cy="7433945"/>
            <wp:effectExtent l="0" t="0" r="8890" b="3810"/>
            <wp:docPr id="346" name="IM 134"/>
            <wp:cNvGraphicFramePr/>
            <a:graphic xmlns:a="http://schemas.openxmlformats.org/drawingml/2006/main">
              <a:graphicData uri="http://schemas.openxmlformats.org/drawingml/2006/picture">
                <pic:pic xmlns:pic="http://schemas.openxmlformats.org/drawingml/2006/picture">
                  <pic:nvPicPr>
                    <pic:cNvPr id="346" name="IM 134"/>
                    <pic:cNvPicPr/>
                  </pic:nvPicPr>
                  <pic:blipFill>
                    <a:blip r:embed="rId207"/>
                    <a:stretch>
                      <a:fillRect/>
                    </a:stretch>
                  </pic:blipFill>
                  <pic:spPr>
                    <a:xfrm>
                      <a:off x="0" y="0"/>
                      <a:ext cx="5269991" cy="7434071"/>
                    </a:xfrm>
                    <a:prstGeom prst="rect">
                      <a:avLst/>
                    </a:prstGeom>
                  </pic:spPr>
                </pic:pic>
              </a:graphicData>
            </a:graphic>
          </wp:inline>
        </w:drawing>
      </w:r>
    </w:p>
    <w:p w14:paraId="7A07D59A">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0452DEFE">
      <w:pPr>
        <w:pStyle w:val="10"/>
        <w:spacing w:line="331" w:lineRule="auto"/>
        <w:rPr>
          <w:color w:val="auto"/>
        </w:rPr>
      </w:pPr>
    </w:p>
    <w:p w14:paraId="66B86315">
      <w:pPr>
        <w:spacing w:line="11707" w:lineRule="exact"/>
        <w:ind w:firstLine="16"/>
        <w:rPr>
          <w:color w:val="auto"/>
        </w:rPr>
      </w:pPr>
      <w:r>
        <w:rPr>
          <w:color w:val="auto"/>
          <w:position w:val="-234"/>
        </w:rPr>
        <w:drawing>
          <wp:inline distT="0" distB="0" distL="0" distR="0">
            <wp:extent cx="5269865" cy="7433945"/>
            <wp:effectExtent l="0" t="0" r="8890" b="3810"/>
            <wp:docPr id="347" name="IM 136"/>
            <wp:cNvGraphicFramePr/>
            <a:graphic xmlns:a="http://schemas.openxmlformats.org/drawingml/2006/main">
              <a:graphicData uri="http://schemas.openxmlformats.org/drawingml/2006/picture">
                <pic:pic xmlns:pic="http://schemas.openxmlformats.org/drawingml/2006/picture">
                  <pic:nvPicPr>
                    <pic:cNvPr id="347" name="IM 136"/>
                    <pic:cNvPicPr/>
                  </pic:nvPicPr>
                  <pic:blipFill>
                    <a:blip r:embed="rId208"/>
                    <a:stretch>
                      <a:fillRect/>
                    </a:stretch>
                  </pic:blipFill>
                  <pic:spPr>
                    <a:xfrm>
                      <a:off x="0" y="0"/>
                      <a:ext cx="5269991" cy="7434071"/>
                    </a:xfrm>
                    <a:prstGeom prst="rect">
                      <a:avLst/>
                    </a:prstGeom>
                  </pic:spPr>
                </pic:pic>
              </a:graphicData>
            </a:graphic>
          </wp:inline>
        </w:drawing>
      </w:r>
    </w:p>
    <w:p w14:paraId="2FCBE703">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71D96435">
      <w:pPr>
        <w:pStyle w:val="10"/>
        <w:spacing w:line="331" w:lineRule="auto"/>
        <w:rPr>
          <w:color w:val="auto"/>
        </w:rPr>
      </w:pPr>
    </w:p>
    <w:p w14:paraId="12D07211">
      <w:pPr>
        <w:spacing w:line="11707" w:lineRule="exact"/>
        <w:ind w:firstLine="16"/>
        <w:rPr>
          <w:color w:val="auto"/>
        </w:rPr>
      </w:pPr>
      <w:r>
        <w:rPr>
          <w:color w:val="auto"/>
          <w:position w:val="-234"/>
        </w:rPr>
        <w:drawing>
          <wp:inline distT="0" distB="0" distL="0" distR="0">
            <wp:extent cx="5269865" cy="7433945"/>
            <wp:effectExtent l="0" t="0" r="8890" b="3810"/>
            <wp:docPr id="348" name="IM 138"/>
            <wp:cNvGraphicFramePr/>
            <a:graphic xmlns:a="http://schemas.openxmlformats.org/drawingml/2006/main">
              <a:graphicData uri="http://schemas.openxmlformats.org/drawingml/2006/picture">
                <pic:pic xmlns:pic="http://schemas.openxmlformats.org/drawingml/2006/picture">
                  <pic:nvPicPr>
                    <pic:cNvPr id="348" name="IM 138"/>
                    <pic:cNvPicPr/>
                  </pic:nvPicPr>
                  <pic:blipFill>
                    <a:blip r:embed="rId209"/>
                    <a:stretch>
                      <a:fillRect/>
                    </a:stretch>
                  </pic:blipFill>
                  <pic:spPr>
                    <a:xfrm>
                      <a:off x="0" y="0"/>
                      <a:ext cx="5269991" cy="7434071"/>
                    </a:xfrm>
                    <a:prstGeom prst="rect">
                      <a:avLst/>
                    </a:prstGeom>
                  </pic:spPr>
                </pic:pic>
              </a:graphicData>
            </a:graphic>
          </wp:inline>
        </w:drawing>
      </w:r>
    </w:p>
    <w:p w14:paraId="09DDB57D">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4EAD26FC">
      <w:pPr>
        <w:pStyle w:val="10"/>
        <w:spacing w:line="331" w:lineRule="auto"/>
        <w:rPr>
          <w:color w:val="auto"/>
        </w:rPr>
      </w:pPr>
    </w:p>
    <w:p w14:paraId="50669505">
      <w:pPr>
        <w:spacing w:line="11724" w:lineRule="exact"/>
        <w:ind w:firstLine="16"/>
        <w:rPr>
          <w:color w:val="auto"/>
        </w:rPr>
      </w:pPr>
      <w:r>
        <w:rPr>
          <w:color w:val="auto"/>
          <w:position w:val="-234"/>
        </w:rPr>
        <w:drawing>
          <wp:inline distT="0" distB="0" distL="0" distR="0">
            <wp:extent cx="5267960" cy="7444740"/>
            <wp:effectExtent l="0" t="0" r="0" b="3810"/>
            <wp:docPr id="349" name="IM 140"/>
            <wp:cNvGraphicFramePr/>
            <a:graphic xmlns:a="http://schemas.openxmlformats.org/drawingml/2006/main">
              <a:graphicData uri="http://schemas.openxmlformats.org/drawingml/2006/picture">
                <pic:pic xmlns:pic="http://schemas.openxmlformats.org/drawingml/2006/picture">
                  <pic:nvPicPr>
                    <pic:cNvPr id="349" name="IM 140"/>
                    <pic:cNvPicPr/>
                  </pic:nvPicPr>
                  <pic:blipFill>
                    <a:blip r:embed="rId210"/>
                    <a:stretch>
                      <a:fillRect/>
                    </a:stretch>
                  </pic:blipFill>
                  <pic:spPr>
                    <a:xfrm>
                      <a:off x="0" y="0"/>
                      <a:ext cx="5268467" cy="7444740"/>
                    </a:xfrm>
                    <a:prstGeom prst="rect">
                      <a:avLst/>
                    </a:prstGeom>
                  </pic:spPr>
                </pic:pic>
              </a:graphicData>
            </a:graphic>
          </wp:inline>
        </w:drawing>
      </w:r>
    </w:p>
    <w:p w14:paraId="299A90E3">
      <w:pPr>
        <w:spacing w:line="11724"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0FC8BC02">
      <w:pPr>
        <w:pStyle w:val="10"/>
        <w:spacing w:line="331" w:lineRule="auto"/>
        <w:rPr>
          <w:color w:val="auto"/>
        </w:rPr>
      </w:pPr>
    </w:p>
    <w:p w14:paraId="6AD332A7">
      <w:pPr>
        <w:spacing w:line="11707" w:lineRule="exact"/>
        <w:ind w:firstLine="16"/>
        <w:rPr>
          <w:color w:val="auto"/>
        </w:rPr>
      </w:pPr>
      <w:r>
        <w:rPr>
          <w:color w:val="auto"/>
          <w:position w:val="-234"/>
        </w:rPr>
        <w:drawing>
          <wp:inline distT="0" distB="0" distL="0" distR="0">
            <wp:extent cx="5269865" cy="7433945"/>
            <wp:effectExtent l="0" t="0" r="8890" b="381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11"/>
                    <a:stretch>
                      <a:fillRect/>
                    </a:stretch>
                  </pic:blipFill>
                  <pic:spPr>
                    <a:xfrm>
                      <a:off x="0" y="0"/>
                      <a:ext cx="5269991" cy="7434071"/>
                    </a:xfrm>
                    <a:prstGeom prst="rect">
                      <a:avLst/>
                    </a:prstGeom>
                  </pic:spPr>
                </pic:pic>
              </a:graphicData>
            </a:graphic>
          </wp:inline>
        </w:drawing>
      </w:r>
    </w:p>
    <w:p w14:paraId="5FBB5B07">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2349250B">
      <w:pPr>
        <w:pStyle w:val="10"/>
        <w:spacing w:line="331" w:lineRule="auto"/>
        <w:rPr>
          <w:color w:val="auto"/>
        </w:rPr>
      </w:pPr>
    </w:p>
    <w:p w14:paraId="25D73D7F">
      <w:pPr>
        <w:spacing w:line="11707" w:lineRule="exact"/>
        <w:ind w:firstLine="16"/>
        <w:rPr>
          <w:color w:val="auto"/>
        </w:rPr>
      </w:pPr>
      <w:r>
        <w:rPr>
          <w:color w:val="auto"/>
          <w:position w:val="-234"/>
        </w:rPr>
        <w:drawing>
          <wp:inline distT="0" distB="0" distL="0" distR="0">
            <wp:extent cx="5269865" cy="7433945"/>
            <wp:effectExtent l="0" t="0" r="8890" b="3810"/>
            <wp:docPr id="350" name="IM 144"/>
            <wp:cNvGraphicFramePr/>
            <a:graphic xmlns:a="http://schemas.openxmlformats.org/drawingml/2006/main">
              <a:graphicData uri="http://schemas.openxmlformats.org/drawingml/2006/picture">
                <pic:pic xmlns:pic="http://schemas.openxmlformats.org/drawingml/2006/picture">
                  <pic:nvPicPr>
                    <pic:cNvPr id="350" name="IM 144"/>
                    <pic:cNvPicPr/>
                  </pic:nvPicPr>
                  <pic:blipFill>
                    <a:blip r:embed="rId212"/>
                    <a:stretch>
                      <a:fillRect/>
                    </a:stretch>
                  </pic:blipFill>
                  <pic:spPr>
                    <a:xfrm>
                      <a:off x="0" y="0"/>
                      <a:ext cx="5269991" cy="7434071"/>
                    </a:xfrm>
                    <a:prstGeom prst="rect">
                      <a:avLst/>
                    </a:prstGeom>
                  </pic:spPr>
                </pic:pic>
              </a:graphicData>
            </a:graphic>
          </wp:inline>
        </w:drawing>
      </w:r>
    </w:p>
    <w:p w14:paraId="2270B2A9">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6F63C6BE">
      <w:pPr>
        <w:pStyle w:val="10"/>
        <w:spacing w:line="331" w:lineRule="auto"/>
        <w:rPr>
          <w:color w:val="auto"/>
        </w:rPr>
      </w:pPr>
    </w:p>
    <w:p w14:paraId="09653594">
      <w:pPr>
        <w:spacing w:line="11707" w:lineRule="exact"/>
        <w:ind w:firstLine="16"/>
        <w:rPr>
          <w:color w:val="auto"/>
        </w:rPr>
      </w:pPr>
      <w:r>
        <w:rPr>
          <w:color w:val="auto"/>
          <w:position w:val="-234"/>
        </w:rPr>
        <w:drawing>
          <wp:inline distT="0" distB="0" distL="0" distR="0">
            <wp:extent cx="5269865" cy="7433945"/>
            <wp:effectExtent l="0" t="0" r="8890" b="381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13"/>
                    <a:stretch>
                      <a:fillRect/>
                    </a:stretch>
                  </pic:blipFill>
                  <pic:spPr>
                    <a:xfrm>
                      <a:off x="0" y="0"/>
                      <a:ext cx="5269991" cy="7434071"/>
                    </a:xfrm>
                    <a:prstGeom prst="rect">
                      <a:avLst/>
                    </a:prstGeom>
                  </pic:spPr>
                </pic:pic>
              </a:graphicData>
            </a:graphic>
          </wp:inline>
        </w:drawing>
      </w:r>
    </w:p>
    <w:p w14:paraId="3BC76476">
      <w:pPr>
        <w:spacing w:line="11707" w:lineRule="exact"/>
        <w:rPr>
          <w:color w:val="auto"/>
        </w:rPr>
        <w:sectPr>
          <w:pgSz w:w="11906" w:h="16839"/>
          <w:pgMar w:top="1440" w:right="1785" w:bottom="1440" w:left="1785" w:header="850" w:footer="1134" w:gutter="0"/>
          <w:pgBorders>
            <w:top w:val="none" w:sz="0" w:space="0"/>
            <w:left w:val="none" w:sz="0" w:space="0"/>
            <w:bottom w:val="none" w:sz="0" w:space="0"/>
            <w:right w:val="none" w:sz="0" w:space="0"/>
          </w:pgBorders>
          <w:pgNumType w:fmt="decimal"/>
          <w:cols w:space="720" w:num="1"/>
        </w:sectPr>
      </w:pPr>
    </w:p>
    <w:p w14:paraId="7A6F7D95">
      <w:pPr>
        <w:spacing w:line="11724" w:lineRule="exact"/>
        <w:ind w:firstLine="16"/>
        <w:rPr>
          <w:color w:val="auto"/>
        </w:rPr>
      </w:pPr>
      <w:r>
        <w:rPr>
          <w:color w:val="auto"/>
          <w:position w:val="-234"/>
        </w:rPr>
        <w:drawing>
          <wp:inline distT="0" distB="0" distL="0" distR="0">
            <wp:extent cx="5267960" cy="7444740"/>
            <wp:effectExtent l="0" t="0" r="0" b="381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14"/>
                    <a:stretch>
                      <a:fillRect/>
                    </a:stretch>
                  </pic:blipFill>
                  <pic:spPr>
                    <a:xfrm>
                      <a:off x="0" y="0"/>
                      <a:ext cx="5268467" cy="7444740"/>
                    </a:xfrm>
                    <a:prstGeom prst="rect">
                      <a:avLst/>
                    </a:prstGeom>
                  </pic:spPr>
                </pic:pic>
              </a:graphicData>
            </a:graphic>
          </wp:inline>
        </w:drawing>
      </w:r>
    </w:p>
    <w:p w14:paraId="2A76B10F">
      <w:pPr>
        <w:spacing w:line="11724"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77473E96">
      <w:pPr>
        <w:spacing w:line="11707" w:lineRule="exact"/>
        <w:ind w:firstLine="16"/>
        <w:rPr>
          <w:color w:val="auto"/>
        </w:rPr>
      </w:pPr>
      <w:r>
        <w:rPr>
          <w:color w:val="auto"/>
          <w:position w:val="-234"/>
        </w:rPr>
        <w:drawing>
          <wp:inline distT="0" distB="0" distL="0" distR="0">
            <wp:extent cx="5269865" cy="7433945"/>
            <wp:effectExtent l="0" t="0" r="8890" b="3810"/>
            <wp:docPr id="351" name="IM 150"/>
            <wp:cNvGraphicFramePr/>
            <a:graphic xmlns:a="http://schemas.openxmlformats.org/drawingml/2006/main">
              <a:graphicData uri="http://schemas.openxmlformats.org/drawingml/2006/picture">
                <pic:pic xmlns:pic="http://schemas.openxmlformats.org/drawingml/2006/picture">
                  <pic:nvPicPr>
                    <pic:cNvPr id="351" name="IM 150"/>
                    <pic:cNvPicPr/>
                  </pic:nvPicPr>
                  <pic:blipFill>
                    <a:blip r:embed="rId215"/>
                    <a:stretch>
                      <a:fillRect/>
                    </a:stretch>
                  </pic:blipFill>
                  <pic:spPr>
                    <a:xfrm>
                      <a:off x="0" y="0"/>
                      <a:ext cx="5269991" cy="7434071"/>
                    </a:xfrm>
                    <a:prstGeom prst="rect">
                      <a:avLst/>
                    </a:prstGeom>
                  </pic:spPr>
                </pic:pic>
              </a:graphicData>
            </a:graphic>
          </wp:inline>
        </w:drawing>
      </w:r>
    </w:p>
    <w:p w14:paraId="289755F4">
      <w:pPr>
        <w:spacing w:line="11707" w:lineRule="exact"/>
        <w:rPr>
          <w:color w:val="auto"/>
        </w:rPr>
        <w:sectPr>
          <w:pgSz w:w="11906" w:h="16839"/>
          <w:pgMar w:top="1106" w:right="1785" w:bottom="400" w:left="1785" w:header="850" w:footer="1134" w:gutter="0"/>
          <w:pgBorders>
            <w:top w:val="none" w:sz="0" w:space="0"/>
            <w:left w:val="none" w:sz="0" w:space="0"/>
            <w:bottom w:val="none" w:sz="0" w:space="0"/>
            <w:right w:val="none" w:sz="0" w:space="0"/>
          </w:pgBorders>
          <w:pgNumType w:fmt="decimal"/>
          <w:cols w:space="720" w:num="1"/>
        </w:sectPr>
      </w:pPr>
    </w:p>
    <w:p w14:paraId="2A68A256">
      <w:pPr>
        <w:spacing w:line="11707" w:lineRule="exact"/>
        <w:ind w:firstLine="16"/>
        <w:rPr>
          <w:color w:val="auto"/>
        </w:rPr>
      </w:pPr>
      <w:r>
        <w:rPr>
          <w:color w:val="auto"/>
          <w:position w:val="-234"/>
        </w:rPr>
        <w:drawing>
          <wp:inline distT="0" distB="0" distL="0" distR="0">
            <wp:extent cx="5269865" cy="7433945"/>
            <wp:effectExtent l="0" t="0" r="8890" b="3810"/>
            <wp:docPr id="352" name="IM 152"/>
            <wp:cNvGraphicFramePr/>
            <a:graphic xmlns:a="http://schemas.openxmlformats.org/drawingml/2006/main">
              <a:graphicData uri="http://schemas.openxmlformats.org/drawingml/2006/picture">
                <pic:pic xmlns:pic="http://schemas.openxmlformats.org/drawingml/2006/picture">
                  <pic:nvPicPr>
                    <pic:cNvPr id="352" name="IM 152"/>
                    <pic:cNvPicPr/>
                  </pic:nvPicPr>
                  <pic:blipFill>
                    <a:blip r:embed="rId216"/>
                    <a:stretch>
                      <a:fillRect/>
                    </a:stretch>
                  </pic:blipFill>
                  <pic:spPr>
                    <a:xfrm>
                      <a:off x="0" y="0"/>
                      <a:ext cx="5269991" cy="7434071"/>
                    </a:xfrm>
                    <a:prstGeom prst="rect">
                      <a:avLst/>
                    </a:prstGeom>
                  </pic:spPr>
                </pic:pic>
              </a:graphicData>
            </a:graphic>
          </wp:inline>
        </w:drawing>
      </w:r>
    </w:p>
    <w:p w14:paraId="344EAB16">
      <w:pPr>
        <w:spacing w:line="11707" w:lineRule="exact"/>
        <w:rPr>
          <w:color w:val="auto"/>
        </w:rPr>
        <w:sectPr>
          <w:pgSz w:w="11906" w:h="16839"/>
          <w:pgMar w:top="1106" w:right="1785" w:bottom="1440" w:left="1785" w:header="850" w:footer="1134" w:gutter="0"/>
          <w:pgBorders>
            <w:top w:val="none" w:sz="0" w:space="0"/>
            <w:left w:val="none" w:sz="0" w:space="0"/>
            <w:bottom w:val="none" w:sz="0" w:space="0"/>
            <w:right w:val="none" w:sz="0" w:space="0"/>
          </w:pgBorders>
          <w:pgNumType w:fmt="decimal"/>
          <w:cols w:space="720" w:num="1"/>
        </w:sectPr>
      </w:pPr>
    </w:p>
    <w:p w14:paraId="270A6F14">
      <w:pPr>
        <w:spacing w:line="11707" w:lineRule="exact"/>
        <w:ind w:firstLine="16"/>
        <w:rPr>
          <w:color w:val="auto"/>
        </w:rPr>
      </w:pPr>
      <w:r>
        <w:rPr>
          <w:color w:val="auto"/>
          <w:position w:val="-234"/>
        </w:rPr>
        <w:drawing>
          <wp:inline distT="0" distB="0" distL="0" distR="0">
            <wp:extent cx="5269865" cy="7433945"/>
            <wp:effectExtent l="0" t="0" r="8890" b="3810"/>
            <wp:docPr id="353" name="IM 154"/>
            <wp:cNvGraphicFramePr/>
            <a:graphic xmlns:a="http://schemas.openxmlformats.org/drawingml/2006/main">
              <a:graphicData uri="http://schemas.openxmlformats.org/drawingml/2006/picture">
                <pic:pic xmlns:pic="http://schemas.openxmlformats.org/drawingml/2006/picture">
                  <pic:nvPicPr>
                    <pic:cNvPr id="353" name="IM 154"/>
                    <pic:cNvPicPr/>
                  </pic:nvPicPr>
                  <pic:blipFill>
                    <a:blip r:embed="rId217"/>
                    <a:stretch>
                      <a:fillRect/>
                    </a:stretch>
                  </pic:blipFill>
                  <pic:spPr>
                    <a:xfrm>
                      <a:off x="0" y="0"/>
                      <a:ext cx="5269991" cy="7434071"/>
                    </a:xfrm>
                    <a:prstGeom prst="rect">
                      <a:avLst/>
                    </a:prstGeom>
                  </pic:spPr>
                </pic:pic>
              </a:graphicData>
            </a:graphic>
          </wp:inline>
        </w:drawing>
      </w:r>
    </w:p>
    <w:p w14:paraId="30F50D60">
      <w:pPr>
        <w:spacing w:line="11707" w:lineRule="exact"/>
        <w:rPr>
          <w:color w:val="auto"/>
        </w:rPr>
        <w:sectPr>
          <w:pgSz w:w="11906" w:h="16839"/>
          <w:pgMar w:top="1440" w:right="1440" w:bottom="1440" w:left="1440" w:header="850" w:footer="1134" w:gutter="0"/>
          <w:pgBorders>
            <w:top w:val="none" w:sz="0" w:space="0"/>
            <w:left w:val="none" w:sz="0" w:space="0"/>
            <w:bottom w:val="none" w:sz="0" w:space="0"/>
            <w:right w:val="none" w:sz="0" w:space="0"/>
          </w:pgBorders>
          <w:pgNumType w:fmt="decimal"/>
          <w:cols w:space="720" w:num="1"/>
        </w:sectPr>
      </w:pPr>
    </w:p>
    <w:p w14:paraId="6F7F986F">
      <w:pPr>
        <w:keepNext w:val="0"/>
        <w:keepLines w:val="0"/>
        <w:pageBreakBefore w:val="0"/>
        <w:widowControl w:val="0"/>
        <w:kinsoku/>
        <w:wordWrap/>
        <w:overflowPunct/>
        <w:topLinePunct w:val="0"/>
        <w:autoSpaceDE/>
        <w:autoSpaceDN/>
        <w:bidi w:val="0"/>
        <w:adjustRightInd/>
        <w:snapToGrid/>
        <w:spacing w:line="360" w:lineRule="auto"/>
        <w:ind w:firstLine="0"/>
        <w:textAlignment w:val="auto"/>
        <w:rPr>
          <w:color w:val="auto"/>
          <w:position w:val="-234"/>
        </w:rPr>
        <w:sectPr>
          <w:pgSz w:w="11906" w:h="16839"/>
          <w:pgMar w:top="1106" w:right="1785" w:bottom="1106" w:left="1785" w:header="850" w:footer="1134" w:gutter="0"/>
          <w:pgBorders>
            <w:top w:val="none" w:sz="0" w:space="0"/>
            <w:left w:val="none" w:sz="0" w:space="0"/>
            <w:bottom w:val="none" w:sz="0" w:space="0"/>
            <w:right w:val="none" w:sz="0" w:space="0"/>
          </w:pgBorders>
          <w:pgNumType w:fmt="decimal"/>
          <w:cols w:space="720" w:num="1"/>
        </w:sectPr>
      </w:pPr>
      <w:r>
        <w:rPr>
          <w:color w:val="auto"/>
          <w:position w:val="-234"/>
        </w:rPr>
        <w:drawing>
          <wp:inline distT="0" distB="0" distL="0" distR="0">
            <wp:extent cx="5267960" cy="7444740"/>
            <wp:effectExtent l="0" t="0" r="0" b="3810"/>
            <wp:docPr id="354" name="IM 156"/>
            <wp:cNvGraphicFramePr/>
            <a:graphic xmlns:a="http://schemas.openxmlformats.org/drawingml/2006/main">
              <a:graphicData uri="http://schemas.openxmlformats.org/drawingml/2006/picture">
                <pic:pic xmlns:pic="http://schemas.openxmlformats.org/drawingml/2006/picture">
                  <pic:nvPicPr>
                    <pic:cNvPr id="354" name="IM 156"/>
                    <pic:cNvPicPr/>
                  </pic:nvPicPr>
                  <pic:blipFill>
                    <a:blip r:embed="rId218"/>
                    <a:stretch>
                      <a:fillRect/>
                    </a:stretch>
                  </pic:blipFill>
                  <pic:spPr>
                    <a:xfrm>
                      <a:off x="0" y="0"/>
                      <a:ext cx="5268467" cy="7444740"/>
                    </a:xfrm>
                    <a:prstGeom prst="rect">
                      <a:avLst/>
                    </a:prstGeom>
                  </pic:spPr>
                </pic:pic>
              </a:graphicData>
            </a:graphic>
          </wp:inline>
        </w:drawing>
      </w:r>
    </w:p>
    <w:p w14:paraId="17210C9D">
      <w:pPr>
        <w:spacing w:line="240" w:lineRule="auto"/>
        <w:jc w:val="center"/>
        <w:rPr>
          <w:rFonts w:hint="eastAsia" w:ascii="Times New Roman" w:hAnsi="Times New Roman" w:cs="Times New Roman"/>
          <w:b/>
          <w:bCs/>
          <w:color w:val="auto"/>
          <w:sz w:val="24"/>
          <w:szCs w:val="24"/>
          <w:lang w:val="en-US" w:eastAsia="zh-CN"/>
        </w:rPr>
      </w:pPr>
      <w:r>
        <w:rPr>
          <w:color w:val="auto"/>
        </w:rPr>
        <w:drawing>
          <wp:inline distT="0" distB="0" distL="114300" distR="114300">
            <wp:extent cx="6788785" cy="5174615"/>
            <wp:effectExtent l="0" t="0" r="12065" b="6985"/>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pic:cNvPicPr>
                  </pic:nvPicPr>
                  <pic:blipFill>
                    <a:blip r:embed="rId219"/>
                    <a:stretch>
                      <a:fillRect/>
                    </a:stretch>
                  </pic:blipFill>
                  <pic:spPr>
                    <a:xfrm>
                      <a:off x="0" y="0"/>
                      <a:ext cx="6788785" cy="5174615"/>
                    </a:xfrm>
                    <a:prstGeom prst="rect">
                      <a:avLst/>
                    </a:prstGeom>
                    <a:noFill/>
                    <a:ln>
                      <a:noFill/>
                    </a:ln>
                  </pic:spPr>
                </pic:pic>
              </a:graphicData>
            </a:graphic>
          </wp:inline>
        </w:drawing>
      </w:r>
    </w:p>
    <w:p w14:paraId="431F87DA">
      <w:pPr>
        <w:pStyle w:val="3"/>
        <w:jc w:val="center"/>
        <w:rPr>
          <w:color w:val="auto"/>
        </w:rPr>
        <w:sectPr>
          <w:pgSz w:w="16838" w:h="11906" w:orient="landscape"/>
          <w:pgMar w:top="1417" w:right="1440" w:bottom="1440" w:left="1440" w:header="851" w:footer="1134" w:gutter="0"/>
          <w:pgBorders>
            <w:top w:val="none" w:sz="0" w:space="0"/>
            <w:left w:val="none" w:sz="0" w:space="0"/>
            <w:bottom w:val="none" w:sz="0" w:space="0"/>
            <w:right w:val="none" w:sz="0" w:space="0"/>
          </w:pgBorders>
          <w:pgNumType w:fmt="decimal"/>
          <w:cols w:space="720" w:num="1"/>
          <w:docGrid w:type="lines" w:linePitch="312" w:charSpace="0"/>
        </w:sectPr>
      </w:pPr>
      <w:bookmarkStart w:id="390" w:name="_Toc22347"/>
      <w:bookmarkStart w:id="391" w:name="_Toc17852"/>
      <w:bookmarkStart w:id="392" w:name="_Toc12901"/>
      <w:r>
        <w:rPr>
          <w:rFonts w:hint="eastAsia"/>
          <w:color w:val="auto"/>
        </w:rPr>
        <w:t>附图1  建设项目地理位置图</w:t>
      </w:r>
      <w:bookmarkEnd w:id="390"/>
      <w:bookmarkEnd w:id="391"/>
      <w:bookmarkEnd w:id="392"/>
    </w:p>
    <w:p w14:paraId="42732AD9">
      <w:pPr>
        <w:pStyle w:val="29"/>
        <w:spacing w:before="0" w:beforeAutospacing="0" w:after="0" w:afterAutospacing="0"/>
        <w:rPr>
          <w:color w:val="auto"/>
        </w:rPr>
      </w:pPr>
      <w:r>
        <w:rPr>
          <w:color w:val="auto"/>
        </w:rPr>
        <w:drawing>
          <wp:anchor distT="0" distB="0" distL="0" distR="0" simplePos="0" relativeHeight="251679744" behindDoc="0" locked="0" layoutInCell="1" allowOverlap="1">
            <wp:simplePos x="0" y="0"/>
            <wp:positionH relativeFrom="column">
              <wp:posOffset>7112635</wp:posOffset>
            </wp:positionH>
            <wp:positionV relativeFrom="paragraph">
              <wp:posOffset>7620</wp:posOffset>
            </wp:positionV>
            <wp:extent cx="572770" cy="664845"/>
            <wp:effectExtent l="0" t="0" r="17780" b="1905"/>
            <wp:wrapNone/>
            <wp:docPr id="388" name="IM 268"/>
            <wp:cNvGraphicFramePr/>
            <a:graphic xmlns:a="http://schemas.openxmlformats.org/drawingml/2006/main">
              <a:graphicData uri="http://schemas.openxmlformats.org/drawingml/2006/picture">
                <pic:pic xmlns:pic="http://schemas.openxmlformats.org/drawingml/2006/picture">
                  <pic:nvPicPr>
                    <pic:cNvPr id="388" name="IM 268"/>
                    <pic:cNvPicPr/>
                  </pic:nvPicPr>
                  <pic:blipFill>
                    <a:blip r:embed="rId220"/>
                    <a:stretch>
                      <a:fillRect/>
                    </a:stretch>
                  </pic:blipFill>
                  <pic:spPr>
                    <a:xfrm>
                      <a:off x="0" y="0"/>
                      <a:ext cx="572770" cy="664845"/>
                    </a:xfrm>
                    <a:prstGeom prst="rect">
                      <a:avLst/>
                    </a:prstGeom>
                  </pic:spPr>
                </pic:pic>
              </a:graphicData>
            </a:graphic>
          </wp:anchor>
        </w:drawing>
      </w:r>
      <w:r>
        <w:rPr>
          <w:color w:val="auto"/>
          <w:sz w:val="30"/>
        </w:rPr>
        <mc:AlternateContent>
          <mc:Choice Requires="wps">
            <w:drawing>
              <wp:anchor distT="0" distB="0" distL="114300" distR="114300" simplePos="0" relativeHeight="251671552" behindDoc="0" locked="0" layoutInCell="1" allowOverlap="1">
                <wp:simplePos x="0" y="0"/>
                <wp:positionH relativeFrom="column">
                  <wp:posOffset>3975100</wp:posOffset>
                </wp:positionH>
                <wp:positionV relativeFrom="paragraph">
                  <wp:posOffset>1904365</wp:posOffset>
                </wp:positionV>
                <wp:extent cx="490855" cy="285750"/>
                <wp:effectExtent l="0" t="0" r="0" b="0"/>
                <wp:wrapNone/>
                <wp:docPr id="44" name="文本框 44"/>
                <wp:cNvGraphicFramePr/>
                <a:graphic xmlns:a="http://schemas.openxmlformats.org/drawingml/2006/main">
                  <a:graphicData uri="http://schemas.microsoft.com/office/word/2010/wordprocessingShape">
                    <wps:wsp>
                      <wps:cNvSpPr txBox="1"/>
                      <wps:spPr>
                        <a:xfrm>
                          <a:off x="6539865" y="2358390"/>
                          <a:ext cx="490855"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CA362D6">
                            <w:pPr>
                              <w:rPr>
                                <w:rFonts w:hint="default" w:eastAsia="宋体"/>
                                <w:b/>
                                <w:bCs/>
                                <w:color w:val="auto"/>
                                <w:lang w:val="en-US" w:eastAsia="zh-CN"/>
                              </w:rPr>
                            </w:pPr>
                            <w:r>
                              <w:rPr>
                                <w:rFonts w:hint="eastAsia"/>
                                <w:b/>
                                <w:bCs/>
                                <w:color w:val="auto"/>
                                <w:lang w:val="en-US" w:eastAsia="zh-CN"/>
                              </w:rPr>
                              <w:t>山地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pt;margin-top:149.95pt;height:22.5pt;width:38.65pt;z-index:251671552;mso-width-relative:page;mso-height-relative:page;" fillcolor="#FFFFFF [3201]" filled="t" stroked="f" coordsize="21600,21600" o:gfxdata="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DHG7&#10;vNcAAAALAQAADwAAAAAAAAABACAAAAAiAAAAZHJzL2Rvd25yZXYueG1sUEsBAhQAFAAAAAgAh07i&#10;QHhQtd9cAgAAnAQAAA4AAAAAAAAAAQAgAAAAJgEAAGRycy9lMm9Eb2MueG1sUEsFBgAAAAAGAAYA&#10;WQEAAPQFAAAAAA==&#10;">
                <v:fill on="t" focussize="0,0"/>
                <v:stroke on="f" weight="0.5pt"/>
                <v:imagedata o:title=""/>
                <o:lock v:ext="edit" aspectratio="f"/>
                <v:textbox>
                  <w:txbxContent>
                    <w:p w14:paraId="2CA362D6">
                      <w:pPr>
                        <w:rPr>
                          <w:rFonts w:hint="default" w:eastAsia="宋体"/>
                          <w:b/>
                          <w:bCs/>
                          <w:color w:val="auto"/>
                          <w:lang w:val="en-US" w:eastAsia="zh-CN"/>
                        </w:rPr>
                      </w:pPr>
                      <w:r>
                        <w:rPr>
                          <w:rFonts w:hint="eastAsia"/>
                          <w:b/>
                          <w:bCs/>
                          <w:color w:val="auto"/>
                          <w:lang w:val="en-US" w:eastAsia="zh-CN"/>
                        </w:rPr>
                        <w:t>山地</w:t>
                      </w:r>
                    </w:p>
                  </w:txbxContent>
                </v:textbox>
              </v:shape>
            </w:pict>
          </mc:Fallback>
        </mc:AlternateContent>
      </w:r>
      <w:r>
        <w:rPr>
          <w:color w:val="auto"/>
          <w:sz w:val="30"/>
        </w:rPr>
        <mc:AlternateContent>
          <mc:Choice Requires="wps">
            <w:drawing>
              <wp:anchor distT="0" distB="0" distL="114300" distR="114300" simplePos="0" relativeHeight="251674624" behindDoc="0" locked="0" layoutInCell="1" allowOverlap="1">
                <wp:simplePos x="0" y="0"/>
                <wp:positionH relativeFrom="column">
                  <wp:posOffset>3052445</wp:posOffset>
                </wp:positionH>
                <wp:positionV relativeFrom="paragraph">
                  <wp:posOffset>2548890</wp:posOffset>
                </wp:positionV>
                <wp:extent cx="490855" cy="28575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490855"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8DFA4CA">
                            <w:pPr>
                              <w:rPr>
                                <w:rFonts w:hint="default" w:eastAsia="宋体"/>
                                <w:b/>
                                <w:bCs/>
                                <w:color w:val="auto"/>
                                <w:lang w:val="en-US" w:eastAsia="zh-CN"/>
                              </w:rPr>
                            </w:pPr>
                            <w:r>
                              <w:rPr>
                                <w:rFonts w:hint="eastAsia"/>
                                <w:b/>
                                <w:bCs/>
                                <w:color w:val="auto"/>
                                <w:lang w:val="en-US" w:eastAsia="zh-CN"/>
                              </w:rPr>
                              <w:t>山地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35pt;margin-top:200.7pt;height:22.5pt;width:38.65pt;z-index:251674624;mso-width-relative:page;mso-height-relative:page;" fillcolor="#FFFFFF [3201]" filled="t" stroked="f" coordsize="21600,21600" o:gfxdata="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43Y+tYAAAALAQAADwAA&#10;AAAAAAABACAAAAAiAAAAZHJzL2Rvd25yZXYueG1sUEsBAhQAFAAAAAgAh07iQBM9aUtRAgAAkAQA&#10;AA4AAAAAAAAAAQAgAAAAJQEAAGRycy9lMm9Eb2MueG1sUEsFBgAAAAAGAAYAWQEAAOgFAAAAAA==&#10;">
                <v:fill on="t" focussize="0,0"/>
                <v:stroke on="f" weight="0.5pt"/>
                <v:imagedata o:title=""/>
                <o:lock v:ext="edit" aspectratio="f"/>
                <v:textbox>
                  <w:txbxContent>
                    <w:p w14:paraId="68DFA4CA">
                      <w:pPr>
                        <w:rPr>
                          <w:rFonts w:hint="default" w:eastAsia="宋体"/>
                          <w:b/>
                          <w:bCs/>
                          <w:color w:val="auto"/>
                          <w:lang w:val="en-US" w:eastAsia="zh-CN"/>
                        </w:rPr>
                      </w:pPr>
                      <w:r>
                        <w:rPr>
                          <w:rFonts w:hint="eastAsia"/>
                          <w:b/>
                          <w:bCs/>
                          <w:color w:val="auto"/>
                          <w:lang w:val="en-US" w:eastAsia="zh-CN"/>
                        </w:rPr>
                        <w:t>山地</w:t>
                      </w:r>
                    </w:p>
                  </w:txbxContent>
                </v:textbox>
              </v:shape>
            </w:pict>
          </mc:Fallback>
        </mc:AlternateContent>
      </w:r>
      <w:r>
        <w:rPr>
          <w:color w:val="auto"/>
          <w:sz w:val="30"/>
        </w:rPr>
        <mc:AlternateContent>
          <mc:Choice Requires="wps">
            <w:drawing>
              <wp:anchor distT="0" distB="0" distL="114300" distR="114300" simplePos="0" relativeHeight="251677696" behindDoc="0" locked="0" layoutInCell="1" allowOverlap="1">
                <wp:simplePos x="0" y="0"/>
                <wp:positionH relativeFrom="column">
                  <wp:posOffset>3926205</wp:posOffset>
                </wp:positionH>
                <wp:positionV relativeFrom="paragraph">
                  <wp:posOffset>2647315</wp:posOffset>
                </wp:positionV>
                <wp:extent cx="660400" cy="267335"/>
                <wp:effectExtent l="4445" t="4445" r="20955" b="13970"/>
                <wp:wrapNone/>
                <wp:docPr id="60" name="文本框 60"/>
                <wp:cNvGraphicFramePr/>
                <a:graphic xmlns:a="http://schemas.openxmlformats.org/drawingml/2006/main">
                  <a:graphicData uri="http://schemas.microsoft.com/office/word/2010/wordprocessingShape">
                    <wps:wsp>
                      <wps:cNvSpPr txBox="1"/>
                      <wps:spPr>
                        <a:xfrm>
                          <a:off x="5257165" y="3729990"/>
                          <a:ext cx="660400" cy="2673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F6C8AB7">
                            <w:pPr>
                              <w:rPr>
                                <w:rFonts w:hint="eastAsia" w:eastAsia="宋体"/>
                                <w:b/>
                                <w:bCs/>
                                <w:lang w:val="en-US" w:eastAsia="zh-CN"/>
                              </w:rPr>
                            </w:pPr>
                            <w:r>
                              <w:rPr>
                                <w:rFonts w:hint="eastAsia"/>
                                <w:b/>
                                <w:bCs/>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15pt;margin-top:208.45pt;height:21.05pt;width:52pt;z-index:251677696;mso-width-relative:page;mso-height-relative:page;" fillcolor="#FFFFFF [3201]" filled="t" stroked="t" coordsize="21600,21600" o:gfxdata="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isnEHXAAAACwEAAA8AAAAAAAAAAQAgAAAAIgAAAGRycy9kb3ducmV2LnhtbFBLAQIUABQA&#10;AAAIAIdO4kCzznkNYwIAAMQEAAAOAAAAAAAAAAEAIAAAACYBAABkcnMvZTJvRG9jLnhtbFBLBQYA&#10;AAAABgAGAFkBAAD7BQAAAAA=&#10;">
                <v:fill on="t" focussize="0,0"/>
                <v:stroke weight="0.5pt" color="#000000 [3204]" joinstyle="round"/>
                <v:imagedata o:title=""/>
                <o:lock v:ext="edit" aspectratio="f"/>
                <v:textbox>
                  <w:txbxContent>
                    <w:p w14:paraId="3F6C8AB7">
                      <w:pPr>
                        <w:rPr>
                          <w:rFonts w:hint="eastAsia" w:eastAsia="宋体"/>
                          <w:b/>
                          <w:bCs/>
                          <w:lang w:val="en-US" w:eastAsia="zh-CN"/>
                        </w:rPr>
                      </w:pPr>
                      <w:r>
                        <w:rPr>
                          <w:rFonts w:hint="eastAsia"/>
                          <w:b/>
                          <w:bCs/>
                          <w:lang w:val="en-US" w:eastAsia="zh-CN"/>
                        </w:rPr>
                        <w:t>本项目</w:t>
                      </w:r>
                    </w:p>
                  </w:txbxContent>
                </v:textbox>
              </v:shape>
            </w:pict>
          </mc:Fallback>
        </mc:AlternateContent>
      </w:r>
      <w:r>
        <w:rPr>
          <w:color w:val="auto"/>
          <w:sz w:val="30"/>
        </w:rPr>
        <mc:AlternateContent>
          <mc:Choice Requires="wps">
            <w:drawing>
              <wp:anchor distT="0" distB="0" distL="114300" distR="114300" simplePos="0" relativeHeight="251675648" behindDoc="0" locked="0" layoutInCell="1" allowOverlap="1">
                <wp:simplePos x="0" y="0"/>
                <wp:positionH relativeFrom="column">
                  <wp:posOffset>3112135</wp:posOffset>
                </wp:positionH>
                <wp:positionV relativeFrom="paragraph">
                  <wp:posOffset>1379855</wp:posOffset>
                </wp:positionV>
                <wp:extent cx="490855" cy="28575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490855"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D33D5EF">
                            <w:pPr>
                              <w:rPr>
                                <w:rFonts w:hint="default" w:eastAsia="宋体"/>
                                <w:b/>
                                <w:bCs/>
                                <w:color w:val="auto"/>
                                <w:lang w:val="en-US" w:eastAsia="zh-CN"/>
                              </w:rPr>
                            </w:pPr>
                            <w:r>
                              <w:rPr>
                                <w:rFonts w:hint="eastAsia"/>
                                <w:b/>
                                <w:bCs/>
                                <w:color w:val="auto"/>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05pt;margin-top:108.65pt;height:22.5pt;width:38.65pt;z-index:251675648;mso-width-relative:page;mso-height-relative:page;" fillcolor="#FFFFFF [3201]" filled="t" stroked="f" coordsize="21600,21600" o:gfxdata="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wblSTXAAAACwEAAA8A&#10;AAAAAAAAAQAgAAAAIgAAAGRycy9kb3ducmV2LnhtbFBLAQIUABQAAAAIAIdO4kAzoAvuUQIAAJAE&#10;AAAOAAAAAAAAAAEAIAAAACYBAABkcnMvZTJvRG9jLnhtbFBLBQYAAAAABgAGAFkBAADpBQAAAAA=&#10;">
                <v:fill on="t" focussize="0,0"/>
                <v:stroke on="f" weight="0.5pt"/>
                <v:imagedata o:title=""/>
                <o:lock v:ext="edit" aspectratio="f"/>
                <v:textbox>
                  <w:txbxContent>
                    <w:p w14:paraId="2D33D5EF">
                      <w:pPr>
                        <w:rPr>
                          <w:rFonts w:hint="default" w:eastAsia="宋体"/>
                          <w:b/>
                          <w:bCs/>
                          <w:color w:val="auto"/>
                          <w:lang w:val="en-US" w:eastAsia="zh-CN"/>
                        </w:rPr>
                      </w:pPr>
                      <w:r>
                        <w:rPr>
                          <w:rFonts w:hint="eastAsia"/>
                          <w:b/>
                          <w:bCs/>
                          <w:color w:val="auto"/>
                          <w:lang w:val="en-US" w:eastAsia="zh-CN"/>
                        </w:rPr>
                        <w:t>空地</w:t>
                      </w:r>
                    </w:p>
                  </w:txbxContent>
                </v:textbox>
              </v:shape>
            </w:pict>
          </mc:Fallback>
        </mc:AlternateContent>
      </w:r>
      <w:r>
        <w:rPr>
          <w:color w:val="auto"/>
          <w:sz w:val="30"/>
        </w:rPr>
        <mc:AlternateContent>
          <mc:Choice Requires="wps">
            <w:drawing>
              <wp:anchor distT="0" distB="0" distL="114300" distR="114300" simplePos="0" relativeHeight="251673600" behindDoc="0" locked="0" layoutInCell="1" allowOverlap="1">
                <wp:simplePos x="0" y="0"/>
                <wp:positionH relativeFrom="column">
                  <wp:posOffset>5253355</wp:posOffset>
                </wp:positionH>
                <wp:positionV relativeFrom="paragraph">
                  <wp:posOffset>1867535</wp:posOffset>
                </wp:positionV>
                <wp:extent cx="490855" cy="28575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490855"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50CE55F">
                            <w:pPr>
                              <w:rPr>
                                <w:rFonts w:hint="default" w:eastAsia="宋体"/>
                                <w:b/>
                                <w:bCs/>
                                <w:color w:val="auto"/>
                                <w:lang w:val="en-US" w:eastAsia="zh-CN"/>
                              </w:rPr>
                            </w:pPr>
                            <w:r>
                              <w:rPr>
                                <w:rFonts w:hint="eastAsia"/>
                                <w:b/>
                                <w:bCs/>
                                <w:color w:val="auto"/>
                                <w:lang w:val="en-US" w:eastAsia="zh-CN"/>
                              </w:rPr>
                              <w:t>山地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65pt;margin-top:147.05pt;height:22.5pt;width:38.65pt;z-index:251673600;mso-width-relative:page;mso-height-relative:page;" fillcolor="#FFFFFF [3201]" filled="t" stroked="f" coordsize="21600,21600" o:gfxdata="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Grzq7XAAAACwEAAA8A&#10;AAAAAAAAAQAgAAAAIgAAAGRycy9kb3ducmV2LnhtbFBLAQIUABQAAAAIAIdO4kC2GOWsUQIAAJAE&#10;AAAOAAAAAAAAAAEAIAAAACYBAABkcnMvZTJvRG9jLnhtbFBLBQYAAAAABgAGAFkBAADpBQAAAAA=&#10;">
                <v:fill on="t" focussize="0,0"/>
                <v:stroke on="f" weight="0.5pt"/>
                <v:imagedata o:title=""/>
                <o:lock v:ext="edit" aspectratio="f"/>
                <v:textbox>
                  <w:txbxContent>
                    <w:p w14:paraId="250CE55F">
                      <w:pPr>
                        <w:rPr>
                          <w:rFonts w:hint="default" w:eastAsia="宋体"/>
                          <w:b/>
                          <w:bCs/>
                          <w:color w:val="auto"/>
                          <w:lang w:val="en-US" w:eastAsia="zh-CN"/>
                        </w:rPr>
                      </w:pPr>
                      <w:r>
                        <w:rPr>
                          <w:rFonts w:hint="eastAsia"/>
                          <w:b/>
                          <w:bCs/>
                          <w:color w:val="auto"/>
                          <w:lang w:val="en-US" w:eastAsia="zh-CN"/>
                        </w:rPr>
                        <w:t>山地</w:t>
                      </w:r>
                    </w:p>
                  </w:txbxContent>
                </v:textbox>
              </v:shape>
            </w:pict>
          </mc:Fallback>
        </mc:AlternateContent>
      </w:r>
      <w:r>
        <w:rPr>
          <w:color w:val="auto"/>
          <w:sz w:val="30"/>
        </w:rPr>
        <mc:AlternateContent>
          <mc:Choice Requires="wps">
            <w:drawing>
              <wp:anchor distT="0" distB="0" distL="114300" distR="114300" simplePos="0" relativeHeight="251672576" behindDoc="0" locked="0" layoutInCell="1" allowOverlap="1">
                <wp:simplePos x="0" y="0"/>
                <wp:positionH relativeFrom="column">
                  <wp:posOffset>5135245</wp:posOffset>
                </wp:positionH>
                <wp:positionV relativeFrom="paragraph">
                  <wp:posOffset>264160</wp:posOffset>
                </wp:positionV>
                <wp:extent cx="490855" cy="28575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490855"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CB4D906">
                            <w:pPr>
                              <w:rPr>
                                <w:rFonts w:hint="default" w:eastAsia="宋体"/>
                                <w:b/>
                                <w:bCs/>
                                <w:color w:val="auto"/>
                                <w:lang w:val="en-US" w:eastAsia="zh-CN"/>
                              </w:rPr>
                            </w:pPr>
                            <w:r>
                              <w:rPr>
                                <w:rFonts w:hint="eastAsia"/>
                                <w:b/>
                                <w:bCs/>
                                <w:color w:val="auto"/>
                                <w:lang w:val="en-US" w:eastAsia="zh-CN"/>
                              </w:rPr>
                              <w:t>山地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4.35pt;margin-top:20.8pt;height:22.5pt;width:38.65pt;z-index:251672576;mso-width-relative:page;mso-height-relative:page;" fillcolor="#FFFFFF [3201]" filled="t" stroked="f" coordsize="21600,21600" o:gfxdata="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efRUl9QAAAAJAQAADwAAAAAA&#10;AAABACAAAAAiAAAAZHJzL2Rvd25yZXYueG1sUEsBAhQAFAAAAAgAh07iQLckUT1QAgAAkAQAAA4A&#10;AAAAAAAAAQAgAAAAIwEAAGRycy9lMm9Eb2MueG1sUEsFBgAAAAAGAAYAWQEAAOUFAAAAAA==&#10;">
                <v:fill on="t" focussize="0,0"/>
                <v:stroke on="f" weight="0.5pt"/>
                <v:imagedata o:title=""/>
                <o:lock v:ext="edit" aspectratio="f"/>
                <v:textbox>
                  <w:txbxContent>
                    <w:p w14:paraId="3CB4D906">
                      <w:pPr>
                        <w:rPr>
                          <w:rFonts w:hint="default" w:eastAsia="宋体"/>
                          <w:b/>
                          <w:bCs/>
                          <w:color w:val="auto"/>
                          <w:lang w:val="en-US" w:eastAsia="zh-CN"/>
                        </w:rPr>
                      </w:pPr>
                      <w:r>
                        <w:rPr>
                          <w:rFonts w:hint="eastAsia"/>
                          <w:b/>
                          <w:bCs/>
                          <w:color w:val="auto"/>
                          <w:lang w:val="en-US" w:eastAsia="zh-CN"/>
                        </w:rPr>
                        <w:t>山地</w:t>
                      </w:r>
                    </w:p>
                  </w:txbxContent>
                </v:textbox>
              </v:shape>
            </w:pict>
          </mc:Fallback>
        </mc:AlternateContent>
      </w:r>
      <w:r>
        <w:rPr>
          <w:color w:val="auto"/>
          <w:sz w:val="30"/>
        </w:rPr>
        <mc:AlternateContent>
          <mc:Choice Requires="wps">
            <w:drawing>
              <wp:anchor distT="0" distB="0" distL="114300" distR="114300" simplePos="0" relativeHeight="251676672" behindDoc="0" locked="0" layoutInCell="1" allowOverlap="1">
                <wp:simplePos x="0" y="0"/>
                <wp:positionH relativeFrom="column">
                  <wp:posOffset>3969385</wp:posOffset>
                </wp:positionH>
                <wp:positionV relativeFrom="paragraph">
                  <wp:posOffset>3830320</wp:posOffset>
                </wp:positionV>
                <wp:extent cx="763270" cy="28575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76327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FA63016">
                            <w:pPr>
                              <w:rPr>
                                <w:rFonts w:hint="default" w:eastAsia="宋体"/>
                                <w:b/>
                                <w:bCs/>
                                <w:color w:val="auto"/>
                                <w:lang w:val="en-US" w:eastAsia="zh-CN"/>
                              </w:rPr>
                            </w:pPr>
                            <w:r>
                              <w:rPr>
                                <w:rFonts w:hint="eastAsia"/>
                                <w:b/>
                                <w:bCs/>
                                <w:color w:val="auto"/>
                                <w:lang w:val="en-US" w:eastAsia="zh-CN"/>
                              </w:rPr>
                              <w:t>辽宁红山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55pt;margin-top:301.6pt;height:22.5pt;width:60.1pt;z-index:251676672;mso-width-relative:page;mso-height-relative:page;" fillcolor="#FFFFFF [3201]" filled="t" stroked="f" coordsize="21600,21600" o:gfxdata="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cEZc1gAAAAsBAAAPAAAA&#10;AAAAAAEAIAAAACIAAABkcnMvZG93bnJldi54bWxQSwECFAAUAAAACACHTuJA/GsEjFACAACQBAAA&#10;DgAAAAAAAAABACAAAAAlAQAAZHJzL2Uyb0RvYy54bWxQSwUGAAAAAAYABgBZAQAA5wUAAAAA&#10;">
                <v:fill on="t" focussize="0,0"/>
                <v:stroke on="f" weight="0.5pt"/>
                <v:imagedata o:title=""/>
                <o:lock v:ext="edit" aspectratio="f"/>
                <v:textbox>
                  <w:txbxContent>
                    <w:p w14:paraId="1FA63016">
                      <w:pPr>
                        <w:rPr>
                          <w:rFonts w:hint="default" w:eastAsia="宋体"/>
                          <w:b/>
                          <w:bCs/>
                          <w:color w:val="auto"/>
                          <w:lang w:val="en-US" w:eastAsia="zh-CN"/>
                        </w:rPr>
                      </w:pPr>
                      <w:r>
                        <w:rPr>
                          <w:rFonts w:hint="eastAsia"/>
                          <w:b/>
                          <w:bCs/>
                          <w:color w:val="auto"/>
                          <w:lang w:val="en-US" w:eastAsia="zh-CN"/>
                        </w:rPr>
                        <w:t>辽宁红山</w:t>
                      </w:r>
                    </w:p>
                  </w:txbxContent>
                </v:textbox>
              </v:shape>
            </w:pict>
          </mc:Fallback>
        </mc:AlternateContent>
      </w:r>
      <w:r>
        <w:rPr>
          <w:color w:val="auto"/>
        </w:rPr>
        <w:drawing>
          <wp:inline distT="0" distB="0" distL="114300" distR="114300">
            <wp:extent cx="6884035" cy="5096510"/>
            <wp:effectExtent l="0" t="0" r="12065" b="8890"/>
            <wp:docPr id="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
                    <pic:cNvPicPr>
                      <a:picLocks noChangeAspect="1"/>
                    </pic:cNvPicPr>
                  </pic:nvPicPr>
                  <pic:blipFill>
                    <a:blip r:embed="rId221"/>
                    <a:stretch>
                      <a:fillRect/>
                    </a:stretch>
                  </pic:blipFill>
                  <pic:spPr>
                    <a:xfrm>
                      <a:off x="0" y="0"/>
                      <a:ext cx="6884035" cy="5096510"/>
                    </a:xfrm>
                    <a:prstGeom prst="rect">
                      <a:avLst/>
                    </a:prstGeom>
                    <a:noFill/>
                    <a:ln>
                      <a:noFill/>
                    </a:ln>
                  </pic:spPr>
                </pic:pic>
              </a:graphicData>
            </a:graphic>
          </wp:inline>
        </w:drawing>
      </w:r>
    </w:p>
    <w:p w14:paraId="194CF185">
      <w:pPr>
        <w:pStyle w:val="3"/>
        <w:jc w:val="center"/>
        <w:rPr>
          <w:rFonts w:hint="eastAsia" w:eastAsia="宋体"/>
          <w:color w:val="auto"/>
          <w:lang w:val="en-US" w:eastAsia="zh-CN"/>
        </w:rPr>
        <w:sectPr>
          <w:footerReference r:id="rId19" w:type="default"/>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bookmarkStart w:id="393" w:name="_Toc6175"/>
      <w:bookmarkStart w:id="394" w:name="_Toc18702"/>
      <w:bookmarkStart w:id="395" w:name="_Toc13239"/>
      <w:r>
        <w:rPr>
          <w:rFonts w:hint="eastAsia" w:eastAsia="宋体"/>
          <w:color w:val="auto"/>
          <w:lang w:val="en-US" w:eastAsia="zh-CN"/>
        </w:rPr>
        <w:t>附图2  项目四邻情况图</w:t>
      </w:r>
      <w:bookmarkEnd w:id="393"/>
      <w:bookmarkEnd w:id="394"/>
      <w:bookmarkEnd w:id="395"/>
    </w:p>
    <w:p w14:paraId="66BA6B9C">
      <w:pPr>
        <w:pStyle w:val="41"/>
        <w:ind w:left="0" w:leftChars="0" w:firstLine="0" w:firstLineChars="0"/>
        <w:rPr>
          <w:color w:val="auto"/>
        </w:rPr>
      </w:pPr>
      <w:r>
        <w:rPr>
          <w:color w:val="auto"/>
        </w:rPr>
        <w:drawing>
          <wp:inline distT="0" distB="0" distL="114300" distR="114300">
            <wp:extent cx="5667375" cy="6108700"/>
            <wp:effectExtent l="0" t="0" r="9525" b="635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222"/>
                    <a:stretch>
                      <a:fillRect/>
                    </a:stretch>
                  </pic:blipFill>
                  <pic:spPr>
                    <a:xfrm>
                      <a:off x="0" y="0"/>
                      <a:ext cx="5667375" cy="6108700"/>
                    </a:xfrm>
                    <a:prstGeom prst="rect">
                      <a:avLst/>
                    </a:prstGeom>
                    <a:noFill/>
                    <a:ln>
                      <a:noFill/>
                    </a:ln>
                  </pic:spPr>
                </pic:pic>
              </a:graphicData>
            </a:graphic>
          </wp:inline>
        </w:drawing>
      </w:r>
    </w:p>
    <w:p w14:paraId="7DF23B36">
      <w:pPr>
        <w:jc w:val="center"/>
        <w:outlineLvl w:val="1"/>
        <w:rPr>
          <w:rFonts w:hint="default" w:ascii="Times New Roman" w:hAnsi="Times New Roman" w:eastAsia="宋体" w:cs="Times New Roman"/>
          <w:b/>
          <w:color w:val="auto"/>
          <w:kern w:val="2"/>
          <w:sz w:val="24"/>
          <w:szCs w:val="24"/>
          <w:lang w:val="en-US" w:eastAsia="zh-CN" w:bidi="ar-SA"/>
        </w:rPr>
        <w:sectPr>
          <w:pgSz w:w="11905" w:h="16838"/>
          <w:pgMar w:top="1701" w:right="1531" w:bottom="1701" w:left="1531" w:header="851" w:footer="1134" w:gutter="0"/>
          <w:pgBorders>
            <w:top w:val="none" w:sz="0" w:space="0"/>
            <w:left w:val="none" w:sz="0" w:space="0"/>
            <w:bottom w:val="none" w:sz="0" w:space="0"/>
            <w:right w:val="none" w:sz="0" w:space="0"/>
          </w:pgBorders>
          <w:pgNumType w:fmt="decimal"/>
          <w:cols w:space="720" w:num="1"/>
          <w:docGrid w:linePitch="312" w:charSpace="0"/>
        </w:sectPr>
      </w:pPr>
      <w:bookmarkStart w:id="396" w:name="_Toc27492"/>
      <w:bookmarkStart w:id="397" w:name="_Toc28742"/>
      <w:bookmarkStart w:id="398" w:name="_Toc21869"/>
      <w:r>
        <w:rPr>
          <w:rFonts w:hint="eastAsia" w:ascii="Times New Roman" w:hAnsi="Times New Roman" w:eastAsia="宋体" w:cs="Times New Roman"/>
          <w:b/>
          <w:color w:val="auto"/>
          <w:kern w:val="2"/>
          <w:sz w:val="24"/>
          <w:szCs w:val="24"/>
          <w:lang w:val="en-US" w:eastAsia="zh-CN" w:bidi="ar-SA"/>
        </w:rPr>
        <w:t>附图3  本</w:t>
      </w:r>
      <w:r>
        <w:rPr>
          <w:rFonts w:hint="default" w:ascii="Times New Roman" w:hAnsi="Times New Roman" w:eastAsia="宋体" w:cs="Times New Roman"/>
          <w:b/>
          <w:color w:val="auto"/>
          <w:kern w:val="2"/>
          <w:sz w:val="24"/>
          <w:szCs w:val="24"/>
          <w:lang w:val="en-US" w:eastAsia="zh-CN" w:bidi="ar-SA"/>
        </w:rPr>
        <w:t>项目</w:t>
      </w:r>
      <w:r>
        <w:rPr>
          <w:rFonts w:hint="eastAsia" w:ascii="Times New Roman" w:hAnsi="Times New Roman" w:eastAsia="宋体" w:cs="Times New Roman"/>
          <w:b/>
          <w:color w:val="auto"/>
          <w:kern w:val="2"/>
          <w:sz w:val="24"/>
          <w:szCs w:val="24"/>
          <w:lang w:val="en-US" w:eastAsia="zh-CN" w:bidi="ar-SA"/>
        </w:rPr>
        <w:t>厂区平面</w:t>
      </w:r>
      <w:r>
        <w:rPr>
          <w:rFonts w:hint="default" w:ascii="Times New Roman" w:hAnsi="Times New Roman" w:eastAsia="宋体" w:cs="Times New Roman"/>
          <w:b/>
          <w:color w:val="auto"/>
          <w:kern w:val="2"/>
          <w:sz w:val="24"/>
          <w:szCs w:val="24"/>
          <w:lang w:val="en-US" w:eastAsia="zh-CN" w:bidi="ar-SA"/>
        </w:rPr>
        <w:t>布置图</w:t>
      </w:r>
      <w:bookmarkEnd w:id="396"/>
      <w:bookmarkEnd w:id="397"/>
      <w:bookmarkEnd w:id="398"/>
    </w:p>
    <w:p w14:paraId="4634322E">
      <w:pPr>
        <w:jc w:val="center"/>
        <w:outlineLvl w:val="9"/>
        <w:rPr>
          <w:rFonts w:hint="eastAsia" w:ascii="Times New Roman" w:hAnsi="Times New Roman" w:eastAsia="宋体" w:cs="Times New Roman"/>
          <w:color w:val="auto"/>
        </w:rPr>
      </w:pPr>
      <w:r>
        <w:rPr>
          <w:color w:val="auto"/>
        </w:rPr>
        <w:drawing>
          <wp:inline distT="0" distB="0" distL="114300" distR="114300">
            <wp:extent cx="8526145" cy="4850130"/>
            <wp:effectExtent l="0" t="0" r="8255" b="7620"/>
            <wp:docPr id="3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22"/>
                    <pic:cNvPicPr>
                      <a:picLocks noChangeAspect="1"/>
                    </pic:cNvPicPr>
                  </pic:nvPicPr>
                  <pic:blipFill>
                    <a:blip r:embed="rId223"/>
                    <a:stretch>
                      <a:fillRect/>
                    </a:stretch>
                  </pic:blipFill>
                  <pic:spPr>
                    <a:xfrm>
                      <a:off x="0" y="0"/>
                      <a:ext cx="8526145" cy="4850130"/>
                    </a:xfrm>
                    <a:prstGeom prst="rect">
                      <a:avLst/>
                    </a:prstGeom>
                    <a:noFill/>
                    <a:ln>
                      <a:noFill/>
                    </a:ln>
                  </pic:spPr>
                </pic:pic>
              </a:graphicData>
            </a:graphic>
          </wp:inline>
        </w:drawing>
      </w:r>
    </w:p>
    <w:p w14:paraId="12751E43">
      <w:pPr>
        <w:pStyle w:val="3"/>
        <w:jc w:val="center"/>
        <w:rPr>
          <w:rFonts w:hint="default" w:ascii="Times New Roman" w:hAnsi="Times New Roman" w:eastAsia="宋体" w:cs="Times New Roman"/>
          <w:color w:val="auto"/>
          <w:lang w:val="en-US" w:eastAsia="zh-CN"/>
        </w:rPr>
      </w:pPr>
      <w:bookmarkStart w:id="399" w:name="_Toc5696"/>
      <w:bookmarkStart w:id="400" w:name="_Toc2704"/>
      <w:bookmarkStart w:id="401" w:name="_Toc17384"/>
      <w:r>
        <w:rPr>
          <w:rFonts w:hint="eastAsia" w:ascii="Times New Roman" w:hAnsi="Times New Roman" w:eastAsia="宋体" w:cs="Times New Roman"/>
          <w:color w:val="auto"/>
        </w:rPr>
        <w:t>附图</w:t>
      </w:r>
      <w:r>
        <w:rPr>
          <w:rFonts w:hint="eastAsia" w:cs="Times New Roman"/>
          <w:color w:val="auto"/>
          <w:lang w:val="en-US" w:eastAsia="zh-CN"/>
        </w:rPr>
        <w:t>4</w:t>
      </w:r>
      <w:r>
        <w:rPr>
          <w:rFonts w:hint="eastAsia" w:ascii="Times New Roman" w:hAnsi="Times New Roman" w:eastAsia="宋体" w:cs="Times New Roman"/>
          <w:color w:val="auto"/>
          <w:lang w:val="en-US" w:eastAsia="zh-CN"/>
        </w:rPr>
        <w:t xml:space="preserve">  </w:t>
      </w:r>
      <w:r>
        <w:rPr>
          <w:rFonts w:hint="eastAsia" w:cs="Times New Roman"/>
          <w:color w:val="auto"/>
          <w:lang w:val="en-US" w:eastAsia="zh-CN"/>
        </w:rPr>
        <w:t>扩建后</w:t>
      </w:r>
      <w:r>
        <w:rPr>
          <w:rFonts w:hint="eastAsia" w:ascii="Times New Roman" w:hAnsi="Times New Roman" w:eastAsia="宋体" w:cs="Times New Roman"/>
          <w:color w:val="auto"/>
        </w:rPr>
        <w:t>总平面布置图</w:t>
      </w:r>
      <w:bookmarkEnd w:id="399"/>
      <w:bookmarkEnd w:id="400"/>
      <w:bookmarkEnd w:id="401"/>
    </w:p>
    <w:p w14:paraId="64CA938A">
      <w:pPr>
        <w:pStyle w:val="3"/>
        <w:jc w:val="center"/>
        <w:rPr>
          <w:rFonts w:hint="eastAsia" w:ascii="Times New Roman" w:hAnsi="Times New Roman" w:eastAsia="宋体" w:cs="Times New Roman"/>
          <w:color w:val="auto"/>
        </w:rPr>
        <w:sectPr>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p>
    <w:p w14:paraId="268E79CF">
      <w:pPr>
        <w:jc w:val="center"/>
        <w:outlineLvl w:val="9"/>
        <w:rPr>
          <w:rFonts w:hint="eastAsia" w:ascii="Times New Roman" w:hAnsi="Times New Roman" w:eastAsia="宋体" w:cs="Times New Roman"/>
          <w:color w:val="auto"/>
          <w:highlight w:val="yellow"/>
          <w:lang w:val="en-US" w:eastAsia="zh-CN"/>
        </w:rPr>
      </w:pPr>
      <w:r>
        <w:rPr>
          <w:color w:val="auto"/>
        </w:rPr>
        <w:drawing>
          <wp:inline distT="0" distB="0" distL="114300" distR="114300">
            <wp:extent cx="8526145" cy="4850130"/>
            <wp:effectExtent l="0" t="0" r="8255" b="7620"/>
            <wp:docPr id="37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23"/>
                    <pic:cNvPicPr>
                      <a:picLocks noChangeAspect="1"/>
                    </pic:cNvPicPr>
                  </pic:nvPicPr>
                  <pic:blipFill>
                    <a:blip r:embed="rId223"/>
                    <a:stretch>
                      <a:fillRect/>
                    </a:stretch>
                  </pic:blipFill>
                  <pic:spPr>
                    <a:xfrm>
                      <a:off x="0" y="0"/>
                      <a:ext cx="8526145" cy="4850130"/>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4850765</wp:posOffset>
                </wp:positionH>
                <wp:positionV relativeFrom="paragraph">
                  <wp:posOffset>1012825</wp:posOffset>
                </wp:positionV>
                <wp:extent cx="80645" cy="29210"/>
                <wp:effectExtent l="8890" t="25400" r="24765" b="40640"/>
                <wp:wrapNone/>
                <wp:docPr id="177" name="直接连接符 177"/>
                <wp:cNvGraphicFramePr/>
                <a:graphic xmlns:a="http://schemas.openxmlformats.org/drawingml/2006/main">
                  <a:graphicData uri="http://schemas.microsoft.com/office/word/2010/wordprocessingShape">
                    <wps:wsp>
                      <wps:cNvCnPr/>
                      <wps:spPr>
                        <a:xfrm flipV="1">
                          <a:off x="5954395" y="2047875"/>
                          <a:ext cx="80645" cy="29210"/>
                        </a:xfrm>
                        <a:prstGeom prst="line">
                          <a:avLst/>
                        </a:prstGeom>
                        <a:ln w="57150">
                          <a:solidFill>
                            <a:srgbClr val="FFC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81.95pt;margin-top:79.75pt;height:2.3pt;width:6.35pt;z-index:251689984;mso-width-relative:page;mso-height-relative:page;" filled="f" stroked="t" coordsize="21600,21600" o:gfxdata="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Q/1VytsAAAALAQAADwAAAAAAAAABACAAAAAiAAAAZHJzL2Rvd25yZXYueG1s&#10;UEsBAhQAFAAAAAgAh07iQHl+ymr1AQAAtwMAAA4AAAAAAAAAAQAgAAAAKgEAAGRycy9lMm9Eb2Mu&#10;eG1sUEsFBgAAAAAGAAYAWQEAAJEFAAAAAA==&#10;">
                <v:fill on="f" focussize="0,0"/>
                <v:stroke weight="4.5pt" color="#FFC000 [3204]" joinstyle="round"/>
                <v:imagedata o:title=""/>
                <o:lock v:ext="edit" aspectratio="f"/>
              </v:line>
            </w:pict>
          </mc:Fallback>
        </mc:AlternateContent>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5372735</wp:posOffset>
                </wp:positionH>
                <wp:positionV relativeFrom="paragraph">
                  <wp:posOffset>640080</wp:posOffset>
                </wp:positionV>
                <wp:extent cx="23495" cy="82550"/>
                <wp:effectExtent l="27305" t="7620" r="44450" b="24130"/>
                <wp:wrapNone/>
                <wp:docPr id="178" name="直接连接符 178"/>
                <wp:cNvGraphicFramePr/>
                <a:graphic xmlns:a="http://schemas.openxmlformats.org/drawingml/2006/main">
                  <a:graphicData uri="http://schemas.microsoft.com/office/word/2010/wordprocessingShape">
                    <wps:wsp>
                      <wps:cNvCnPr/>
                      <wps:spPr>
                        <a:xfrm>
                          <a:off x="0" y="0"/>
                          <a:ext cx="23495" cy="82550"/>
                        </a:xfrm>
                        <a:prstGeom prst="line">
                          <a:avLst/>
                        </a:prstGeom>
                        <a:ln w="57150">
                          <a:solidFill>
                            <a:srgbClr val="FFC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23.05pt;margin-top:50.4pt;height:6.5pt;width:1.85pt;z-index:251687936;mso-width-relative:page;mso-height-relative:page;" filled="f" stroked="t" coordsize="21600,21600" o:gfxdata="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yoxYe2QAAAAsB&#10;AAAPAAAAAAAAAAEAIAAAACIAAABkcnMvZG93bnJldi54bWxQSwECFAAUAAAACACHTuJAB7Ash+EB&#10;AAChAwAADgAAAAAAAAABACAAAAAoAQAAZHJzL2Uyb0RvYy54bWxQSwUGAAAAAAYABgBZAQAAewUA&#10;AAAA&#10;">
                <v:fill on="f" focussize="0,0"/>
                <v:stroke weight="4.5pt" color="#FFC000 [3204]" joinstyle="round"/>
                <v:imagedata o:title=""/>
                <o:lock v:ext="edit" aspectratio="f"/>
              </v:line>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1568450</wp:posOffset>
                </wp:positionH>
                <wp:positionV relativeFrom="paragraph">
                  <wp:posOffset>1878330</wp:posOffset>
                </wp:positionV>
                <wp:extent cx="84455" cy="292735"/>
                <wp:effectExtent l="66675" t="7620" r="77470" b="23495"/>
                <wp:wrapNone/>
                <wp:docPr id="7" name="矩形 7"/>
                <wp:cNvGraphicFramePr/>
                <a:graphic xmlns:a="http://schemas.openxmlformats.org/drawingml/2006/main">
                  <a:graphicData uri="http://schemas.microsoft.com/office/word/2010/wordprocessingShape">
                    <wps:wsp>
                      <wps:cNvSpPr/>
                      <wps:spPr>
                        <a:xfrm rot="1620000">
                          <a:off x="2701290" y="2876550"/>
                          <a:ext cx="84455" cy="292735"/>
                        </a:xfrm>
                        <a:prstGeom prst="rect">
                          <a:avLst/>
                        </a:prstGeom>
                        <a:solidFill>
                          <a:srgbClr val="FB57F5"/>
                        </a:solidFill>
                        <a:ln w="9525"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3.5pt;margin-top:147.9pt;height:23.05pt;width:6.65pt;rotation:1769472f;z-index:251699200;v-text-anchor:middle;mso-width-relative:page;mso-height-relative:page;" fillcolor="#FB57F5" filled="t" stroked="t" coordsize="21600,21600" o:gfxdata="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VlQU3cAAAACwEA&#10;AA8AAAAAAAAAAQAgAAAAIgAAAGRycy9kb3ducmV2LnhtbFBLAQIUABQAAAAIAIdO4kDgf40miAIA&#10;AA0FAAAOAAAAAAAAAAEAIAAAACsBAABkcnMvZTJvRG9jLnhtbFBLBQYAAAAABgAGAFkBAAAlBgAA&#10;AAA=&#10;">
                <v:fill on="t" focussize="0,0"/>
                <v:stroke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1708785</wp:posOffset>
                </wp:positionH>
                <wp:positionV relativeFrom="paragraph">
                  <wp:posOffset>1748155</wp:posOffset>
                </wp:positionV>
                <wp:extent cx="86360" cy="88900"/>
                <wp:effectExtent l="21590" t="20955" r="25400" b="23495"/>
                <wp:wrapNone/>
                <wp:docPr id="169" name="矩形 169"/>
                <wp:cNvGraphicFramePr/>
                <a:graphic xmlns:a="http://schemas.openxmlformats.org/drawingml/2006/main">
                  <a:graphicData uri="http://schemas.microsoft.com/office/word/2010/wordprocessingShape">
                    <wps:wsp>
                      <wps:cNvSpPr/>
                      <wps:spPr>
                        <a:xfrm rot="1920000">
                          <a:off x="0" y="0"/>
                          <a:ext cx="86360" cy="88900"/>
                        </a:xfrm>
                        <a:prstGeom prst="rect">
                          <a:avLst/>
                        </a:prstGeom>
                        <a:solidFill>
                          <a:srgbClr val="FFC000"/>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55pt;margin-top:137.65pt;height:7pt;width:6.8pt;rotation:2097152f;z-index:251686912;v-text-anchor:middle;mso-width-relative:page;mso-height-relative:page;" fillcolor="#FFC000" filled="t" stroked="t" coordsize="21600,21600" o:gfxdata="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f114qdcAAAALAQAADwAAAAAAAAABACAAAAAiAAAA&#10;ZHJzL2Rvd25yZXYueG1sUEsBAhQAFAAAAAgAh07iQHjdUDh6AgAABAUAAA4AAAAAAAAAAQAgAAAA&#10;JgEAAGRycy9lMm9Eb2MueG1sUEsFBgAAAAAGAAYAWQEAABIGA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759616" behindDoc="0" locked="0" layoutInCell="1" allowOverlap="1">
                <wp:simplePos x="0" y="0"/>
                <wp:positionH relativeFrom="column">
                  <wp:posOffset>3641725</wp:posOffset>
                </wp:positionH>
                <wp:positionV relativeFrom="paragraph">
                  <wp:posOffset>1392555</wp:posOffset>
                </wp:positionV>
                <wp:extent cx="76200" cy="76200"/>
                <wp:effectExtent l="20320" t="20320" r="36830" b="36830"/>
                <wp:wrapNone/>
                <wp:docPr id="238" name="矩形 238"/>
                <wp:cNvGraphicFramePr/>
                <a:graphic xmlns:a="http://schemas.openxmlformats.org/drawingml/2006/main">
                  <a:graphicData uri="http://schemas.microsoft.com/office/word/2010/wordprocessingShape">
                    <wps:wsp>
                      <wps:cNvSpPr/>
                      <wps:spPr>
                        <a:xfrm rot="2580000">
                          <a:off x="0" y="0"/>
                          <a:ext cx="76200" cy="76200"/>
                        </a:xfrm>
                        <a:prstGeom prst="rect">
                          <a:avLst/>
                        </a:prstGeom>
                        <a:solidFill>
                          <a:srgbClr val="FFC000"/>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75pt;margin-top:109.65pt;height:6pt;width:6pt;rotation:2818048f;z-index:251759616;v-text-anchor:middle;mso-width-relative:page;mso-height-relative:page;" fillcolor="#FFC000" filled="t" stroked="t" coordsize="21600,21600" o:gfxdata="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gMfWs9gAAAALAQAADwAAAAAAAAABACAAAAAiAAAAZHJz&#10;L2Rvd25yZXYueG1sUEsBAhQAFAAAAAgAh07iQN3M7NN2AgAABAUAAA4AAAAAAAAAAQAgAAAAJwEA&#10;AGRycy9lMm9Eb2MueG1sUEsFBgAAAAAGAAYAWQEAAA8GA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4730115</wp:posOffset>
                </wp:positionH>
                <wp:positionV relativeFrom="paragraph">
                  <wp:posOffset>1152525</wp:posOffset>
                </wp:positionV>
                <wp:extent cx="111125" cy="95885"/>
                <wp:effectExtent l="14605" t="16510" r="26670" b="20955"/>
                <wp:wrapNone/>
                <wp:docPr id="166" name="文本框 166"/>
                <wp:cNvGraphicFramePr/>
                <a:graphic xmlns:a="http://schemas.openxmlformats.org/drawingml/2006/main">
                  <a:graphicData uri="http://schemas.microsoft.com/office/word/2010/wordprocessingShape">
                    <wps:wsp>
                      <wps:cNvSpPr txBox="1"/>
                      <wps:spPr>
                        <a:xfrm rot="20760000">
                          <a:off x="5821045" y="2211070"/>
                          <a:ext cx="111125" cy="95885"/>
                        </a:xfrm>
                        <a:prstGeom prst="rect">
                          <a:avLst/>
                        </a:prstGeom>
                        <a:solidFill>
                          <a:srgbClr val="22E4E2"/>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C4D57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2.45pt;margin-top:90.75pt;height:7.55pt;width:8.75pt;rotation:-917504f;z-index:251683840;mso-width-relative:page;mso-height-relative:page;" fillcolor="#22E4E2" filled="t" stroked="t" coordsize="21600,21600" o:gfxdata="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ELF3rZAAAACwEAAA8AAAAAAAAAAQAgAAAAIgAAAGRycy9kb3ducmV2&#10;LnhtbFBLAQIUABQAAAAIAIdO4kDyMRmDbQIAANQEAAAOAAAAAAAAAAEAIAAAACgBAABkcnMvZTJv&#10;RG9jLnhtbFBLBQYAAAAABgAGAFkBAAAHBgAAAAA=&#10;">
                <v:fill on="t" focussize="0,0"/>
                <v:stroke weight="0.5pt" color="#000000 [3204]" joinstyle="round"/>
                <v:imagedata o:title=""/>
                <o:lock v:ext="edit" aspectratio="f"/>
                <v:textbox>
                  <w:txbxContent>
                    <w:p w14:paraId="1C4D571B"/>
                  </w:txbxContent>
                </v:textbox>
              </v:shap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5123180</wp:posOffset>
                </wp:positionH>
                <wp:positionV relativeFrom="paragraph">
                  <wp:posOffset>901065</wp:posOffset>
                </wp:positionV>
                <wp:extent cx="99695" cy="91440"/>
                <wp:effectExtent l="16510" t="17780" r="17145" b="24130"/>
                <wp:wrapNone/>
                <wp:docPr id="13" name="文本框 13"/>
                <wp:cNvGraphicFramePr/>
                <a:graphic xmlns:a="http://schemas.openxmlformats.org/drawingml/2006/main">
                  <a:graphicData uri="http://schemas.microsoft.com/office/word/2010/wordprocessingShape">
                    <wps:wsp>
                      <wps:cNvSpPr txBox="1"/>
                      <wps:spPr>
                        <a:xfrm rot="20520000">
                          <a:off x="0" y="0"/>
                          <a:ext cx="99695" cy="91440"/>
                        </a:xfrm>
                        <a:prstGeom prst="rect">
                          <a:avLst/>
                        </a:prstGeom>
                        <a:solidFill>
                          <a:srgbClr val="22E4E2"/>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E035A5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3.4pt;margin-top:70.95pt;height:7.2pt;width:7.85pt;rotation:-1179648f;z-index:251700224;mso-width-relative:page;mso-height-relative:page;" fillcolor="#22E4E2" filled="t" stroked="t" coordsize="21600,21600" o:gfxdata="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IuDwDaAAAACwEAAA8AAAAAAAAAAQAgAAAAIgAAAGRycy9kb3ducmV2LnhtbFBLAQIU&#10;ABQAAAAIAIdO4kClBuiEYwIAAMUEAAAOAAAAAAAAAAEAIAAAACkBAABkcnMvZTJvRG9jLnhtbFBL&#10;BQYAAAAABgAGAFkBAAD+BQAAAAA=&#10;">
                <v:fill on="t" focussize="0,0"/>
                <v:stroke weight="0.5pt" color="#000000 [3204]" joinstyle="round"/>
                <v:imagedata o:title=""/>
                <o:lock v:ext="edit" aspectratio="f"/>
                <v:textbox>
                  <w:txbxContent>
                    <w:p w14:paraId="6E035A5D"/>
                  </w:txbxContent>
                </v:textbox>
              </v:shape>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5031740</wp:posOffset>
                </wp:positionH>
                <wp:positionV relativeFrom="paragraph">
                  <wp:posOffset>912495</wp:posOffset>
                </wp:positionV>
                <wp:extent cx="448945" cy="238125"/>
                <wp:effectExtent l="4445" t="4445" r="22860" b="5080"/>
                <wp:wrapNone/>
                <wp:docPr id="33" name="任意多边形 33"/>
                <wp:cNvGraphicFramePr/>
                <a:graphic xmlns:a="http://schemas.openxmlformats.org/drawingml/2006/main">
                  <a:graphicData uri="http://schemas.microsoft.com/office/word/2010/wordprocessingShape">
                    <wps:wsp>
                      <wps:cNvSpPr/>
                      <wps:spPr>
                        <a:xfrm>
                          <a:off x="6128385" y="1951355"/>
                          <a:ext cx="448945" cy="238125"/>
                        </a:xfrm>
                        <a:custGeom>
                          <a:avLst/>
                          <a:gdLst>
                            <a:gd name="connisteX0" fmla="*/ 0 w 422910"/>
                            <a:gd name="connsiteY0" fmla="*/ 127000 h 238125"/>
                            <a:gd name="connisteX1" fmla="*/ 407035 w 422910"/>
                            <a:gd name="connsiteY1" fmla="*/ 0 h 238125"/>
                            <a:gd name="connisteX2" fmla="*/ 422910 w 422910"/>
                            <a:gd name="connsiteY2" fmla="*/ 95250 h 238125"/>
                            <a:gd name="connisteX3" fmla="*/ 259080 w 422910"/>
                            <a:gd name="connsiteY3" fmla="*/ 132715 h 238125"/>
                            <a:gd name="connisteX4" fmla="*/ 254000 w 422910"/>
                            <a:gd name="connsiteY4" fmla="*/ 180340 h 238125"/>
                            <a:gd name="connisteX5" fmla="*/ 36830 w 422910"/>
                            <a:gd name="connsiteY5" fmla="*/ 238125 h 238125"/>
                            <a:gd name="connisteX6" fmla="*/ 0 w 422910"/>
                            <a:gd name="connsiteY6" fmla="*/ 127000 h 2381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22910" h="238125">
                              <a:moveTo>
                                <a:pt x="0" y="127000"/>
                              </a:moveTo>
                              <a:lnTo>
                                <a:pt x="407035" y="0"/>
                              </a:lnTo>
                              <a:lnTo>
                                <a:pt x="422910" y="95250"/>
                              </a:lnTo>
                              <a:lnTo>
                                <a:pt x="259080" y="132715"/>
                              </a:lnTo>
                              <a:lnTo>
                                <a:pt x="254000" y="180340"/>
                              </a:lnTo>
                              <a:lnTo>
                                <a:pt x="36830" y="238125"/>
                              </a:lnTo>
                              <a:lnTo>
                                <a:pt x="0" y="127000"/>
                              </a:lnTo>
                              <a:close/>
                            </a:path>
                          </a:pathLst>
                        </a:custGeom>
                        <a:solidFill>
                          <a:srgbClr val="FFC000"/>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396.2pt;margin-top:71.85pt;height:18.75pt;width:35.35pt;z-index:251697152;v-text-anchor:middle;mso-width-relative:page;mso-height-relative:page;" fillcolor="#FFC000" filled="t" stroked="t" coordsize="422910,238125" o:gfxdata="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" path="m0,127000l407035,0,422910,95250,259080,132715,254000,180340,36830,238125,0,127000xe">
                <v:path o:connectlocs="0,127000;432092,0;448945,95250;275029,132715;269636,180340;39097,238125;0,127000" o:connectangles="0,0,0,0,0,0,0"/>
                <v:fill on="t" focussize="0,0"/>
                <v:stroke color="#000000 [3213]"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5692775</wp:posOffset>
                </wp:positionH>
                <wp:positionV relativeFrom="paragraph">
                  <wp:posOffset>815340</wp:posOffset>
                </wp:positionV>
                <wp:extent cx="168910" cy="75565"/>
                <wp:effectExtent l="12065" t="26670" r="28575" b="31115"/>
                <wp:wrapNone/>
                <wp:docPr id="181" name="矩形 181"/>
                <wp:cNvGraphicFramePr/>
                <a:graphic xmlns:a="http://schemas.openxmlformats.org/drawingml/2006/main">
                  <a:graphicData uri="http://schemas.microsoft.com/office/word/2010/wordprocessingShape">
                    <wps:wsp>
                      <wps:cNvSpPr/>
                      <wps:spPr>
                        <a:xfrm rot="20640000">
                          <a:off x="6782435" y="1851025"/>
                          <a:ext cx="168910" cy="75565"/>
                        </a:xfrm>
                        <a:prstGeom prst="rect">
                          <a:avLst/>
                        </a:prstGeom>
                        <a:solidFill>
                          <a:srgbClr val="22E4E2"/>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8.25pt;margin-top:64.2pt;height:5.95pt;width:13.3pt;rotation:-1048576f;z-index:251692032;v-text-anchor:middle;mso-width-relative:page;mso-height-relative:page;" fillcolor="#22E4E2" filled="t" stroked="t" coordsize="21600,21600" o:gfxdata="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vkY2wAA&#10;AAsBAAAPAAAAAAAAAAEAIAAAACIAAABkcnMvZG93bnJldi54bWxQSwECFAAUAAAACACHTuJA51NT&#10;jo0CAAASBQAADgAAAAAAAAABACAAAAAqAQAAZHJzL2Uyb0RvYy54bWxQSwUGAAAAAAYABgBZAQAA&#10;KQY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5817235</wp:posOffset>
                </wp:positionH>
                <wp:positionV relativeFrom="paragraph">
                  <wp:posOffset>283210</wp:posOffset>
                </wp:positionV>
                <wp:extent cx="95250" cy="220345"/>
                <wp:effectExtent l="4445" t="4445" r="14605" b="22860"/>
                <wp:wrapNone/>
                <wp:docPr id="180" name="矩形 180"/>
                <wp:cNvGraphicFramePr/>
                <a:graphic xmlns:a="http://schemas.openxmlformats.org/drawingml/2006/main">
                  <a:graphicData uri="http://schemas.microsoft.com/office/word/2010/wordprocessingShape">
                    <wps:wsp>
                      <wps:cNvSpPr/>
                      <wps:spPr>
                        <a:xfrm>
                          <a:off x="6892290" y="1323340"/>
                          <a:ext cx="95250" cy="220345"/>
                        </a:xfrm>
                        <a:prstGeom prst="rect">
                          <a:avLst/>
                        </a:prstGeom>
                        <a:solidFill>
                          <a:srgbClr val="FFC000"/>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8.05pt;margin-top:22.3pt;height:17.35pt;width:7.5pt;z-index:251691008;v-text-anchor:middle;mso-width-relative:page;mso-height-relative:page;" fillcolor="#FFC000" filled="t" stroked="t" coordsize="21600,21600" o:gfxdata="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Qtlt1NkAAAAJAQAADwAAAAAAAAABACAA&#10;AAAiAAAAZHJzL2Rvd25yZXYueG1sUEsBAhQAFAAAAAgAh07iQLVsEEl+AgAAAwUAAA4AAAAAAAAA&#10;AQAgAAAAKAEAAGRycy9lMm9Eb2MueG1sUEsFBgAAAAAGAAYAWQEAABgGA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2894330</wp:posOffset>
                </wp:positionH>
                <wp:positionV relativeFrom="paragraph">
                  <wp:posOffset>2415540</wp:posOffset>
                </wp:positionV>
                <wp:extent cx="76200" cy="76200"/>
                <wp:effectExtent l="19685" t="19685" r="37465" b="37465"/>
                <wp:wrapNone/>
                <wp:docPr id="171" name="矩形 171"/>
                <wp:cNvGraphicFramePr/>
                <a:graphic xmlns:a="http://schemas.openxmlformats.org/drawingml/2006/main">
                  <a:graphicData uri="http://schemas.microsoft.com/office/word/2010/wordprocessingShape">
                    <wps:wsp>
                      <wps:cNvSpPr/>
                      <wps:spPr>
                        <a:xfrm rot="2100000">
                          <a:off x="0" y="0"/>
                          <a:ext cx="76200" cy="76200"/>
                        </a:xfrm>
                        <a:prstGeom prst="rect">
                          <a:avLst/>
                        </a:prstGeom>
                        <a:solidFill>
                          <a:srgbClr val="FFC000"/>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9pt;margin-top:190.2pt;height:6pt;width:6pt;rotation:2293760f;z-index:251688960;v-text-anchor:middle;mso-width-relative:page;mso-height-relative:page;" fillcolor="#FFC000" filled="t" stroked="t" coordsize="21600,21600" o:gfxdata="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&#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Xv78rZAAAACwEAAA8AAAAAAAAAAQAgAAAAIgAAAGRy&#10;cy9kb3ducmV2LnhtbFBLAQIUABQAAAAIAIdO4kBUWhN2dgIAAAQFAAAOAAAAAAAAAAEAIAAAACgB&#10;AABkcnMvZTJvRG9jLnhtbFBLBQYAAAAABgAGAFkBAAAQBg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3347085</wp:posOffset>
                </wp:positionH>
                <wp:positionV relativeFrom="paragraph">
                  <wp:posOffset>1576070</wp:posOffset>
                </wp:positionV>
                <wp:extent cx="76200" cy="76200"/>
                <wp:effectExtent l="7620" t="7620" r="11430" b="11430"/>
                <wp:wrapNone/>
                <wp:docPr id="168" name="矩形 168"/>
                <wp:cNvGraphicFramePr/>
                <a:graphic xmlns:a="http://schemas.openxmlformats.org/drawingml/2006/main">
                  <a:graphicData uri="http://schemas.microsoft.com/office/word/2010/wordprocessingShape">
                    <wps:wsp>
                      <wps:cNvSpPr/>
                      <wps:spPr>
                        <a:xfrm rot="240000">
                          <a:off x="0" y="0"/>
                          <a:ext cx="76200" cy="76200"/>
                        </a:xfrm>
                        <a:prstGeom prst="rect">
                          <a:avLst/>
                        </a:prstGeom>
                        <a:solidFill>
                          <a:srgbClr val="FFC000"/>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55pt;margin-top:124.1pt;height:6pt;width:6pt;rotation:262144f;z-index:251685888;v-text-anchor:middle;mso-width-relative:page;mso-height-relative:page;" fillcolor="#FFC000" filled="t" stroked="t" coordsize="21600,21600" o:gfxdata="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oyS2I2AAAAAsBAAAPAAAAAAAAAAEAIAAAACIAAABkcnMv&#10;ZG93bnJldi54bWxQSwECFAAUAAAACACHTuJAz4/cbHUCAAADBQAADgAAAAAAAAABACAAAAAnAQAA&#10;ZHJzL2Uyb0RvYy54bWxQSwUGAAAAAAYABgBZAQAADgY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3541395</wp:posOffset>
                </wp:positionH>
                <wp:positionV relativeFrom="paragraph">
                  <wp:posOffset>1609725</wp:posOffset>
                </wp:positionV>
                <wp:extent cx="86360" cy="94615"/>
                <wp:effectExtent l="14605" t="13970" r="32385" b="24765"/>
                <wp:wrapNone/>
                <wp:docPr id="167" name="矩形 167"/>
                <wp:cNvGraphicFramePr/>
                <a:graphic xmlns:a="http://schemas.openxmlformats.org/drawingml/2006/main">
                  <a:graphicData uri="http://schemas.microsoft.com/office/word/2010/wordprocessingShape">
                    <wps:wsp>
                      <wps:cNvSpPr/>
                      <wps:spPr>
                        <a:xfrm rot="840000">
                          <a:off x="4635500" y="2655570"/>
                          <a:ext cx="86360" cy="94615"/>
                        </a:xfrm>
                        <a:prstGeom prst="rect">
                          <a:avLst/>
                        </a:prstGeom>
                        <a:solidFill>
                          <a:srgbClr val="FFC000"/>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85pt;margin-top:126.75pt;height:7.45pt;width:6.8pt;rotation:917504f;z-index:251684864;v-text-anchor:middle;mso-width-relative:page;mso-height-relative:page;" fillcolor="#FFC000" filled="t" stroked="t" coordsize="21600,21600" o:gfxdata="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9XSJ5toAAAALAQAADwAA&#10;AAAAAAABACAAAAAiAAAAZHJzL2Rvd25yZXYueG1sUEsBAhQAFAAAAAgAh07iQAaIv0uGAgAADwUA&#10;AA4AAAAAAAAAAQAgAAAAKQEAAGRycy9lMm9Eb2MueG1sUEsFBgAAAAAGAAYAWQEAACEGA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5451475</wp:posOffset>
                </wp:positionH>
                <wp:positionV relativeFrom="paragraph">
                  <wp:posOffset>443865</wp:posOffset>
                </wp:positionV>
                <wp:extent cx="92075" cy="130810"/>
                <wp:effectExtent l="4445" t="4445" r="17780" b="17145"/>
                <wp:wrapNone/>
                <wp:docPr id="164" name="文本框 164"/>
                <wp:cNvGraphicFramePr/>
                <a:graphic xmlns:a="http://schemas.openxmlformats.org/drawingml/2006/main">
                  <a:graphicData uri="http://schemas.microsoft.com/office/word/2010/wordprocessingShape">
                    <wps:wsp>
                      <wps:cNvSpPr txBox="1"/>
                      <wps:spPr>
                        <a:xfrm>
                          <a:off x="6522085" y="1532890"/>
                          <a:ext cx="92075" cy="130810"/>
                        </a:xfrm>
                        <a:prstGeom prst="rect">
                          <a:avLst/>
                        </a:prstGeom>
                        <a:solidFill>
                          <a:srgbClr val="FFC000"/>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A8084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25pt;margin-top:34.95pt;height:10.3pt;width:7.25pt;z-index:251682816;mso-width-relative:page;mso-height-relative:page;" fillcolor="#FFC000" filled="t" stroked="t" coordsize="21600,21600" o:gfxdata="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ROoVdgAAAAJAQAADwAAAAAAAAABACAAAAAiAAAAZHJzL2Rvd25yZXYueG1sUEsB&#10;AhQAFAAAAAgAh07iQInPO2lnAgAAxQQAAA4AAAAAAAAAAQAgAAAAJwEAAGRycy9lMm9Eb2MueG1s&#10;UEsFBgAAAAAGAAYAWQEAAAAGAAAAAA==&#10;">
                <v:fill on="t" focussize="0,0"/>
                <v:stroke weight="0.5pt" color="#000000 [3204]" joinstyle="round"/>
                <v:imagedata o:title=""/>
                <o:lock v:ext="edit" aspectratio="f"/>
                <v:textbox>
                  <w:txbxContent>
                    <w:p w14:paraId="0A80841B"/>
                  </w:txbxContent>
                </v:textbox>
              </v:shape>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5563870</wp:posOffset>
                </wp:positionH>
                <wp:positionV relativeFrom="paragraph">
                  <wp:posOffset>450215</wp:posOffset>
                </wp:positionV>
                <wp:extent cx="99695" cy="91440"/>
                <wp:effectExtent l="4445" t="5080" r="10160" b="17780"/>
                <wp:wrapNone/>
                <wp:docPr id="163" name="文本框 163"/>
                <wp:cNvGraphicFramePr/>
                <a:graphic xmlns:a="http://schemas.openxmlformats.org/drawingml/2006/main">
                  <a:graphicData uri="http://schemas.microsoft.com/office/word/2010/wordprocessingShape">
                    <wps:wsp>
                      <wps:cNvSpPr txBox="1"/>
                      <wps:spPr>
                        <a:xfrm>
                          <a:off x="6617335" y="1501140"/>
                          <a:ext cx="99695" cy="91440"/>
                        </a:xfrm>
                        <a:prstGeom prst="rect">
                          <a:avLst/>
                        </a:prstGeom>
                        <a:solidFill>
                          <a:srgbClr val="FFC000"/>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661E9C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8.1pt;margin-top:35.45pt;height:7.2pt;width:7.85pt;z-index:251681792;mso-width-relative:page;mso-height-relative:page;" fillcolor="#FFC000" filled="t" stroked="t" coordsize="21600,21600" o:gfxdata="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xwZd9gAAAAJAQAADwAAAAAAAAABACAAAAAiAAAAZHJzL2Rvd25yZXYueG1sUEsBAhQA&#10;FAAAAAgAh07iQCsZd51kAgAAxAQAAA4AAAAAAAAAAQAgAAAAJwEAAGRycy9lMm9Eb2MueG1sUEsF&#10;BgAAAAAGAAYAWQEAAP0FAAAAAA==&#10;">
                <v:fill on="t" focussize="0,0"/>
                <v:stroke weight="0.5pt" color="#000000 [3204]" joinstyle="round"/>
                <v:imagedata o:title=""/>
                <o:lock v:ext="edit" aspectratio="f"/>
                <v:textbox>
                  <w:txbxContent>
                    <w:p w14:paraId="1661E9C4"/>
                  </w:txbxContent>
                </v:textbox>
              </v:shape>
            </w:pict>
          </mc:Fallback>
        </mc:AlternateContent>
      </w: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6452235</wp:posOffset>
                </wp:positionH>
                <wp:positionV relativeFrom="paragraph">
                  <wp:posOffset>4693920</wp:posOffset>
                </wp:positionV>
                <wp:extent cx="212725" cy="102235"/>
                <wp:effectExtent l="4445" t="4445" r="11430" b="7620"/>
                <wp:wrapNone/>
                <wp:docPr id="186" name="矩形 186"/>
                <wp:cNvGraphicFramePr/>
                <a:graphic xmlns:a="http://schemas.openxmlformats.org/drawingml/2006/main">
                  <a:graphicData uri="http://schemas.microsoft.com/office/word/2010/wordprocessingShape">
                    <wps:wsp>
                      <wps:cNvSpPr/>
                      <wps:spPr>
                        <a:xfrm>
                          <a:off x="0" y="0"/>
                          <a:ext cx="212725" cy="102235"/>
                        </a:xfrm>
                        <a:prstGeom prst="rect">
                          <a:avLst/>
                        </a:prstGeom>
                        <a:solidFill>
                          <a:srgbClr val="22E4E2"/>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8.05pt;margin-top:369.6pt;height:8.05pt;width:16.75pt;z-index:251695104;v-text-anchor:middle;mso-width-relative:page;mso-height-relative:page;" fillcolor="#22E4E2" filled="t" stroked="t" coordsize="21600,21600" o:gfxdata="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gCDHG1wAAAA0BAAAPAAAAAAAAAAEAIAAAACIAAABkcnMv&#10;ZG93bnJldi54bWxQSwECFAAUAAAACACHTuJAG/3YpnYCAAD4BAAADgAAAAAAAAABACAAAAAmAQAA&#10;ZHJzL2Uyb0RvYy54bWxQSwUGAAAAAAYABgBZAQAADgYAAAAA&#10;">
                <v:fill on="t" focussize="0,0"/>
                <v:stroke weight="0.5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5365115</wp:posOffset>
                </wp:positionH>
                <wp:positionV relativeFrom="paragraph">
                  <wp:posOffset>4688205</wp:posOffset>
                </wp:positionV>
                <wp:extent cx="212725" cy="102235"/>
                <wp:effectExtent l="4445" t="4445" r="11430" b="7620"/>
                <wp:wrapNone/>
                <wp:docPr id="183" name="矩形 183"/>
                <wp:cNvGraphicFramePr/>
                <a:graphic xmlns:a="http://schemas.openxmlformats.org/drawingml/2006/main">
                  <a:graphicData uri="http://schemas.microsoft.com/office/word/2010/wordprocessingShape">
                    <wps:wsp>
                      <wps:cNvSpPr/>
                      <wps:spPr>
                        <a:xfrm>
                          <a:off x="7471410" y="5673725"/>
                          <a:ext cx="212725" cy="102235"/>
                        </a:xfrm>
                        <a:prstGeom prst="rect">
                          <a:avLst/>
                        </a:prstGeom>
                        <a:solidFill>
                          <a:srgbClr val="FFC000"/>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txbx>
                        <w:txbxContent>
                          <w:p w14:paraId="7582234D">
                            <w:pPr>
                              <w:jc w:val="center"/>
                              <w:rPr>
                                <w:rFonts w:hint="eastAsia" w:eastAsia="宋体"/>
                                <w:lang w:val="en-US" w:eastAsia="zh-CN"/>
                              </w:rPr>
                            </w:pPr>
                            <w:r>
                              <w:rPr>
                                <w:rFonts w:hint="eastAsia"/>
                                <w:lang w:val="en-US" w:eastAsia="zh-CN"/>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2.45pt;margin-top:369.15pt;height:8.05pt;width:16.75pt;z-index:251694080;v-text-anchor:middle;mso-width-relative:page;mso-height-relative:page;" fillcolor="#FFC000" filled="t" stroked="t" coordsize="21600,21600" o:gfxdata="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h70sL2wAAAAsB&#10;AAAPAAAAAAAAAAEAIAAAACIAAABkcnMvZG93bnJldi54bWxQSwECFAAUAAAACACHTuJAqjBFL4oC&#10;AAAPBQAADgAAAAAAAAABACAAAAAqAQAAZHJzL2Uyb0RvYy54bWxQSwUGAAAAAAYABgBZAQAAJgYA&#10;AAAA&#10;">
                <v:fill on="t" focussize="0,0"/>
                <v:stroke weight="0.5pt" color="#000000 [3213]" joinstyle="round" endarrow="open"/>
                <v:imagedata o:title=""/>
                <o:lock v:ext="edit" aspectratio="f"/>
                <v:textbox>
                  <w:txbxContent>
                    <w:p w14:paraId="7582234D">
                      <w:pPr>
                        <w:jc w:val="center"/>
                        <w:rPr>
                          <w:rFonts w:hint="eastAsia" w:eastAsia="宋体"/>
                          <w:lang w:val="en-US" w:eastAsia="zh-CN"/>
                        </w:rPr>
                      </w:pPr>
                      <w:r>
                        <w:rPr>
                          <w:rFonts w:hint="eastAsia"/>
                          <w:lang w:val="en-US" w:eastAsia="zh-CN"/>
                        </w:rPr>
                        <w:t>2</w:t>
                      </w:r>
                    </w:p>
                  </w:txbxContent>
                </v:textbox>
              </v:rect>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4864735</wp:posOffset>
                </wp:positionH>
                <wp:positionV relativeFrom="paragraph">
                  <wp:posOffset>4603750</wp:posOffset>
                </wp:positionV>
                <wp:extent cx="3633470" cy="259080"/>
                <wp:effectExtent l="4445" t="4445" r="19685" b="22225"/>
                <wp:wrapNone/>
                <wp:docPr id="182" name="文本框 182"/>
                <wp:cNvGraphicFramePr/>
                <a:graphic xmlns:a="http://schemas.openxmlformats.org/drawingml/2006/main">
                  <a:graphicData uri="http://schemas.microsoft.com/office/word/2010/wordprocessingShape">
                    <wps:wsp>
                      <wps:cNvSpPr txBox="1"/>
                      <wps:spPr>
                        <a:xfrm>
                          <a:off x="6650990" y="5430520"/>
                          <a:ext cx="3633470" cy="2590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62044E">
                            <w:pPr>
                              <w:rPr>
                                <w:rFonts w:hint="default" w:eastAsia="宋体"/>
                                <w:lang w:val="en-US" w:eastAsia="zh-CN"/>
                              </w:rPr>
                            </w:pPr>
                            <w:r>
                              <w:rPr>
                                <w:rFonts w:hint="eastAsia"/>
                                <w:lang w:val="en-US" w:eastAsia="zh-CN"/>
                              </w:rPr>
                              <w:t>图例：    重点防渗区      一般防渗区      简单防渗区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05pt;margin-top:362.5pt;height:20.4pt;width:286.1pt;z-index:251693056;mso-width-relative:page;mso-height-relative:page;" fillcolor="#FFFFFF [3201]" filled="t" stroked="t" coordsize="21600,21600" o:gfxdata="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HxCWbXAAAADAEAAA8AAAAAAAAAAQAgAAAAIgAAAGRycy9kb3ducmV2LnhtbFBLAQIU&#10;ABQAAAAIAIdO4kCJ2p3JZgIAAMcEAAAOAAAAAAAAAAEAIAAAACYBAABkcnMvZTJvRG9jLnhtbFBL&#10;BQYAAAAABgAGAFkBAAD+BQAAAAA=&#10;">
                <v:fill on="t" focussize="0,0"/>
                <v:stroke weight="0.5pt" color="#000000 [3204]" joinstyle="round"/>
                <v:imagedata o:title=""/>
                <o:lock v:ext="edit" aspectratio="f"/>
                <v:textbox>
                  <w:txbxContent>
                    <w:p w14:paraId="3862044E">
                      <w:pPr>
                        <w:rPr>
                          <w:rFonts w:hint="default" w:eastAsia="宋体"/>
                          <w:lang w:val="en-US" w:eastAsia="zh-CN"/>
                        </w:rPr>
                      </w:pPr>
                      <w:r>
                        <w:rPr>
                          <w:rFonts w:hint="eastAsia"/>
                          <w:lang w:val="en-US" w:eastAsia="zh-CN"/>
                        </w:rPr>
                        <w:t>图例：    重点防渗区      一般防渗区      简单防渗区</w:t>
                      </w:r>
                    </w:p>
                  </w:txbxContent>
                </v:textbox>
              </v:shap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7501890</wp:posOffset>
                </wp:positionH>
                <wp:positionV relativeFrom="paragraph">
                  <wp:posOffset>4692015</wp:posOffset>
                </wp:positionV>
                <wp:extent cx="212725" cy="102235"/>
                <wp:effectExtent l="4445" t="4445" r="11430" b="7620"/>
                <wp:wrapNone/>
                <wp:docPr id="4" name="矩形 4"/>
                <wp:cNvGraphicFramePr/>
                <a:graphic xmlns:a="http://schemas.openxmlformats.org/drawingml/2006/main">
                  <a:graphicData uri="http://schemas.microsoft.com/office/word/2010/wordprocessingShape">
                    <wps:wsp>
                      <wps:cNvSpPr/>
                      <wps:spPr>
                        <a:xfrm>
                          <a:off x="0" y="0"/>
                          <a:ext cx="212725" cy="102235"/>
                        </a:xfrm>
                        <a:prstGeom prst="rect">
                          <a:avLst/>
                        </a:prstGeom>
                        <a:solidFill>
                          <a:srgbClr val="FB57F5"/>
                        </a:solidFill>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0.7pt;margin-top:369.45pt;height:8.05pt;width:16.75pt;z-index:251698176;v-text-anchor:middle;mso-width-relative:page;mso-height-relative:page;" fillcolor="#FB57F5" filled="t" stroked="t" coordsize="21600,21600" o:gfxdata="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AKC802AAAAA0BAAAPAAAAAAAAAAEAIAAAACIAAABkcnMv&#10;ZG93bnJldi54bWxQSwECFAAUAAAACACHTuJAWUqO6HUCAAD0BAAADgAAAAAAAAABACAAAAAnAQAA&#10;ZHJzL2Uyb0RvYy54bWxQSwUGAAAAAAYABgBZAQAADgYAAAAA&#10;">
                <v:fill on="t" focussize="0,0"/>
                <v:stroke weight="0.5pt" color="#000000 [3213]" joinstyle="round" endarrow="open"/>
                <v:imagedata o:title=""/>
                <o:lock v:ext="edit" aspectratio="f"/>
              </v:rect>
            </w:pict>
          </mc:Fallback>
        </mc:AlternateContent>
      </w:r>
    </w:p>
    <w:p w14:paraId="003C483D">
      <w:pPr>
        <w:pStyle w:val="3"/>
        <w:jc w:val="center"/>
        <w:rPr>
          <w:rFonts w:hint="eastAsia" w:ascii="Times New Roman" w:hAnsi="Times New Roman" w:eastAsia="宋体" w:cs="Times New Roman"/>
          <w:color w:val="auto"/>
          <w:highlight w:val="none"/>
          <w:lang w:val="en-US" w:eastAsia="zh-CN"/>
        </w:rPr>
      </w:pPr>
      <w:bookmarkStart w:id="402" w:name="_Toc15226"/>
      <w:bookmarkStart w:id="403" w:name="_Toc26407"/>
      <w:bookmarkStart w:id="404" w:name="_Toc25682"/>
      <w:r>
        <w:rPr>
          <w:rFonts w:hint="eastAsia" w:ascii="Times New Roman" w:hAnsi="Times New Roman" w:eastAsia="宋体" w:cs="Times New Roman"/>
          <w:color w:val="auto"/>
          <w:highlight w:val="none"/>
          <w:lang w:val="en-US" w:eastAsia="zh-CN"/>
        </w:rPr>
        <w:t>附图</w:t>
      </w:r>
      <w:r>
        <w:rPr>
          <w:rFonts w:hint="eastAsia"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 xml:space="preserve"> </w:t>
      </w:r>
      <w:r>
        <w:rPr>
          <w:rFonts w:hint="eastAsia"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本项目分区防渗图</w:t>
      </w:r>
      <w:bookmarkEnd w:id="402"/>
      <w:bookmarkEnd w:id="403"/>
      <w:bookmarkEnd w:id="404"/>
    </w:p>
    <w:p w14:paraId="49A55220">
      <w:pPr>
        <w:rPr>
          <w:rFonts w:hint="eastAsia"/>
          <w:color w:val="auto"/>
          <w:lang w:val="en-US" w:eastAsia="zh-CN"/>
        </w:rPr>
      </w:pPr>
    </w:p>
    <w:p w14:paraId="7D38C207">
      <w:pPr>
        <w:pStyle w:val="41"/>
        <w:ind w:left="0" w:leftChars="0" w:firstLine="0" w:firstLineChars="0"/>
        <w:jc w:val="both"/>
        <w:rPr>
          <w:color w:val="auto"/>
        </w:rPr>
      </w:pPr>
    </w:p>
    <w:p w14:paraId="7D310B7C">
      <w:pPr>
        <w:pStyle w:val="41"/>
        <w:ind w:firstLine="0" w:firstLineChars="0"/>
        <w:jc w:val="center"/>
        <w:rPr>
          <w:color w:val="auto"/>
        </w:rPr>
        <w:sectPr>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p>
    <w:p w14:paraId="5A14CC82">
      <w:pPr>
        <w:pStyle w:val="41"/>
        <w:ind w:firstLine="0" w:firstLineChars="0"/>
        <w:jc w:val="center"/>
        <w:rPr>
          <w:rFonts w:hint="eastAsia"/>
          <w:color w:val="auto"/>
        </w:rPr>
      </w:pP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3938905</wp:posOffset>
                </wp:positionH>
                <wp:positionV relativeFrom="paragraph">
                  <wp:posOffset>3084195</wp:posOffset>
                </wp:positionV>
                <wp:extent cx="156210" cy="103505"/>
                <wp:effectExtent l="4445" t="4445" r="10795" b="6350"/>
                <wp:wrapNone/>
                <wp:docPr id="9" name="任意多边形 9"/>
                <wp:cNvGraphicFramePr/>
                <a:graphic xmlns:a="http://schemas.openxmlformats.org/drawingml/2006/main">
                  <a:graphicData uri="http://schemas.microsoft.com/office/word/2010/wordprocessingShape">
                    <wps:wsp>
                      <wps:cNvSpPr/>
                      <wps:spPr>
                        <a:xfrm>
                          <a:off x="4998720" y="4047490"/>
                          <a:ext cx="156210" cy="103505"/>
                        </a:xfrm>
                        <a:custGeom>
                          <a:avLst/>
                          <a:gdLst>
                            <a:gd name="connisteX0" fmla="*/ 0 w 168275"/>
                            <a:gd name="connsiteY0" fmla="*/ 43815 h 100330"/>
                            <a:gd name="connisteX1" fmla="*/ 24130 w 168275"/>
                            <a:gd name="connsiteY1" fmla="*/ 100330 h 100330"/>
                            <a:gd name="connisteX2" fmla="*/ 168275 w 168275"/>
                            <a:gd name="connsiteY2" fmla="*/ 72390 h 100330"/>
                            <a:gd name="connisteX3" fmla="*/ 156210 w 168275"/>
                            <a:gd name="connsiteY3" fmla="*/ 0 h 100330"/>
                            <a:gd name="connisteX4" fmla="*/ 0 w 168275"/>
                            <a:gd name="connsiteY4" fmla="*/ 43815 h 1003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68275" h="100330">
                              <a:moveTo>
                                <a:pt x="0" y="43815"/>
                              </a:moveTo>
                              <a:lnTo>
                                <a:pt x="24130" y="100330"/>
                              </a:lnTo>
                              <a:lnTo>
                                <a:pt x="168275" y="72390"/>
                              </a:lnTo>
                              <a:lnTo>
                                <a:pt x="156210" y="0"/>
                              </a:lnTo>
                              <a:lnTo>
                                <a:pt x="0" y="43815"/>
                              </a:lnTo>
                              <a:close/>
                            </a:path>
                          </a:pathLst>
                        </a:custGeom>
                        <a:ln w="9525" cmpd="sng">
                          <a:solidFill>
                            <a:srgbClr val="FF0000"/>
                          </a:solidFill>
                          <a:prstDash val="solid"/>
                          <a:tailEnd type="arrow"/>
                        </a:ln>
                      </wps:spPr>
                      <wps:style>
                        <a:lnRef idx="2">
                          <a:schemeClr val="accent1"/>
                        </a:lnRef>
                        <a:fillRef idx="0">
                          <a:srgbClr val="FFFFFF"/>
                        </a:fillRef>
                        <a:effectRef idx="0">
                          <a:srgbClr val="FFFFFF"/>
                        </a:effectRef>
                        <a:fontRef idx="minor">
                          <a:schemeClr val="tx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310.15pt;margin-top:242.85pt;height:8.15pt;width:12.3pt;z-index:251696128;v-text-anchor:middle;mso-width-relative:page;mso-height-relative:page;" filled="f" stroked="t" coordsize="168275,100330" o:gfxdata="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" path="m0,43815l24130,100330,168275,72390,156210,0,0,43815xe">
                <v:path o:connectlocs="0,45201;22399,103505;156210,74680;145010,0;0,45201" o:connectangles="0,0,0,0,0"/>
                <v:fill on="f" focussize="0,0"/>
                <v:stroke color="#FF0000 [3204]" joinstyle="round" endarrow="open"/>
                <v:imagedata o:title=""/>
                <o:lock v:ext="edit" aspectratio="f"/>
              </v:shape>
            </w:pict>
          </mc:Fallback>
        </mc:AlternateContent>
      </w:r>
      <w:r>
        <w:rPr>
          <w:color w:val="auto"/>
        </w:rPr>
        <w:drawing>
          <wp:anchor distT="0" distB="0" distL="0" distR="0" simplePos="0" relativeHeight="251678720" behindDoc="0" locked="0" layoutInCell="1" allowOverlap="1">
            <wp:simplePos x="0" y="0"/>
            <wp:positionH relativeFrom="column">
              <wp:posOffset>6618605</wp:posOffset>
            </wp:positionH>
            <wp:positionV relativeFrom="paragraph">
              <wp:posOffset>39370</wp:posOffset>
            </wp:positionV>
            <wp:extent cx="572770" cy="664845"/>
            <wp:effectExtent l="0" t="0" r="17780" b="1905"/>
            <wp:wrapNone/>
            <wp:docPr id="138" name="IM 268"/>
            <wp:cNvGraphicFramePr/>
            <a:graphic xmlns:a="http://schemas.openxmlformats.org/drawingml/2006/main">
              <a:graphicData uri="http://schemas.openxmlformats.org/drawingml/2006/picture">
                <pic:pic xmlns:pic="http://schemas.openxmlformats.org/drawingml/2006/picture">
                  <pic:nvPicPr>
                    <pic:cNvPr id="138" name="IM 268"/>
                    <pic:cNvPicPr/>
                  </pic:nvPicPr>
                  <pic:blipFill>
                    <a:blip r:embed="rId220"/>
                    <a:stretch>
                      <a:fillRect/>
                    </a:stretch>
                  </pic:blipFill>
                  <pic:spPr>
                    <a:xfrm>
                      <a:off x="0" y="0"/>
                      <a:ext cx="572770" cy="664845"/>
                    </a:xfrm>
                    <a:prstGeom prst="rect">
                      <a:avLst/>
                    </a:prstGeom>
                  </pic:spPr>
                </pic:pic>
              </a:graphicData>
            </a:graphic>
          </wp:anchor>
        </w:drawing>
      </w:r>
      <w:r>
        <w:rPr>
          <w:color w:val="auto"/>
        </w:rPr>
        <w:drawing>
          <wp:inline distT="0" distB="0" distL="114300" distR="114300">
            <wp:extent cx="5648960" cy="4986655"/>
            <wp:effectExtent l="0" t="0" r="8890" b="4445"/>
            <wp:docPr id="38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22"/>
                    <pic:cNvPicPr>
                      <a:picLocks noChangeAspect="1"/>
                    </pic:cNvPicPr>
                  </pic:nvPicPr>
                  <pic:blipFill>
                    <a:blip r:embed="rId224"/>
                    <a:stretch>
                      <a:fillRect/>
                    </a:stretch>
                  </pic:blipFill>
                  <pic:spPr>
                    <a:xfrm>
                      <a:off x="0" y="0"/>
                      <a:ext cx="5648960" cy="4986655"/>
                    </a:xfrm>
                    <a:prstGeom prst="rect">
                      <a:avLst/>
                    </a:prstGeom>
                    <a:noFill/>
                    <a:ln>
                      <a:noFill/>
                    </a:ln>
                  </pic:spPr>
                </pic:pic>
              </a:graphicData>
            </a:graphic>
          </wp:inline>
        </w:drawing>
      </w:r>
    </w:p>
    <w:p w14:paraId="1982D2A8">
      <w:pPr>
        <w:pStyle w:val="3"/>
        <w:jc w:val="center"/>
        <w:rPr>
          <w:rFonts w:hint="eastAsia"/>
          <w:color w:val="auto"/>
        </w:rPr>
      </w:pPr>
      <w:bookmarkStart w:id="405" w:name="_Toc10941"/>
      <w:bookmarkStart w:id="406" w:name="_Toc6743"/>
      <w:bookmarkStart w:id="407" w:name="_Toc29358"/>
      <w:r>
        <w:rPr>
          <w:rFonts w:hint="eastAsia"/>
          <w:color w:val="auto"/>
        </w:rPr>
        <w:t>附图</w:t>
      </w:r>
      <w:r>
        <w:rPr>
          <w:rFonts w:hint="eastAsia"/>
          <w:color w:val="auto"/>
          <w:lang w:val="en-US" w:eastAsia="zh-CN"/>
        </w:rPr>
        <w:t>6</w:t>
      </w:r>
      <w:r>
        <w:rPr>
          <w:rFonts w:hint="eastAsia"/>
          <w:color w:val="auto"/>
        </w:rPr>
        <w:t xml:space="preserve">  </w:t>
      </w:r>
      <w:r>
        <w:rPr>
          <w:rFonts w:hint="eastAsia"/>
          <w:color w:val="auto"/>
          <w:lang w:val="en-US" w:eastAsia="zh-CN"/>
        </w:rPr>
        <w:t>本项目</w:t>
      </w:r>
      <w:r>
        <w:rPr>
          <w:rFonts w:hint="eastAsia"/>
          <w:color w:val="auto"/>
        </w:rPr>
        <w:t>监测点位图</w:t>
      </w:r>
      <w:bookmarkEnd w:id="405"/>
      <w:bookmarkEnd w:id="406"/>
      <w:bookmarkEnd w:id="407"/>
    </w:p>
    <w:p w14:paraId="203B341C">
      <w:pPr>
        <w:rPr>
          <w:rFonts w:hint="eastAsia"/>
          <w:color w:val="auto"/>
        </w:rPr>
      </w:pPr>
    </w:p>
    <w:p w14:paraId="1DFBCC52">
      <w:pPr>
        <w:jc w:val="center"/>
        <w:rPr>
          <w:color w:val="auto"/>
        </w:rPr>
      </w:pPr>
      <w:r>
        <w:rPr>
          <w:color w:val="auto"/>
          <w:sz w:val="24"/>
        </w:rPr>
        <mc:AlternateContent>
          <mc:Choice Requires="wps">
            <w:drawing>
              <wp:anchor distT="0" distB="0" distL="114300" distR="114300" simplePos="0" relativeHeight="251748352" behindDoc="0" locked="0" layoutInCell="1" allowOverlap="1">
                <wp:simplePos x="0" y="0"/>
                <wp:positionH relativeFrom="column">
                  <wp:posOffset>3164205</wp:posOffset>
                </wp:positionH>
                <wp:positionV relativeFrom="paragraph">
                  <wp:posOffset>1409700</wp:posOffset>
                </wp:positionV>
                <wp:extent cx="506095" cy="285115"/>
                <wp:effectExtent l="110490" t="0" r="0" b="0"/>
                <wp:wrapNone/>
                <wp:docPr id="154" name="文本框 154"/>
                <wp:cNvGraphicFramePr/>
                <a:graphic xmlns:a="http://schemas.openxmlformats.org/drawingml/2006/main">
                  <a:graphicData uri="http://schemas.microsoft.com/office/word/2010/wordprocessingShape">
                    <wps:wsp>
                      <wps:cNvSpPr txBox="1"/>
                      <wps:spPr>
                        <a:xfrm rot="18480000">
                          <a:off x="4357370" y="2389505"/>
                          <a:ext cx="506095" cy="285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AD79BC">
                            <w:pPr>
                              <w:rPr>
                                <w:rFonts w:hint="eastAsia"/>
                                <w:color w:val="FFFFFF" w:themeColor="background1"/>
                                <w:sz w:val="21"/>
                                <w:szCs w:val="21"/>
                                <w:lang w:val="en-US" w:eastAsia="zh-CN"/>
                                <w14:textFill>
                                  <w14:solidFill>
                                    <w14:schemeClr w14:val="bg1"/>
                                  </w14:solidFill>
                                </w14:textFill>
                              </w:rPr>
                            </w:pPr>
                            <w:r>
                              <w:rPr>
                                <w:rFonts w:hint="eastAsia"/>
                                <w:color w:val="FFFFFF" w:themeColor="background1"/>
                                <w:sz w:val="21"/>
                                <w:szCs w:val="21"/>
                                <w:lang w:val="en-US" w:eastAsia="zh-CN"/>
                                <w14:textFill>
                                  <w14:solidFill>
                                    <w14:schemeClr w14:val="bg1"/>
                                  </w14:solidFill>
                                </w14:textFill>
                              </w:rPr>
                              <w:t>170m</w:t>
                            </w:r>
                          </w:p>
                          <w:p w14:paraId="316D3AAD">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15pt;margin-top:111pt;height:22.45pt;width:39.85pt;rotation:-3407872f;z-index:251748352;mso-width-relative:page;mso-height-relative:page;" filled="f" stroked="f" coordsize="21600,21600" o:gfxdata="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pg2Ze2QAAAAsB&#10;AAAPAAAAAAAAAAEAIAAAACIAAABkcnMvZG93bnJldi54bWxQSwECFAAUAAAACACHTuJAE4p7w1MC&#10;AACEBAAADgAAAAAAAAABACAAAAAoAQAAZHJzL2Uyb0RvYy54bWxQSwUGAAAAAAYABgBZAQAA7QUA&#10;AAAA&#10;">
                <v:fill on="f" focussize="0,0"/>
                <v:stroke on="f" weight="0.5pt"/>
                <v:imagedata o:title=""/>
                <o:lock v:ext="edit" aspectratio="f"/>
                <v:textbox>
                  <w:txbxContent>
                    <w:p w14:paraId="15AD79BC">
                      <w:pPr>
                        <w:rPr>
                          <w:rFonts w:hint="eastAsia"/>
                          <w:color w:val="FFFFFF" w:themeColor="background1"/>
                          <w:sz w:val="21"/>
                          <w:szCs w:val="21"/>
                          <w:lang w:val="en-US" w:eastAsia="zh-CN"/>
                          <w14:textFill>
                            <w14:solidFill>
                              <w14:schemeClr w14:val="bg1"/>
                            </w14:solidFill>
                          </w14:textFill>
                        </w:rPr>
                      </w:pPr>
                      <w:r>
                        <w:rPr>
                          <w:rFonts w:hint="eastAsia"/>
                          <w:color w:val="FFFFFF" w:themeColor="background1"/>
                          <w:sz w:val="21"/>
                          <w:szCs w:val="21"/>
                          <w:lang w:val="en-US" w:eastAsia="zh-CN"/>
                          <w14:textFill>
                            <w14:solidFill>
                              <w14:schemeClr w14:val="bg1"/>
                            </w14:solidFill>
                          </w14:textFill>
                        </w:rPr>
                        <w:t>170m</w:t>
                      </w:r>
                    </w:p>
                    <w:p w14:paraId="316D3AAD">
                      <w:pPr>
                        <w:rPr>
                          <w:rFonts w:hint="default"/>
                          <w:lang w:val="en-US" w:eastAsia="zh-CN"/>
                        </w:rPr>
                      </w:pPr>
                    </w:p>
                  </w:txbxContent>
                </v:textbox>
              </v:shape>
            </w:pict>
          </mc:Fallback>
        </mc:AlternateContent>
      </w:r>
      <w:r>
        <w:rPr>
          <w:color w:val="auto"/>
        </w:rPr>
        <w:drawing>
          <wp:anchor distT="0" distB="0" distL="0" distR="0" simplePos="0" relativeHeight="251737088" behindDoc="0" locked="0" layoutInCell="1" allowOverlap="1">
            <wp:simplePos x="0" y="0"/>
            <wp:positionH relativeFrom="column">
              <wp:posOffset>7139305</wp:posOffset>
            </wp:positionH>
            <wp:positionV relativeFrom="paragraph">
              <wp:posOffset>118110</wp:posOffset>
            </wp:positionV>
            <wp:extent cx="572770" cy="664845"/>
            <wp:effectExtent l="0" t="0" r="17780" b="1905"/>
            <wp:wrapNone/>
            <wp:docPr id="137" name="IM 268"/>
            <wp:cNvGraphicFramePr/>
            <a:graphic xmlns:a="http://schemas.openxmlformats.org/drawingml/2006/main">
              <a:graphicData uri="http://schemas.openxmlformats.org/drawingml/2006/picture">
                <pic:pic xmlns:pic="http://schemas.openxmlformats.org/drawingml/2006/picture">
                  <pic:nvPicPr>
                    <pic:cNvPr id="137" name="IM 268"/>
                    <pic:cNvPicPr/>
                  </pic:nvPicPr>
                  <pic:blipFill>
                    <a:blip r:embed="rId220"/>
                    <a:stretch>
                      <a:fillRect/>
                    </a:stretch>
                  </pic:blipFill>
                  <pic:spPr>
                    <a:xfrm>
                      <a:off x="0" y="0"/>
                      <a:ext cx="572770" cy="664845"/>
                    </a:xfrm>
                    <a:prstGeom prst="rect">
                      <a:avLst/>
                    </a:prstGeom>
                  </pic:spPr>
                </pic:pic>
              </a:graphicData>
            </a:graphic>
          </wp:anchor>
        </w:drawing>
      </w:r>
      <w:r>
        <w:rPr>
          <w:color w:val="auto"/>
          <w:sz w:val="24"/>
        </w:rPr>
        <mc:AlternateContent>
          <mc:Choice Requires="wps">
            <w:drawing>
              <wp:anchor distT="0" distB="0" distL="114300" distR="114300" simplePos="0" relativeHeight="251749376" behindDoc="0" locked="0" layoutInCell="1" allowOverlap="1">
                <wp:simplePos x="0" y="0"/>
                <wp:positionH relativeFrom="column">
                  <wp:posOffset>3092450</wp:posOffset>
                </wp:positionH>
                <wp:positionV relativeFrom="paragraph">
                  <wp:posOffset>2203450</wp:posOffset>
                </wp:positionV>
                <wp:extent cx="506095" cy="285115"/>
                <wp:effectExtent l="110490" t="0" r="0" b="0"/>
                <wp:wrapNone/>
                <wp:docPr id="155" name="文本框 155"/>
                <wp:cNvGraphicFramePr/>
                <a:graphic xmlns:a="http://schemas.openxmlformats.org/drawingml/2006/main">
                  <a:graphicData uri="http://schemas.microsoft.com/office/word/2010/wordprocessingShape">
                    <wps:wsp>
                      <wps:cNvSpPr txBox="1"/>
                      <wps:spPr>
                        <a:xfrm rot="18480000">
                          <a:off x="0" y="0"/>
                          <a:ext cx="506095" cy="285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49D30A">
                            <w:pPr>
                              <w:rPr>
                                <w:rFonts w:hint="eastAsia"/>
                                <w:color w:val="FFFFFF" w:themeColor="background1"/>
                                <w:sz w:val="21"/>
                                <w:szCs w:val="21"/>
                                <w:lang w:val="en-US" w:eastAsia="zh-CN"/>
                                <w14:textFill>
                                  <w14:solidFill>
                                    <w14:schemeClr w14:val="bg1"/>
                                  </w14:solidFill>
                                </w14:textFill>
                              </w:rPr>
                            </w:pPr>
                            <w:r>
                              <w:rPr>
                                <w:rFonts w:hint="eastAsia"/>
                                <w:color w:val="FFFFFF" w:themeColor="background1"/>
                                <w:sz w:val="21"/>
                                <w:szCs w:val="21"/>
                                <w:lang w:val="en-US" w:eastAsia="zh-CN"/>
                                <w14:textFill>
                                  <w14:solidFill>
                                    <w14:schemeClr w14:val="bg1"/>
                                  </w14:solidFill>
                                </w14:textFill>
                              </w:rPr>
                              <w:t>36m</w:t>
                            </w:r>
                          </w:p>
                          <w:p w14:paraId="46695E7F">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5pt;margin-top:173.5pt;height:22.45pt;width:39.85pt;rotation:-3407872f;z-index:251749376;mso-width-relative:page;mso-height-relative:page;" filled="f" stroked="f" coordsize="21600,21600" o:gfxdata="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RHL2PZAAAACwEAAA8AAAAAAAAAAQAg&#10;AAAAIgAAAGRycy9kb3ducmV2LnhtbFBLAQIUABQAAAAIAIdO4kAOuRdGRgIAAHgEAAAOAAAAAAAA&#10;AAEAIAAAACgBAABkcnMvZTJvRG9jLnhtbFBLBQYAAAAABgAGAFkBAADgBQAAAAA=&#10;">
                <v:fill on="f" focussize="0,0"/>
                <v:stroke on="f" weight="0.5pt"/>
                <v:imagedata o:title=""/>
                <o:lock v:ext="edit" aspectratio="f"/>
                <v:textbox>
                  <w:txbxContent>
                    <w:p w14:paraId="1049D30A">
                      <w:pPr>
                        <w:rPr>
                          <w:rFonts w:hint="eastAsia"/>
                          <w:color w:val="FFFFFF" w:themeColor="background1"/>
                          <w:sz w:val="21"/>
                          <w:szCs w:val="21"/>
                          <w:lang w:val="en-US" w:eastAsia="zh-CN"/>
                          <w14:textFill>
                            <w14:solidFill>
                              <w14:schemeClr w14:val="bg1"/>
                            </w14:solidFill>
                          </w14:textFill>
                        </w:rPr>
                      </w:pPr>
                      <w:r>
                        <w:rPr>
                          <w:rFonts w:hint="eastAsia"/>
                          <w:color w:val="FFFFFF" w:themeColor="background1"/>
                          <w:sz w:val="21"/>
                          <w:szCs w:val="21"/>
                          <w:lang w:val="en-US" w:eastAsia="zh-CN"/>
                          <w14:textFill>
                            <w14:solidFill>
                              <w14:schemeClr w14:val="bg1"/>
                            </w14:solidFill>
                          </w14:textFill>
                        </w:rPr>
                        <w:t>36m</w:t>
                      </w:r>
                    </w:p>
                    <w:p w14:paraId="46695E7F">
                      <w:pPr>
                        <w:rPr>
                          <w:rFonts w:hint="default"/>
                          <w:lang w:val="en-US" w:eastAsia="zh-CN"/>
                        </w:rPr>
                      </w:pPr>
                    </w:p>
                  </w:txbxContent>
                </v:textbox>
              </v:shape>
            </w:pict>
          </mc:Fallback>
        </mc:AlternateContent>
      </w:r>
      <w:r>
        <w:rPr>
          <w:color w:val="auto"/>
          <w:sz w:val="24"/>
        </w:rPr>
        <mc:AlternateContent>
          <mc:Choice Requires="wps">
            <w:drawing>
              <wp:anchor distT="0" distB="0" distL="114300" distR="114300" simplePos="0" relativeHeight="251746304" behindDoc="0" locked="0" layoutInCell="1" allowOverlap="1">
                <wp:simplePos x="0" y="0"/>
                <wp:positionH relativeFrom="column">
                  <wp:posOffset>3462655</wp:posOffset>
                </wp:positionH>
                <wp:positionV relativeFrom="paragraph">
                  <wp:posOffset>1534795</wp:posOffset>
                </wp:positionV>
                <wp:extent cx="139065" cy="147955"/>
                <wp:effectExtent l="3175" t="0" r="10160" b="4445"/>
                <wp:wrapNone/>
                <wp:docPr id="151" name="直接箭头连接符 151"/>
                <wp:cNvGraphicFramePr/>
                <a:graphic xmlns:a="http://schemas.openxmlformats.org/drawingml/2006/main">
                  <a:graphicData uri="http://schemas.microsoft.com/office/word/2010/wordprocessingShape">
                    <wps:wsp>
                      <wps:cNvCnPr/>
                      <wps:spPr>
                        <a:xfrm flipV="1">
                          <a:off x="4547870" y="2510155"/>
                          <a:ext cx="139065" cy="147955"/>
                        </a:xfrm>
                        <a:prstGeom prst="straightConnector1">
                          <a:avLst/>
                        </a:prstGeom>
                        <a:ln w="9525">
                          <a:solidFill>
                            <a:schemeClr val="bg1"/>
                          </a:solidFill>
                          <a:tailEnd type="arrow" w="sm"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72.65pt;margin-top:120.85pt;height:11.65pt;width:10.95pt;z-index:251746304;mso-width-relative:page;mso-height-relative:page;" filled="f" stroked="t" coordsize="21600,21600" o:gfxdata="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PpSCJ2gAA&#10;AAsBAAAPAAAAAAAAAAEAIAAAACIAAABkcnMvZG93bnJldi54bWxQSwECFAAUAAAACACHTuJAawt5&#10;VhwCAAD1AwAADgAAAAAAAAABACAAAAApAQAAZHJzL2Uyb0RvYy54bWxQSwUGAAAAAAYABgBZAQAA&#10;twUAAAAA&#10;">
                <v:fill on="f" focussize="0,0"/>
                <v:stroke color="#FFFFFF [3212]" joinstyle="round" endarrow="open" endarrowwidth="narrow" endarrowlength="short"/>
                <v:imagedata o:title=""/>
                <o:lock v:ext="edit" aspectratio="f"/>
              </v:shape>
            </w:pict>
          </mc:Fallback>
        </mc:AlternateContent>
      </w:r>
      <w:r>
        <w:rPr>
          <w:color w:val="auto"/>
        </w:rPr>
        <w:drawing>
          <wp:inline distT="0" distB="0" distL="114300" distR="114300">
            <wp:extent cx="6929120" cy="5094605"/>
            <wp:effectExtent l="0" t="0" r="5080" b="10795"/>
            <wp:docPr id="1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
                    <pic:cNvPicPr>
                      <a:picLocks noChangeAspect="1"/>
                    </pic:cNvPicPr>
                  </pic:nvPicPr>
                  <pic:blipFill>
                    <a:blip r:embed="rId225"/>
                    <a:stretch>
                      <a:fillRect/>
                    </a:stretch>
                  </pic:blipFill>
                  <pic:spPr>
                    <a:xfrm>
                      <a:off x="0" y="0"/>
                      <a:ext cx="6929120" cy="5094605"/>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747328" behindDoc="0" locked="0" layoutInCell="1" allowOverlap="1">
                <wp:simplePos x="0" y="0"/>
                <wp:positionH relativeFrom="column">
                  <wp:posOffset>3130550</wp:posOffset>
                </wp:positionH>
                <wp:positionV relativeFrom="paragraph">
                  <wp:posOffset>2435225</wp:posOffset>
                </wp:positionV>
                <wp:extent cx="34925" cy="69850"/>
                <wp:effectExtent l="24765" t="2540" r="16510" b="3810"/>
                <wp:wrapNone/>
                <wp:docPr id="153" name="直接箭头连接符 153"/>
                <wp:cNvGraphicFramePr/>
                <a:graphic xmlns:a="http://schemas.openxmlformats.org/drawingml/2006/main">
                  <a:graphicData uri="http://schemas.microsoft.com/office/word/2010/wordprocessingShape">
                    <wps:wsp>
                      <wps:cNvCnPr/>
                      <wps:spPr>
                        <a:xfrm>
                          <a:off x="4210685" y="3407410"/>
                          <a:ext cx="34925" cy="69850"/>
                        </a:xfrm>
                        <a:prstGeom prst="straightConnector1">
                          <a:avLst/>
                        </a:prstGeom>
                        <a:ln w="9525">
                          <a:solidFill>
                            <a:schemeClr val="bg1"/>
                          </a:solidFill>
                          <a:tailEnd type="arrow" w="sm"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6.5pt;margin-top:191.75pt;height:5.5pt;width:2.75pt;z-index:251747328;mso-width-relative:page;mso-height-relative:page;" filled="f" stroked="t" coordsize="21600,21600" o:gfxdata="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fSSpNcAAAALAQAADwAAAAAA&#10;AAABACAAAAAiAAAAZHJzL2Rvd25yZXYueG1sUEsBAhQAFAAAAAgAh07iQAYlSEgUAgAA6QMAAA4A&#10;AAAAAAAAAQAgAAAAJgEAAGRycy9lMm9Eb2MueG1sUEsFBgAAAAAGAAYAWQEAAKwFAAAAAA==&#10;">
                <v:fill on="f" focussize="0,0"/>
                <v:stroke color="#FFFFFF [3212]" joinstyle="round" endarrow="open" endarrowwidth="narrow" endarrowlength="short"/>
                <v:imagedata o:title=""/>
                <o:lock v:ext="edit" aspectratio="f"/>
              </v:shape>
            </w:pict>
          </mc:Fallback>
        </mc:AlternateContent>
      </w:r>
      <w:r>
        <w:rPr>
          <w:color w:val="auto"/>
          <w:sz w:val="24"/>
        </w:rPr>
        <mc:AlternateContent>
          <mc:Choice Requires="wps">
            <w:drawing>
              <wp:anchor distT="0" distB="0" distL="114300" distR="114300" simplePos="0" relativeHeight="251745280" behindDoc="0" locked="0" layoutInCell="1" allowOverlap="1">
                <wp:simplePos x="0" y="0"/>
                <wp:positionH relativeFrom="column">
                  <wp:posOffset>6502400</wp:posOffset>
                </wp:positionH>
                <wp:positionV relativeFrom="paragraph">
                  <wp:posOffset>4947920</wp:posOffset>
                </wp:positionV>
                <wp:extent cx="183515" cy="76200"/>
                <wp:effectExtent l="12700" t="12700" r="13335" b="25400"/>
                <wp:wrapNone/>
                <wp:docPr id="149" name="矩形 149"/>
                <wp:cNvGraphicFramePr/>
                <a:graphic xmlns:a="http://schemas.openxmlformats.org/drawingml/2006/main">
                  <a:graphicData uri="http://schemas.microsoft.com/office/word/2010/wordprocessingShape">
                    <wps:wsp>
                      <wps:cNvSpPr/>
                      <wps:spPr>
                        <a:xfrm>
                          <a:off x="0" y="0"/>
                          <a:ext cx="183515" cy="76200"/>
                        </a:xfrm>
                        <a:prstGeom prst="rect">
                          <a:avLst/>
                        </a:prstGeom>
                        <a:solidFill>
                          <a:schemeClr val="tx1"/>
                        </a:solidFill>
                        <a:ln>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2pt;margin-top:389.6pt;height:6pt;width:14.45pt;z-index:251745280;v-text-anchor:middle;mso-width-relative:page;mso-height-relative:page;" fillcolor="#000000 [3213]" filled="t" stroked="t" coordsize="21600,21600" o:gfxdata="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QB+z9oAAAANAQAADwAAAAAAAAABACAAAAAiAAAAZHJzL2Rvd25y&#10;ZXYueG1sUEsBAhQAFAAAAAgAh07iQBfxwf9uAgAA+AQAAA4AAAAAAAAAAQAgAAAAKQEAAGRycy9l&#10;Mm9Eb2MueG1sUEsFBgAAAAAGAAYAWQEAAAkGAAAAAA==&#10;">
                <v:fill on="t" focussize="0,0"/>
                <v:stroke weight="2pt" color="#000000 [3213]"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744256" behindDoc="0" locked="0" layoutInCell="1" allowOverlap="1">
                <wp:simplePos x="0" y="0"/>
                <wp:positionH relativeFrom="column">
                  <wp:posOffset>6344285</wp:posOffset>
                </wp:positionH>
                <wp:positionV relativeFrom="paragraph">
                  <wp:posOffset>4752975</wp:posOffset>
                </wp:positionV>
                <wp:extent cx="577850" cy="25146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57785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EF9969">
                            <w:pPr>
                              <w:rPr>
                                <w:rFonts w:hint="default"/>
                                <w:lang w:val="en-US" w:eastAsia="zh-CN"/>
                              </w:rPr>
                            </w:pPr>
                            <w:r>
                              <w:rPr>
                                <w:rFonts w:hint="eastAsia"/>
                                <w:lang w:val="en-US" w:eastAsia="zh-CN"/>
                              </w:rPr>
                              <w:t>200m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9.55pt;margin-top:374.25pt;height:19.8pt;width:45.5pt;z-index:251744256;mso-width-relative:page;mso-height-relative:page;" filled="f" stroked="f" coordsize="21600,21600" o:gfxdata="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&#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Hrzms2wAAAAwBAAAPAAAAAAAAAAEAIAAAACIAAABk&#10;cnMvZG93bnJldi54bWxQSwECFAAUAAAACACHTuJA1ALDWjwCAABpBAAADgAAAAAAAAABACAAAAAq&#10;AQAAZHJzL2Uyb0RvYy54bWxQSwUGAAAAAAYABgBZAQAA2AUAAAAA&#10;">
                <v:fill on="f" focussize="0,0"/>
                <v:stroke on="f" weight="0.5pt"/>
                <v:imagedata o:title=""/>
                <o:lock v:ext="edit" aspectratio="f"/>
                <v:textbox>
                  <w:txbxContent>
                    <w:p w14:paraId="06EF9969">
                      <w:pPr>
                        <w:rPr>
                          <w:rFonts w:hint="default"/>
                          <w:lang w:val="en-US" w:eastAsia="zh-CN"/>
                        </w:rPr>
                      </w:pPr>
                      <w:r>
                        <w:rPr>
                          <w:rFonts w:hint="eastAsia"/>
                          <w:lang w:val="en-US" w:eastAsia="zh-CN"/>
                        </w:rPr>
                        <w:t>200m</w:t>
                      </w:r>
                    </w:p>
                  </w:txbxContent>
                </v:textbox>
              </v:shape>
            </w:pict>
          </mc:Fallback>
        </mc:AlternateContent>
      </w:r>
      <w:r>
        <w:rPr>
          <w:color w:val="auto"/>
        </w:rPr>
        <w:drawing>
          <wp:anchor distT="0" distB="0" distL="114300" distR="114300" simplePos="0" relativeHeight="251742208" behindDoc="0" locked="0" layoutInCell="1" allowOverlap="1">
            <wp:simplePos x="0" y="0"/>
            <wp:positionH relativeFrom="column">
              <wp:posOffset>5869940</wp:posOffset>
            </wp:positionH>
            <wp:positionV relativeFrom="paragraph">
              <wp:posOffset>4499610</wp:posOffset>
            </wp:positionV>
            <wp:extent cx="168910" cy="137795"/>
            <wp:effectExtent l="0" t="0" r="2540" b="14605"/>
            <wp:wrapNone/>
            <wp:docPr id="1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5"/>
                    <pic:cNvPicPr>
                      <a:picLocks noChangeAspect="1"/>
                    </pic:cNvPicPr>
                  </pic:nvPicPr>
                  <pic:blipFill>
                    <a:blip r:embed="rId226"/>
                    <a:stretch>
                      <a:fillRect/>
                    </a:stretch>
                  </pic:blipFill>
                  <pic:spPr>
                    <a:xfrm>
                      <a:off x="0" y="0"/>
                      <a:ext cx="168910" cy="13779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43232" behindDoc="0" locked="0" layoutInCell="1" allowOverlap="1">
                <wp:simplePos x="0" y="0"/>
                <wp:positionH relativeFrom="column">
                  <wp:posOffset>5880735</wp:posOffset>
                </wp:positionH>
                <wp:positionV relativeFrom="paragraph">
                  <wp:posOffset>4669155</wp:posOffset>
                </wp:positionV>
                <wp:extent cx="156210" cy="93980"/>
                <wp:effectExtent l="4445" t="4445" r="10795" b="15875"/>
                <wp:wrapNone/>
                <wp:docPr id="145" name="文本框 145"/>
                <wp:cNvGraphicFramePr/>
                <a:graphic xmlns:a="http://schemas.openxmlformats.org/drawingml/2006/main">
                  <a:graphicData uri="http://schemas.microsoft.com/office/word/2010/wordprocessingShape">
                    <wps:wsp>
                      <wps:cNvSpPr txBox="1"/>
                      <wps:spPr>
                        <a:xfrm>
                          <a:off x="0" y="0"/>
                          <a:ext cx="156210" cy="93980"/>
                        </a:xfrm>
                        <a:prstGeom prst="rect">
                          <a:avLst/>
                        </a:prstGeom>
                        <a:solidFill>
                          <a:srgbClr val="772DA1">
                            <a:alpha val="80000"/>
                          </a:srgbClr>
                        </a:solidFill>
                        <a:ln w="6350">
                          <a:solidFill>
                            <a:srgbClr val="772DA1"/>
                          </a:solidFill>
                        </a:ln>
                      </wps:spPr>
                      <wps:style>
                        <a:lnRef idx="0">
                          <a:schemeClr val="accent1"/>
                        </a:lnRef>
                        <a:fillRef idx="0">
                          <a:schemeClr val="accent1"/>
                        </a:fillRef>
                        <a:effectRef idx="0">
                          <a:schemeClr val="accent1"/>
                        </a:effectRef>
                        <a:fontRef idx="minor">
                          <a:schemeClr val="dk1"/>
                        </a:fontRef>
                      </wps:style>
                      <wps:txbx>
                        <w:txbxContent>
                          <w:p w14:paraId="3DEB8E9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3.05pt;margin-top:367.65pt;height:7.4pt;width:12.3pt;z-index:251743232;mso-width-relative:page;mso-height-relative:page;" fillcolor="#772DA1" filled="t" stroked="t" coordsize="21600,21600" o:gfxdata="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uLsi52gAAAAsBAAAPAAAAAAAAAAEAIAAAACIAAABkcnMvZG93bnJldi54bWxQ&#10;SwECFAAUAAAACACHTuJAc3HilmcCAADbBAAADgAAAAAAAAABACAAAAApAQAAZHJzL2Uyb0RvYy54&#10;bWxQSwUGAAAAAAYABgBZAQAAAgYAAAAA&#10;">
                <v:fill on="t" opacity="52428f" focussize="0,0"/>
                <v:stroke weight="0.5pt" color="#772DA1 [3204]" joinstyle="round"/>
                <v:imagedata o:title=""/>
                <o:lock v:ext="edit" aspectratio="f"/>
                <v:textbox>
                  <w:txbxContent>
                    <w:p w14:paraId="3DEB8E99"/>
                  </w:txbxContent>
                </v:textbox>
              </v:shape>
            </w:pict>
          </mc:Fallback>
        </mc:AlternateContent>
      </w:r>
      <w:r>
        <w:rPr>
          <w:color w:val="auto"/>
          <w:sz w:val="24"/>
        </w:rPr>
        <mc:AlternateContent>
          <mc:Choice Requires="wps">
            <w:drawing>
              <wp:anchor distT="0" distB="0" distL="114300" distR="114300" simplePos="0" relativeHeight="251741184" behindDoc="0" locked="0" layoutInCell="1" allowOverlap="1">
                <wp:simplePos x="0" y="0"/>
                <wp:positionH relativeFrom="column">
                  <wp:posOffset>5877560</wp:posOffset>
                </wp:positionH>
                <wp:positionV relativeFrom="paragraph">
                  <wp:posOffset>4370705</wp:posOffset>
                </wp:positionV>
                <wp:extent cx="156845" cy="81280"/>
                <wp:effectExtent l="7620" t="7620" r="26035" b="25400"/>
                <wp:wrapNone/>
                <wp:docPr id="144" name="矩形 144"/>
                <wp:cNvGraphicFramePr/>
                <a:graphic xmlns:a="http://schemas.openxmlformats.org/drawingml/2006/main">
                  <a:graphicData uri="http://schemas.microsoft.com/office/word/2010/wordprocessingShape">
                    <wps:wsp>
                      <wps:cNvSpPr/>
                      <wps:spPr>
                        <a:xfrm>
                          <a:off x="0" y="0"/>
                          <a:ext cx="156845" cy="81280"/>
                        </a:xfrm>
                        <a:prstGeom prst="rect">
                          <a:avLst/>
                        </a:prstGeom>
                        <a:ln w="15875">
                          <a:solidFill>
                            <a:srgbClr val="FFC00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2.8pt;margin-top:344.15pt;height:6.4pt;width:12.35pt;z-index:251741184;v-text-anchor:middle;mso-width-relative:page;mso-height-relative:page;" filled="f" stroked="t" coordsize="21600,21600" o:gfxdata="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7CW8dkAAAALAQAADwAAAAAAAAABACAAAAAiAAAAZHJzL2Rvd25yZXYu&#10;eG1sUEsBAhQAFAAAAAgAh07iQMSyNPxsAgAAzwQAAA4AAAAAAAAAAQAgAAAAKAEAAGRycy9lMm9E&#10;b2MueG1sUEsFBgAAAAAGAAYAWQEAAAYGAAAAAA==&#10;">
                <v:fill on="f" focussize="0,0"/>
                <v:stroke weight="1.25pt" color="#FFC000 [3204]"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740160" behindDoc="0" locked="0" layoutInCell="1" allowOverlap="1">
                <wp:simplePos x="0" y="0"/>
                <wp:positionH relativeFrom="column">
                  <wp:posOffset>5878830</wp:posOffset>
                </wp:positionH>
                <wp:positionV relativeFrom="paragraph">
                  <wp:posOffset>4236720</wp:posOffset>
                </wp:positionV>
                <wp:extent cx="156845" cy="81280"/>
                <wp:effectExtent l="7620" t="7620" r="26035" b="25400"/>
                <wp:wrapNone/>
                <wp:docPr id="143" name="矩形 143"/>
                <wp:cNvGraphicFramePr/>
                <a:graphic xmlns:a="http://schemas.openxmlformats.org/drawingml/2006/main">
                  <a:graphicData uri="http://schemas.microsoft.com/office/word/2010/wordprocessingShape">
                    <wps:wsp>
                      <wps:cNvSpPr/>
                      <wps:spPr>
                        <a:xfrm>
                          <a:off x="0" y="0"/>
                          <a:ext cx="156845" cy="81280"/>
                        </a:xfrm>
                        <a:prstGeom prst="rect">
                          <a:avLst/>
                        </a:prstGeom>
                        <a:ln w="15875">
                          <a:solidFill>
                            <a:srgbClr val="92D05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2.9pt;margin-top:333.6pt;height:6.4pt;width:12.35pt;z-index:251740160;v-text-anchor:middle;mso-width-relative:page;mso-height-relative:page;" filled="f" stroked="t" coordsize="21600,21600" o:gfxdata="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ZXUANsAAAALAQAADwAAAAAAAAABACAAAAAiAAAAZHJzL2Rvd25y&#10;ZXYueG1sUEsBAhQAFAAAAAgAh07iQFtphH9tAgAAzwQAAA4AAAAAAAAAAQAgAAAAKgEAAGRycy9l&#10;Mm9Eb2MueG1sUEsFBgAAAAAGAAYAWQEAAAkGAAAAAA==&#10;">
                <v:fill on="f" focussize="0,0"/>
                <v:stroke weight="1.25pt" color="#92D050 [3204]"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739136" behindDoc="0" locked="0" layoutInCell="1" allowOverlap="1">
                <wp:simplePos x="0" y="0"/>
                <wp:positionH relativeFrom="column">
                  <wp:posOffset>5876290</wp:posOffset>
                </wp:positionH>
                <wp:positionV relativeFrom="paragraph">
                  <wp:posOffset>4093845</wp:posOffset>
                </wp:positionV>
                <wp:extent cx="156845" cy="81280"/>
                <wp:effectExtent l="7620" t="7620" r="26035" b="25400"/>
                <wp:wrapNone/>
                <wp:docPr id="141" name="矩形 141"/>
                <wp:cNvGraphicFramePr/>
                <a:graphic xmlns:a="http://schemas.openxmlformats.org/drawingml/2006/main">
                  <a:graphicData uri="http://schemas.microsoft.com/office/word/2010/wordprocessingShape">
                    <wps:wsp>
                      <wps:cNvSpPr/>
                      <wps:spPr>
                        <a:xfrm>
                          <a:off x="0" y="0"/>
                          <a:ext cx="156845" cy="81280"/>
                        </a:xfrm>
                        <a:prstGeom prst="rect">
                          <a:avLst/>
                        </a:prstGeom>
                        <a:ln w="15875">
                          <a:solidFill>
                            <a:srgbClr val="FF000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2.7pt;margin-top:322.35pt;height:6.4pt;width:12.35pt;z-index:251739136;v-text-anchor:middle;mso-width-relative:page;mso-height-relative:page;" filled="f" stroked="t" coordsize="21600,21600" o:gfxdata="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6y3XmdkAAAALAQAADwAAAAAAAAABACAAAAAiAAAAZHJzL2Rvd25yZXYu&#10;eG1sUEsBAhQAFAAAAAgAh07iQHol+fhsAgAAzwQAAA4AAAAAAAAAAQAgAAAAKAEAAGRycy9lMm9E&#10;b2MueG1sUEsFBgAAAAAGAAYAWQEAAAYGAAAAAA==&#10;">
                <v:fill on="f" focussize="0,0"/>
                <v:stroke weight="1.25pt" color="#FF0000 [3204]" joinstyle="round" endarrow="open"/>
                <v:imagedata o:title=""/>
                <o:lock v:ext="edit" aspectratio="f"/>
              </v:rect>
            </w:pict>
          </mc:Fallback>
        </mc:AlternateContent>
      </w:r>
      <w:r>
        <w:rPr>
          <w:color w:val="auto"/>
          <w:sz w:val="24"/>
        </w:rPr>
        <mc:AlternateContent>
          <mc:Choice Requires="wps">
            <w:drawing>
              <wp:anchor distT="0" distB="0" distL="114300" distR="114300" simplePos="0" relativeHeight="251738112" behindDoc="0" locked="0" layoutInCell="1" allowOverlap="1">
                <wp:simplePos x="0" y="0"/>
                <wp:positionH relativeFrom="column">
                  <wp:posOffset>5767070</wp:posOffset>
                </wp:positionH>
                <wp:positionV relativeFrom="paragraph">
                  <wp:posOffset>3860165</wp:posOffset>
                </wp:positionV>
                <wp:extent cx="1951355" cy="1217930"/>
                <wp:effectExtent l="5080" t="4445" r="5715" b="15875"/>
                <wp:wrapNone/>
                <wp:docPr id="139" name="文本框 139"/>
                <wp:cNvGraphicFramePr/>
                <a:graphic xmlns:a="http://schemas.openxmlformats.org/drawingml/2006/main">
                  <a:graphicData uri="http://schemas.microsoft.com/office/word/2010/wordprocessingShape">
                    <wps:wsp>
                      <wps:cNvSpPr txBox="1"/>
                      <wps:spPr>
                        <a:xfrm>
                          <a:off x="0" y="0"/>
                          <a:ext cx="1951355" cy="12179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E07395">
                            <w:pPr>
                              <w:rPr>
                                <w:rFonts w:hint="eastAsia"/>
                                <w:sz w:val="18"/>
                                <w:szCs w:val="18"/>
                                <w:lang w:val="en-US" w:eastAsia="zh-CN"/>
                              </w:rPr>
                            </w:pPr>
                            <w:r>
                              <w:rPr>
                                <w:rFonts w:hint="eastAsia"/>
                                <w:sz w:val="18"/>
                                <w:szCs w:val="18"/>
                                <w:lang w:val="en-US" w:eastAsia="zh-CN"/>
                              </w:rPr>
                              <w:t>图例：</w:t>
                            </w:r>
                          </w:p>
                          <w:p w14:paraId="48FCC4E3">
                            <w:pPr>
                              <w:ind w:firstLine="360" w:firstLineChars="200"/>
                              <w:rPr>
                                <w:rFonts w:hint="eastAsia"/>
                                <w:sz w:val="18"/>
                                <w:szCs w:val="18"/>
                                <w:lang w:val="en-US" w:eastAsia="zh-CN"/>
                              </w:rPr>
                            </w:pPr>
                            <w:r>
                              <w:rPr>
                                <w:rFonts w:hint="eastAsia"/>
                                <w:sz w:val="18"/>
                                <w:szCs w:val="18"/>
                                <w:lang w:val="en-US" w:eastAsia="zh-CN"/>
                              </w:rPr>
                              <w:t>本项目</w:t>
                            </w:r>
                          </w:p>
                          <w:p w14:paraId="118D53A6">
                            <w:pPr>
                              <w:ind w:firstLine="360" w:firstLineChars="200"/>
                              <w:rPr>
                                <w:rFonts w:hint="eastAsia"/>
                                <w:sz w:val="18"/>
                                <w:szCs w:val="18"/>
                                <w:lang w:val="en-US" w:eastAsia="zh-CN"/>
                              </w:rPr>
                            </w:pPr>
                            <w:r>
                              <w:rPr>
                                <w:rFonts w:hint="eastAsia"/>
                                <w:sz w:val="18"/>
                                <w:szCs w:val="18"/>
                                <w:lang w:val="en-US" w:eastAsia="zh-CN"/>
                              </w:rPr>
                              <w:t>噪声评价范围</w:t>
                            </w:r>
                          </w:p>
                          <w:p w14:paraId="158FE6A3">
                            <w:pPr>
                              <w:ind w:firstLine="360" w:firstLineChars="200"/>
                              <w:rPr>
                                <w:rFonts w:hint="eastAsia"/>
                                <w:sz w:val="18"/>
                                <w:szCs w:val="18"/>
                                <w:lang w:val="en-US" w:eastAsia="zh-CN"/>
                              </w:rPr>
                            </w:pPr>
                            <w:r>
                              <w:rPr>
                                <w:rFonts w:hint="eastAsia"/>
                                <w:sz w:val="18"/>
                                <w:szCs w:val="18"/>
                                <w:lang w:val="en-US" w:eastAsia="zh-CN"/>
                              </w:rPr>
                              <w:t>大气评价范围</w:t>
                            </w:r>
                          </w:p>
                          <w:p w14:paraId="325605D7">
                            <w:pPr>
                              <w:rPr>
                                <w:rFonts w:hint="eastAsia" w:ascii="Times New Roman" w:hAnsi="Times New Roman" w:eastAsia="宋体" w:cs="Times New Roman"/>
                                <w:sz w:val="18"/>
                                <w:szCs w:val="18"/>
                                <w:lang w:val="en-US" w:eastAsia="zh-CN"/>
                              </w:rPr>
                            </w:pPr>
                            <w:r>
                              <w:rPr>
                                <w:rFonts w:hint="eastAsia"/>
                                <w:lang w:val="en-US" w:eastAsia="zh-CN"/>
                              </w:rPr>
                              <w:t xml:space="preserve">   </w:t>
                            </w:r>
                            <w:r>
                              <w:rPr>
                                <w:rFonts w:hint="eastAsia" w:ascii="Times New Roman" w:hAnsi="Times New Roman" w:eastAsia="宋体" w:cs="Times New Roman"/>
                                <w:sz w:val="18"/>
                                <w:szCs w:val="18"/>
                                <w:lang w:val="en-US" w:eastAsia="zh-CN"/>
                              </w:rPr>
                              <w:t>朝阳古生物化石群自然保护区</w:t>
                            </w:r>
                          </w:p>
                          <w:p w14:paraId="43DF662A">
                            <w:pPr>
                              <w:ind w:firstLine="360" w:firstLineChars="200"/>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辽宁朝阳鸟化石国家地质公园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1pt;margin-top:303.95pt;height:95.9pt;width:153.65pt;z-index:251738112;mso-width-relative:page;mso-height-relative:page;" fillcolor="#FFFFFF [3201]" filled="t" stroked="t" coordsize="21600,21600" o:gfxdata="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5Sh1jZAAAADAEAAA8AAAAAAAAAAQAgAAAAIgAAAGRycy9kb3ducmV2LnhtbFBLAQIUABQAAAAI&#10;AIdO4kAxcQAyXgIAALwEAAAOAAAAAAAAAAEAIAAAACgBAABkcnMvZTJvRG9jLnhtbFBLBQYAAAAA&#10;BgAGAFkBAAD4BQAAAAA=&#10;">
                <v:fill on="t" focussize="0,0"/>
                <v:stroke weight="0.5pt" color="#000000 [3204]" joinstyle="round"/>
                <v:imagedata o:title=""/>
                <o:lock v:ext="edit" aspectratio="f"/>
                <v:textbox>
                  <w:txbxContent>
                    <w:p w14:paraId="0DE07395">
                      <w:pPr>
                        <w:rPr>
                          <w:rFonts w:hint="eastAsia"/>
                          <w:sz w:val="18"/>
                          <w:szCs w:val="18"/>
                          <w:lang w:val="en-US" w:eastAsia="zh-CN"/>
                        </w:rPr>
                      </w:pPr>
                      <w:r>
                        <w:rPr>
                          <w:rFonts w:hint="eastAsia"/>
                          <w:sz w:val="18"/>
                          <w:szCs w:val="18"/>
                          <w:lang w:val="en-US" w:eastAsia="zh-CN"/>
                        </w:rPr>
                        <w:t>图例：</w:t>
                      </w:r>
                    </w:p>
                    <w:p w14:paraId="48FCC4E3">
                      <w:pPr>
                        <w:ind w:firstLine="360" w:firstLineChars="200"/>
                        <w:rPr>
                          <w:rFonts w:hint="eastAsia"/>
                          <w:sz w:val="18"/>
                          <w:szCs w:val="18"/>
                          <w:lang w:val="en-US" w:eastAsia="zh-CN"/>
                        </w:rPr>
                      </w:pPr>
                      <w:r>
                        <w:rPr>
                          <w:rFonts w:hint="eastAsia"/>
                          <w:sz w:val="18"/>
                          <w:szCs w:val="18"/>
                          <w:lang w:val="en-US" w:eastAsia="zh-CN"/>
                        </w:rPr>
                        <w:t>本项目</w:t>
                      </w:r>
                    </w:p>
                    <w:p w14:paraId="118D53A6">
                      <w:pPr>
                        <w:ind w:firstLine="360" w:firstLineChars="200"/>
                        <w:rPr>
                          <w:rFonts w:hint="eastAsia"/>
                          <w:sz w:val="18"/>
                          <w:szCs w:val="18"/>
                          <w:lang w:val="en-US" w:eastAsia="zh-CN"/>
                        </w:rPr>
                      </w:pPr>
                      <w:r>
                        <w:rPr>
                          <w:rFonts w:hint="eastAsia"/>
                          <w:sz w:val="18"/>
                          <w:szCs w:val="18"/>
                          <w:lang w:val="en-US" w:eastAsia="zh-CN"/>
                        </w:rPr>
                        <w:t>噪声评价范围</w:t>
                      </w:r>
                    </w:p>
                    <w:p w14:paraId="158FE6A3">
                      <w:pPr>
                        <w:ind w:firstLine="360" w:firstLineChars="200"/>
                        <w:rPr>
                          <w:rFonts w:hint="eastAsia"/>
                          <w:sz w:val="18"/>
                          <w:szCs w:val="18"/>
                          <w:lang w:val="en-US" w:eastAsia="zh-CN"/>
                        </w:rPr>
                      </w:pPr>
                      <w:r>
                        <w:rPr>
                          <w:rFonts w:hint="eastAsia"/>
                          <w:sz w:val="18"/>
                          <w:szCs w:val="18"/>
                          <w:lang w:val="en-US" w:eastAsia="zh-CN"/>
                        </w:rPr>
                        <w:t>大气评价范围</w:t>
                      </w:r>
                    </w:p>
                    <w:p w14:paraId="325605D7">
                      <w:pPr>
                        <w:rPr>
                          <w:rFonts w:hint="eastAsia" w:ascii="Times New Roman" w:hAnsi="Times New Roman" w:eastAsia="宋体" w:cs="Times New Roman"/>
                          <w:sz w:val="18"/>
                          <w:szCs w:val="18"/>
                          <w:lang w:val="en-US" w:eastAsia="zh-CN"/>
                        </w:rPr>
                      </w:pPr>
                      <w:r>
                        <w:rPr>
                          <w:rFonts w:hint="eastAsia"/>
                          <w:lang w:val="en-US" w:eastAsia="zh-CN"/>
                        </w:rPr>
                        <w:t xml:space="preserve">   </w:t>
                      </w:r>
                      <w:r>
                        <w:rPr>
                          <w:rFonts w:hint="eastAsia" w:ascii="Times New Roman" w:hAnsi="Times New Roman" w:eastAsia="宋体" w:cs="Times New Roman"/>
                          <w:sz w:val="18"/>
                          <w:szCs w:val="18"/>
                          <w:lang w:val="en-US" w:eastAsia="zh-CN"/>
                        </w:rPr>
                        <w:t>朝阳古生物化石群自然保护区</w:t>
                      </w:r>
                    </w:p>
                    <w:p w14:paraId="43DF662A">
                      <w:pPr>
                        <w:ind w:firstLine="360" w:firstLineChars="200"/>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辽宁朝阳鸟化石国家地质公园</w:t>
                      </w:r>
                    </w:p>
                  </w:txbxContent>
                </v:textbox>
              </v:shape>
            </w:pict>
          </mc:Fallback>
        </mc:AlternateContent>
      </w:r>
    </w:p>
    <w:p w14:paraId="60087A93">
      <w:pPr>
        <w:pStyle w:val="3"/>
        <w:jc w:val="center"/>
        <w:rPr>
          <w:rFonts w:hint="eastAsia"/>
          <w:color w:val="auto"/>
          <w:lang w:eastAsia="zh-CN"/>
        </w:rPr>
      </w:pPr>
      <w:bookmarkStart w:id="408" w:name="_Toc11208"/>
      <w:bookmarkStart w:id="409" w:name="_Toc26877"/>
      <w:bookmarkStart w:id="410" w:name="_Toc5668"/>
      <w:r>
        <w:rPr>
          <w:rFonts w:hint="eastAsia"/>
          <w:color w:val="auto"/>
        </w:rPr>
        <w:t>附图</w:t>
      </w:r>
      <w:r>
        <w:rPr>
          <w:rFonts w:hint="eastAsia"/>
          <w:color w:val="auto"/>
          <w:lang w:val="en-US" w:eastAsia="zh-CN"/>
        </w:rPr>
        <w:t>7</w:t>
      </w:r>
      <w:r>
        <w:rPr>
          <w:rFonts w:hint="eastAsia"/>
          <w:color w:val="auto"/>
        </w:rPr>
        <w:t xml:space="preserve">  保护目标图</w:t>
      </w:r>
      <w:bookmarkEnd w:id="408"/>
      <w:bookmarkEnd w:id="409"/>
      <w:bookmarkEnd w:id="410"/>
    </w:p>
    <w:p w14:paraId="37DC0076">
      <w:pPr>
        <w:keepNext/>
        <w:keepLines/>
        <w:pageBreakBefore w:val="0"/>
        <w:widowControl w:val="0"/>
        <w:kinsoku/>
        <w:wordWrap/>
        <w:overflowPunct/>
        <w:topLinePunct w:val="0"/>
        <w:autoSpaceDE/>
        <w:autoSpaceDN/>
        <w:bidi w:val="0"/>
        <w:adjustRightInd/>
        <w:snapToGrid/>
        <w:jc w:val="both"/>
        <w:textAlignment w:val="auto"/>
        <w:outlineLvl w:val="9"/>
        <w:rPr>
          <w:rFonts w:hint="eastAsia"/>
          <w:color w:val="auto"/>
        </w:rPr>
      </w:pPr>
    </w:p>
    <w:p w14:paraId="0C488AD2">
      <w:pPr>
        <w:rPr>
          <w:rFonts w:hint="eastAsia"/>
          <w:color w:val="auto"/>
        </w:rPr>
        <w:sectPr>
          <w:footerReference r:id="rId20" w:type="default"/>
          <w:pgSz w:w="16838" w:h="11905"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p>
    <w:p w14:paraId="3276C62B">
      <w:pPr>
        <w:pStyle w:val="10"/>
        <w:spacing w:before="114" w:line="225" w:lineRule="auto"/>
        <w:jc w:val="both"/>
        <w:rPr>
          <w:color w:val="auto"/>
        </w:rPr>
      </w:pPr>
      <w:r>
        <w:rPr>
          <w:color w:val="auto"/>
        </w:rPr>
        <w:drawing>
          <wp:inline distT="0" distB="0" distL="114300" distR="114300">
            <wp:extent cx="5267960" cy="5727065"/>
            <wp:effectExtent l="0" t="0" r="8890" b="6985"/>
            <wp:docPr id="17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7"/>
                    <pic:cNvPicPr>
                      <a:picLocks noChangeAspect="1"/>
                    </pic:cNvPicPr>
                  </pic:nvPicPr>
                  <pic:blipFill>
                    <a:blip r:embed="rId227"/>
                    <a:stretch>
                      <a:fillRect/>
                    </a:stretch>
                  </pic:blipFill>
                  <pic:spPr>
                    <a:xfrm>
                      <a:off x="0" y="0"/>
                      <a:ext cx="5267960" cy="5727065"/>
                    </a:xfrm>
                    <a:prstGeom prst="rect">
                      <a:avLst/>
                    </a:prstGeom>
                    <a:noFill/>
                    <a:ln>
                      <a:noFill/>
                    </a:ln>
                  </pic:spPr>
                </pic:pic>
              </a:graphicData>
            </a:graphic>
          </wp:inline>
        </w:drawing>
      </w:r>
    </w:p>
    <w:p w14:paraId="2EC769C6">
      <w:pPr>
        <w:jc w:val="center"/>
        <w:outlineLvl w:val="1"/>
        <w:rPr>
          <w:rFonts w:hint="default" w:ascii="Times New Roman" w:hAnsi="Times New Roman" w:eastAsia="宋体" w:cs="Times New Roman"/>
          <w:b/>
          <w:bCs/>
          <w:color w:val="auto"/>
          <w:sz w:val="24"/>
          <w:szCs w:val="24"/>
          <w:lang w:val="en-US" w:eastAsia="zh-CN"/>
        </w:rPr>
        <w:sectPr>
          <w:footerReference r:id="rId21" w:type="default"/>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bookmarkStart w:id="411" w:name="_Toc14642"/>
      <w:bookmarkStart w:id="412" w:name="_Toc31872"/>
      <w:bookmarkStart w:id="413" w:name="_Toc20994"/>
      <w:r>
        <w:rPr>
          <w:rFonts w:hint="default" w:ascii="Times New Roman" w:hAnsi="Times New Roman" w:eastAsia="宋体" w:cs="Times New Roman"/>
          <w:b/>
          <w:bCs/>
          <w:color w:val="auto"/>
          <w:sz w:val="24"/>
          <w:szCs w:val="24"/>
          <w:lang w:val="en-US" w:eastAsia="zh-CN"/>
        </w:rPr>
        <w:t>附图</w:t>
      </w:r>
      <w:r>
        <w:rPr>
          <w:rFonts w:hint="eastAsia" w:cs="Times New Roman"/>
          <w:b/>
          <w:bCs/>
          <w:color w:val="auto"/>
          <w:sz w:val="24"/>
          <w:szCs w:val="24"/>
          <w:lang w:val="en-US" w:eastAsia="zh-CN"/>
        </w:rPr>
        <w:t>8</w:t>
      </w:r>
      <w:r>
        <w:rPr>
          <w:rFonts w:hint="default" w:ascii="Times New Roman" w:hAnsi="Times New Roman" w:eastAsia="宋体" w:cs="Times New Roman"/>
          <w:b/>
          <w:bCs/>
          <w:color w:val="auto"/>
          <w:sz w:val="24"/>
          <w:szCs w:val="24"/>
          <w:lang w:val="en-US" w:eastAsia="zh-CN"/>
        </w:rPr>
        <w:t xml:space="preserve">  水油相制备工房设备布置图</w:t>
      </w:r>
      <w:bookmarkEnd w:id="411"/>
      <w:bookmarkEnd w:id="412"/>
      <w:bookmarkEnd w:id="413"/>
    </w:p>
    <w:p w14:paraId="29B215D7">
      <w:pPr>
        <w:rPr>
          <w:color w:val="auto"/>
        </w:rPr>
      </w:pPr>
      <w:r>
        <w:rPr>
          <w:color w:val="auto"/>
        </w:rPr>
        <w:drawing>
          <wp:inline distT="0" distB="0" distL="114300" distR="114300">
            <wp:extent cx="8853805" cy="2277745"/>
            <wp:effectExtent l="0" t="0" r="4445" b="8255"/>
            <wp:docPr id="6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9"/>
                    <pic:cNvPicPr>
                      <a:picLocks noChangeAspect="1"/>
                    </pic:cNvPicPr>
                  </pic:nvPicPr>
                  <pic:blipFill>
                    <a:blip r:embed="rId228"/>
                    <a:stretch>
                      <a:fillRect/>
                    </a:stretch>
                  </pic:blipFill>
                  <pic:spPr>
                    <a:xfrm>
                      <a:off x="0" y="0"/>
                      <a:ext cx="8853805" cy="2277745"/>
                    </a:xfrm>
                    <a:prstGeom prst="rect">
                      <a:avLst/>
                    </a:prstGeom>
                    <a:noFill/>
                    <a:ln>
                      <a:noFill/>
                    </a:ln>
                  </pic:spPr>
                </pic:pic>
              </a:graphicData>
            </a:graphic>
          </wp:inline>
        </w:drawing>
      </w:r>
    </w:p>
    <w:p w14:paraId="0A4A3170">
      <w:pPr>
        <w:jc w:val="center"/>
        <w:outlineLvl w:val="1"/>
        <w:rPr>
          <w:rFonts w:hint="eastAsia" w:ascii="Times New Roman" w:hAnsi="Times New Roman" w:eastAsia="宋体" w:cs="Times New Roman"/>
          <w:b/>
          <w:bCs/>
          <w:color w:val="auto"/>
          <w:sz w:val="24"/>
          <w:szCs w:val="24"/>
          <w:lang w:val="en-US" w:eastAsia="zh-CN"/>
        </w:rPr>
        <w:sectPr>
          <w:pgSz w:w="16838" w:h="11905" w:orient="landscape"/>
          <w:pgMar w:top="1800" w:right="1440" w:bottom="1800" w:left="1440" w:header="851" w:footer="1134" w:gutter="0"/>
          <w:pgBorders>
            <w:top w:val="none" w:sz="0" w:space="0"/>
            <w:left w:val="none" w:sz="0" w:space="0"/>
            <w:bottom w:val="none" w:sz="0" w:space="0"/>
            <w:right w:val="none" w:sz="0" w:space="0"/>
          </w:pgBorders>
          <w:pgNumType w:fmt="decimal"/>
          <w:cols w:space="720" w:num="1"/>
          <w:docGrid w:linePitch="312" w:charSpace="0"/>
        </w:sectPr>
      </w:pPr>
      <w:bookmarkStart w:id="414" w:name="_Toc17283"/>
      <w:bookmarkStart w:id="415" w:name="_Toc26439"/>
      <w:bookmarkStart w:id="416" w:name="_Toc23251"/>
      <w:r>
        <w:rPr>
          <w:rFonts w:hint="eastAsia" w:ascii="Times New Roman" w:hAnsi="Times New Roman" w:eastAsia="宋体" w:cs="Times New Roman"/>
          <w:b/>
          <w:bCs/>
          <w:color w:val="auto"/>
          <w:sz w:val="24"/>
          <w:szCs w:val="24"/>
          <w:lang w:val="en-US" w:eastAsia="zh-CN"/>
        </w:rPr>
        <w:t>附图8  乳化炸药震源药柱生产工房设备布置图</w:t>
      </w:r>
      <w:bookmarkEnd w:id="414"/>
      <w:bookmarkEnd w:id="415"/>
      <w:bookmarkEnd w:id="416"/>
    </w:p>
    <w:p w14:paraId="0D26D5D7">
      <w:pPr>
        <w:pStyle w:val="10"/>
        <w:spacing w:before="114" w:line="225" w:lineRule="auto"/>
        <w:jc w:val="center"/>
        <w:rPr>
          <w:rFonts w:hint="eastAsia" w:eastAsia="宋体"/>
          <w:color w:val="auto"/>
          <w:lang w:eastAsia="zh-CN"/>
        </w:rPr>
      </w:pPr>
      <w:r>
        <w:rPr>
          <w:rFonts w:hint="eastAsia" w:eastAsia="宋体"/>
          <w:color w:val="auto"/>
          <w:lang w:eastAsia="zh-CN"/>
        </w:rPr>
        <w:drawing>
          <wp:inline distT="0" distB="0" distL="114300" distR="114300">
            <wp:extent cx="5272405" cy="7452360"/>
            <wp:effectExtent l="0" t="0" r="4445" b="15240"/>
            <wp:docPr id="50" name="图片 50" descr="6683cd24be34f5e7ca651cc4c5961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6683cd24be34f5e7ca651cc4c59613b0"/>
                    <pic:cNvPicPr>
                      <a:picLocks noChangeAspect="1"/>
                    </pic:cNvPicPr>
                  </pic:nvPicPr>
                  <pic:blipFill>
                    <a:blip r:embed="rId229"/>
                    <a:stretch>
                      <a:fillRect/>
                    </a:stretch>
                  </pic:blipFill>
                  <pic:spPr>
                    <a:xfrm>
                      <a:off x="0" y="0"/>
                      <a:ext cx="5272405" cy="7452360"/>
                    </a:xfrm>
                    <a:prstGeom prst="rect">
                      <a:avLst/>
                    </a:prstGeom>
                  </pic:spPr>
                </pic:pic>
              </a:graphicData>
            </a:graphic>
          </wp:inline>
        </w:drawing>
      </w:r>
    </w:p>
    <w:p w14:paraId="7E72185C">
      <w:pPr>
        <w:pStyle w:val="3"/>
        <w:jc w:val="center"/>
        <w:rPr>
          <w:rFonts w:hint="eastAsia"/>
          <w:color w:val="auto"/>
          <w:lang w:val="en-US" w:eastAsia="zh-CN"/>
        </w:rPr>
        <w:sectPr>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bookmarkStart w:id="417" w:name="_Toc2253"/>
      <w:bookmarkStart w:id="418" w:name="_Toc16565"/>
      <w:bookmarkStart w:id="419" w:name="_Toc8278"/>
      <w:r>
        <w:rPr>
          <w:rFonts w:hint="eastAsia"/>
          <w:color w:val="auto"/>
        </w:rPr>
        <w:t>附图</w:t>
      </w:r>
      <w:r>
        <w:rPr>
          <w:rFonts w:hint="eastAsia"/>
          <w:color w:val="auto"/>
          <w:lang w:val="en-US" w:eastAsia="zh-CN"/>
        </w:rPr>
        <w:t>9</w:t>
      </w:r>
      <w:r>
        <w:rPr>
          <w:rFonts w:hint="eastAsia"/>
          <w:color w:val="auto"/>
        </w:rPr>
        <w:t xml:space="preserve">  </w:t>
      </w:r>
      <w:r>
        <w:rPr>
          <w:rFonts w:hint="eastAsia"/>
          <w:color w:val="auto"/>
          <w:lang w:val="en-US" w:eastAsia="zh-CN"/>
        </w:rPr>
        <w:t>喀左县国土空间总体规划-土地使用规划图</w:t>
      </w:r>
      <w:bookmarkEnd w:id="417"/>
      <w:bookmarkEnd w:id="418"/>
      <w:bookmarkEnd w:id="419"/>
    </w:p>
    <w:p w14:paraId="4BBFE398">
      <w:pPr>
        <w:jc w:val="center"/>
        <w:outlineLvl w:val="9"/>
        <w:rPr>
          <w:color w:val="auto"/>
        </w:rPr>
      </w:pPr>
      <w:r>
        <w:rPr>
          <w:color w:val="auto"/>
        </w:rPr>
        <w:drawing>
          <wp:anchor distT="0" distB="0" distL="114300" distR="114300" simplePos="0" relativeHeight="251786240" behindDoc="0" locked="0" layoutInCell="1" allowOverlap="1">
            <wp:simplePos x="0" y="0"/>
            <wp:positionH relativeFrom="column">
              <wp:posOffset>277495</wp:posOffset>
            </wp:positionH>
            <wp:positionV relativeFrom="paragraph">
              <wp:posOffset>3547745</wp:posOffset>
            </wp:positionV>
            <wp:extent cx="1427480" cy="1181735"/>
            <wp:effectExtent l="0" t="0" r="1270" b="18415"/>
            <wp:wrapNone/>
            <wp:docPr id="6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13"/>
                    <pic:cNvPicPr>
                      <a:picLocks noChangeAspect="1"/>
                    </pic:cNvPicPr>
                  </pic:nvPicPr>
                  <pic:blipFill>
                    <a:blip r:embed="rId230"/>
                    <a:srcRect l="2649" t="2439" r="2133" b="4289"/>
                    <a:stretch>
                      <a:fillRect/>
                    </a:stretch>
                  </pic:blipFill>
                  <pic:spPr>
                    <a:xfrm>
                      <a:off x="0" y="0"/>
                      <a:ext cx="1427480" cy="1181735"/>
                    </a:xfrm>
                    <a:prstGeom prst="rect">
                      <a:avLst/>
                    </a:prstGeom>
                    <a:noFill/>
                    <a:ln>
                      <a:noFill/>
                    </a:ln>
                  </pic:spPr>
                </pic:pic>
              </a:graphicData>
            </a:graphic>
          </wp:anchor>
        </w:drawing>
      </w:r>
      <w:r>
        <w:rPr>
          <w:color w:val="auto"/>
        </w:rPr>
        <w:drawing>
          <wp:inline distT="0" distB="0" distL="114300" distR="114300">
            <wp:extent cx="8311515" cy="4728210"/>
            <wp:effectExtent l="0" t="0" r="13335" b="15240"/>
            <wp:docPr id="6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22"/>
                    <pic:cNvPicPr>
                      <a:picLocks noChangeAspect="1"/>
                    </pic:cNvPicPr>
                  </pic:nvPicPr>
                  <pic:blipFill>
                    <a:blip r:embed="rId223"/>
                    <a:stretch>
                      <a:fillRect/>
                    </a:stretch>
                  </pic:blipFill>
                  <pic:spPr>
                    <a:xfrm>
                      <a:off x="0" y="0"/>
                      <a:ext cx="8311515" cy="4728210"/>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785216" behindDoc="0" locked="0" layoutInCell="1" allowOverlap="1">
                <wp:simplePos x="0" y="0"/>
                <wp:positionH relativeFrom="column">
                  <wp:posOffset>2011680</wp:posOffset>
                </wp:positionH>
                <wp:positionV relativeFrom="paragraph">
                  <wp:posOffset>690880</wp:posOffset>
                </wp:positionV>
                <wp:extent cx="3749040" cy="1073785"/>
                <wp:effectExtent l="635" t="6985" r="22225" b="24130"/>
                <wp:wrapNone/>
                <wp:docPr id="626" name="任意多边形 626"/>
                <wp:cNvGraphicFramePr/>
                <a:graphic xmlns:a="http://schemas.openxmlformats.org/drawingml/2006/main">
                  <a:graphicData uri="http://schemas.microsoft.com/office/word/2010/wordprocessingShape">
                    <wps:wsp>
                      <wps:cNvSpPr/>
                      <wps:spPr>
                        <a:xfrm>
                          <a:off x="2947670" y="1824990"/>
                          <a:ext cx="3749040" cy="1073785"/>
                        </a:xfrm>
                        <a:custGeom>
                          <a:avLst/>
                          <a:gdLst>
                            <a:gd name="connisteX0" fmla="*/ 3749040 w 3749040"/>
                            <a:gd name="connsiteY0" fmla="*/ 0 h 1073785"/>
                            <a:gd name="connisteX1" fmla="*/ 3636645 w 3749040"/>
                            <a:gd name="connsiteY1" fmla="*/ 69215 h 1073785"/>
                            <a:gd name="connisteX2" fmla="*/ 3515360 w 3749040"/>
                            <a:gd name="connsiteY2" fmla="*/ 107950 h 1073785"/>
                            <a:gd name="connisteX3" fmla="*/ 3129915 w 3749040"/>
                            <a:gd name="connsiteY3" fmla="*/ 259715 h 1073785"/>
                            <a:gd name="connisteX4" fmla="*/ 3077845 w 3749040"/>
                            <a:gd name="connsiteY4" fmla="*/ 272415 h 1073785"/>
                            <a:gd name="connisteX5" fmla="*/ 3103880 w 3749040"/>
                            <a:gd name="connsiteY5" fmla="*/ 346075 h 1073785"/>
                            <a:gd name="connisteX6" fmla="*/ 2792095 w 3749040"/>
                            <a:gd name="connsiteY6" fmla="*/ 428625 h 1073785"/>
                            <a:gd name="connisteX7" fmla="*/ 2553970 w 3749040"/>
                            <a:gd name="connsiteY7" fmla="*/ 483870 h 1073785"/>
                            <a:gd name="connisteX8" fmla="*/ 1969770 w 3749040"/>
                            <a:gd name="connsiteY8" fmla="*/ 952500 h 1073785"/>
                            <a:gd name="connisteX9" fmla="*/ 1822450 w 3749040"/>
                            <a:gd name="connsiteY9" fmla="*/ 1034415 h 1073785"/>
                            <a:gd name="connisteX10" fmla="*/ 1315720 w 3749040"/>
                            <a:gd name="connsiteY10" fmla="*/ 939165 h 1073785"/>
                            <a:gd name="connisteX11" fmla="*/ 532130 w 3749040"/>
                            <a:gd name="connsiteY11" fmla="*/ 1055370 h 1073785"/>
                            <a:gd name="connisteX12" fmla="*/ 462915 w 3749040"/>
                            <a:gd name="connsiteY12" fmla="*/ 1055370 h 1073785"/>
                            <a:gd name="connisteX13" fmla="*/ 389255 w 3749040"/>
                            <a:gd name="connsiteY13" fmla="*/ 1055370 h 1073785"/>
                            <a:gd name="connisteX14" fmla="*/ 324485 w 3749040"/>
                            <a:gd name="connsiteY14" fmla="*/ 1055370 h 1073785"/>
                            <a:gd name="connisteX15" fmla="*/ 0 w 3749040"/>
                            <a:gd name="connsiteY15" fmla="*/ 1073785 h 10737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3749040" h="1073785">
                              <a:moveTo>
                                <a:pt x="3749040" y="0"/>
                              </a:moveTo>
                              <a:lnTo>
                                <a:pt x="3636645" y="69215"/>
                              </a:lnTo>
                              <a:lnTo>
                                <a:pt x="3515360" y="107950"/>
                              </a:lnTo>
                              <a:lnTo>
                                <a:pt x="3129915" y="259715"/>
                              </a:lnTo>
                              <a:lnTo>
                                <a:pt x="3077845" y="272415"/>
                              </a:lnTo>
                              <a:lnTo>
                                <a:pt x="3103880" y="346075"/>
                              </a:lnTo>
                              <a:lnTo>
                                <a:pt x="2792095" y="428625"/>
                              </a:lnTo>
                              <a:lnTo>
                                <a:pt x="2553970" y="483870"/>
                              </a:lnTo>
                              <a:lnTo>
                                <a:pt x="1969770" y="952500"/>
                              </a:lnTo>
                              <a:lnTo>
                                <a:pt x="1822450" y="1034415"/>
                              </a:lnTo>
                              <a:lnTo>
                                <a:pt x="1315720" y="939165"/>
                              </a:lnTo>
                              <a:lnTo>
                                <a:pt x="532130" y="1055370"/>
                              </a:lnTo>
                              <a:lnTo>
                                <a:pt x="462915" y="1055370"/>
                              </a:lnTo>
                              <a:lnTo>
                                <a:pt x="389255" y="1055370"/>
                              </a:lnTo>
                              <a:lnTo>
                                <a:pt x="324485" y="1055370"/>
                              </a:lnTo>
                              <a:lnTo>
                                <a:pt x="0" y="1073785"/>
                              </a:lnTo>
                            </a:path>
                          </a:pathLst>
                        </a:custGeom>
                        <a:noFill/>
                        <a:ln w="15875">
                          <a:solidFill>
                            <a:srgbClr val="1209C7"/>
                          </a:solidFill>
                          <a:prstDash val="dash"/>
                          <a:tailEnd type="none"/>
                        </a:ln>
                      </wps:spPr>
                      <wps:style>
                        <a:lnRef idx="2">
                          <a:schemeClr val="accent1"/>
                        </a:lnRef>
                        <a:fillRef idx="0">
                          <a:srgbClr val="FFFFFF"/>
                        </a:fillRef>
                        <a:effectRef idx="0">
                          <a:srgbClr val="FFFFFF"/>
                        </a:effectRef>
                        <a:fontRef idx="minor">
                          <a:schemeClr val="tx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158.4pt;margin-top:54.4pt;height:84.55pt;width:295.2pt;z-index:251785216;v-text-anchor:middle;mso-width-relative:page;mso-height-relative:page;" filled="f" stroked="t" coordsize="3749040,1073785" o:gfxdata="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" path="m3749040,0l3636645,69215,3515360,107950,3129915,259715,3077845,272415,3103880,346075,2792095,428625,2553970,483870,1969770,952500,1822450,1034415,1315720,939165,532130,1055370,462915,1055370,389255,1055370,324485,1055370,0,1073785e">
                <v:path o:connectlocs="3749040,0;3636645,69215;3515360,107950;3129915,259715;3077845,272415;3103880,346075;2792095,428625;2553970,483870;1969770,952500;1822450,1034415;1315720,939165;532130,1055370;462915,1055370;389255,1055370;324485,1055370;0,1073785" o:connectangles="0,0,0,0,0,0,0,0,0,0,0,0,0,0,0,0"/>
                <v:fill on="f" focussize="0,0"/>
                <v:stroke weight="1.25pt" color="#1209C7 [3204]" joinstyle="round" dashstyle="dash"/>
                <v:imagedata o:title=""/>
                <o:lock v:ext="edit" aspectratio="f"/>
              </v:shape>
            </w:pict>
          </mc:Fallback>
        </mc:AlternateContent>
      </w:r>
    </w:p>
    <w:p w14:paraId="0EEC857C">
      <w:pPr>
        <w:pStyle w:val="3"/>
        <w:jc w:val="center"/>
        <w:rPr>
          <w:rFonts w:hint="default" w:eastAsia="宋体"/>
          <w:color w:val="auto"/>
          <w:lang w:val="en-US" w:eastAsia="zh-CN"/>
        </w:rPr>
      </w:pPr>
      <w:bookmarkStart w:id="420" w:name="_Toc8283"/>
      <w:bookmarkStart w:id="421" w:name="_Toc27181"/>
      <w:bookmarkStart w:id="422" w:name="_Toc3177"/>
      <w:r>
        <w:rPr>
          <w:rFonts w:hint="eastAsia" w:eastAsia="宋体"/>
          <w:color w:val="auto"/>
          <w:lang w:val="en-US" w:eastAsia="zh-CN"/>
        </w:rPr>
        <w:t>附图10  废水输送管线图</w:t>
      </w:r>
      <w:bookmarkEnd w:id="420"/>
      <w:bookmarkEnd w:id="421"/>
      <w:bookmarkEnd w:id="422"/>
    </w:p>
    <w:p w14:paraId="7857E22F">
      <w:pPr>
        <w:rPr>
          <w:rFonts w:hint="default"/>
          <w:color w:val="auto"/>
          <w:lang w:val="en-US" w:eastAsia="zh-CN"/>
        </w:rPr>
      </w:pPr>
    </w:p>
    <w:p w14:paraId="35F162C8">
      <w:pPr>
        <w:pStyle w:val="10"/>
        <w:spacing w:before="114" w:line="225" w:lineRule="auto"/>
        <w:jc w:val="center"/>
        <w:rPr>
          <w:color w:val="auto"/>
        </w:rPr>
      </w:pPr>
      <w:r>
        <w:rPr>
          <w:color w:val="auto"/>
          <w:sz w:val="18"/>
        </w:rPr>
        <mc:AlternateContent>
          <mc:Choice Requires="wps">
            <w:drawing>
              <wp:anchor distT="0" distB="0" distL="114300" distR="114300" simplePos="0" relativeHeight="251799552" behindDoc="0" locked="0" layoutInCell="1" allowOverlap="1">
                <wp:simplePos x="0" y="0"/>
                <wp:positionH relativeFrom="column">
                  <wp:posOffset>6634480</wp:posOffset>
                </wp:positionH>
                <wp:positionV relativeFrom="paragraph">
                  <wp:posOffset>4375150</wp:posOffset>
                </wp:positionV>
                <wp:extent cx="521335" cy="260350"/>
                <wp:effectExtent l="0" t="0" r="0" b="0"/>
                <wp:wrapNone/>
                <wp:docPr id="642" name="文本框 642"/>
                <wp:cNvGraphicFramePr/>
                <a:graphic xmlns:a="http://schemas.openxmlformats.org/drawingml/2006/main">
                  <a:graphicData uri="http://schemas.microsoft.com/office/word/2010/wordprocessingShape">
                    <wps:wsp>
                      <wps:cNvSpPr txBox="1"/>
                      <wps:spPr>
                        <a:xfrm>
                          <a:off x="7586980" y="5492750"/>
                          <a:ext cx="52133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33F016">
                            <w:pPr>
                              <w:rPr>
                                <w:rFonts w:hint="default" w:eastAsia="宋体"/>
                                <w:lang w:val="en-US" w:eastAsia="zh-CN"/>
                              </w:rPr>
                            </w:pPr>
                            <w:r>
                              <w:rPr>
                                <w:rFonts w:hint="eastAsia"/>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2.4pt;margin-top:344.5pt;height:20.5pt;width:41.05pt;z-index:251799552;mso-width-relative:page;mso-height-relative:page;" filled="f" stroked="f" coordsize="21600,21600" o:gfxdata="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k9OCtwAAAANAQAADwAAAAAA&#10;AAABACAAAAAiAAAAZHJzL2Rvd25yZXYueG1sUEsBAhQAFAAAAAgAh07iQNe6171IAgAAdQQAAA4A&#10;AAAAAAAAAQAgAAAAKwEAAGRycy9lMm9Eb2MueG1sUEsFBgAAAAAGAAYAWQEAAOUFAAAAAA==&#10;">
                <v:fill on="f" focussize="0,0"/>
                <v:stroke on="f" weight="0.5pt"/>
                <v:imagedata o:title=""/>
                <o:lock v:ext="edit" aspectratio="f"/>
                <v:textbox>
                  <w:txbxContent>
                    <w:p w14:paraId="7733F016">
                      <w:pPr>
                        <w:rPr>
                          <w:rFonts w:hint="default" w:eastAsia="宋体"/>
                          <w:lang w:val="en-US" w:eastAsia="zh-CN"/>
                        </w:rPr>
                      </w:pPr>
                      <w:r>
                        <w:rPr>
                          <w:rFonts w:hint="eastAsia"/>
                          <w:lang w:val="en-US" w:eastAsia="zh-CN"/>
                        </w:rPr>
                        <w:t>50m</w:t>
                      </w:r>
                    </w:p>
                  </w:txbxContent>
                </v:textbox>
              </v:shape>
            </w:pict>
          </mc:Fallback>
        </mc:AlternateContent>
      </w:r>
      <w:r>
        <w:rPr>
          <w:color w:val="auto"/>
          <w:sz w:val="18"/>
        </w:rPr>
        <mc:AlternateContent>
          <mc:Choice Requires="wps">
            <w:drawing>
              <wp:anchor distT="0" distB="0" distL="114300" distR="114300" simplePos="0" relativeHeight="251796480" behindDoc="0" locked="0" layoutInCell="1" allowOverlap="1">
                <wp:simplePos x="0" y="0"/>
                <wp:positionH relativeFrom="column">
                  <wp:posOffset>6346825</wp:posOffset>
                </wp:positionH>
                <wp:positionV relativeFrom="paragraph">
                  <wp:posOffset>4125595</wp:posOffset>
                </wp:positionV>
                <wp:extent cx="146050" cy="101600"/>
                <wp:effectExtent l="4445" t="4445" r="20955" b="8255"/>
                <wp:wrapNone/>
                <wp:docPr id="639" name="矩形 639"/>
                <wp:cNvGraphicFramePr/>
                <a:graphic xmlns:a="http://schemas.openxmlformats.org/drawingml/2006/main">
                  <a:graphicData uri="http://schemas.microsoft.com/office/word/2010/wordprocessingShape">
                    <wps:wsp>
                      <wps:cNvSpPr/>
                      <wps:spPr>
                        <a:xfrm>
                          <a:off x="7273925" y="5014595"/>
                          <a:ext cx="146050" cy="101600"/>
                        </a:xfrm>
                        <a:prstGeom prst="rect">
                          <a:avLst/>
                        </a:prstGeom>
                        <a:noFill/>
                        <a:ln w="9525">
                          <a:solidFill>
                            <a:srgbClr val="FF000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9.75pt;margin-top:324.85pt;height:8pt;width:11.5pt;z-index:251796480;v-text-anchor:middle;mso-width-relative:page;mso-height-relative:page;" filled="f" stroked="t" coordsize="21600,21600" o:gfxdata="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Zz9Wj2QAAAAwBAAAPAAAAAAAAAAEAIAAA&#10;ACIAAABkcnMvZG93bnJldi54bWxQSwECFAAUAAAACACHTuJAJvHadX0CAADbBAAADgAAAAAAAAAB&#10;ACAAAAAoAQAAZHJzL2Uyb0RvYy54bWxQSwUGAAAAAAYABgBZAQAAFwYAAAAA&#10;">
                <v:fill on="f" focussize="0,0"/>
                <v:stroke color="#FF0000 [3204]" joinstyle="round" endarrow="open"/>
                <v:imagedata o:title=""/>
                <o:lock v:ext="edit" aspectratio="f"/>
              </v:rect>
            </w:pict>
          </mc:Fallback>
        </mc:AlternateContent>
      </w:r>
      <w:r>
        <w:rPr>
          <w:color w:val="auto"/>
          <w:sz w:val="18"/>
        </w:rPr>
        <mc:AlternateContent>
          <mc:Choice Requires="wps">
            <w:drawing>
              <wp:anchor distT="0" distB="0" distL="114300" distR="114300" simplePos="0" relativeHeight="251797504" behindDoc="0" locked="0" layoutInCell="1" allowOverlap="1">
                <wp:simplePos x="0" y="0"/>
                <wp:positionH relativeFrom="column">
                  <wp:posOffset>6346825</wp:posOffset>
                </wp:positionH>
                <wp:positionV relativeFrom="paragraph">
                  <wp:posOffset>4297045</wp:posOffset>
                </wp:positionV>
                <wp:extent cx="146050" cy="101600"/>
                <wp:effectExtent l="4445" t="4445" r="20955" b="8255"/>
                <wp:wrapNone/>
                <wp:docPr id="640" name="矩形 640"/>
                <wp:cNvGraphicFramePr/>
                <a:graphic xmlns:a="http://schemas.openxmlformats.org/drawingml/2006/main">
                  <a:graphicData uri="http://schemas.microsoft.com/office/word/2010/wordprocessingShape">
                    <wps:wsp>
                      <wps:cNvSpPr/>
                      <wps:spPr>
                        <a:xfrm>
                          <a:off x="0" y="0"/>
                          <a:ext cx="146050" cy="101600"/>
                        </a:xfrm>
                        <a:prstGeom prst="rect">
                          <a:avLst/>
                        </a:prstGeom>
                        <a:solidFill>
                          <a:srgbClr val="92D050">
                            <a:alpha val="50000"/>
                          </a:srgbClr>
                        </a:solidFill>
                        <a:ln w="9525">
                          <a:solidFill>
                            <a:srgbClr val="FF000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9.75pt;margin-top:338.35pt;height:8pt;width:11.5pt;z-index:251797504;v-text-anchor:middle;mso-width-relative:page;mso-height-relative:page;" fillcolor="#92D050" filled="t" stroked="t" coordsize="21600,21600" o:gfxdata="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D9vPqHYAAAADAEAAA8AAAAAAAAAAQAg&#10;AAAAIgAAAGRycy9kb3ducmV2LnhtbFBLAQIUABQAAAAIAIdO4kAecETXgAIAABkFAAAOAAAAAAAA&#10;AAEAIAAAACcBAABkcnMvZTJvRG9jLnhtbFBLBQYAAAAABgAGAFkBAAAZBgAAAAA=&#10;">
                <v:fill on="t" opacity="32768f" focussize="0,0"/>
                <v:stroke color="#FF0000 [3204]" joinstyle="round" endarrow="open"/>
                <v:imagedata o:title=""/>
                <o:lock v:ext="edit" aspectratio="f"/>
              </v:rect>
            </w:pict>
          </mc:Fallback>
        </mc:AlternateContent>
      </w:r>
      <w:r>
        <w:rPr>
          <w:color w:val="auto"/>
          <w:sz w:val="18"/>
        </w:rPr>
        <mc:AlternateContent>
          <mc:Choice Requires="wps">
            <w:drawing>
              <wp:anchor distT="0" distB="0" distL="114300" distR="114300" simplePos="0" relativeHeight="251798528" behindDoc="0" locked="0" layoutInCell="1" allowOverlap="1">
                <wp:simplePos x="0" y="0"/>
                <wp:positionH relativeFrom="column">
                  <wp:posOffset>6761480</wp:posOffset>
                </wp:positionH>
                <wp:positionV relativeFrom="paragraph">
                  <wp:posOffset>4572000</wp:posOffset>
                </wp:positionV>
                <wp:extent cx="177800" cy="75565"/>
                <wp:effectExtent l="4445" t="4445" r="8255" b="15240"/>
                <wp:wrapNone/>
                <wp:docPr id="641" name="矩形 641"/>
                <wp:cNvGraphicFramePr/>
                <a:graphic xmlns:a="http://schemas.openxmlformats.org/drawingml/2006/main">
                  <a:graphicData uri="http://schemas.microsoft.com/office/word/2010/wordprocessingShape">
                    <wps:wsp>
                      <wps:cNvSpPr/>
                      <wps:spPr>
                        <a:xfrm>
                          <a:off x="8025130" y="5721350"/>
                          <a:ext cx="177800" cy="75565"/>
                        </a:xfrm>
                        <a:prstGeom prst="rect">
                          <a:avLst/>
                        </a:prstGeom>
                        <a:solidFill>
                          <a:schemeClr val="tx1"/>
                        </a:solid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2.4pt;margin-top:360pt;height:5.95pt;width:14pt;z-index:251798528;v-text-anchor:middle;mso-width-relative:page;mso-height-relative:page;" fillcolor="#000000 [3213]" filled="t" stroked="t" coordsize="21600,21600" o:gfxdata="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TEMv0NsAAAANAQAADwAAAAAAAAABACAAAAAi&#10;AAAAZHJzL2Rvd25yZXYueG1sUEsBAhQAFAAAAAgAh07iQGQ0HFp5AgAAAwUAAA4AAAAAAAAAAQAg&#10;AAAAKgEAAGRycy9lMm9Eb2MueG1sUEsFBgAAAAAGAAYAWQEAABUGAAAAAA==&#10;">
                <v:fill on="t" focussize="0,0"/>
                <v:stroke color="#000000 [3213]" joinstyle="round" endarrow="open"/>
                <v:imagedata o:title=""/>
                <o:lock v:ext="edit" aspectratio="f"/>
              </v:rect>
            </w:pict>
          </mc:Fallback>
        </mc:AlternateContent>
      </w:r>
      <w:r>
        <w:rPr>
          <w:color w:val="auto"/>
          <w:sz w:val="18"/>
        </w:rPr>
        <mc:AlternateContent>
          <mc:Choice Requires="wps">
            <w:drawing>
              <wp:anchor distT="0" distB="0" distL="114300" distR="114300" simplePos="0" relativeHeight="251795456" behindDoc="0" locked="0" layoutInCell="1" allowOverlap="1">
                <wp:simplePos x="0" y="0"/>
                <wp:positionH relativeFrom="column">
                  <wp:posOffset>6290310</wp:posOffset>
                </wp:positionH>
                <wp:positionV relativeFrom="paragraph">
                  <wp:posOffset>3858260</wp:posOffset>
                </wp:positionV>
                <wp:extent cx="1110615" cy="856615"/>
                <wp:effectExtent l="4445" t="4445" r="8890" b="15240"/>
                <wp:wrapNone/>
                <wp:docPr id="638" name="文本框 638"/>
                <wp:cNvGraphicFramePr/>
                <a:graphic xmlns:a="http://schemas.openxmlformats.org/drawingml/2006/main">
                  <a:graphicData uri="http://schemas.microsoft.com/office/word/2010/wordprocessingShape">
                    <wps:wsp>
                      <wps:cNvSpPr txBox="1"/>
                      <wps:spPr>
                        <a:xfrm>
                          <a:off x="7578725" y="5039995"/>
                          <a:ext cx="1110615" cy="8566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AEA7C7B">
                            <w:pPr>
                              <w:keepNext w:val="0"/>
                              <w:keepLines w:val="0"/>
                              <w:pageBreakBefore w:val="0"/>
                              <w:widowControl w:val="0"/>
                              <w:kinsoku/>
                              <w:wordWrap/>
                              <w:overflowPunct/>
                              <w:topLinePunct w:val="0"/>
                              <w:bidi w:val="0"/>
                              <w:adjustRightInd/>
                              <w:snapToGrid/>
                              <w:spacing w:line="240" w:lineRule="auto"/>
                              <w:textAlignment w:val="auto"/>
                              <w:rPr>
                                <w:rFonts w:hint="eastAsia"/>
                                <w:sz w:val="21"/>
                                <w:szCs w:val="21"/>
                                <w:lang w:val="en-US" w:eastAsia="zh-CN"/>
                              </w:rPr>
                            </w:pPr>
                            <w:r>
                              <w:rPr>
                                <w:rFonts w:hint="eastAsia"/>
                                <w:sz w:val="21"/>
                                <w:szCs w:val="21"/>
                                <w:lang w:val="en-US" w:eastAsia="zh-CN"/>
                              </w:rPr>
                              <w:t>图例：</w:t>
                            </w:r>
                          </w:p>
                          <w:p w14:paraId="762ADEA7">
                            <w:pPr>
                              <w:pStyle w:val="41"/>
                              <w:keepNext w:val="0"/>
                              <w:keepLines w:val="0"/>
                              <w:pageBreakBefore w:val="0"/>
                              <w:widowControl w:val="0"/>
                              <w:kinsoku/>
                              <w:wordWrap/>
                              <w:overflowPunct/>
                              <w:topLinePunct w:val="0"/>
                              <w:bidi w:val="0"/>
                              <w:adjustRightInd/>
                              <w:snapToGrid/>
                              <w:spacing w:after="0" w:line="240" w:lineRule="auto"/>
                              <w:ind w:left="0" w:leftChars="0" w:firstLine="210" w:firstLineChars="100"/>
                              <w:textAlignment w:val="auto"/>
                              <w:rPr>
                                <w:rFonts w:hint="eastAsia"/>
                                <w:sz w:val="21"/>
                                <w:szCs w:val="21"/>
                                <w:lang w:val="en-US" w:eastAsia="zh-CN"/>
                              </w:rPr>
                            </w:pPr>
                            <w:r>
                              <w:rPr>
                                <w:rFonts w:hint="eastAsia"/>
                                <w:sz w:val="21"/>
                                <w:szCs w:val="21"/>
                                <w:lang w:val="en-US" w:eastAsia="zh-CN"/>
                              </w:rPr>
                              <w:t>厂界</w:t>
                            </w:r>
                          </w:p>
                          <w:p w14:paraId="11F6A0B6">
                            <w:pPr>
                              <w:keepNext w:val="0"/>
                              <w:keepLines w:val="0"/>
                              <w:pageBreakBefore w:val="0"/>
                              <w:widowControl w:val="0"/>
                              <w:kinsoku/>
                              <w:wordWrap/>
                              <w:overflowPunct/>
                              <w:topLinePunct w:val="0"/>
                              <w:bidi w:val="0"/>
                              <w:adjustRightInd/>
                              <w:snapToGrid/>
                              <w:spacing w:line="240" w:lineRule="auto"/>
                              <w:ind w:firstLine="210" w:firstLineChars="100"/>
                              <w:textAlignment w:val="auto"/>
                              <w:rPr>
                                <w:rFonts w:hint="default"/>
                                <w:sz w:val="21"/>
                                <w:szCs w:val="21"/>
                                <w:lang w:val="en-US" w:eastAsia="zh-CN"/>
                              </w:rPr>
                            </w:pPr>
                            <w:r>
                              <w:rPr>
                                <w:rFonts w:hint="eastAsia"/>
                                <w:sz w:val="21"/>
                                <w:szCs w:val="21"/>
                                <w:lang w:val="en-US" w:eastAsia="zh-CN"/>
                              </w:rPr>
                              <w:t>废水暂存池</w:t>
                            </w:r>
                          </w:p>
                          <w:p w14:paraId="5F28E6FE">
                            <w:pPr>
                              <w:rPr>
                                <w:rFonts w:hint="eastAsia"/>
                                <w:lang w:val="en-US" w:eastAsia="zh-CN"/>
                              </w:rPr>
                            </w:pPr>
                          </w:p>
                          <w:p w14:paraId="0AC4B11D">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3pt;margin-top:303.8pt;height:67.45pt;width:87.45pt;z-index:251795456;mso-width-relative:page;mso-height-relative:page;" fillcolor="#FFFFFF [3201]" filled="t" stroked="t" coordsize="21600,21600" o:gfxdata="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M33fX2QAAAAwBAAAPAAAAAAAAAAEAIAAAACIAAABkcnMvZG93bnJldi54bWxQSwEC&#10;FAAUAAAACACHTuJAz6yEpmUCAADHBAAADgAAAAAAAAABACAAAAAoAQAAZHJzL2Uyb0RvYy54bWxQ&#10;SwUGAAAAAAYABgBZAQAA/wUAAAAA&#10;">
                <v:fill on="t" focussize="0,0"/>
                <v:stroke weight="0.5pt" color="#000000 [3204]" joinstyle="round"/>
                <v:imagedata o:title=""/>
                <o:lock v:ext="edit" aspectratio="f"/>
                <v:textbox>
                  <w:txbxContent>
                    <w:p w14:paraId="0AEA7C7B">
                      <w:pPr>
                        <w:keepNext w:val="0"/>
                        <w:keepLines w:val="0"/>
                        <w:pageBreakBefore w:val="0"/>
                        <w:widowControl w:val="0"/>
                        <w:kinsoku/>
                        <w:wordWrap/>
                        <w:overflowPunct/>
                        <w:topLinePunct w:val="0"/>
                        <w:bidi w:val="0"/>
                        <w:adjustRightInd/>
                        <w:snapToGrid/>
                        <w:spacing w:line="240" w:lineRule="auto"/>
                        <w:textAlignment w:val="auto"/>
                        <w:rPr>
                          <w:rFonts w:hint="eastAsia"/>
                          <w:sz w:val="21"/>
                          <w:szCs w:val="21"/>
                          <w:lang w:val="en-US" w:eastAsia="zh-CN"/>
                        </w:rPr>
                      </w:pPr>
                      <w:r>
                        <w:rPr>
                          <w:rFonts w:hint="eastAsia"/>
                          <w:sz w:val="21"/>
                          <w:szCs w:val="21"/>
                          <w:lang w:val="en-US" w:eastAsia="zh-CN"/>
                        </w:rPr>
                        <w:t>图例：</w:t>
                      </w:r>
                    </w:p>
                    <w:p w14:paraId="762ADEA7">
                      <w:pPr>
                        <w:pStyle w:val="41"/>
                        <w:keepNext w:val="0"/>
                        <w:keepLines w:val="0"/>
                        <w:pageBreakBefore w:val="0"/>
                        <w:widowControl w:val="0"/>
                        <w:kinsoku/>
                        <w:wordWrap/>
                        <w:overflowPunct/>
                        <w:topLinePunct w:val="0"/>
                        <w:bidi w:val="0"/>
                        <w:adjustRightInd/>
                        <w:snapToGrid/>
                        <w:spacing w:after="0" w:line="240" w:lineRule="auto"/>
                        <w:ind w:left="0" w:leftChars="0" w:firstLine="210" w:firstLineChars="100"/>
                        <w:textAlignment w:val="auto"/>
                        <w:rPr>
                          <w:rFonts w:hint="eastAsia"/>
                          <w:sz w:val="21"/>
                          <w:szCs w:val="21"/>
                          <w:lang w:val="en-US" w:eastAsia="zh-CN"/>
                        </w:rPr>
                      </w:pPr>
                      <w:r>
                        <w:rPr>
                          <w:rFonts w:hint="eastAsia"/>
                          <w:sz w:val="21"/>
                          <w:szCs w:val="21"/>
                          <w:lang w:val="en-US" w:eastAsia="zh-CN"/>
                        </w:rPr>
                        <w:t>厂界</w:t>
                      </w:r>
                    </w:p>
                    <w:p w14:paraId="11F6A0B6">
                      <w:pPr>
                        <w:keepNext w:val="0"/>
                        <w:keepLines w:val="0"/>
                        <w:pageBreakBefore w:val="0"/>
                        <w:widowControl w:val="0"/>
                        <w:kinsoku/>
                        <w:wordWrap/>
                        <w:overflowPunct/>
                        <w:topLinePunct w:val="0"/>
                        <w:bidi w:val="0"/>
                        <w:adjustRightInd/>
                        <w:snapToGrid/>
                        <w:spacing w:line="240" w:lineRule="auto"/>
                        <w:ind w:firstLine="210" w:firstLineChars="100"/>
                        <w:textAlignment w:val="auto"/>
                        <w:rPr>
                          <w:rFonts w:hint="default"/>
                          <w:sz w:val="21"/>
                          <w:szCs w:val="21"/>
                          <w:lang w:val="en-US" w:eastAsia="zh-CN"/>
                        </w:rPr>
                      </w:pPr>
                      <w:r>
                        <w:rPr>
                          <w:rFonts w:hint="eastAsia"/>
                          <w:sz w:val="21"/>
                          <w:szCs w:val="21"/>
                          <w:lang w:val="en-US" w:eastAsia="zh-CN"/>
                        </w:rPr>
                        <w:t>废水暂存池</w:t>
                      </w:r>
                    </w:p>
                    <w:p w14:paraId="5F28E6FE">
                      <w:pPr>
                        <w:rPr>
                          <w:rFonts w:hint="eastAsia"/>
                          <w:lang w:val="en-US" w:eastAsia="zh-CN"/>
                        </w:rPr>
                      </w:pPr>
                    </w:p>
                    <w:p w14:paraId="0AC4B11D">
                      <w:pPr>
                        <w:rPr>
                          <w:rFonts w:hint="default"/>
                          <w:lang w:val="en-US" w:eastAsia="zh-CN"/>
                        </w:rPr>
                      </w:pPr>
                    </w:p>
                  </w:txbxContent>
                </v:textbox>
              </v:shape>
            </w:pict>
          </mc:Fallback>
        </mc:AlternateContent>
      </w:r>
      <w:r>
        <w:rPr>
          <w:color w:val="auto"/>
        </w:rPr>
        <w:drawing>
          <wp:anchor distT="0" distB="0" distL="0" distR="0" simplePos="0" relativeHeight="251794432" behindDoc="0" locked="0" layoutInCell="1" allowOverlap="1">
            <wp:simplePos x="0" y="0"/>
            <wp:positionH relativeFrom="column">
              <wp:posOffset>6819900</wp:posOffset>
            </wp:positionH>
            <wp:positionV relativeFrom="paragraph">
              <wp:posOffset>8255</wp:posOffset>
            </wp:positionV>
            <wp:extent cx="572770" cy="664845"/>
            <wp:effectExtent l="0" t="0" r="17780" b="1905"/>
            <wp:wrapNone/>
            <wp:docPr id="637" name="IM 268"/>
            <wp:cNvGraphicFramePr/>
            <a:graphic xmlns:a="http://schemas.openxmlformats.org/drawingml/2006/main">
              <a:graphicData uri="http://schemas.openxmlformats.org/drawingml/2006/picture">
                <pic:pic xmlns:pic="http://schemas.openxmlformats.org/drawingml/2006/picture">
                  <pic:nvPicPr>
                    <pic:cNvPr id="637" name="IM 268"/>
                    <pic:cNvPicPr/>
                  </pic:nvPicPr>
                  <pic:blipFill>
                    <a:blip r:embed="rId220"/>
                    <a:stretch>
                      <a:fillRect/>
                    </a:stretch>
                  </pic:blipFill>
                  <pic:spPr>
                    <a:xfrm>
                      <a:off x="0" y="0"/>
                      <a:ext cx="572770" cy="664845"/>
                    </a:xfrm>
                    <a:prstGeom prst="rect">
                      <a:avLst/>
                    </a:prstGeom>
                  </pic:spPr>
                </pic:pic>
              </a:graphicData>
            </a:graphic>
          </wp:anchor>
        </w:drawing>
      </w:r>
      <w:r>
        <w:rPr>
          <w:color w:val="auto"/>
          <w:sz w:val="18"/>
        </w:rPr>
        <mc:AlternateContent>
          <mc:Choice Requires="wps">
            <w:drawing>
              <wp:anchor distT="0" distB="0" distL="114300" distR="114300" simplePos="0" relativeHeight="251793408" behindDoc="0" locked="0" layoutInCell="1" allowOverlap="1">
                <wp:simplePos x="0" y="0"/>
                <wp:positionH relativeFrom="column">
                  <wp:posOffset>3712845</wp:posOffset>
                </wp:positionH>
                <wp:positionV relativeFrom="paragraph">
                  <wp:posOffset>2533650</wp:posOffset>
                </wp:positionV>
                <wp:extent cx="920750" cy="292100"/>
                <wp:effectExtent l="4445" t="4445" r="8255" b="8255"/>
                <wp:wrapNone/>
                <wp:docPr id="636" name="文本框 636"/>
                <wp:cNvGraphicFramePr/>
                <a:graphic xmlns:a="http://schemas.openxmlformats.org/drawingml/2006/main">
                  <a:graphicData uri="http://schemas.microsoft.com/office/word/2010/wordprocessingShape">
                    <wps:wsp>
                      <wps:cNvSpPr txBox="1"/>
                      <wps:spPr>
                        <a:xfrm>
                          <a:off x="4627245" y="3676650"/>
                          <a:ext cx="920750" cy="2921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80FE86">
                            <w:pPr>
                              <w:rPr>
                                <w:rFonts w:hint="default" w:eastAsia="宋体"/>
                                <w:lang w:val="en-US" w:eastAsia="zh-CN"/>
                              </w:rPr>
                            </w:pPr>
                            <w:r>
                              <w:rPr>
                                <w:rFonts w:hint="eastAsia"/>
                                <w:lang w:val="en-US" w:eastAsia="zh-CN"/>
                              </w:rPr>
                              <w:t>本项目厂区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35pt;margin-top:199.5pt;height:23pt;width:72.5pt;z-index:251793408;mso-width-relative:page;mso-height-relative:page;" fillcolor="#FFFFFF [3201]" filled="t" stroked="t" coordsize="21600,21600" o:gfxdata="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u+xPjYAAAACwEAAA8AAAAAAAAAAQAgAAAAIgAAAGRycy9kb3ducmV2LnhtbFBLAQIU&#10;ABQAAAAIAIdO4kByjMxtZQIAAMYEAAAOAAAAAAAAAAEAIAAAACcBAABkcnMvZTJvRG9jLnhtbFBL&#10;BQYAAAAABgAGAFkBAAD+BQAAAAA=&#10;">
                <v:fill on="t" focussize="0,0"/>
                <v:stroke weight="0.5pt" color="#000000 [3204]" joinstyle="round"/>
                <v:imagedata o:title=""/>
                <o:lock v:ext="edit" aspectratio="f"/>
                <v:textbox>
                  <w:txbxContent>
                    <w:p w14:paraId="1B80FE86">
                      <w:pPr>
                        <w:rPr>
                          <w:rFonts w:hint="default" w:eastAsia="宋体"/>
                          <w:lang w:val="en-US" w:eastAsia="zh-CN"/>
                        </w:rPr>
                      </w:pPr>
                      <w:r>
                        <w:rPr>
                          <w:rFonts w:hint="eastAsia"/>
                          <w:lang w:val="en-US" w:eastAsia="zh-CN"/>
                        </w:rPr>
                        <w:t>本项目厂区</w:t>
                      </w:r>
                    </w:p>
                  </w:txbxContent>
                </v:textbox>
              </v:shape>
            </w:pict>
          </mc:Fallback>
        </mc:AlternateContent>
      </w:r>
      <w:r>
        <w:rPr>
          <w:color w:val="auto"/>
          <w:sz w:val="18"/>
        </w:rPr>
        <mc:AlternateContent>
          <mc:Choice Requires="wps">
            <w:drawing>
              <wp:anchor distT="0" distB="0" distL="114300" distR="114300" simplePos="0" relativeHeight="251792384" behindDoc="0" locked="0" layoutInCell="1" allowOverlap="1">
                <wp:simplePos x="0" y="0"/>
                <wp:positionH relativeFrom="column">
                  <wp:posOffset>4824095</wp:posOffset>
                </wp:positionH>
                <wp:positionV relativeFrom="paragraph">
                  <wp:posOffset>1352550</wp:posOffset>
                </wp:positionV>
                <wp:extent cx="120650" cy="279400"/>
                <wp:effectExtent l="11430" t="5080" r="20320" b="1270"/>
                <wp:wrapNone/>
                <wp:docPr id="635" name="直接箭头连接符 635"/>
                <wp:cNvGraphicFramePr/>
                <a:graphic xmlns:a="http://schemas.openxmlformats.org/drawingml/2006/main">
                  <a:graphicData uri="http://schemas.microsoft.com/office/word/2010/wordprocessingShape">
                    <wps:wsp>
                      <wps:cNvCnPr/>
                      <wps:spPr>
                        <a:xfrm>
                          <a:off x="6951345" y="2628900"/>
                          <a:ext cx="120650" cy="279400"/>
                        </a:xfrm>
                        <a:prstGeom prst="straightConnector1">
                          <a:avLst/>
                        </a:prstGeom>
                        <a:ln>
                          <a:solidFill>
                            <a:srgbClr val="FFFFFF"/>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79.85pt;margin-top:106.5pt;height:22pt;width:9.5pt;z-index:251792384;mso-width-relative:page;mso-height-relative:page;" filled="f" stroked="t" coordsize="21600,21600" o:gfxdata="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bzBc12QAAAAsBAAAPAAAAAAAAAAEAIAAA&#10;ACIAAABkcnMvZG93bnJldi54bWxQSwECFAAUAAAACACHTuJAH4eBgwsCAADcAwAADgAAAAAAAAAB&#10;ACAAAAAoAQAAZHJzL2Uyb0RvYy54bWxQSwUGAAAAAAYABgBZAQAApQUAAAAA&#10;">
                <v:fill on="f" focussize="0,0"/>
                <v:stroke weight="2pt" color="#FFFFFF [3204]" joinstyle="round" endarrow="open"/>
                <v:imagedata o:title=""/>
                <o:lock v:ext="edit" aspectratio="f"/>
              </v:shape>
            </w:pict>
          </mc:Fallback>
        </mc:AlternateContent>
      </w:r>
      <w:r>
        <w:rPr>
          <w:color w:val="auto"/>
          <w:sz w:val="18"/>
        </w:rPr>
        <mc:AlternateContent>
          <mc:Choice Requires="wps">
            <w:drawing>
              <wp:anchor distT="0" distB="0" distL="114300" distR="114300" simplePos="0" relativeHeight="251789312" behindDoc="0" locked="0" layoutInCell="1" allowOverlap="1">
                <wp:simplePos x="0" y="0"/>
                <wp:positionH relativeFrom="column">
                  <wp:posOffset>4314190</wp:posOffset>
                </wp:positionH>
                <wp:positionV relativeFrom="paragraph">
                  <wp:posOffset>1099820</wp:posOffset>
                </wp:positionV>
                <wp:extent cx="971550" cy="260350"/>
                <wp:effectExtent l="4445" t="4445" r="14605" b="20955"/>
                <wp:wrapNone/>
                <wp:docPr id="632" name="文本框 632"/>
                <wp:cNvGraphicFramePr/>
                <a:graphic xmlns:a="http://schemas.openxmlformats.org/drawingml/2006/main">
                  <a:graphicData uri="http://schemas.microsoft.com/office/word/2010/wordprocessingShape">
                    <wps:wsp>
                      <wps:cNvSpPr txBox="1"/>
                      <wps:spPr>
                        <a:xfrm>
                          <a:off x="0" y="0"/>
                          <a:ext cx="97155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7ECB01">
                            <w:pPr>
                              <w:rPr>
                                <w:rFonts w:hint="default" w:eastAsia="宋体"/>
                                <w:lang w:val="en-US" w:eastAsia="zh-CN"/>
                              </w:rPr>
                            </w:pPr>
                            <w:r>
                              <w:rPr>
                                <w:rFonts w:hint="eastAsia"/>
                                <w:lang w:val="en-US" w:eastAsia="zh-CN"/>
                              </w:rPr>
                              <w:t>库区雨水池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7pt;margin-top:86.6pt;height:20.5pt;width:76.5pt;z-index:251789312;mso-width-relative:page;mso-height-relative:page;" fillcolor="#FFFFFF [3201]" filled="t" stroked="t" coordsize="21600,21600" o:gfxdata="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bnPZfXAAAACwEA&#10;AA8AAAAAAAAAAQAgAAAAIgAAAGRycy9kb3ducmV2LnhtbFBLAQIUABQAAAAIAIdO4kCf/82zVAIA&#10;ALoEAAAOAAAAAAAAAAEAIAAAACYBAABkcnMvZTJvRG9jLnhtbFBLBQYAAAAABgAGAFkBAADsBQAA&#10;AAA=&#10;">
                <v:fill on="t" focussize="0,0"/>
                <v:stroke weight="0.5pt" color="#000000 [3204]" joinstyle="round"/>
                <v:imagedata o:title=""/>
                <o:lock v:ext="edit" aspectratio="f"/>
                <v:textbox>
                  <w:txbxContent>
                    <w:p w14:paraId="057ECB01">
                      <w:pPr>
                        <w:rPr>
                          <w:rFonts w:hint="default" w:eastAsia="宋体"/>
                          <w:lang w:val="en-US" w:eastAsia="zh-CN"/>
                        </w:rPr>
                      </w:pPr>
                      <w:r>
                        <w:rPr>
                          <w:rFonts w:hint="eastAsia"/>
                          <w:lang w:val="en-US" w:eastAsia="zh-CN"/>
                        </w:rPr>
                        <w:t>库区雨水池</w:t>
                      </w:r>
                    </w:p>
                  </w:txbxContent>
                </v:textbox>
              </v:shape>
            </w:pict>
          </mc:Fallback>
        </mc:AlternateContent>
      </w:r>
      <w:r>
        <w:rPr>
          <w:color w:val="auto"/>
          <w:sz w:val="18"/>
        </w:rPr>
        <mc:AlternateContent>
          <mc:Choice Requires="wps">
            <w:drawing>
              <wp:anchor distT="0" distB="0" distL="114300" distR="114300" simplePos="0" relativeHeight="251791360" behindDoc="0" locked="0" layoutInCell="1" allowOverlap="1">
                <wp:simplePos x="0" y="0"/>
                <wp:positionH relativeFrom="column">
                  <wp:posOffset>4214495</wp:posOffset>
                </wp:positionH>
                <wp:positionV relativeFrom="paragraph">
                  <wp:posOffset>4222750</wp:posOffset>
                </wp:positionV>
                <wp:extent cx="88900" cy="196850"/>
                <wp:effectExtent l="11430" t="5080" r="13970" b="7620"/>
                <wp:wrapNone/>
                <wp:docPr id="634" name="直接箭头连接符 634"/>
                <wp:cNvGraphicFramePr/>
                <a:graphic xmlns:a="http://schemas.openxmlformats.org/drawingml/2006/main">
                  <a:graphicData uri="http://schemas.microsoft.com/office/word/2010/wordprocessingShape">
                    <wps:wsp>
                      <wps:cNvCnPr/>
                      <wps:spPr>
                        <a:xfrm flipH="1">
                          <a:off x="6817995" y="4800600"/>
                          <a:ext cx="88900" cy="196850"/>
                        </a:xfrm>
                        <a:prstGeom prst="straightConnector1">
                          <a:avLst/>
                        </a:prstGeom>
                        <a:ln>
                          <a:solidFill>
                            <a:srgbClr val="FFFFFF"/>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31.85pt;margin-top:332.5pt;height:15.5pt;width:7pt;z-index:251791360;mso-width-relative:page;mso-height-relative:page;" filled="f" stroked="t" coordsize="21600,21600" o:gfxdata="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1efCNkAAAALAQAADwAAAAAA&#10;AAABACAAAAAiAAAAZHJzL2Rvd25yZXYueG1sUEsBAhQAFAAAAAgAh07iQOmZNbwSAgAA5QMAAA4A&#10;AAAAAAAAAQAgAAAAKAEAAGRycy9lMm9Eb2MueG1sUEsFBgAAAAAGAAYAWQEAAKwFAAAAAA==&#10;">
                <v:fill on="f" focussize="0,0"/>
                <v:stroke weight="2pt" color="#FFFFFF [3204]" joinstyle="round" endarrow="open"/>
                <v:imagedata o:title=""/>
                <o:lock v:ext="edit" aspectratio="f"/>
              </v:shape>
            </w:pict>
          </mc:Fallback>
        </mc:AlternateContent>
      </w:r>
      <w:r>
        <w:rPr>
          <w:color w:val="auto"/>
          <w:sz w:val="18"/>
        </w:rPr>
        <mc:AlternateContent>
          <mc:Choice Requires="wps">
            <w:drawing>
              <wp:anchor distT="0" distB="0" distL="114300" distR="114300" simplePos="0" relativeHeight="251788288" behindDoc="0" locked="0" layoutInCell="1" allowOverlap="1">
                <wp:simplePos x="0" y="0"/>
                <wp:positionH relativeFrom="column">
                  <wp:posOffset>4276090</wp:posOffset>
                </wp:positionH>
                <wp:positionV relativeFrom="paragraph">
                  <wp:posOffset>4014470</wp:posOffset>
                </wp:positionV>
                <wp:extent cx="787400" cy="260350"/>
                <wp:effectExtent l="4445" t="4445" r="8255" b="20955"/>
                <wp:wrapNone/>
                <wp:docPr id="631" name="文本框 631"/>
                <wp:cNvGraphicFramePr/>
                <a:graphic xmlns:a="http://schemas.openxmlformats.org/drawingml/2006/main">
                  <a:graphicData uri="http://schemas.microsoft.com/office/word/2010/wordprocessingShape">
                    <wps:wsp>
                      <wps:cNvSpPr txBox="1"/>
                      <wps:spPr>
                        <a:xfrm>
                          <a:off x="0" y="0"/>
                          <a:ext cx="78740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D56D199">
                            <w:pPr>
                              <w:rPr>
                                <w:rFonts w:hint="default" w:eastAsia="宋体"/>
                                <w:lang w:val="en-US" w:eastAsia="zh-CN"/>
                              </w:rPr>
                            </w:pPr>
                            <w:r>
                              <w:rPr>
                                <w:rFonts w:hint="eastAsia"/>
                                <w:lang w:val="en-US" w:eastAsia="zh-CN"/>
                              </w:rPr>
                              <w:t>2#蓄水池</w:t>
                            </w:r>
                          </w:p>
                          <w:p w14:paraId="525EB80A">
                            <w:pPr>
                              <w:rPr>
                                <w:rFonts w:hint="default" w:eastAsia="宋体"/>
                                <w:lang w:val="en-US" w:eastAsia="zh-CN"/>
                              </w:rPr>
                            </w:pPr>
                            <w:r>
                              <w:rPr>
                                <w:rFonts w:hint="eastAsia"/>
                                <w:lang w:val="en-US" w:eastAsia="zh-CN"/>
                              </w:rPr>
                              <w:t>1#蓄水池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7pt;margin-top:316.1pt;height:20.5pt;width:62pt;z-index:251788288;mso-width-relative:page;mso-height-relative:page;" fillcolor="#FFFFFF [3201]" filled="t" stroked="t" coordsize="21600,21600" o:gfxdata="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gPi07WAAAA&#10;CwEAAA8AAAAAAAAAAQAgAAAAIgAAAGRycy9kb3ducmV2LnhtbFBLAQIUABQAAAAIAIdO4kAlmRa0&#10;WAIAALoEAAAOAAAAAAAAAAEAIAAAACUBAABkcnMvZTJvRG9jLnhtbFBLBQYAAAAABgAGAFkBAADv&#10;BQAAAAA=&#10;">
                <v:fill on="t" focussize="0,0"/>
                <v:stroke weight="0.5pt" color="#000000 [3204]" joinstyle="round"/>
                <v:imagedata o:title=""/>
                <o:lock v:ext="edit" aspectratio="f"/>
                <v:textbox>
                  <w:txbxContent>
                    <w:p w14:paraId="5D56D199">
                      <w:pPr>
                        <w:rPr>
                          <w:rFonts w:hint="default" w:eastAsia="宋体"/>
                          <w:lang w:val="en-US" w:eastAsia="zh-CN"/>
                        </w:rPr>
                      </w:pPr>
                      <w:r>
                        <w:rPr>
                          <w:rFonts w:hint="eastAsia"/>
                          <w:lang w:val="en-US" w:eastAsia="zh-CN"/>
                        </w:rPr>
                        <w:t>2#蓄水池</w:t>
                      </w:r>
                    </w:p>
                    <w:p w14:paraId="525EB80A">
                      <w:pPr>
                        <w:rPr>
                          <w:rFonts w:hint="default" w:eastAsia="宋体"/>
                          <w:lang w:val="en-US" w:eastAsia="zh-CN"/>
                        </w:rPr>
                      </w:pPr>
                      <w:r>
                        <w:rPr>
                          <w:rFonts w:hint="eastAsia"/>
                          <w:lang w:val="en-US" w:eastAsia="zh-CN"/>
                        </w:rPr>
                        <w:t>1#蓄水池</w:t>
                      </w:r>
                    </w:p>
                  </w:txbxContent>
                </v:textbox>
              </v:shape>
            </w:pict>
          </mc:Fallback>
        </mc:AlternateContent>
      </w:r>
      <w:r>
        <w:rPr>
          <w:color w:val="auto"/>
          <w:sz w:val="18"/>
        </w:rPr>
        <mc:AlternateContent>
          <mc:Choice Requires="wps">
            <w:drawing>
              <wp:anchor distT="0" distB="0" distL="114300" distR="114300" simplePos="0" relativeHeight="251787264" behindDoc="0" locked="0" layoutInCell="1" allowOverlap="1">
                <wp:simplePos x="0" y="0"/>
                <wp:positionH relativeFrom="column">
                  <wp:posOffset>3101340</wp:posOffset>
                </wp:positionH>
                <wp:positionV relativeFrom="paragraph">
                  <wp:posOffset>3309620</wp:posOffset>
                </wp:positionV>
                <wp:extent cx="787400" cy="260350"/>
                <wp:effectExtent l="4445" t="4445" r="8255" b="20955"/>
                <wp:wrapNone/>
                <wp:docPr id="630" name="文本框 630"/>
                <wp:cNvGraphicFramePr/>
                <a:graphic xmlns:a="http://schemas.openxmlformats.org/drawingml/2006/main">
                  <a:graphicData uri="http://schemas.microsoft.com/office/word/2010/wordprocessingShape">
                    <wps:wsp>
                      <wps:cNvSpPr txBox="1"/>
                      <wps:spPr>
                        <a:xfrm>
                          <a:off x="4244340" y="4986020"/>
                          <a:ext cx="78740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611B58E">
                            <w:pPr>
                              <w:rPr>
                                <w:rFonts w:hint="default" w:eastAsia="宋体"/>
                                <w:lang w:val="en-US" w:eastAsia="zh-CN"/>
                              </w:rPr>
                            </w:pPr>
                            <w:r>
                              <w:rPr>
                                <w:rFonts w:hint="eastAsia"/>
                                <w:lang w:val="en-US" w:eastAsia="zh-CN"/>
                              </w:rPr>
                              <w:t>1#蓄水池</w:t>
                            </w:r>
                          </w:p>
                          <w:p w14:paraId="0C850305">
                            <w:pPr>
                              <w:rPr>
                                <w:rFonts w:hint="default" w:eastAsia="宋体"/>
                                <w:lang w:val="en-US" w:eastAsia="zh-CN"/>
                              </w:rPr>
                            </w:pPr>
                            <w:r>
                              <w:rPr>
                                <w:rFonts w:hint="eastAsia"/>
                                <w:lang w:val="en-US" w:eastAsia="zh-CN"/>
                              </w:rPr>
                              <w:t>1#蓄水池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2pt;margin-top:260.6pt;height:20.5pt;width:62pt;z-index:251787264;mso-width-relative:page;mso-height-relative:page;" fillcolor="#FFFFFF [3201]" filled="t" stroked="t" coordsize="21600,21600" o:gfxdata="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QY4KPXAAAACwEAAA8AAAAAAAAAAQAgAAAAIgAAAGRycy9kb3ducmV2LnhtbFBLAQIUABQA&#10;AAAIAIdO4kBSzLfMYwIAAMYEAAAOAAAAAAAAAAEAIAAAACYBAABkcnMvZTJvRG9jLnhtbFBLBQYA&#10;AAAABgAGAFkBAAD7BQAAAAA=&#10;">
                <v:fill on="t" focussize="0,0"/>
                <v:stroke weight="0.5pt" color="#000000 [3204]" joinstyle="round"/>
                <v:imagedata o:title=""/>
                <o:lock v:ext="edit" aspectratio="f"/>
                <v:textbox>
                  <w:txbxContent>
                    <w:p w14:paraId="4611B58E">
                      <w:pPr>
                        <w:rPr>
                          <w:rFonts w:hint="default" w:eastAsia="宋体"/>
                          <w:lang w:val="en-US" w:eastAsia="zh-CN"/>
                        </w:rPr>
                      </w:pPr>
                      <w:r>
                        <w:rPr>
                          <w:rFonts w:hint="eastAsia"/>
                          <w:lang w:val="en-US" w:eastAsia="zh-CN"/>
                        </w:rPr>
                        <w:t>1#蓄水池</w:t>
                      </w:r>
                    </w:p>
                    <w:p w14:paraId="0C850305">
                      <w:pPr>
                        <w:rPr>
                          <w:rFonts w:hint="default" w:eastAsia="宋体"/>
                          <w:lang w:val="en-US" w:eastAsia="zh-CN"/>
                        </w:rPr>
                      </w:pPr>
                      <w:r>
                        <w:rPr>
                          <w:rFonts w:hint="eastAsia"/>
                          <w:lang w:val="en-US" w:eastAsia="zh-CN"/>
                        </w:rPr>
                        <w:t>1#蓄水池</w:t>
                      </w:r>
                    </w:p>
                  </w:txbxContent>
                </v:textbox>
              </v:shape>
            </w:pict>
          </mc:Fallback>
        </mc:AlternateContent>
      </w:r>
      <w:r>
        <w:rPr>
          <w:color w:val="auto"/>
        </w:rPr>
        <w:drawing>
          <wp:inline distT="0" distB="0" distL="114300" distR="114300">
            <wp:extent cx="6059805" cy="4707890"/>
            <wp:effectExtent l="0" t="0" r="17145" b="16510"/>
            <wp:docPr id="6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5"/>
                    <pic:cNvPicPr>
                      <a:picLocks noChangeAspect="1"/>
                    </pic:cNvPicPr>
                  </pic:nvPicPr>
                  <pic:blipFill>
                    <a:blip r:embed="rId231"/>
                    <a:stretch>
                      <a:fillRect/>
                    </a:stretch>
                  </pic:blipFill>
                  <pic:spPr>
                    <a:xfrm>
                      <a:off x="0" y="0"/>
                      <a:ext cx="6059805" cy="4707890"/>
                    </a:xfrm>
                    <a:prstGeom prst="rect">
                      <a:avLst/>
                    </a:prstGeom>
                    <a:noFill/>
                    <a:ln>
                      <a:noFill/>
                    </a:ln>
                  </pic:spPr>
                </pic:pic>
              </a:graphicData>
            </a:graphic>
          </wp:inline>
        </w:drawing>
      </w:r>
      <w:r>
        <w:rPr>
          <w:color w:val="auto"/>
          <w:sz w:val="18"/>
        </w:rPr>
        <mc:AlternateContent>
          <mc:Choice Requires="wps">
            <w:drawing>
              <wp:anchor distT="0" distB="0" distL="114300" distR="114300" simplePos="0" relativeHeight="251790336" behindDoc="0" locked="0" layoutInCell="1" allowOverlap="1">
                <wp:simplePos x="0" y="0"/>
                <wp:positionH relativeFrom="column">
                  <wp:posOffset>3488690</wp:posOffset>
                </wp:positionH>
                <wp:positionV relativeFrom="paragraph">
                  <wp:posOffset>3587750</wp:posOffset>
                </wp:positionV>
                <wp:extent cx="120650" cy="234950"/>
                <wp:effectExtent l="11430" t="5715" r="20320" b="6985"/>
                <wp:wrapNone/>
                <wp:docPr id="633" name="直接箭头连接符 633"/>
                <wp:cNvGraphicFramePr/>
                <a:graphic xmlns:a="http://schemas.openxmlformats.org/drawingml/2006/main">
                  <a:graphicData uri="http://schemas.microsoft.com/office/word/2010/wordprocessingShape">
                    <wps:wsp>
                      <wps:cNvCnPr/>
                      <wps:spPr>
                        <a:xfrm>
                          <a:off x="4345940" y="4667250"/>
                          <a:ext cx="120650" cy="234950"/>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4.7pt;margin-top:282.5pt;height:18.5pt;width:9.5pt;z-index:251790336;mso-width-relative:page;mso-height-relative:page;" filled="f" stroked="t" coordsize="21600,21600" o:gfxdata="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l4mfH2gAAAAsBAAAPAAAAAAAAAAEAIAAA&#10;ACIAAABkcnMvZG93bnJldi54bWxQSwECFAAUAAAACACHTuJA+BtqrQoCAADcAwAADgAAAAAAAAAB&#10;ACAAAAApAQAAZHJzL2Uyb0RvYy54bWxQSwUGAAAAAAYABgBZAQAApQUAAAAA&#10;">
                <v:fill on="f" focussize="0,0"/>
                <v:stroke weight="2pt" color="#FFFFFF [3212]" joinstyle="round" endarrow="open"/>
                <v:imagedata o:title=""/>
                <o:lock v:ext="edit" aspectratio="f"/>
              </v:shape>
            </w:pict>
          </mc:Fallback>
        </mc:AlternateContent>
      </w:r>
    </w:p>
    <w:p w14:paraId="21BD1140">
      <w:pPr>
        <w:pStyle w:val="3"/>
        <w:jc w:val="center"/>
        <w:rPr>
          <w:rFonts w:hint="default" w:eastAsia="宋体"/>
          <w:color w:val="auto"/>
          <w:lang w:val="en-US" w:eastAsia="zh-CN"/>
        </w:rPr>
      </w:pPr>
      <w:bookmarkStart w:id="423" w:name="_Toc25717"/>
      <w:bookmarkStart w:id="424" w:name="_Toc24502"/>
      <w:bookmarkStart w:id="425" w:name="_Toc863"/>
      <w:r>
        <w:rPr>
          <w:rFonts w:hint="eastAsia" w:eastAsia="宋体"/>
          <w:color w:val="auto"/>
          <w:lang w:val="en-US" w:eastAsia="zh-CN"/>
        </w:rPr>
        <w:t>附图11  冬季废水暂存池分布图</w:t>
      </w:r>
      <w:bookmarkEnd w:id="423"/>
      <w:bookmarkEnd w:id="424"/>
      <w:bookmarkEnd w:id="425"/>
    </w:p>
    <w:p w14:paraId="1FBB42DE">
      <w:pPr>
        <w:pStyle w:val="10"/>
        <w:spacing w:before="114" w:line="225" w:lineRule="auto"/>
        <w:jc w:val="both"/>
        <w:rPr>
          <w:color w:val="auto"/>
        </w:rPr>
      </w:pPr>
    </w:p>
    <w:p w14:paraId="08E255DA">
      <w:pPr>
        <w:pStyle w:val="10"/>
        <w:spacing w:before="114" w:line="225" w:lineRule="auto"/>
        <w:jc w:val="both"/>
        <w:rPr>
          <w:color w:val="auto"/>
        </w:rPr>
      </w:pPr>
    </w:p>
    <w:p w14:paraId="72D976EF">
      <w:pPr>
        <w:pStyle w:val="10"/>
        <w:spacing w:before="114" w:line="225" w:lineRule="auto"/>
        <w:jc w:val="both"/>
        <w:rPr>
          <w:color w:val="auto"/>
        </w:rPr>
      </w:pPr>
    </w:p>
    <w:p w14:paraId="29E6E4E0">
      <w:pPr>
        <w:pStyle w:val="10"/>
        <w:spacing w:before="114" w:line="225" w:lineRule="auto"/>
        <w:jc w:val="both"/>
        <w:rPr>
          <w:color w:val="auto"/>
        </w:rPr>
      </w:pPr>
    </w:p>
    <w:p w14:paraId="36E931B3">
      <w:pPr>
        <w:pStyle w:val="10"/>
        <w:spacing w:before="114" w:line="225" w:lineRule="auto"/>
        <w:jc w:val="both"/>
        <w:rPr>
          <w:color w:val="auto"/>
        </w:rPr>
      </w:pPr>
    </w:p>
    <w:p w14:paraId="442CCC71">
      <w:pPr>
        <w:pStyle w:val="10"/>
        <w:spacing w:before="114" w:line="225" w:lineRule="auto"/>
        <w:jc w:val="both"/>
        <w:rPr>
          <w:color w:val="auto"/>
        </w:rPr>
      </w:pPr>
    </w:p>
    <w:p w14:paraId="08738229">
      <w:pPr>
        <w:pStyle w:val="10"/>
        <w:spacing w:before="114" w:line="225" w:lineRule="auto"/>
        <w:jc w:val="both"/>
        <w:rPr>
          <w:color w:val="auto"/>
        </w:rPr>
      </w:pPr>
    </w:p>
    <w:p w14:paraId="179D58B2">
      <w:pPr>
        <w:pStyle w:val="10"/>
        <w:spacing w:before="114" w:line="225" w:lineRule="auto"/>
        <w:jc w:val="both"/>
        <w:rPr>
          <w:color w:val="auto"/>
        </w:rPr>
      </w:pPr>
    </w:p>
    <w:p w14:paraId="1D22903B">
      <w:pPr>
        <w:pStyle w:val="10"/>
        <w:spacing w:before="114" w:line="225" w:lineRule="auto"/>
        <w:jc w:val="both"/>
        <w:rPr>
          <w:color w:val="auto"/>
        </w:rPr>
      </w:pPr>
    </w:p>
    <w:p w14:paraId="50DD3B75">
      <w:pPr>
        <w:pStyle w:val="10"/>
        <w:spacing w:before="114" w:line="225" w:lineRule="auto"/>
        <w:jc w:val="both"/>
        <w:rPr>
          <w:color w:val="auto"/>
        </w:rPr>
      </w:pPr>
    </w:p>
    <w:p w14:paraId="4D647106">
      <w:pPr>
        <w:pStyle w:val="10"/>
        <w:spacing w:before="114" w:line="225" w:lineRule="auto"/>
        <w:jc w:val="both"/>
        <w:rPr>
          <w:color w:val="auto"/>
        </w:rPr>
        <w:sectPr>
          <w:pgSz w:w="16838" w:h="11905" w:orient="landscape"/>
          <w:pgMar w:top="1800" w:right="1440" w:bottom="1800" w:left="1440" w:header="851" w:footer="1134" w:gutter="0"/>
          <w:pgBorders>
            <w:top w:val="none" w:sz="0" w:space="0"/>
            <w:left w:val="none" w:sz="0" w:space="0"/>
            <w:bottom w:val="none" w:sz="0" w:space="0"/>
            <w:right w:val="none" w:sz="0" w:space="0"/>
          </w:pgBorders>
          <w:pgNumType w:fmt="decimal"/>
          <w:cols w:space="720" w:num="1"/>
          <w:docGrid w:linePitch="312" w:charSpace="0"/>
        </w:sectPr>
      </w:pPr>
    </w:p>
    <w:p w14:paraId="5347AF68">
      <w:pPr>
        <w:pStyle w:val="10"/>
        <w:spacing w:before="114" w:line="225" w:lineRule="auto"/>
        <w:jc w:val="right"/>
        <w:rPr>
          <w:color w:val="auto"/>
        </w:rPr>
      </w:pPr>
    </w:p>
    <w:p w14:paraId="0380EE9D">
      <w:pPr>
        <w:pStyle w:val="10"/>
        <w:spacing w:before="114" w:line="225" w:lineRule="auto"/>
        <w:jc w:val="right"/>
        <w:rPr>
          <w:color w:val="auto"/>
        </w:rPr>
      </w:pPr>
    </w:p>
    <w:p w14:paraId="018EBD55">
      <w:pPr>
        <w:pStyle w:val="10"/>
        <w:spacing w:before="114" w:line="225" w:lineRule="auto"/>
        <w:jc w:val="right"/>
        <w:rPr>
          <w:b/>
          <w:bCs/>
          <w:color w:val="auto"/>
          <w:spacing w:val="3"/>
          <w:sz w:val="35"/>
          <w:szCs w:val="35"/>
        </w:rPr>
      </w:pPr>
    </w:p>
    <w:p w14:paraId="39A496F0">
      <w:pPr>
        <w:pStyle w:val="10"/>
        <w:spacing w:before="114" w:line="225" w:lineRule="auto"/>
        <w:jc w:val="right"/>
        <w:rPr>
          <w:b/>
          <w:bCs/>
          <w:color w:val="auto"/>
          <w:spacing w:val="3"/>
          <w:sz w:val="35"/>
          <w:szCs w:val="35"/>
        </w:rPr>
      </w:pPr>
    </w:p>
    <w:p w14:paraId="55E2B111">
      <w:pPr>
        <w:pStyle w:val="10"/>
        <w:spacing w:before="114" w:line="225" w:lineRule="auto"/>
        <w:jc w:val="center"/>
        <w:rPr>
          <w:b/>
          <w:bCs/>
          <w:color w:val="auto"/>
          <w:spacing w:val="3"/>
          <w:sz w:val="35"/>
          <w:szCs w:val="35"/>
        </w:rPr>
      </w:pPr>
    </w:p>
    <w:p w14:paraId="1544E642">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rFonts w:hint="eastAsia"/>
          <w:b/>
          <w:bCs/>
          <w:color w:val="auto"/>
          <w:spacing w:val="6"/>
          <w:sz w:val="32"/>
          <w:szCs w:val="32"/>
        </w:rPr>
      </w:pPr>
      <w:r>
        <w:rPr>
          <w:rFonts w:hint="eastAsia"/>
          <w:b/>
          <w:bCs/>
          <w:color w:val="auto"/>
          <w:spacing w:val="6"/>
          <w:sz w:val="32"/>
          <w:szCs w:val="32"/>
        </w:rPr>
        <w:t>朝阳红山化工有限责任公司年产7000吨</w:t>
      </w:r>
    </w:p>
    <w:p w14:paraId="47FEB57C">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b/>
          <w:bCs/>
          <w:color w:val="auto"/>
          <w:spacing w:val="6"/>
          <w:sz w:val="32"/>
          <w:szCs w:val="32"/>
        </w:rPr>
      </w:pPr>
      <w:r>
        <w:rPr>
          <w:rFonts w:hint="eastAsia"/>
          <w:b/>
          <w:bCs/>
          <w:color w:val="auto"/>
          <w:spacing w:val="6"/>
          <w:sz w:val="32"/>
          <w:szCs w:val="32"/>
        </w:rPr>
        <w:t>乳化炸药震源药柱生产线建设项目</w:t>
      </w:r>
    </w:p>
    <w:p w14:paraId="558D8954">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color w:val="auto"/>
          <w:sz w:val="32"/>
          <w:szCs w:val="32"/>
        </w:rPr>
      </w:pPr>
      <w:r>
        <w:rPr>
          <w:b/>
          <w:bCs/>
          <w:color w:val="auto"/>
          <w:spacing w:val="6"/>
          <w:sz w:val="32"/>
          <w:szCs w:val="32"/>
        </w:rPr>
        <w:t>环境风险影响专项评价报告</w:t>
      </w:r>
    </w:p>
    <w:p w14:paraId="2144B943">
      <w:pPr>
        <w:spacing w:line="360" w:lineRule="auto"/>
        <w:rPr>
          <w:color w:val="auto"/>
        </w:rPr>
      </w:pPr>
    </w:p>
    <w:p w14:paraId="0BF56038">
      <w:pPr>
        <w:spacing w:line="360" w:lineRule="auto"/>
        <w:rPr>
          <w:color w:val="auto"/>
        </w:rPr>
      </w:pPr>
    </w:p>
    <w:p w14:paraId="490B7729">
      <w:pPr>
        <w:spacing w:line="360" w:lineRule="auto"/>
        <w:rPr>
          <w:color w:val="auto"/>
        </w:rPr>
      </w:pPr>
    </w:p>
    <w:p w14:paraId="3608C381">
      <w:pPr>
        <w:spacing w:line="360" w:lineRule="auto"/>
        <w:rPr>
          <w:color w:val="auto"/>
        </w:rPr>
      </w:pPr>
    </w:p>
    <w:p w14:paraId="0EB48B4A">
      <w:pPr>
        <w:spacing w:line="360" w:lineRule="auto"/>
        <w:rPr>
          <w:color w:val="auto"/>
        </w:rPr>
      </w:pPr>
    </w:p>
    <w:p w14:paraId="319AE229">
      <w:pPr>
        <w:spacing w:line="360" w:lineRule="auto"/>
        <w:rPr>
          <w:color w:val="auto"/>
        </w:rPr>
      </w:pPr>
    </w:p>
    <w:p w14:paraId="22900A9B">
      <w:pPr>
        <w:spacing w:line="360" w:lineRule="auto"/>
        <w:rPr>
          <w:color w:val="auto"/>
        </w:rPr>
      </w:pPr>
    </w:p>
    <w:p w14:paraId="709511EA">
      <w:pPr>
        <w:spacing w:line="360" w:lineRule="auto"/>
        <w:rPr>
          <w:color w:val="auto"/>
        </w:rPr>
      </w:pPr>
    </w:p>
    <w:p w14:paraId="164CB8E6">
      <w:pPr>
        <w:spacing w:line="360" w:lineRule="auto"/>
        <w:rPr>
          <w:color w:val="auto"/>
        </w:rPr>
      </w:pPr>
    </w:p>
    <w:p w14:paraId="33512E91">
      <w:pPr>
        <w:spacing w:line="360" w:lineRule="auto"/>
        <w:rPr>
          <w:color w:val="auto"/>
        </w:rPr>
      </w:pPr>
    </w:p>
    <w:p w14:paraId="198DB90F">
      <w:pPr>
        <w:spacing w:line="360" w:lineRule="auto"/>
        <w:rPr>
          <w:color w:val="auto"/>
        </w:rPr>
      </w:pPr>
    </w:p>
    <w:p w14:paraId="3A7481A3">
      <w:pPr>
        <w:spacing w:line="360" w:lineRule="auto"/>
        <w:rPr>
          <w:color w:val="auto"/>
        </w:rPr>
      </w:pPr>
    </w:p>
    <w:p w14:paraId="1AF5396C">
      <w:pPr>
        <w:spacing w:line="360" w:lineRule="auto"/>
        <w:rPr>
          <w:color w:val="auto"/>
        </w:rPr>
      </w:pPr>
    </w:p>
    <w:p w14:paraId="2C5119DA">
      <w:pPr>
        <w:spacing w:line="360" w:lineRule="auto"/>
        <w:rPr>
          <w:color w:val="auto"/>
        </w:rPr>
      </w:pPr>
    </w:p>
    <w:p w14:paraId="4463FE20">
      <w:pPr>
        <w:spacing w:line="360" w:lineRule="auto"/>
        <w:rPr>
          <w:color w:val="auto"/>
        </w:rPr>
      </w:pPr>
    </w:p>
    <w:p w14:paraId="0FEEC48F">
      <w:pPr>
        <w:spacing w:line="360" w:lineRule="auto"/>
        <w:rPr>
          <w:color w:val="auto"/>
        </w:rPr>
      </w:pPr>
    </w:p>
    <w:p w14:paraId="463BA0C0">
      <w:pPr>
        <w:spacing w:line="360" w:lineRule="auto"/>
        <w:rPr>
          <w:color w:val="auto"/>
        </w:rPr>
      </w:pPr>
    </w:p>
    <w:p w14:paraId="0D069DC6">
      <w:pPr>
        <w:spacing w:line="360" w:lineRule="auto"/>
        <w:rPr>
          <w:color w:val="auto"/>
        </w:rPr>
      </w:pPr>
    </w:p>
    <w:p w14:paraId="778D9562">
      <w:pPr>
        <w:spacing w:line="360" w:lineRule="auto"/>
        <w:rPr>
          <w:color w:val="auto"/>
        </w:rPr>
      </w:pPr>
    </w:p>
    <w:p w14:paraId="4BE802E4">
      <w:pPr>
        <w:spacing w:line="360" w:lineRule="auto"/>
        <w:rPr>
          <w:color w:val="auto"/>
        </w:rPr>
      </w:pPr>
    </w:p>
    <w:p w14:paraId="69CBF6B6">
      <w:pPr>
        <w:spacing w:line="360" w:lineRule="auto"/>
        <w:rPr>
          <w:color w:val="auto"/>
        </w:rPr>
      </w:pPr>
    </w:p>
    <w:p w14:paraId="7B46A89B">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b/>
          <w:bCs/>
          <w:color w:val="auto"/>
          <w:spacing w:val="6"/>
          <w:sz w:val="28"/>
          <w:szCs w:val="28"/>
        </w:rPr>
      </w:pPr>
      <w:r>
        <w:rPr>
          <w:b/>
          <w:bCs/>
          <w:color w:val="auto"/>
          <w:spacing w:val="6"/>
          <w:sz w:val="28"/>
          <w:szCs w:val="28"/>
        </w:rPr>
        <w:t>二零二</w:t>
      </w:r>
      <w:r>
        <w:rPr>
          <w:rFonts w:hint="eastAsia"/>
          <w:b/>
          <w:bCs/>
          <w:color w:val="auto"/>
          <w:spacing w:val="6"/>
          <w:sz w:val="28"/>
          <w:szCs w:val="28"/>
          <w:lang w:val="en-US" w:eastAsia="zh-CN"/>
        </w:rPr>
        <w:t>六</w:t>
      </w:r>
      <w:r>
        <w:rPr>
          <w:b/>
          <w:bCs/>
          <w:color w:val="auto"/>
          <w:spacing w:val="6"/>
          <w:sz w:val="28"/>
          <w:szCs w:val="28"/>
        </w:rPr>
        <w:t>年</w:t>
      </w:r>
      <w:r>
        <w:rPr>
          <w:rFonts w:hint="eastAsia"/>
          <w:b/>
          <w:bCs/>
          <w:color w:val="auto"/>
          <w:spacing w:val="6"/>
          <w:sz w:val="28"/>
          <w:szCs w:val="28"/>
          <w:lang w:val="en-US" w:eastAsia="zh-CN"/>
        </w:rPr>
        <w:t>六</w:t>
      </w:r>
      <w:r>
        <w:rPr>
          <w:b/>
          <w:bCs/>
          <w:color w:val="auto"/>
          <w:spacing w:val="6"/>
          <w:sz w:val="28"/>
          <w:szCs w:val="28"/>
        </w:rPr>
        <w:t>月</w:t>
      </w:r>
    </w:p>
    <w:p w14:paraId="28F2F2C3">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b/>
          <w:bCs/>
          <w:color w:val="auto"/>
          <w:spacing w:val="6"/>
          <w:sz w:val="28"/>
          <w:szCs w:val="28"/>
        </w:rPr>
      </w:pPr>
    </w:p>
    <w:p w14:paraId="110CA36F">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b/>
          <w:bCs/>
          <w:color w:val="auto"/>
          <w:spacing w:val="6"/>
          <w:sz w:val="28"/>
          <w:szCs w:val="28"/>
        </w:rPr>
      </w:pPr>
    </w:p>
    <w:p w14:paraId="4C608A8D">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b/>
          <w:bCs/>
          <w:color w:val="auto"/>
          <w:spacing w:val="6"/>
          <w:sz w:val="28"/>
          <w:szCs w:val="28"/>
        </w:rPr>
        <w:sectPr>
          <w:footerReference r:id="rId22" w:type="default"/>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p>
    <w:p w14:paraId="611B487B">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b/>
          <w:bCs/>
          <w:color w:val="auto"/>
          <w:spacing w:val="6"/>
          <w:sz w:val="28"/>
          <w:szCs w:val="28"/>
        </w:rPr>
      </w:pPr>
    </w:p>
    <w:p w14:paraId="62D25D87">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17D22195">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155FD8FC">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5A707457">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3B74EE2E">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17E9FCD5">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71C4205E">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485E4CD9">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5626A9E">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0CCA4C14">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6B4D35F">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741230C1">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618079D1">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6FB55CBB">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CA61456">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08970608">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D970347">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E74D8E0">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F4ED9D4">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08710564">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64924BFA">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5AEC4F0C">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3345ED87">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0B53B52B">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EFD773E">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0F97032B">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4BE34402">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763ABC01">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10074C6B">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AF94B05">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6B46C572">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5F5699B5">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2F132FDE">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54D607B4">
      <w:pPr>
        <w:spacing w:before="0" w:beforeLines="0" w:after="0" w:afterLines="0" w:line="240" w:lineRule="auto"/>
        <w:ind w:left="0" w:leftChars="0" w:right="0" w:rightChars="0" w:firstLine="0" w:firstLineChars="0"/>
        <w:jc w:val="center"/>
        <w:rPr>
          <w:rFonts w:ascii="宋体" w:hAnsi="宋体" w:eastAsia="宋体"/>
          <w:color w:val="auto"/>
          <w:sz w:val="30"/>
          <w:szCs w:val="30"/>
        </w:rPr>
      </w:pPr>
    </w:p>
    <w:p w14:paraId="636E7A57">
      <w:pPr>
        <w:spacing w:before="0" w:beforeLines="0" w:after="0" w:afterLines="0" w:line="240" w:lineRule="auto"/>
        <w:ind w:left="0" w:leftChars="0" w:right="0" w:rightChars="0" w:firstLine="0" w:firstLineChars="0"/>
        <w:jc w:val="center"/>
        <w:rPr>
          <w:rFonts w:ascii="宋体" w:hAnsi="宋体" w:eastAsia="宋体"/>
          <w:color w:val="auto"/>
          <w:sz w:val="30"/>
          <w:szCs w:val="30"/>
        </w:rPr>
      </w:pPr>
      <w:r>
        <w:rPr>
          <w:rFonts w:ascii="宋体" w:hAnsi="宋体" w:eastAsia="宋体"/>
          <w:color w:val="auto"/>
          <w:sz w:val="30"/>
          <w:szCs w:val="30"/>
        </w:rPr>
        <w:t>目录</w:t>
      </w:r>
    </w:p>
    <w:p w14:paraId="30C0B785">
      <w:pPr>
        <w:spacing w:before="0" w:beforeLines="0" w:after="0" w:afterLines="0" w:line="240" w:lineRule="auto"/>
        <w:ind w:left="0" w:leftChars="0" w:right="0" w:rightChars="0" w:firstLine="0" w:firstLineChars="0"/>
        <w:jc w:val="center"/>
        <w:rPr>
          <w:rFonts w:hint="default" w:ascii="Times New Roman" w:hAnsi="Times New Roman" w:eastAsia="宋体" w:cs="Times New Roman"/>
          <w:color w:val="auto"/>
          <w:sz w:val="24"/>
          <w:szCs w:val="24"/>
        </w:rPr>
      </w:pPr>
    </w:p>
    <w:p w14:paraId="482A65B2">
      <w:pPr>
        <w:pStyle w:val="27"/>
        <w:tabs>
          <w:tab w:val="right" w:leader="dot" w:pos="8305"/>
        </w:tabs>
        <w:rPr>
          <w:color w:val="auto"/>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"1-2" \h \u </w:instrText>
      </w:r>
      <w:r>
        <w:rPr>
          <w:rFonts w:hint="default" w:ascii="Times New Roman" w:hAnsi="Times New Roman" w:eastAsia="宋体" w:cs="Times New Roman"/>
          <w:color w:val="auto"/>
          <w:sz w:val="24"/>
          <w:szCs w:val="24"/>
        </w:rPr>
        <w:fldChar w:fldCharType="separate"/>
      </w:r>
    </w:p>
    <w:p w14:paraId="5091849D">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_Toc16941 </w:instrText>
      </w:r>
      <w:r>
        <w:rPr>
          <w:rFonts w:hint="default" w:ascii="Times New Roman" w:hAnsi="Times New Roman" w:eastAsia="宋体" w:cs="Times New Roman"/>
          <w:color w:val="auto"/>
          <w:sz w:val="24"/>
          <w:szCs w:val="24"/>
        </w:rPr>
        <w:fldChar w:fldCharType="separate"/>
      </w:r>
      <w:r>
        <w:rPr>
          <w:rFonts w:hint="eastAsia" w:ascii="宋体" w:hAnsi="宋体" w:eastAsia="宋体" w:cs="宋体"/>
          <w:bCs/>
          <w:color w:val="auto"/>
          <w:kern w:val="0"/>
          <w:sz w:val="24"/>
          <w:szCs w:val="24"/>
          <w:lang w:val="en-US" w:eastAsia="zh-CN" w:bidi="ar"/>
        </w:rPr>
        <w:t>1 总则</w:t>
      </w:r>
      <w:r>
        <w:rPr>
          <w:color w:val="auto"/>
          <w:sz w:val="24"/>
          <w:szCs w:val="24"/>
        </w:rPr>
        <w:tab/>
      </w:r>
      <w:r>
        <w:rPr>
          <w:color w:val="auto"/>
          <w:sz w:val="24"/>
          <w:szCs w:val="24"/>
        </w:rPr>
        <w:fldChar w:fldCharType="begin"/>
      </w:r>
      <w:r>
        <w:rPr>
          <w:color w:val="auto"/>
          <w:sz w:val="24"/>
          <w:szCs w:val="24"/>
        </w:rPr>
        <w:instrText xml:space="preserve"> PAGEREF _Toc16941 \h </w:instrText>
      </w:r>
      <w:r>
        <w:rPr>
          <w:color w:val="auto"/>
          <w:sz w:val="24"/>
          <w:szCs w:val="24"/>
        </w:rPr>
        <w:fldChar w:fldCharType="separate"/>
      </w:r>
      <w:r>
        <w:rPr>
          <w:color w:val="auto"/>
          <w:sz w:val="24"/>
          <w:szCs w:val="24"/>
        </w:rPr>
        <w:t>1</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2E6936B3">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_Toc17668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 xml:space="preserve">1.1 </w:t>
      </w:r>
      <w:r>
        <w:rPr>
          <w:rFonts w:hint="eastAsia" w:ascii="宋体" w:hAnsi="宋体" w:eastAsia="宋体" w:cs="宋体"/>
          <w:bCs/>
          <w:color w:val="auto"/>
          <w:kern w:val="0"/>
          <w:sz w:val="24"/>
          <w:szCs w:val="24"/>
          <w:lang w:val="en-US" w:eastAsia="zh-CN" w:bidi="ar"/>
        </w:rPr>
        <w:t>项目概况</w:t>
      </w:r>
      <w:r>
        <w:rPr>
          <w:color w:val="auto"/>
          <w:sz w:val="24"/>
          <w:szCs w:val="24"/>
        </w:rPr>
        <w:tab/>
      </w:r>
      <w:r>
        <w:rPr>
          <w:color w:val="auto"/>
          <w:sz w:val="24"/>
          <w:szCs w:val="24"/>
        </w:rPr>
        <w:fldChar w:fldCharType="begin"/>
      </w:r>
      <w:r>
        <w:rPr>
          <w:color w:val="auto"/>
          <w:sz w:val="24"/>
          <w:szCs w:val="24"/>
        </w:rPr>
        <w:instrText xml:space="preserve"> PAGEREF _Toc17668 \h </w:instrText>
      </w:r>
      <w:r>
        <w:rPr>
          <w:color w:val="auto"/>
          <w:sz w:val="24"/>
          <w:szCs w:val="24"/>
        </w:rPr>
        <w:fldChar w:fldCharType="separate"/>
      </w:r>
      <w:r>
        <w:rPr>
          <w:color w:val="auto"/>
          <w:sz w:val="24"/>
          <w:szCs w:val="24"/>
        </w:rPr>
        <w:t>1</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556F4F2A">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_Toc9067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 xml:space="preserve">1.2 </w:t>
      </w:r>
      <w:r>
        <w:rPr>
          <w:rFonts w:hint="eastAsia" w:ascii="宋体" w:hAnsi="宋体" w:eastAsia="宋体" w:cs="宋体"/>
          <w:bCs/>
          <w:color w:val="auto"/>
          <w:kern w:val="0"/>
          <w:sz w:val="24"/>
          <w:szCs w:val="24"/>
          <w:lang w:val="en-US" w:eastAsia="zh-CN" w:bidi="ar"/>
        </w:rPr>
        <w:t>评价</w:t>
      </w:r>
      <w:r>
        <w:rPr>
          <w:rFonts w:hint="eastAsia" w:ascii="宋体" w:hAnsi="宋体" w:cs="宋体"/>
          <w:bCs/>
          <w:color w:val="auto"/>
          <w:kern w:val="0"/>
          <w:sz w:val="24"/>
          <w:szCs w:val="24"/>
          <w:lang w:val="en-US" w:eastAsia="zh-CN" w:bidi="ar"/>
        </w:rPr>
        <w:t>原则</w:t>
      </w:r>
      <w:r>
        <w:rPr>
          <w:color w:val="auto"/>
          <w:sz w:val="24"/>
          <w:szCs w:val="24"/>
        </w:rPr>
        <w:tab/>
      </w:r>
      <w:r>
        <w:rPr>
          <w:color w:val="auto"/>
          <w:sz w:val="24"/>
          <w:szCs w:val="24"/>
        </w:rPr>
        <w:fldChar w:fldCharType="begin"/>
      </w:r>
      <w:r>
        <w:rPr>
          <w:color w:val="auto"/>
          <w:sz w:val="24"/>
          <w:szCs w:val="24"/>
        </w:rPr>
        <w:instrText xml:space="preserve"> PAGEREF _Toc9067 \h </w:instrText>
      </w:r>
      <w:r>
        <w:rPr>
          <w:color w:val="auto"/>
          <w:sz w:val="24"/>
          <w:szCs w:val="24"/>
        </w:rPr>
        <w:fldChar w:fldCharType="separate"/>
      </w:r>
      <w:r>
        <w:rPr>
          <w:color w:val="auto"/>
          <w:sz w:val="24"/>
          <w:szCs w:val="24"/>
        </w:rPr>
        <w:t>1</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7E2F6AA0">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_Toc9571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 xml:space="preserve">1.3 </w:t>
      </w:r>
      <w:r>
        <w:rPr>
          <w:rFonts w:hint="eastAsia" w:ascii="宋体" w:hAnsi="宋体" w:eastAsia="宋体" w:cs="宋体"/>
          <w:bCs/>
          <w:color w:val="auto"/>
          <w:kern w:val="0"/>
          <w:sz w:val="24"/>
          <w:szCs w:val="24"/>
          <w:lang w:val="en-US" w:eastAsia="zh-CN" w:bidi="ar"/>
        </w:rPr>
        <w:t>评价工作程序</w:t>
      </w:r>
      <w:r>
        <w:rPr>
          <w:color w:val="auto"/>
          <w:sz w:val="24"/>
          <w:szCs w:val="24"/>
        </w:rPr>
        <w:tab/>
      </w:r>
      <w:r>
        <w:rPr>
          <w:color w:val="auto"/>
          <w:sz w:val="24"/>
          <w:szCs w:val="24"/>
        </w:rPr>
        <w:fldChar w:fldCharType="begin"/>
      </w:r>
      <w:r>
        <w:rPr>
          <w:color w:val="auto"/>
          <w:sz w:val="24"/>
          <w:szCs w:val="24"/>
        </w:rPr>
        <w:instrText xml:space="preserve"> PAGEREF _Toc9571 \h </w:instrText>
      </w:r>
      <w:r>
        <w:rPr>
          <w:color w:val="auto"/>
          <w:sz w:val="24"/>
          <w:szCs w:val="24"/>
        </w:rPr>
        <w:fldChar w:fldCharType="separate"/>
      </w:r>
      <w:r>
        <w:rPr>
          <w:color w:val="auto"/>
          <w:sz w:val="24"/>
          <w:szCs w:val="24"/>
        </w:rPr>
        <w:t>1</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19E5B67F">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_Toc4644 </w:instrText>
      </w:r>
      <w:r>
        <w:rPr>
          <w:rFonts w:hint="default" w:ascii="Times New Roman" w:hAnsi="Times New Roman" w:eastAsia="宋体" w:cs="Times New Roman"/>
          <w:color w:val="auto"/>
          <w:sz w:val="24"/>
          <w:szCs w:val="24"/>
        </w:rPr>
        <w:fldChar w:fldCharType="separate"/>
      </w:r>
      <w:r>
        <w:rPr>
          <w:rFonts w:hint="eastAsia" w:cs="Times New Roman"/>
          <w:bCs/>
          <w:color w:val="auto"/>
          <w:kern w:val="0"/>
          <w:sz w:val="24"/>
          <w:szCs w:val="24"/>
          <w:lang w:val="en-US" w:eastAsia="zh-CN" w:bidi="ar"/>
        </w:rPr>
        <w:t>1.4</w:t>
      </w:r>
      <w:r>
        <w:rPr>
          <w:rFonts w:hint="default" w:ascii="Times New Roman" w:hAnsi="Times New Roman" w:eastAsia="宋体" w:cs="Times New Roman"/>
          <w:bCs/>
          <w:color w:val="auto"/>
          <w:kern w:val="0"/>
          <w:sz w:val="24"/>
          <w:szCs w:val="24"/>
          <w:lang w:val="en-US" w:eastAsia="zh-CN" w:bidi="ar"/>
        </w:rPr>
        <w:t>编制依据</w:t>
      </w:r>
      <w:r>
        <w:rPr>
          <w:color w:val="auto"/>
          <w:sz w:val="24"/>
          <w:szCs w:val="24"/>
        </w:rPr>
        <w:tab/>
      </w:r>
      <w:r>
        <w:rPr>
          <w:color w:val="auto"/>
          <w:sz w:val="24"/>
          <w:szCs w:val="24"/>
        </w:rPr>
        <w:fldChar w:fldCharType="begin"/>
      </w:r>
      <w:r>
        <w:rPr>
          <w:color w:val="auto"/>
          <w:sz w:val="24"/>
          <w:szCs w:val="24"/>
        </w:rPr>
        <w:instrText xml:space="preserve"> PAGEREF _Toc4644 \h </w:instrText>
      </w:r>
      <w:r>
        <w:rPr>
          <w:color w:val="auto"/>
          <w:sz w:val="24"/>
          <w:szCs w:val="24"/>
        </w:rPr>
        <w:fldChar w:fldCharType="separate"/>
      </w:r>
      <w:r>
        <w:rPr>
          <w:color w:val="auto"/>
          <w:sz w:val="24"/>
          <w:szCs w:val="24"/>
        </w:rPr>
        <w:t>2</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6AD887F1">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_Toc21843 </w:instrText>
      </w:r>
      <w:r>
        <w:rPr>
          <w:rFonts w:hint="default" w:ascii="Times New Roman" w:hAnsi="Times New Roman" w:eastAsia="宋体" w:cs="Times New Roman"/>
          <w:color w:val="auto"/>
          <w:sz w:val="24"/>
          <w:szCs w:val="24"/>
        </w:rPr>
        <w:fldChar w:fldCharType="separate"/>
      </w:r>
      <w:r>
        <w:rPr>
          <w:rFonts w:hint="eastAsia" w:ascii="宋体" w:hAnsi="宋体" w:eastAsia="宋体" w:cs="宋体"/>
          <w:bCs/>
          <w:color w:val="auto"/>
          <w:kern w:val="0"/>
          <w:sz w:val="24"/>
          <w:szCs w:val="24"/>
          <w:lang w:val="en-US" w:eastAsia="zh-CN" w:bidi="ar"/>
        </w:rPr>
        <w:t>2风险源调查</w:t>
      </w:r>
      <w:r>
        <w:rPr>
          <w:color w:val="auto"/>
          <w:sz w:val="24"/>
          <w:szCs w:val="24"/>
        </w:rPr>
        <w:tab/>
      </w:r>
      <w:r>
        <w:rPr>
          <w:color w:val="auto"/>
          <w:sz w:val="24"/>
          <w:szCs w:val="24"/>
        </w:rPr>
        <w:fldChar w:fldCharType="begin"/>
      </w:r>
      <w:r>
        <w:rPr>
          <w:color w:val="auto"/>
          <w:sz w:val="24"/>
          <w:szCs w:val="24"/>
        </w:rPr>
        <w:instrText xml:space="preserve"> PAGEREF _Toc21843 \h </w:instrText>
      </w:r>
      <w:r>
        <w:rPr>
          <w:color w:val="auto"/>
          <w:sz w:val="24"/>
          <w:szCs w:val="24"/>
        </w:rPr>
        <w:fldChar w:fldCharType="separate"/>
      </w:r>
      <w:r>
        <w:rPr>
          <w:color w:val="auto"/>
          <w:sz w:val="24"/>
          <w:szCs w:val="24"/>
        </w:rPr>
        <w:t>3</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2CB18649">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_Toc2846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 xml:space="preserve">2.1 </w:t>
      </w:r>
      <w:r>
        <w:rPr>
          <w:rFonts w:hint="eastAsia" w:ascii="Times New Roman" w:hAnsi="Times New Roman" w:eastAsia="宋体" w:cs="Times New Roman"/>
          <w:bCs/>
          <w:color w:val="auto"/>
          <w:kern w:val="0"/>
          <w:sz w:val="24"/>
          <w:szCs w:val="24"/>
          <w:lang w:val="en-US" w:eastAsia="zh-CN" w:bidi="ar"/>
        </w:rPr>
        <w:t>建设项目风险源调查</w:t>
      </w:r>
      <w:r>
        <w:rPr>
          <w:color w:val="auto"/>
          <w:sz w:val="24"/>
          <w:szCs w:val="24"/>
        </w:rPr>
        <w:tab/>
      </w:r>
      <w:r>
        <w:rPr>
          <w:color w:val="auto"/>
          <w:sz w:val="24"/>
          <w:szCs w:val="24"/>
        </w:rPr>
        <w:fldChar w:fldCharType="begin"/>
      </w:r>
      <w:r>
        <w:rPr>
          <w:color w:val="auto"/>
          <w:sz w:val="24"/>
          <w:szCs w:val="24"/>
        </w:rPr>
        <w:instrText xml:space="preserve"> PAGEREF _Toc2846 \h </w:instrText>
      </w:r>
      <w:r>
        <w:rPr>
          <w:color w:val="auto"/>
          <w:sz w:val="24"/>
          <w:szCs w:val="24"/>
        </w:rPr>
        <w:fldChar w:fldCharType="separate"/>
      </w:r>
      <w:r>
        <w:rPr>
          <w:color w:val="auto"/>
          <w:sz w:val="24"/>
          <w:szCs w:val="24"/>
        </w:rPr>
        <w:t>3</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7C8FE890">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_Toc22698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 xml:space="preserve">2.2 </w:t>
      </w:r>
      <w:r>
        <w:rPr>
          <w:rFonts w:hint="eastAsia" w:ascii="Times New Roman" w:hAnsi="Times New Roman" w:eastAsia="宋体" w:cs="Times New Roman"/>
          <w:bCs/>
          <w:color w:val="auto"/>
          <w:kern w:val="0"/>
          <w:sz w:val="24"/>
          <w:szCs w:val="24"/>
          <w:lang w:val="en-US" w:eastAsia="zh-CN" w:bidi="ar"/>
        </w:rPr>
        <w:t>环境敏感目标调查</w:t>
      </w:r>
      <w:r>
        <w:rPr>
          <w:color w:val="auto"/>
          <w:sz w:val="24"/>
          <w:szCs w:val="24"/>
        </w:rPr>
        <w:tab/>
      </w:r>
      <w:r>
        <w:rPr>
          <w:color w:val="auto"/>
          <w:sz w:val="24"/>
          <w:szCs w:val="24"/>
        </w:rPr>
        <w:fldChar w:fldCharType="begin"/>
      </w:r>
      <w:r>
        <w:rPr>
          <w:color w:val="auto"/>
          <w:sz w:val="24"/>
          <w:szCs w:val="24"/>
        </w:rPr>
        <w:instrText xml:space="preserve"> PAGEREF _Toc22698 \h </w:instrText>
      </w:r>
      <w:r>
        <w:rPr>
          <w:color w:val="auto"/>
          <w:sz w:val="24"/>
          <w:szCs w:val="24"/>
        </w:rPr>
        <w:fldChar w:fldCharType="separate"/>
      </w:r>
      <w:r>
        <w:rPr>
          <w:color w:val="auto"/>
          <w:sz w:val="24"/>
          <w:szCs w:val="24"/>
        </w:rPr>
        <w:t>3</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14FE5835">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_Toc7280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3环境风险潜势初判</w:t>
      </w:r>
      <w:r>
        <w:rPr>
          <w:color w:val="auto"/>
          <w:sz w:val="24"/>
          <w:szCs w:val="24"/>
        </w:rPr>
        <w:tab/>
      </w:r>
      <w:r>
        <w:rPr>
          <w:color w:val="auto"/>
          <w:sz w:val="24"/>
          <w:szCs w:val="24"/>
        </w:rPr>
        <w:fldChar w:fldCharType="begin"/>
      </w:r>
      <w:r>
        <w:rPr>
          <w:color w:val="auto"/>
          <w:sz w:val="24"/>
          <w:szCs w:val="24"/>
        </w:rPr>
        <w:instrText xml:space="preserve"> PAGEREF _Toc7280 \h </w:instrText>
      </w:r>
      <w:r>
        <w:rPr>
          <w:color w:val="auto"/>
          <w:sz w:val="24"/>
          <w:szCs w:val="24"/>
        </w:rPr>
        <w:fldChar w:fldCharType="separate"/>
      </w:r>
      <w:r>
        <w:rPr>
          <w:color w:val="auto"/>
          <w:sz w:val="24"/>
          <w:szCs w:val="24"/>
        </w:rPr>
        <w:t>7</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1FB98994">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_Toc8270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4评价等级和评价范围</w:t>
      </w:r>
      <w:r>
        <w:rPr>
          <w:color w:val="auto"/>
          <w:sz w:val="24"/>
          <w:szCs w:val="24"/>
        </w:rPr>
        <w:tab/>
      </w:r>
      <w:r>
        <w:rPr>
          <w:color w:val="auto"/>
          <w:sz w:val="24"/>
          <w:szCs w:val="24"/>
        </w:rPr>
        <w:fldChar w:fldCharType="begin"/>
      </w:r>
      <w:r>
        <w:rPr>
          <w:color w:val="auto"/>
          <w:sz w:val="24"/>
          <w:szCs w:val="24"/>
        </w:rPr>
        <w:instrText xml:space="preserve"> PAGEREF _Toc8270 \h </w:instrText>
      </w:r>
      <w:r>
        <w:rPr>
          <w:color w:val="auto"/>
          <w:sz w:val="24"/>
          <w:szCs w:val="24"/>
        </w:rPr>
        <w:fldChar w:fldCharType="separate"/>
      </w:r>
      <w:r>
        <w:rPr>
          <w:color w:val="auto"/>
          <w:sz w:val="24"/>
          <w:szCs w:val="24"/>
        </w:rPr>
        <w:t>12</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61511F83">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_Toc1503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4.1评价等级</w:t>
      </w:r>
      <w:r>
        <w:rPr>
          <w:color w:val="auto"/>
          <w:sz w:val="24"/>
          <w:szCs w:val="24"/>
        </w:rPr>
        <w:tab/>
      </w:r>
      <w:r>
        <w:rPr>
          <w:color w:val="auto"/>
          <w:sz w:val="24"/>
          <w:szCs w:val="24"/>
        </w:rPr>
        <w:fldChar w:fldCharType="begin"/>
      </w:r>
      <w:r>
        <w:rPr>
          <w:color w:val="auto"/>
          <w:sz w:val="24"/>
          <w:szCs w:val="24"/>
        </w:rPr>
        <w:instrText xml:space="preserve"> PAGEREF _Toc1503 \h </w:instrText>
      </w:r>
      <w:r>
        <w:rPr>
          <w:color w:val="auto"/>
          <w:sz w:val="24"/>
          <w:szCs w:val="24"/>
        </w:rPr>
        <w:fldChar w:fldCharType="separate"/>
      </w:r>
      <w:r>
        <w:rPr>
          <w:color w:val="auto"/>
          <w:sz w:val="24"/>
          <w:szCs w:val="24"/>
        </w:rPr>
        <w:t>12</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0D737D7B">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_Toc8223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4.2评价范围</w:t>
      </w:r>
      <w:r>
        <w:rPr>
          <w:color w:val="auto"/>
          <w:sz w:val="24"/>
          <w:szCs w:val="24"/>
        </w:rPr>
        <w:tab/>
      </w:r>
      <w:r>
        <w:rPr>
          <w:color w:val="auto"/>
          <w:sz w:val="24"/>
          <w:szCs w:val="24"/>
        </w:rPr>
        <w:fldChar w:fldCharType="begin"/>
      </w:r>
      <w:r>
        <w:rPr>
          <w:color w:val="auto"/>
          <w:sz w:val="24"/>
          <w:szCs w:val="24"/>
        </w:rPr>
        <w:instrText xml:space="preserve"> PAGEREF _Toc8223 \h </w:instrText>
      </w:r>
      <w:r>
        <w:rPr>
          <w:color w:val="auto"/>
          <w:sz w:val="24"/>
          <w:szCs w:val="24"/>
        </w:rPr>
        <w:fldChar w:fldCharType="separate"/>
      </w:r>
      <w:r>
        <w:rPr>
          <w:color w:val="auto"/>
          <w:sz w:val="24"/>
          <w:szCs w:val="24"/>
        </w:rPr>
        <w:t>12</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1D767140">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_Toc15768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5 风险识别</w:t>
      </w:r>
      <w:r>
        <w:rPr>
          <w:color w:val="auto"/>
          <w:sz w:val="24"/>
          <w:szCs w:val="24"/>
        </w:rPr>
        <w:tab/>
      </w:r>
      <w:r>
        <w:rPr>
          <w:color w:val="auto"/>
          <w:sz w:val="24"/>
          <w:szCs w:val="24"/>
        </w:rPr>
        <w:fldChar w:fldCharType="begin"/>
      </w:r>
      <w:r>
        <w:rPr>
          <w:color w:val="auto"/>
          <w:sz w:val="24"/>
          <w:szCs w:val="24"/>
        </w:rPr>
        <w:instrText xml:space="preserve"> PAGEREF _Toc15768 \h </w:instrText>
      </w:r>
      <w:r>
        <w:rPr>
          <w:color w:val="auto"/>
          <w:sz w:val="24"/>
          <w:szCs w:val="24"/>
        </w:rPr>
        <w:fldChar w:fldCharType="separate"/>
      </w:r>
      <w:r>
        <w:rPr>
          <w:color w:val="auto"/>
          <w:sz w:val="24"/>
          <w:szCs w:val="24"/>
        </w:rPr>
        <w:t>14</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1EEF797B">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_Toc14893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5.1物质危险性识别</w:t>
      </w:r>
      <w:r>
        <w:rPr>
          <w:color w:val="auto"/>
          <w:sz w:val="24"/>
          <w:szCs w:val="24"/>
        </w:rPr>
        <w:tab/>
      </w:r>
      <w:r>
        <w:rPr>
          <w:color w:val="auto"/>
          <w:sz w:val="24"/>
          <w:szCs w:val="24"/>
        </w:rPr>
        <w:fldChar w:fldCharType="begin"/>
      </w:r>
      <w:r>
        <w:rPr>
          <w:color w:val="auto"/>
          <w:sz w:val="24"/>
          <w:szCs w:val="24"/>
        </w:rPr>
        <w:instrText xml:space="preserve"> PAGEREF _Toc14893 \h </w:instrText>
      </w:r>
      <w:r>
        <w:rPr>
          <w:color w:val="auto"/>
          <w:sz w:val="24"/>
          <w:szCs w:val="24"/>
        </w:rPr>
        <w:fldChar w:fldCharType="separate"/>
      </w:r>
      <w:r>
        <w:rPr>
          <w:color w:val="auto"/>
          <w:sz w:val="24"/>
          <w:szCs w:val="24"/>
        </w:rPr>
        <w:t>14</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346E822D">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_Toc14430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5.2生产系统危险性识别</w:t>
      </w:r>
      <w:r>
        <w:rPr>
          <w:color w:val="auto"/>
          <w:sz w:val="24"/>
          <w:szCs w:val="24"/>
        </w:rPr>
        <w:tab/>
      </w:r>
      <w:r>
        <w:rPr>
          <w:color w:val="auto"/>
          <w:sz w:val="24"/>
          <w:szCs w:val="24"/>
        </w:rPr>
        <w:fldChar w:fldCharType="begin"/>
      </w:r>
      <w:r>
        <w:rPr>
          <w:color w:val="auto"/>
          <w:sz w:val="24"/>
          <w:szCs w:val="24"/>
        </w:rPr>
        <w:instrText xml:space="preserve"> PAGEREF _Toc14430 \h </w:instrText>
      </w:r>
      <w:r>
        <w:rPr>
          <w:color w:val="auto"/>
          <w:sz w:val="24"/>
          <w:szCs w:val="24"/>
        </w:rPr>
        <w:fldChar w:fldCharType="separate"/>
      </w:r>
      <w:r>
        <w:rPr>
          <w:color w:val="auto"/>
          <w:sz w:val="24"/>
          <w:szCs w:val="24"/>
        </w:rPr>
        <w:t>19</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1D65246E">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_Toc18733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kern w:val="0"/>
          <w:sz w:val="24"/>
          <w:szCs w:val="24"/>
          <w:lang w:val="en-US" w:eastAsia="zh-CN" w:bidi="ar"/>
        </w:rPr>
        <w:t>5.3风险识别结果</w:t>
      </w:r>
      <w:r>
        <w:rPr>
          <w:color w:val="auto"/>
          <w:sz w:val="24"/>
          <w:szCs w:val="24"/>
        </w:rPr>
        <w:tab/>
      </w:r>
      <w:r>
        <w:rPr>
          <w:color w:val="auto"/>
          <w:sz w:val="24"/>
          <w:szCs w:val="24"/>
        </w:rPr>
        <w:fldChar w:fldCharType="begin"/>
      </w:r>
      <w:r>
        <w:rPr>
          <w:color w:val="auto"/>
          <w:sz w:val="24"/>
          <w:szCs w:val="24"/>
        </w:rPr>
        <w:instrText xml:space="preserve"> PAGEREF _Toc18733 \h </w:instrText>
      </w:r>
      <w:r>
        <w:rPr>
          <w:color w:val="auto"/>
          <w:sz w:val="24"/>
          <w:szCs w:val="24"/>
        </w:rPr>
        <w:fldChar w:fldCharType="separate"/>
      </w:r>
      <w:r>
        <w:rPr>
          <w:color w:val="auto"/>
          <w:sz w:val="24"/>
          <w:szCs w:val="24"/>
        </w:rPr>
        <w:t>22</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7F6514D6">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_Toc32528 </w:instrText>
      </w:r>
      <w:r>
        <w:rPr>
          <w:rFonts w:hint="default" w:ascii="Times New Roman" w:hAnsi="Times New Roman" w:eastAsia="宋体" w:cs="Times New Roman"/>
          <w:color w:val="auto"/>
          <w:sz w:val="24"/>
          <w:szCs w:val="24"/>
        </w:rPr>
        <w:fldChar w:fldCharType="separate"/>
      </w:r>
      <w:r>
        <w:rPr>
          <w:rFonts w:hint="eastAsia" w:ascii="Times New Roman" w:hAnsi="Times New Roman" w:eastAsia="宋体" w:cs="Times New Roman"/>
          <w:bCs/>
          <w:color w:val="auto"/>
          <w:kern w:val="0"/>
          <w:sz w:val="24"/>
          <w:szCs w:val="24"/>
          <w:lang w:val="en-US" w:eastAsia="zh-CN" w:bidi="ar"/>
        </w:rPr>
        <w:t>6</w:t>
      </w:r>
      <w:r>
        <w:rPr>
          <w:rFonts w:hint="default" w:ascii="Times New Roman" w:hAnsi="Times New Roman" w:eastAsia="宋体" w:cs="Times New Roman"/>
          <w:bCs/>
          <w:color w:val="auto"/>
          <w:kern w:val="0"/>
          <w:sz w:val="24"/>
          <w:szCs w:val="24"/>
          <w:lang w:val="en-US" w:eastAsia="zh-CN" w:bidi="ar"/>
        </w:rPr>
        <w:t>突发环境事件情景分析</w:t>
      </w:r>
      <w:r>
        <w:rPr>
          <w:color w:val="auto"/>
          <w:sz w:val="24"/>
          <w:szCs w:val="24"/>
        </w:rPr>
        <w:tab/>
      </w:r>
      <w:r>
        <w:rPr>
          <w:color w:val="auto"/>
          <w:sz w:val="24"/>
          <w:szCs w:val="24"/>
        </w:rPr>
        <w:fldChar w:fldCharType="begin"/>
      </w:r>
      <w:r>
        <w:rPr>
          <w:color w:val="auto"/>
          <w:sz w:val="24"/>
          <w:szCs w:val="24"/>
        </w:rPr>
        <w:instrText xml:space="preserve"> PAGEREF _Toc32528 \h </w:instrText>
      </w:r>
      <w:r>
        <w:rPr>
          <w:color w:val="auto"/>
          <w:sz w:val="24"/>
          <w:szCs w:val="24"/>
        </w:rPr>
        <w:fldChar w:fldCharType="separate"/>
      </w:r>
      <w:r>
        <w:rPr>
          <w:color w:val="auto"/>
          <w:sz w:val="24"/>
          <w:szCs w:val="24"/>
        </w:rPr>
        <w:t>25</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4CBEC6AA">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_Toc17701 </w:instrText>
      </w:r>
      <w:r>
        <w:rPr>
          <w:rFonts w:hint="default" w:ascii="Times New Roman" w:hAnsi="Times New Roman" w:eastAsia="宋体" w:cs="Times New Roman"/>
          <w:color w:val="auto"/>
          <w:sz w:val="24"/>
          <w:szCs w:val="24"/>
        </w:rPr>
        <w:fldChar w:fldCharType="separate"/>
      </w:r>
      <w:r>
        <w:rPr>
          <w:rFonts w:hint="eastAsia" w:ascii="Times New Roman" w:hAnsi="Times New Roman" w:eastAsia="宋体" w:cs="Times New Roman"/>
          <w:bCs/>
          <w:color w:val="auto"/>
          <w:kern w:val="0"/>
          <w:sz w:val="24"/>
          <w:szCs w:val="24"/>
          <w:lang w:val="en-US" w:eastAsia="zh-CN" w:bidi="ar"/>
        </w:rPr>
        <w:t>6.1</w:t>
      </w:r>
      <w:r>
        <w:rPr>
          <w:rFonts w:hint="default" w:ascii="Times New Roman" w:hAnsi="Times New Roman" w:eastAsia="宋体" w:cs="Times New Roman"/>
          <w:bCs/>
          <w:color w:val="auto"/>
          <w:kern w:val="0"/>
          <w:sz w:val="24"/>
          <w:szCs w:val="24"/>
          <w:lang w:val="en-US" w:eastAsia="zh-CN" w:bidi="ar"/>
        </w:rPr>
        <w:t xml:space="preserve"> 国内外同类企业突发环境事件资料</w:t>
      </w:r>
      <w:r>
        <w:rPr>
          <w:color w:val="auto"/>
          <w:sz w:val="24"/>
          <w:szCs w:val="24"/>
        </w:rPr>
        <w:tab/>
      </w:r>
      <w:r>
        <w:rPr>
          <w:color w:val="auto"/>
          <w:sz w:val="24"/>
          <w:szCs w:val="24"/>
        </w:rPr>
        <w:fldChar w:fldCharType="begin"/>
      </w:r>
      <w:r>
        <w:rPr>
          <w:color w:val="auto"/>
          <w:sz w:val="24"/>
          <w:szCs w:val="24"/>
        </w:rPr>
        <w:instrText xml:space="preserve"> PAGEREF _Toc17701 \h </w:instrText>
      </w:r>
      <w:r>
        <w:rPr>
          <w:color w:val="auto"/>
          <w:sz w:val="24"/>
          <w:szCs w:val="24"/>
        </w:rPr>
        <w:fldChar w:fldCharType="separate"/>
      </w:r>
      <w:r>
        <w:rPr>
          <w:color w:val="auto"/>
          <w:sz w:val="24"/>
          <w:szCs w:val="24"/>
        </w:rPr>
        <w:t>25</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5D189931">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_Toc6552 </w:instrText>
      </w:r>
      <w:r>
        <w:rPr>
          <w:rFonts w:hint="default" w:ascii="Times New Roman" w:hAnsi="Times New Roman" w:eastAsia="宋体" w:cs="Times New Roman"/>
          <w:color w:val="auto"/>
          <w:sz w:val="24"/>
          <w:szCs w:val="24"/>
        </w:rPr>
        <w:fldChar w:fldCharType="separate"/>
      </w:r>
      <w:r>
        <w:rPr>
          <w:rFonts w:hint="eastAsia" w:ascii="Times New Roman" w:hAnsi="Times New Roman" w:eastAsia="宋体" w:cs="Times New Roman"/>
          <w:bCs/>
          <w:color w:val="auto"/>
          <w:kern w:val="0"/>
          <w:sz w:val="24"/>
          <w:szCs w:val="24"/>
          <w:lang w:val="en-US" w:eastAsia="zh-CN" w:bidi="ar"/>
        </w:rPr>
        <w:t>6.2 可能发生的突发环境事件情景</w:t>
      </w:r>
      <w:r>
        <w:rPr>
          <w:color w:val="auto"/>
          <w:sz w:val="24"/>
          <w:szCs w:val="24"/>
        </w:rPr>
        <w:tab/>
      </w:r>
      <w:r>
        <w:rPr>
          <w:color w:val="auto"/>
          <w:sz w:val="24"/>
          <w:szCs w:val="24"/>
        </w:rPr>
        <w:fldChar w:fldCharType="begin"/>
      </w:r>
      <w:r>
        <w:rPr>
          <w:color w:val="auto"/>
          <w:sz w:val="24"/>
          <w:szCs w:val="24"/>
        </w:rPr>
        <w:instrText xml:space="preserve"> PAGEREF _Toc6552 \h </w:instrText>
      </w:r>
      <w:r>
        <w:rPr>
          <w:color w:val="auto"/>
          <w:sz w:val="24"/>
          <w:szCs w:val="24"/>
        </w:rPr>
        <w:fldChar w:fldCharType="separate"/>
      </w:r>
      <w:r>
        <w:rPr>
          <w:color w:val="auto"/>
          <w:sz w:val="24"/>
          <w:szCs w:val="24"/>
        </w:rPr>
        <w:t>26</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5D6C3D8C">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_Toc20052 </w:instrText>
      </w:r>
      <w:r>
        <w:rPr>
          <w:rFonts w:hint="default" w:ascii="Times New Roman" w:hAnsi="Times New Roman" w:eastAsia="宋体" w:cs="Times New Roman"/>
          <w:color w:val="auto"/>
          <w:sz w:val="24"/>
          <w:szCs w:val="24"/>
        </w:rPr>
        <w:fldChar w:fldCharType="separate"/>
      </w:r>
      <w:r>
        <w:rPr>
          <w:rFonts w:hint="eastAsia" w:ascii="宋体" w:hAnsi="宋体" w:cs="宋体"/>
          <w:bCs/>
          <w:color w:val="auto"/>
          <w:kern w:val="0"/>
          <w:sz w:val="24"/>
          <w:szCs w:val="24"/>
          <w:lang w:val="en-US" w:eastAsia="zh-CN" w:bidi="ar"/>
        </w:rPr>
        <w:t>7</w:t>
      </w:r>
      <w:r>
        <w:rPr>
          <w:rFonts w:hint="default" w:ascii="宋体" w:hAnsi="宋体" w:eastAsia="宋体" w:cs="宋体"/>
          <w:bCs/>
          <w:color w:val="auto"/>
          <w:kern w:val="0"/>
          <w:sz w:val="24"/>
          <w:szCs w:val="24"/>
          <w:lang w:val="en-US" w:eastAsia="zh-CN" w:bidi="ar"/>
        </w:rPr>
        <w:t>环境风险分析</w:t>
      </w:r>
      <w:r>
        <w:rPr>
          <w:color w:val="auto"/>
          <w:sz w:val="24"/>
          <w:szCs w:val="24"/>
        </w:rPr>
        <w:tab/>
      </w:r>
      <w:r>
        <w:rPr>
          <w:color w:val="auto"/>
          <w:sz w:val="24"/>
          <w:szCs w:val="24"/>
        </w:rPr>
        <w:fldChar w:fldCharType="begin"/>
      </w:r>
      <w:r>
        <w:rPr>
          <w:color w:val="auto"/>
          <w:sz w:val="24"/>
          <w:szCs w:val="24"/>
        </w:rPr>
        <w:instrText xml:space="preserve"> PAGEREF _Toc20052 \h </w:instrText>
      </w:r>
      <w:r>
        <w:rPr>
          <w:color w:val="auto"/>
          <w:sz w:val="24"/>
          <w:szCs w:val="24"/>
        </w:rPr>
        <w:fldChar w:fldCharType="separate"/>
      </w:r>
      <w:r>
        <w:rPr>
          <w:color w:val="auto"/>
          <w:sz w:val="24"/>
          <w:szCs w:val="24"/>
        </w:rPr>
        <w:t>26</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015677DE">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_Toc26451 </w:instrText>
      </w:r>
      <w:r>
        <w:rPr>
          <w:rFonts w:hint="default" w:ascii="Times New Roman" w:hAnsi="Times New Roman" w:eastAsia="宋体" w:cs="Times New Roman"/>
          <w:color w:val="auto"/>
          <w:sz w:val="24"/>
          <w:szCs w:val="24"/>
        </w:rPr>
        <w:fldChar w:fldCharType="separate"/>
      </w:r>
      <w:r>
        <w:rPr>
          <w:rFonts w:hint="eastAsia" w:cs="Times New Roman"/>
          <w:bCs/>
          <w:color w:val="auto"/>
          <w:kern w:val="0"/>
          <w:sz w:val="24"/>
          <w:szCs w:val="24"/>
          <w:lang w:val="en-US" w:eastAsia="zh-CN" w:bidi="ar"/>
        </w:rPr>
        <w:t>7</w:t>
      </w:r>
      <w:r>
        <w:rPr>
          <w:rFonts w:hint="default" w:ascii="Times New Roman" w:hAnsi="Times New Roman" w:eastAsia="宋体" w:cs="Times New Roman"/>
          <w:bCs/>
          <w:color w:val="auto"/>
          <w:kern w:val="0"/>
          <w:sz w:val="24"/>
          <w:szCs w:val="24"/>
          <w:lang w:val="en-US" w:eastAsia="zh-CN" w:bidi="ar"/>
        </w:rPr>
        <w:t>.1</w:t>
      </w:r>
      <w:r>
        <w:rPr>
          <w:rFonts w:hint="eastAsia" w:ascii="Times New Roman" w:hAnsi="Times New Roman" w:eastAsia="宋体" w:cs="Times New Roman"/>
          <w:bCs/>
          <w:color w:val="auto"/>
          <w:kern w:val="0"/>
          <w:sz w:val="24"/>
          <w:szCs w:val="24"/>
          <w:lang w:val="en-US" w:eastAsia="zh-CN" w:bidi="ar"/>
        </w:rPr>
        <w:t>大气环境风险分析</w:t>
      </w:r>
      <w:r>
        <w:rPr>
          <w:color w:val="auto"/>
          <w:sz w:val="24"/>
          <w:szCs w:val="24"/>
        </w:rPr>
        <w:tab/>
      </w:r>
      <w:r>
        <w:rPr>
          <w:color w:val="auto"/>
          <w:sz w:val="24"/>
          <w:szCs w:val="24"/>
        </w:rPr>
        <w:fldChar w:fldCharType="begin"/>
      </w:r>
      <w:r>
        <w:rPr>
          <w:color w:val="auto"/>
          <w:sz w:val="24"/>
          <w:szCs w:val="24"/>
        </w:rPr>
        <w:instrText xml:space="preserve"> PAGEREF _Toc26451 \h </w:instrText>
      </w:r>
      <w:r>
        <w:rPr>
          <w:color w:val="auto"/>
          <w:sz w:val="24"/>
          <w:szCs w:val="24"/>
        </w:rPr>
        <w:fldChar w:fldCharType="separate"/>
      </w:r>
      <w:r>
        <w:rPr>
          <w:color w:val="auto"/>
          <w:sz w:val="24"/>
          <w:szCs w:val="24"/>
        </w:rPr>
        <w:t>26</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4F2B62F0">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_Toc20081 </w:instrText>
      </w:r>
      <w:r>
        <w:rPr>
          <w:rFonts w:hint="default" w:ascii="Times New Roman" w:hAnsi="Times New Roman" w:eastAsia="宋体" w:cs="Times New Roman"/>
          <w:color w:val="auto"/>
          <w:sz w:val="24"/>
          <w:szCs w:val="24"/>
        </w:rPr>
        <w:fldChar w:fldCharType="separate"/>
      </w:r>
      <w:r>
        <w:rPr>
          <w:rFonts w:hint="eastAsia" w:cs="Times New Roman"/>
          <w:bCs/>
          <w:color w:val="auto"/>
          <w:kern w:val="0"/>
          <w:sz w:val="24"/>
          <w:szCs w:val="24"/>
          <w:lang w:val="en-US" w:eastAsia="zh-CN" w:bidi="ar"/>
        </w:rPr>
        <w:t>7</w:t>
      </w:r>
      <w:r>
        <w:rPr>
          <w:rFonts w:hint="eastAsia" w:ascii="Times New Roman" w:hAnsi="Times New Roman" w:eastAsia="宋体" w:cs="Times New Roman"/>
          <w:bCs/>
          <w:color w:val="auto"/>
          <w:kern w:val="0"/>
          <w:sz w:val="24"/>
          <w:szCs w:val="24"/>
          <w:lang w:val="en-US" w:eastAsia="zh-CN" w:bidi="ar"/>
        </w:rPr>
        <w:t>.2地表水环境风险分析</w:t>
      </w:r>
      <w:r>
        <w:rPr>
          <w:color w:val="auto"/>
          <w:sz w:val="24"/>
          <w:szCs w:val="24"/>
        </w:rPr>
        <w:tab/>
      </w:r>
      <w:r>
        <w:rPr>
          <w:color w:val="auto"/>
          <w:sz w:val="24"/>
          <w:szCs w:val="24"/>
        </w:rPr>
        <w:fldChar w:fldCharType="begin"/>
      </w:r>
      <w:r>
        <w:rPr>
          <w:color w:val="auto"/>
          <w:sz w:val="24"/>
          <w:szCs w:val="24"/>
        </w:rPr>
        <w:instrText xml:space="preserve"> PAGEREF _Toc20081 \h </w:instrText>
      </w:r>
      <w:r>
        <w:rPr>
          <w:color w:val="auto"/>
          <w:sz w:val="24"/>
          <w:szCs w:val="24"/>
        </w:rPr>
        <w:fldChar w:fldCharType="separate"/>
      </w:r>
      <w:r>
        <w:rPr>
          <w:color w:val="auto"/>
          <w:sz w:val="24"/>
          <w:szCs w:val="24"/>
        </w:rPr>
        <w:t>30</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7BF61A51">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_Toc15289 </w:instrText>
      </w:r>
      <w:r>
        <w:rPr>
          <w:rFonts w:hint="default" w:ascii="Times New Roman" w:hAnsi="Times New Roman" w:eastAsia="宋体" w:cs="Times New Roman"/>
          <w:color w:val="auto"/>
          <w:sz w:val="24"/>
          <w:szCs w:val="24"/>
        </w:rPr>
        <w:fldChar w:fldCharType="separate"/>
      </w:r>
      <w:r>
        <w:rPr>
          <w:rFonts w:hint="eastAsia" w:cs="Times New Roman"/>
          <w:bCs/>
          <w:color w:val="auto"/>
          <w:kern w:val="0"/>
          <w:sz w:val="24"/>
          <w:szCs w:val="24"/>
          <w:lang w:val="en-US" w:eastAsia="zh-CN" w:bidi="ar"/>
        </w:rPr>
        <w:t>7</w:t>
      </w:r>
      <w:r>
        <w:rPr>
          <w:rFonts w:hint="default" w:ascii="Times New Roman" w:hAnsi="Times New Roman" w:eastAsia="宋体" w:cs="Times New Roman"/>
          <w:bCs/>
          <w:color w:val="auto"/>
          <w:kern w:val="0"/>
          <w:sz w:val="24"/>
          <w:szCs w:val="24"/>
          <w:lang w:val="en-US" w:eastAsia="zh-CN" w:bidi="ar"/>
        </w:rPr>
        <w:t>.</w:t>
      </w:r>
      <w:r>
        <w:rPr>
          <w:rFonts w:hint="eastAsia" w:ascii="Times New Roman" w:hAnsi="Times New Roman" w:eastAsia="宋体" w:cs="Times New Roman"/>
          <w:bCs/>
          <w:color w:val="auto"/>
          <w:kern w:val="0"/>
          <w:sz w:val="24"/>
          <w:szCs w:val="24"/>
          <w:lang w:val="en-US" w:eastAsia="zh-CN" w:bidi="ar"/>
        </w:rPr>
        <w:t>3</w:t>
      </w:r>
      <w:r>
        <w:rPr>
          <w:rFonts w:hint="default" w:ascii="Times New Roman" w:hAnsi="Times New Roman" w:eastAsia="宋体" w:cs="Times New Roman"/>
          <w:bCs/>
          <w:color w:val="auto"/>
          <w:kern w:val="0"/>
          <w:sz w:val="24"/>
          <w:szCs w:val="24"/>
          <w:lang w:val="en-US" w:eastAsia="zh-CN" w:bidi="ar"/>
        </w:rPr>
        <w:t>地下水环境风险分析</w:t>
      </w:r>
      <w:r>
        <w:rPr>
          <w:color w:val="auto"/>
          <w:sz w:val="24"/>
          <w:szCs w:val="24"/>
        </w:rPr>
        <w:tab/>
      </w:r>
      <w:r>
        <w:rPr>
          <w:color w:val="auto"/>
          <w:sz w:val="24"/>
          <w:szCs w:val="24"/>
        </w:rPr>
        <w:fldChar w:fldCharType="begin"/>
      </w:r>
      <w:r>
        <w:rPr>
          <w:color w:val="auto"/>
          <w:sz w:val="24"/>
          <w:szCs w:val="24"/>
        </w:rPr>
        <w:instrText xml:space="preserve"> PAGEREF _Toc15289 \h </w:instrText>
      </w:r>
      <w:r>
        <w:rPr>
          <w:color w:val="auto"/>
          <w:sz w:val="24"/>
          <w:szCs w:val="24"/>
        </w:rPr>
        <w:fldChar w:fldCharType="separate"/>
      </w:r>
      <w:r>
        <w:rPr>
          <w:color w:val="auto"/>
          <w:sz w:val="24"/>
          <w:szCs w:val="24"/>
        </w:rPr>
        <w:t>31</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3714CDB1">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_Toc8485 </w:instrText>
      </w:r>
      <w:r>
        <w:rPr>
          <w:rFonts w:hint="default" w:ascii="Times New Roman" w:hAnsi="Times New Roman" w:eastAsia="宋体" w:cs="Times New Roman"/>
          <w:color w:val="auto"/>
          <w:sz w:val="24"/>
          <w:szCs w:val="24"/>
        </w:rPr>
        <w:fldChar w:fldCharType="separate"/>
      </w:r>
      <w:r>
        <w:rPr>
          <w:rFonts w:hint="eastAsia" w:ascii="宋体" w:hAnsi="宋体" w:cs="宋体"/>
          <w:bCs/>
          <w:color w:val="auto"/>
          <w:kern w:val="0"/>
          <w:sz w:val="24"/>
          <w:szCs w:val="24"/>
          <w:lang w:val="en-US" w:eastAsia="zh-CN" w:bidi="ar"/>
        </w:rPr>
        <w:t>8</w:t>
      </w:r>
      <w:r>
        <w:rPr>
          <w:rFonts w:hint="eastAsia" w:ascii="宋体" w:hAnsi="宋体" w:eastAsia="宋体" w:cs="宋体"/>
          <w:bCs/>
          <w:color w:val="auto"/>
          <w:kern w:val="0"/>
          <w:sz w:val="24"/>
          <w:szCs w:val="24"/>
          <w:lang w:val="en-US" w:eastAsia="zh-CN" w:bidi="ar"/>
        </w:rPr>
        <w:t>风险防范和应急措施</w:t>
      </w:r>
      <w:r>
        <w:rPr>
          <w:color w:val="auto"/>
          <w:sz w:val="24"/>
          <w:szCs w:val="24"/>
        </w:rPr>
        <w:tab/>
      </w:r>
      <w:r>
        <w:rPr>
          <w:color w:val="auto"/>
          <w:sz w:val="24"/>
          <w:szCs w:val="24"/>
        </w:rPr>
        <w:fldChar w:fldCharType="begin"/>
      </w:r>
      <w:r>
        <w:rPr>
          <w:color w:val="auto"/>
          <w:sz w:val="24"/>
          <w:szCs w:val="24"/>
        </w:rPr>
        <w:instrText xml:space="preserve"> PAGEREF _Toc8485 \h </w:instrText>
      </w:r>
      <w:r>
        <w:rPr>
          <w:color w:val="auto"/>
          <w:sz w:val="24"/>
          <w:szCs w:val="24"/>
        </w:rPr>
        <w:fldChar w:fldCharType="separate"/>
      </w:r>
      <w:r>
        <w:rPr>
          <w:color w:val="auto"/>
          <w:sz w:val="24"/>
          <w:szCs w:val="24"/>
        </w:rPr>
        <w:t>35</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6C536BFF">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_Toc27010 </w:instrText>
      </w:r>
      <w:r>
        <w:rPr>
          <w:rFonts w:hint="default" w:ascii="Times New Roman" w:hAnsi="Times New Roman" w:eastAsia="宋体" w:cs="Times New Roman"/>
          <w:color w:val="auto"/>
          <w:sz w:val="24"/>
          <w:szCs w:val="24"/>
        </w:rPr>
        <w:fldChar w:fldCharType="separate"/>
      </w:r>
      <w:r>
        <w:rPr>
          <w:rFonts w:hint="eastAsia" w:cs="Times New Roman"/>
          <w:bCs/>
          <w:color w:val="auto"/>
          <w:kern w:val="0"/>
          <w:sz w:val="24"/>
          <w:szCs w:val="24"/>
          <w:lang w:val="en-US" w:eastAsia="zh-CN" w:bidi="ar"/>
        </w:rPr>
        <w:t>8</w:t>
      </w:r>
      <w:r>
        <w:rPr>
          <w:rFonts w:hint="eastAsia" w:ascii="Times New Roman" w:hAnsi="Times New Roman" w:eastAsia="宋体" w:cs="Times New Roman"/>
          <w:bCs/>
          <w:color w:val="auto"/>
          <w:kern w:val="0"/>
          <w:sz w:val="24"/>
          <w:szCs w:val="24"/>
          <w:lang w:val="en-US" w:eastAsia="zh-CN" w:bidi="ar"/>
        </w:rPr>
        <w:t>.1环境风险防范措施</w:t>
      </w:r>
      <w:r>
        <w:rPr>
          <w:color w:val="auto"/>
          <w:sz w:val="24"/>
          <w:szCs w:val="24"/>
        </w:rPr>
        <w:tab/>
      </w:r>
      <w:r>
        <w:rPr>
          <w:color w:val="auto"/>
          <w:sz w:val="24"/>
          <w:szCs w:val="24"/>
        </w:rPr>
        <w:fldChar w:fldCharType="begin"/>
      </w:r>
      <w:r>
        <w:rPr>
          <w:color w:val="auto"/>
          <w:sz w:val="24"/>
          <w:szCs w:val="24"/>
        </w:rPr>
        <w:instrText xml:space="preserve"> PAGEREF _Toc27010 \h </w:instrText>
      </w:r>
      <w:r>
        <w:rPr>
          <w:color w:val="auto"/>
          <w:sz w:val="24"/>
          <w:szCs w:val="24"/>
        </w:rPr>
        <w:fldChar w:fldCharType="separate"/>
      </w:r>
      <w:r>
        <w:rPr>
          <w:color w:val="auto"/>
          <w:sz w:val="24"/>
          <w:szCs w:val="24"/>
        </w:rPr>
        <w:t>35</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7FACBF21">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_Toc25917 </w:instrText>
      </w:r>
      <w:r>
        <w:rPr>
          <w:rFonts w:hint="default" w:ascii="Times New Roman" w:hAnsi="Times New Roman" w:eastAsia="宋体" w:cs="Times New Roman"/>
          <w:color w:val="auto"/>
          <w:sz w:val="24"/>
          <w:szCs w:val="24"/>
        </w:rPr>
        <w:fldChar w:fldCharType="separate"/>
      </w:r>
      <w:r>
        <w:rPr>
          <w:rFonts w:hint="eastAsia" w:cs="Times New Roman"/>
          <w:bCs/>
          <w:color w:val="auto"/>
          <w:kern w:val="0"/>
          <w:sz w:val="24"/>
          <w:szCs w:val="24"/>
          <w:lang w:val="en-US" w:eastAsia="zh-CN" w:bidi="ar"/>
        </w:rPr>
        <w:t>8</w:t>
      </w:r>
      <w:r>
        <w:rPr>
          <w:rFonts w:hint="eastAsia" w:ascii="Times New Roman" w:hAnsi="Times New Roman" w:eastAsia="宋体" w:cs="Times New Roman"/>
          <w:bCs/>
          <w:color w:val="auto"/>
          <w:kern w:val="0"/>
          <w:sz w:val="24"/>
          <w:szCs w:val="24"/>
          <w:lang w:val="en-US" w:eastAsia="zh-CN" w:bidi="ar"/>
        </w:rPr>
        <w:t>.2</w:t>
      </w:r>
      <w:r>
        <w:rPr>
          <w:rFonts w:hint="default" w:ascii="Times New Roman" w:hAnsi="Times New Roman" w:eastAsia="宋体" w:cs="Times New Roman"/>
          <w:bCs/>
          <w:color w:val="auto"/>
          <w:kern w:val="0"/>
          <w:sz w:val="24"/>
          <w:szCs w:val="24"/>
          <w:lang w:val="en-US" w:eastAsia="zh-CN" w:bidi="ar"/>
        </w:rPr>
        <w:t>突发环境事件应急预案编制要求</w:t>
      </w:r>
      <w:r>
        <w:rPr>
          <w:color w:val="auto"/>
          <w:sz w:val="24"/>
          <w:szCs w:val="24"/>
        </w:rPr>
        <w:tab/>
      </w:r>
      <w:r>
        <w:rPr>
          <w:color w:val="auto"/>
          <w:sz w:val="24"/>
          <w:szCs w:val="24"/>
        </w:rPr>
        <w:fldChar w:fldCharType="begin"/>
      </w:r>
      <w:r>
        <w:rPr>
          <w:color w:val="auto"/>
          <w:sz w:val="24"/>
          <w:szCs w:val="24"/>
        </w:rPr>
        <w:instrText xml:space="preserve"> PAGEREF _Toc25917 \h </w:instrText>
      </w:r>
      <w:r>
        <w:rPr>
          <w:color w:val="auto"/>
          <w:sz w:val="24"/>
          <w:szCs w:val="24"/>
        </w:rPr>
        <w:fldChar w:fldCharType="separate"/>
      </w:r>
      <w:r>
        <w:rPr>
          <w:color w:val="auto"/>
          <w:sz w:val="24"/>
          <w:szCs w:val="24"/>
        </w:rPr>
        <w:t>43</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4EB8B211">
      <w:pPr>
        <w:pStyle w:val="27"/>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_Toc30601 </w:instrText>
      </w:r>
      <w:r>
        <w:rPr>
          <w:rFonts w:hint="default" w:ascii="Times New Roman" w:hAnsi="Times New Roman" w:eastAsia="宋体" w:cs="Times New Roman"/>
          <w:color w:val="auto"/>
          <w:sz w:val="24"/>
          <w:szCs w:val="24"/>
        </w:rPr>
        <w:fldChar w:fldCharType="separate"/>
      </w:r>
      <w:r>
        <w:rPr>
          <w:rFonts w:hint="eastAsia" w:ascii="Times New Roman" w:hAnsi="Times New Roman" w:eastAsia="宋体" w:cs="Times New Roman"/>
          <w:bCs/>
          <w:color w:val="auto"/>
          <w:kern w:val="0"/>
          <w:sz w:val="24"/>
          <w:szCs w:val="24"/>
          <w:lang w:val="en-US" w:eastAsia="zh-CN" w:bidi="ar"/>
        </w:rPr>
        <w:t>8.3应急监测方案</w:t>
      </w:r>
      <w:r>
        <w:rPr>
          <w:color w:val="auto"/>
          <w:sz w:val="24"/>
          <w:szCs w:val="24"/>
        </w:rPr>
        <w:tab/>
      </w:r>
      <w:r>
        <w:rPr>
          <w:color w:val="auto"/>
          <w:sz w:val="24"/>
          <w:szCs w:val="24"/>
        </w:rPr>
        <w:fldChar w:fldCharType="begin"/>
      </w:r>
      <w:r>
        <w:rPr>
          <w:color w:val="auto"/>
          <w:sz w:val="24"/>
          <w:szCs w:val="24"/>
        </w:rPr>
        <w:instrText xml:space="preserve"> PAGEREF _Toc30601 \h </w:instrText>
      </w:r>
      <w:r>
        <w:rPr>
          <w:color w:val="auto"/>
          <w:sz w:val="24"/>
          <w:szCs w:val="24"/>
        </w:rPr>
        <w:fldChar w:fldCharType="separate"/>
      </w:r>
      <w:r>
        <w:rPr>
          <w:color w:val="auto"/>
          <w:sz w:val="24"/>
          <w:szCs w:val="24"/>
        </w:rPr>
        <w:t>45</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0FA637F3">
      <w:pPr>
        <w:pStyle w:val="23"/>
        <w:tabs>
          <w:tab w:val="right" w:leader="dot" w:pos="8305"/>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_Toc25688 </w:instrText>
      </w:r>
      <w:r>
        <w:rPr>
          <w:rFonts w:hint="default" w:ascii="Times New Roman" w:hAnsi="Times New Roman" w:eastAsia="宋体" w:cs="Times New Roman"/>
          <w:color w:val="auto"/>
          <w:sz w:val="24"/>
          <w:szCs w:val="24"/>
        </w:rPr>
        <w:fldChar w:fldCharType="separate"/>
      </w:r>
      <w:r>
        <w:rPr>
          <w:rFonts w:hint="eastAsia" w:cs="Times New Roman"/>
          <w:bCs/>
          <w:color w:val="auto"/>
          <w:spacing w:val="-6"/>
          <w:sz w:val="24"/>
          <w:szCs w:val="24"/>
          <w:lang w:val="en-US" w:eastAsia="zh-CN"/>
        </w:rPr>
        <w:t>9</w:t>
      </w:r>
      <w:r>
        <w:rPr>
          <w:bCs/>
          <w:color w:val="auto"/>
          <w:spacing w:val="-6"/>
          <w:sz w:val="24"/>
          <w:szCs w:val="24"/>
        </w:rPr>
        <w:t>环境风险分析结论</w:t>
      </w:r>
      <w:r>
        <w:rPr>
          <w:color w:val="auto"/>
          <w:sz w:val="24"/>
          <w:szCs w:val="24"/>
        </w:rPr>
        <w:tab/>
      </w:r>
      <w:r>
        <w:rPr>
          <w:color w:val="auto"/>
          <w:sz w:val="24"/>
          <w:szCs w:val="24"/>
        </w:rPr>
        <w:fldChar w:fldCharType="begin"/>
      </w:r>
      <w:r>
        <w:rPr>
          <w:color w:val="auto"/>
          <w:sz w:val="24"/>
          <w:szCs w:val="24"/>
        </w:rPr>
        <w:instrText xml:space="preserve"> PAGEREF _Toc25688 \h </w:instrText>
      </w:r>
      <w:r>
        <w:rPr>
          <w:color w:val="auto"/>
          <w:sz w:val="24"/>
          <w:szCs w:val="24"/>
        </w:rPr>
        <w:fldChar w:fldCharType="separate"/>
      </w:r>
      <w:r>
        <w:rPr>
          <w:color w:val="auto"/>
          <w:sz w:val="24"/>
          <w:szCs w:val="24"/>
        </w:rPr>
        <w:t>46</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7125B57F">
      <w:pPr>
        <w:spacing w:line="360" w:lineRule="auto"/>
        <w:rPr>
          <w:rFonts w:hint="default" w:ascii="Times New Roman" w:hAnsi="Times New Roman" w:eastAsia="宋体" w:cs="Times New Roman"/>
          <w:color w:val="auto"/>
          <w:sz w:val="24"/>
          <w:szCs w:val="24"/>
        </w:rPr>
        <w:sectPr>
          <w:footerReference r:id="rId23" w:type="default"/>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szCs w:val="24"/>
        </w:rPr>
        <w:fldChar w:fldCharType="end"/>
      </w:r>
    </w:p>
    <w:p w14:paraId="26396035">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bookmarkStart w:id="426" w:name="_Toc12606"/>
      <w:bookmarkStart w:id="427" w:name="_Toc30327"/>
      <w:bookmarkStart w:id="428" w:name="_Toc13503"/>
    </w:p>
    <w:p w14:paraId="7CA80A54">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380D8D9C">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70E8F3A2">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082E4250">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52DCF4E6">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417ECAB7">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6C334A9D">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6830F599">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464CE9C7">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1A552A76">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61032E2E">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769B2FDF">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44D71D0F">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361D92FC">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76DA3052">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66E917FA">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0FF7BFE7">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4B0976F4">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44BD2D92">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0154AC74">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07CE4903">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47478B2A">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4AC300E5">
      <w:pPr>
        <w:keepNext w:val="0"/>
        <w:keepLines w:val="0"/>
        <w:widowControl/>
        <w:suppressLineNumbers w:val="0"/>
        <w:spacing w:line="360" w:lineRule="auto"/>
        <w:jc w:val="left"/>
        <w:outlineLvl w:val="9"/>
        <w:rPr>
          <w:rFonts w:hint="eastAsia" w:ascii="宋体" w:hAnsi="宋体" w:eastAsia="宋体" w:cs="宋体"/>
          <w:b/>
          <w:bCs/>
          <w:color w:val="auto"/>
          <w:kern w:val="0"/>
          <w:sz w:val="30"/>
          <w:szCs w:val="30"/>
          <w:lang w:val="en-US" w:eastAsia="zh-CN" w:bidi="ar"/>
        </w:rPr>
      </w:pPr>
    </w:p>
    <w:p w14:paraId="582AE818">
      <w:pPr>
        <w:keepNext w:val="0"/>
        <w:keepLines w:val="0"/>
        <w:widowControl/>
        <w:suppressLineNumbers w:val="0"/>
        <w:spacing w:line="360" w:lineRule="auto"/>
        <w:jc w:val="left"/>
        <w:outlineLvl w:val="0"/>
        <w:rPr>
          <w:rFonts w:hint="eastAsia" w:ascii="宋体" w:hAnsi="宋体" w:eastAsia="宋体" w:cs="宋体"/>
          <w:b/>
          <w:bCs/>
          <w:color w:val="auto"/>
          <w:kern w:val="0"/>
          <w:sz w:val="30"/>
          <w:szCs w:val="30"/>
          <w:lang w:val="en-US" w:eastAsia="zh-CN" w:bidi="ar"/>
        </w:rPr>
        <w:sectPr>
          <w:footerReference r:id="rId24" w:type="default"/>
          <w:pgSz w:w="11905" w:h="16838"/>
          <w:pgMar w:top="1440" w:right="1800" w:bottom="1440" w:left="1800" w:header="851" w:footer="1134" w:gutter="0"/>
          <w:pgBorders>
            <w:top w:val="none" w:sz="0" w:space="0"/>
            <w:left w:val="none" w:sz="0" w:space="0"/>
            <w:bottom w:val="none" w:sz="0" w:space="0"/>
            <w:right w:val="none" w:sz="0" w:space="0"/>
          </w:pgBorders>
          <w:pgNumType w:fmt="decimal" w:start="1"/>
          <w:cols w:space="720" w:num="1"/>
          <w:docGrid w:linePitch="312" w:charSpace="0"/>
        </w:sectPr>
      </w:pPr>
    </w:p>
    <w:p w14:paraId="4E186563">
      <w:pPr>
        <w:keepNext w:val="0"/>
        <w:keepLines w:val="0"/>
        <w:widowControl/>
        <w:suppressLineNumbers w:val="0"/>
        <w:spacing w:line="360" w:lineRule="auto"/>
        <w:jc w:val="left"/>
        <w:outlineLvl w:val="0"/>
        <w:rPr>
          <w:color w:val="auto"/>
        </w:rPr>
      </w:pPr>
      <w:bookmarkStart w:id="429" w:name="_Toc25839"/>
      <w:bookmarkStart w:id="430" w:name="_Toc16941"/>
      <w:r>
        <w:rPr>
          <w:rFonts w:hint="eastAsia" w:ascii="宋体" w:hAnsi="宋体" w:eastAsia="宋体" w:cs="宋体"/>
          <w:b/>
          <w:bCs/>
          <w:color w:val="auto"/>
          <w:kern w:val="0"/>
          <w:sz w:val="30"/>
          <w:szCs w:val="30"/>
          <w:lang w:val="en-US" w:eastAsia="zh-CN" w:bidi="ar"/>
        </w:rPr>
        <w:t>1 总则</w:t>
      </w:r>
      <w:bookmarkEnd w:id="426"/>
      <w:bookmarkEnd w:id="427"/>
      <w:bookmarkEnd w:id="428"/>
      <w:bookmarkEnd w:id="429"/>
      <w:bookmarkEnd w:id="430"/>
      <w:r>
        <w:rPr>
          <w:rFonts w:hint="eastAsia" w:ascii="宋体" w:hAnsi="宋体" w:eastAsia="宋体" w:cs="宋体"/>
          <w:b/>
          <w:bCs/>
          <w:color w:val="auto"/>
          <w:kern w:val="0"/>
          <w:sz w:val="30"/>
          <w:szCs w:val="30"/>
          <w:lang w:val="en-US" w:eastAsia="zh-CN" w:bidi="ar"/>
        </w:rPr>
        <w:t xml:space="preserve"> </w:t>
      </w:r>
    </w:p>
    <w:p w14:paraId="46223EEE">
      <w:pPr>
        <w:keepNext w:val="0"/>
        <w:keepLines w:val="0"/>
        <w:widowControl/>
        <w:suppressLineNumbers w:val="0"/>
        <w:spacing w:line="360" w:lineRule="auto"/>
        <w:jc w:val="left"/>
        <w:outlineLvl w:val="1"/>
        <w:rPr>
          <w:color w:val="auto"/>
        </w:rPr>
      </w:pPr>
      <w:bookmarkStart w:id="431" w:name="_Toc22547"/>
      <w:bookmarkStart w:id="432" w:name="_Toc21261"/>
      <w:bookmarkStart w:id="433" w:name="_Toc2943"/>
      <w:bookmarkStart w:id="434" w:name="_Toc17668"/>
      <w:bookmarkStart w:id="435" w:name="_Toc26496"/>
      <w:r>
        <w:rPr>
          <w:rFonts w:hint="default" w:ascii="Times New Roman" w:hAnsi="Times New Roman" w:eastAsia="宋体" w:cs="Times New Roman"/>
          <w:b/>
          <w:bCs/>
          <w:color w:val="auto"/>
          <w:kern w:val="0"/>
          <w:sz w:val="28"/>
          <w:szCs w:val="28"/>
          <w:lang w:val="en-US" w:eastAsia="zh-CN" w:bidi="ar"/>
        </w:rPr>
        <w:t xml:space="preserve">1.1 </w:t>
      </w:r>
      <w:r>
        <w:rPr>
          <w:rFonts w:hint="eastAsia" w:ascii="宋体" w:hAnsi="宋体" w:eastAsia="宋体" w:cs="宋体"/>
          <w:b/>
          <w:bCs/>
          <w:color w:val="auto"/>
          <w:kern w:val="0"/>
          <w:sz w:val="28"/>
          <w:szCs w:val="28"/>
          <w:lang w:val="en-US" w:eastAsia="zh-CN" w:bidi="ar"/>
        </w:rPr>
        <w:t>项目概况</w:t>
      </w:r>
      <w:bookmarkEnd w:id="431"/>
      <w:bookmarkEnd w:id="432"/>
      <w:bookmarkEnd w:id="433"/>
      <w:bookmarkEnd w:id="434"/>
      <w:bookmarkEnd w:id="435"/>
      <w:r>
        <w:rPr>
          <w:rFonts w:hint="eastAsia" w:ascii="宋体" w:hAnsi="宋体" w:eastAsia="宋体" w:cs="宋体"/>
          <w:b/>
          <w:bCs/>
          <w:color w:val="auto"/>
          <w:kern w:val="0"/>
          <w:sz w:val="28"/>
          <w:szCs w:val="28"/>
          <w:lang w:val="en-US" w:eastAsia="zh-CN" w:bidi="ar"/>
        </w:rPr>
        <w:t xml:space="preserve"> </w:t>
      </w:r>
    </w:p>
    <w:p w14:paraId="51678A51">
      <w:pPr>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朝阳红山化工有限责任公司</w:t>
      </w:r>
      <w:r>
        <w:rPr>
          <w:rFonts w:hint="eastAsia" w:ascii="Times New Roman" w:hAnsi="Times New Roman" w:cs="Times New Roman"/>
          <w:color w:val="auto"/>
          <w:sz w:val="24"/>
          <w:szCs w:val="24"/>
          <w:highlight w:val="none"/>
          <w:lang w:val="en-US" w:eastAsia="zh-CN"/>
        </w:rPr>
        <w:t>成立于2021年12月，是</w:t>
      </w:r>
      <w:r>
        <w:rPr>
          <w:rFonts w:hint="default" w:ascii="Times New Roman" w:hAnsi="Times New Roman" w:cs="Times New Roman"/>
          <w:color w:val="auto"/>
          <w:sz w:val="24"/>
          <w:szCs w:val="24"/>
          <w:highlight w:val="none"/>
          <w:lang w:val="en-US" w:eastAsia="zh-CN"/>
        </w:rPr>
        <w:t>由辽宁红山化工股份有限公司将民爆资产、业务剥离出来设立的全资子公司</w:t>
      </w:r>
      <w:r>
        <w:rPr>
          <w:rFonts w:hint="eastAsia" w:ascii="Times New Roman" w:hAnsi="Times New Roman" w:cs="Times New Roman"/>
          <w:color w:val="auto"/>
          <w:sz w:val="24"/>
          <w:szCs w:val="24"/>
          <w:highlight w:val="none"/>
          <w:lang w:val="en-US" w:eastAsia="zh-CN"/>
        </w:rPr>
        <w:t>，其位于辽宁省朝阳市喀左县大城子镇小城子村，</w:t>
      </w:r>
      <w:r>
        <w:rPr>
          <w:rFonts w:hint="default" w:ascii="Times New Roman" w:hAnsi="Times New Roman" w:cs="Times New Roman"/>
          <w:color w:val="auto"/>
          <w:sz w:val="24"/>
          <w:szCs w:val="24"/>
          <w:highlight w:val="none"/>
          <w:lang w:val="en-US" w:eastAsia="zh-CN"/>
        </w:rPr>
        <w:t>经营范围包括民用爆炸物品生产和道路危险货物运输</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朝阳红山化工有限责任公司</w:t>
      </w:r>
      <w:r>
        <w:rPr>
          <w:rFonts w:hint="eastAsia" w:cs="Times New Roman"/>
          <w:color w:val="auto"/>
          <w:sz w:val="24"/>
          <w:szCs w:val="24"/>
          <w:highlight w:val="none"/>
          <w:lang w:val="en-US" w:eastAsia="zh-CN"/>
        </w:rPr>
        <w:t>拟</w:t>
      </w:r>
      <w:r>
        <w:rPr>
          <w:rFonts w:hint="eastAsia" w:ascii="Times New Roman" w:hAnsi="Times New Roman" w:cs="Times New Roman"/>
          <w:color w:val="auto"/>
          <w:sz w:val="24"/>
          <w:szCs w:val="24"/>
          <w:highlight w:val="none"/>
          <w:lang w:val="en-US" w:eastAsia="zh-CN"/>
        </w:rPr>
        <w:t>在公司现有厂区正西方向新征土地</w:t>
      </w:r>
      <w:r>
        <w:rPr>
          <w:rFonts w:hint="eastAsia"/>
          <w:color w:val="auto"/>
          <w:sz w:val="24"/>
          <w:szCs w:val="24"/>
          <w:lang w:val="en-US" w:eastAsia="zh-CN"/>
        </w:rPr>
        <w:t>36196m</w:t>
      </w:r>
      <w:r>
        <w:rPr>
          <w:rFonts w:hint="eastAsia"/>
          <w:color w:val="auto"/>
          <w:sz w:val="24"/>
          <w:szCs w:val="24"/>
          <w:vertAlign w:val="superscript"/>
          <w:lang w:val="en-US" w:eastAsia="zh-CN"/>
        </w:rPr>
        <w:t>2</w:t>
      </w:r>
      <w:r>
        <w:rPr>
          <w:rFonts w:hint="eastAsia" w:ascii="Times New Roman" w:hAnsi="Times New Roman" w:cs="Times New Roman"/>
          <w:color w:val="auto"/>
          <w:sz w:val="24"/>
          <w:szCs w:val="24"/>
          <w:highlight w:val="none"/>
          <w:lang w:val="en-US" w:eastAsia="zh-CN"/>
        </w:rPr>
        <w:t>，在新征土地上新建</w:t>
      </w:r>
      <w:r>
        <w:rPr>
          <w:rFonts w:hint="default"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val="en-US" w:eastAsia="zh-CN"/>
        </w:rPr>
        <w:t>条年产</w:t>
      </w:r>
      <w:r>
        <w:rPr>
          <w:rFonts w:hint="default" w:ascii="Times New Roman" w:hAnsi="Times New Roman" w:cs="Times New Roman"/>
          <w:color w:val="auto"/>
          <w:sz w:val="24"/>
          <w:szCs w:val="24"/>
          <w:highlight w:val="none"/>
          <w:lang w:val="en-US" w:eastAsia="zh-CN"/>
        </w:rPr>
        <w:t>7000t</w:t>
      </w:r>
      <w:r>
        <w:rPr>
          <w:rFonts w:hint="eastAsia" w:ascii="Times New Roman" w:hAnsi="Times New Roman" w:cs="Times New Roman"/>
          <w:color w:val="auto"/>
          <w:sz w:val="24"/>
          <w:szCs w:val="24"/>
          <w:highlight w:val="none"/>
          <w:lang w:val="en-US" w:eastAsia="zh-CN"/>
        </w:rPr>
        <w:t>乳化炸药震源药柱生产线。</w:t>
      </w:r>
    </w:p>
    <w:p w14:paraId="1ED31B23">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本项目新增</w:t>
      </w:r>
      <w:r>
        <w:rPr>
          <w:rFonts w:hint="default" w:ascii="Times New Roman" w:hAnsi="Times New Roman" w:cs="Times New Roman"/>
          <w:color w:val="auto"/>
          <w:sz w:val="24"/>
          <w:szCs w:val="24"/>
          <w:highlight w:val="none"/>
          <w:lang w:val="en-US" w:eastAsia="zh-CN"/>
        </w:rPr>
        <w:t>硝酸铵</w:t>
      </w:r>
      <w:r>
        <w:rPr>
          <w:rFonts w:hint="eastAsia" w:ascii="Times New Roman" w:hAnsi="Times New Roman" w:cs="Times New Roman"/>
          <w:color w:val="auto"/>
          <w:sz w:val="24"/>
          <w:szCs w:val="24"/>
          <w:highlight w:val="none"/>
          <w:lang w:val="en-US" w:eastAsia="zh-CN"/>
        </w:rPr>
        <w:t>溶液</w:t>
      </w:r>
      <w:r>
        <w:rPr>
          <w:rFonts w:hint="default" w:ascii="Times New Roman" w:hAnsi="Times New Roman" w:cs="Times New Roman"/>
          <w:color w:val="auto"/>
          <w:sz w:val="24"/>
          <w:szCs w:val="24"/>
          <w:highlight w:val="none"/>
          <w:lang w:val="en-US" w:eastAsia="zh-CN"/>
        </w:rPr>
        <w:t>、复合油相、炸药、废机油</w:t>
      </w:r>
      <w:r>
        <w:rPr>
          <w:rFonts w:hint="eastAsia" w:cs="Times New Roman"/>
          <w:color w:val="auto"/>
          <w:sz w:val="24"/>
          <w:szCs w:val="24"/>
          <w:highlight w:val="none"/>
          <w:lang w:val="en-US" w:eastAsia="zh-CN"/>
        </w:rPr>
        <w:t>、</w:t>
      </w:r>
      <w:r>
        <w:rPr>
          <w:rFonts w:hint="default" w:ascii="Times New Roman" w:hAnsi="Times New Roman" w:eastAsia="宋体" w:cs="Times New Roman"/>
          <w:i w:val="0"/>
          <w:snapToGrid w:val="0"/>
          <w:color w:val="auto"/>
          <w:kern w:val="0"/>
          <w:sz w:val="24"/>
          <w:szCs w:val="24"/>
          <w:highlight w:val="none"/>
          <w:u w:val="none"/>
          <w:lang w:val="en-US" w:eastAsia="zh-CN" w:bidi="ar"/>
        </w:rPr>
        <w:t>油墨</w:t>
      </w:r>
      <w:r>
        <w:rPr>
          <w:rFonts w:hint="eastAsia" w:ascii="Times New Roman" w:hAnsi="Times New Roman" w:eastAsia="宋体" w:cs="Times New Roman"/>
          <w:i w:val="0"/>
          <w:snapToGrid w:val="0"/>
          <w:color w:val="auto"/>
          <w:kern w:val="0"/>
          <w:sz w:val="24"/>
          <w:szCs w:val="24"/>
          <w:highlight w:val="none"/>
          <w:u w:val="none"/>
          <w:lang w:val="en-US" w:eastAsia="zh-CN" w:bidi="ar"/>
        </w:rPr>
        <w:t>、</w:t>
      </w:r>
      <w:r>
        <w:rPr>
          <w:rFonts w:hint="default" w:ascii="Times New Roman" w:hAnsi="Times New Roman" w:eastAsia="宋体" w:cs="Times New Roman"/>
          <w:i w:val="0"/>
          <w:snapToGrid w:val="0"/>
          <w:color w:val="auto"/>
          <w:kern w:val="0"/>
          <w:sz w:val="24"/>
          <w:szCs w:val="24"/>
          <w:highlight w:val="none"/>
          <w:u w:val="none"/>
          <w:lang w:val="en-US" w:eastAsia="zh-CN" w:bidi="ar"/>
        </w:rPr>
        <w:t>油墨添加剂</w:t>
      </w:r>
      <w:r>
        <w:rPr>
          <w:rFonts w:hint="eastAsia" w:ascii="Times New Roman" w:hAnsi="Times New Roman" w:cs="Times New Roman"/>
          <w:color w:val="auto"/>
          <w:sz w:val="24"/>
          <w:szCs w:val="24"/>
          <w:highlight w:val="none"/>
          <w:lang w:val="en-US" w:eastAsia="zh-CN"/>
        </w:rPr>
        <w:t>等危险物质，硝酸铵溶液、炸药的存储量超过临界量，根据《建设项目环境影响报告表编制技术指南（污染影响类）（试行）》，本项目需编制环境风险专项评价</w:t>
      </w:r>
      <w:r>
        <w:rPr>
          <w:rFonts w:hint="default" w:ascii="Times New Roman" w:hAnsi="Times New Roman" w:cs="Times New Roman"/>
          <w:color w:val="auto"/>
          <w:sz w:val="24"/>
          <w:szCs w:val="24"/>
          <w:highlight w:val="none"/>
          <w:lang w:val="en-US" w:eastAsia="zh-CN"/>
        </w:rPr>
        <w:t>。</w:t>
      </w:r>
    </w:p>
    <w:p w14:paraId="0F0CF920">
      <w:pPr>
        <w:keepNext w:val="0"/>
        <w:keepLines w:val="0"/>
        <w:widowControl/>
        <w:suppressLineNumbers w:val="0"/>
        <w:spacing w:line="360" w:lineRule="auto"/>
        <w:jc w:val="left"/>
        <w:outlineLvl w:val="1"/>
        <w:rPr>
          <w:color w:val="auto"/>
        </w:rPr>
      </w:pPr>
      <w:bookmarkStart w:id="436" w:name="_Toc10152"/>
      <w:bookmarkStart w:id="437" w:name="_Toc20525"/>
      <w:bookmarkStart w:id="438" w:name="_Toc20953"/>
      <w:bookmarkStart w:id="439" w:name="_Toc29137"/>
      <w:bookmarkStart w:id="440" w:name="_Toc9067"/>
      <w:r>
        <w:rPr>
          <w:rFonts w:hint="default" w:ascii="Times New Roman" w:hAnsi="Times New Roman" w:eastAsia="宋体" w:cs="Times New Roman"/>
          <w:b/>
          <w:bCs/>
          <w:color w:val="auto"/>
          <w:kern w:val="0"/>
          <w:sz w:val="28"/>
          <w:szCs w:val="28"/>
          <w:lang w:val="en-US" w:eastAsia="zh-CN" w:bidi="ar"/>
        </w:rPr>
        <w:t xml:space="preserve">1.2 </w:t>
      </w:r>
      <w:r>
        <w:rPr>
          <w:rFonts w:hint="eastAsia" w:ascii="宋体" w:hAnsi="宋体" w:eastAsia="宋体" w:cs="宋体"/>
          <w:b/>
          <w:bCs/>
          <w:color w:val="auto"/>
          <w:kern w:val="0"/>
          <w:sz w:val="28"/>
          <w:szCs w:val="28"/>
          <w:lang w:val="en-US" w:eastAsia="zh-CN" w:bidi="ar"/>
        </w:rPr>
        <w:t>评价</w:t>
      </w:r>
      <w:r>
        <w:rPr>
          <w:rFonts w:hint="eastAsia" w:ascii="宋体" w:hAnsi="宋体" w:cs="宋体"/>
          <w:b/>
          <w:bCs/>
          <w:color w:val="auto"/>
          <w:kern w:val="0"/>
          <w:sz w:val="28"/>
          <w:szCs w:val="28"/>
          <w:lang w:val="en-US" w:eastAsia="zh-CN" w:bidi="ar"/>
        </w:rPr>
        <w:t>原则</w:t>
      </w:r>
      <w:bookmarkEnd w:id="436"/>
      <w:bookmarkEnd w:id="437"/>
      <w:bookmarkEnd w:id="438"/>
      <w:bookmarkEnd w:id="439"/>
      <w:bookmarkEnd w:id="440"/>
    </w:p>
    <w:p w14:paraId="205768AE">
      <w:pPr>
        <w:spacing w:line="360" w:lineRule="auto"/>
        <w:ind w:firstLine="480" w:firstLineChars="200"/>
        <w:rPr>
          <w:rFonts w:hint="eastAsia" w:ascii="宋体" w:hAnsi="宋体" w:eastAsia="宋体" w:cs="宋体"/>
          <w:color w:val="auto"/>
          <w:kern w:val="0"/>
          <w:sz w:val="24"/>
          <w:szCs w:val="24"/>
          <w:highlight w:val="yellow"/>
          <w:lang w:val="en-US" w:eastAsia="zh-CN" w:bidi="ar"/>
        </w:rPr>
      </w:pPr>
      <w:r>
        <w:rPr>
          <w:rFonts w:hint="default" w:ascii="Times New Roman" w:hAnsi="Times New Roman" w:cs="Times New Roman"/>
          <w:color w:val="auto"/>
          <w:sz w:val="24"/>
          <w:szCs w:val="24"/>
          <w:highlight w:val="none"/>
          <w:lang w:val="en-US" w:eastAsia="zh-CN"/>
        </w:rPr>
        <w:t>按照《建设项目环境风险评价技术导则》（HJ 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14:paraId="17FB4191">
      <w:pPr>
        <w:keepNext w:val="0"/>
        <w:keepLines w:val="0"/>
        <w:widowControl/>
        <w:suppressLineNumbers w:val="0"/>
        <w:spacing w:line="360" w:lineRule="auto"/>
        <w:jc w:val="left"/>
        <w:outlineLvl w:val="1"/>
        <w:rPr>
          <w:color w:val="auto"/>
        </w:rPr>
      </w:pPr>
      <w:bookmarkStart w:id="441" w:name="_Toc9560"/>
      <w:bookmarkStart w:id="442" w:name="_Toc20643"/>
      <w:bookmarkStart w:id="443" w:name="_Toc21357"/>
      <w:bookmarkStart w:id="444" w:name="_Toc9571"/>
      <w:bookmarkStart w:id="445" w:name="_Toc9595"/>
      <w:r>
        <w:rPr>
          <w:rFonts w:hint="default" w:ascii="Times New Roman" w:hAnsi="Times New Roman" w:eastAsia="宋体" w:cs="Times New Roman"/>
          <w:b/>
          <w:bCs/>
          <w:color w:val="auto"/>
          <w:kern w:val="0"/>
          <w:sz w:val="28"/>
          <w:szCs w:val="28"/>
          <w:lang w:val="en-US" w:eastAsia="zh-CN" w:bidi="ar"/>
        </w:rPr>
        <w:t xml:space="preserve">1.3 </w:t>
      </w:r>
      <w:r>
        <w:rPr>
          <w:rFonts w:hint="eastAsia" w:ascii="宋体" w:hAnsi="宋体" w:eastAsia="宋体" w:cs="宋体"/>
          <w:b/>
          <w:bCs/>
          <w:color w:val="auto"/>
          <w:kern w:val="0"/>
          <w:sz w:val="28"/>
          <w:szCs w:val="28"/>
          <w:lang w:val="en-US" w:eastAsia="zh-CN" w:bidi="ar"/>
        </w:rPr>
        <w:t>评价工作程序</w:t>
      </w:r>
      <w:bookmarkEnd w:id="441"/>
      <w:bookmarkEnd w:id="442"/>
      <w:bookmarkEnd w:id="443"/>
      <w:bookmarkEnd w:id="444"/>
      <w:bookmarkEnd w:id="445"/>
      <w:r>
        <w:rPr>
          <w:rFonts w:hint="eastAsia" w:ascii="宋体" w:hAnsi="宋体" w:eastAsia="宋体" w:cs="宋体"/>
          <w:b/>
          <w:bCs/>
          <w:color w:val="auto"/>
          <w:kern w:val="0"/>
          <w:sz w:val="28"/>
          <w:szCs w:val="28"/>
          <w:lang w:val="en-US" w:eastAsia="zh-CN" w:bidi="ar"/>
        </w:rPr>
        <w:t xml:space="preserve"> </w:t>
      </w:r>
    </w:p>
    <w:p w14:paraId="2E1BF017">
      <w:pPr>
        <w:keepNext w:val="0"/>
        <w:keepLines w:val="0"/>
        <w:widowControl/>
        <w:suppressLineNumbers w:val="0"/>
        <w:spacing w:line="360" w:lineRule="auto"/>
        <w:ind w:firstLine="480" w:firstLineChars="20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 xml:space="preserve">根据《建设项目环境风险评价技术导则》（HJ 169-2018）的要求，环境风险评价的工作程序见图 </w:t>
      </w:r>
      <w:r>
        <w:rPr>
          <w:rFonts w:hint="default" w:ascii="宋体" w:hAnsi="宋体" w:eastAsia="宋体" w:cs="宋体"/>
          <w:color w:val="auto"/>
          <w:kern w:val="0"/>
          <w:sz w:val="24"/>
          <w:szCs w:val="24"/>
          <w:lang w:val="en-US" w:eastAsia="zh-CN" w:bidi="ar"/>
        </w:rPr>
        <w:t>1-1</w:t>
      </w:r>
      <w:r>
        <w:rPr>
          <w:rFonts w:hint="eastAsia" w:ascii="宋体" w:hAnsi="宋体" w:eastAsia="宋体" w:cs="宋体"/>
          <w:color w:val="auto"/>
          <w:kern w:val="0"/>
          <w:sz w:val="24"/>
          <w:szCs w:val="24"/>
          <w:lang w:val="en-US" w:eastAsia="zh-CN" w:bidi="ar"/>
        </w:rPr>
        <w:t>。通过对项目的危险性和项目所在地的环境敏感性识别对建设项目风险潜势进行初判，由此确定风险评价工作的技术内容和深度，细化从风险识别、源项分析、源强设定到事故情形预测分析的工作程序，明确了事故情景设定原则、方法，在此基础上提出风险管理对策措施，给出总体结论和建议。</w:t>
      </w:r>
    </w:p>
    <w:p w14:paraId="319779C4">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rFonts w:eastAsia="Times New Roman"/>
          <w:snapToGrid/>
          <w:color w:val="auto"/>
          <w:kern w:val="2"/>
          <w:szCs w:val="24"/>
        </w:rPr>
      </w:pPr>
      <w:r>
        <w:rPr>
          <w:rFonts w:eastAsia="Times New Roman"/>
          <w:snapToGrid/>
          <w:color w:val="auto"/>
          <w:kern w:val="2"/>
          <w:szCs w:val="24"/>
        </w:rPr>
        <w:drawing>
          <wp:inline distT="0" distB="0" distL="114300" distR="114300">
            <wp:extent cx="5212715" cy="5400040"/>
            <wp:effectExtent l="0" t="0" r="6985" b="10160"/>
            <wp:docPr id="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
                    <pic:cNvPicPr>
                      <a:picLocks noChangeAspect="1"/>
                    </pic:cNvPicPr>
                  </pic:nvPicPr>
                  <pic:blipFill>
                    <a:blip r:embed="rId232"/>
                    <a:stretch>
                      <a:fillRect/>
                    </a:stretch>
                  </pic:blipFill>
                  <pic:spPr>
                    <a:xfrm>
                      <a:off x="0" y="0"/>
                      <a:ext cx="5212715" cy="5400040"/>
                    </a:xfrm>
                    <a:prstGeom prst="rect">
                      <a:avLst/>
                    </a:prstGeom>
                    <a:noFill/>
                    <a:ln>
                      <a:noFill/>
                    </a:ln>
                  </pic:spPr>
                </pic:pic>
              </a:graphicData>
            </a:graphic>
          </wp:inline>
        </w:drawing>
      </w:r>
    </w:p>
    <w:p w14:paraId="4A200CAD">
      <w:pPr>
        <w:adjustRightInd/>
        <w:snapToGrid/>
        <w:spacing w:line="360" w:lineRule="auto"/>
        <w:ind w:firstLine="0"/>
        <w:jc w:val="center"/>
        <w:textAlignment w:val="auto"/>
        <w:rPr>
          <w:rFonts w:hint="default" w:ascii="Times New Roman" w:hAnsi="Times New Roman" w:cs="Times New Roman"/>
          <w:b/>
          <w:snapToGrid/>
          <w:color w:val="auto"/>
          <w:kern w:val="2"/>
          <w:sz w:val="24"/>
          <w:szCs w:val="24"/>
        </w:rPr>
      </w:pPr>
      <w:r>
        <w:rPr>
          <w:rFonts w:hint="default" w:ascii="Times New Roman" w:hAnsi="Times New Roman" w:cs="Times New Roman"/>
          <w:b/>
          <w:snapToGrid/>
          <w:color w:val="auto"/>
          <w:kern w:val="2"/>
          <w:sz w:val="24"/>
          <w:szCs w:val="24"/>
        </w:rPr>
        <w:t>图</w:t>
      </w:r>
      <w:r>
        <w:rPr>
          <w:rFonts w:hint="eastAsia" w:cs="Times New Roman"/>
          <w:b/>
          <w:snapToGrid/>
          <w:color w:val="auto"/>
          <w:kern w:val="2"/>
          <w:sz w:val="24"/>
          <w:szCs w:val="24"/>
          <w:lang w:val="en-US" w:eastAsia="zh-CN"/>
        </w:rPr>
        <w:t>1</w:t>
      </w:r>
      <w:r>
        <w:rPr>
          <w:rFonts w:hint="default" w:ascii="Times New Roman" w:hAnsi="Times New Roman" w:cs="Times New Roman"/>
          <w:b/>
          <w:snapToGrid/>
          <w:color w:val="auto"/>
          <w:kern w:val="2"/>
          <w:sz w:val="24"/>
          <w:szCs w:val="24"/>
        </w:rPr>
        <w:t>-1 评价工作程序</w:t>
      </w:r>
    </w:p>
    <w:p w14:paraId="05B28C82">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446" w:name="_Toc5680"/>
      <w:bookmarkStart w:id="447" w:name="_Toc4644"/>
      <w:r>
        <w:rPr>
          <w:rFonts w:hint="eastAsia" w:cs="Times New Roman"/>
          <w:b/>
          <w:bCs/>
          <w:color w:val="auto"/>
          <w:kern w:val="0"/>
          <w:sz w:val="28"/>
          <w:szCs w:val="28"/>
          <w:lang w:val="en-US" w:eastAsia="zh-CN" w:bidi="ar"/>
        </w:rPr>
        <w:t>1.4</w:t>
      </w:r>
      <w:r>
        <w:rPr>
          <w:rFonts w:hint="default" w:ascii="Times New Roman" w:hAnsi="Times New Roman" w:eastAsia="宋体" w:cs="Times New Roman"/>
          <w:b/>
          <w:bCs/>
          <w:color w:val="auto"/>
          <w:kern w:val="0"/>
          <w:sz w:val="28"/>
          <w:szCs w:val="28"/>
          <w:lang w:val="en-US" w:eastAsia="zh-CN" w:bidi="ar"/>
        </w:rPr>
        <w:t>编制依据</w:t>
      </w:r>
      <w:bookmarkEnd w:id="446"/>
      <w:bookmarkEnd w:id="447"/>
    </w:p>
    <w:p w14:paraId="7EA890FF">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bookmarkStart w:id="448" w:name="OLE_LINK71"/>
      <w:r>
        <w:rPr>
          <w:rFonts w:hint="default" w:ascii="Times New Roman" w:hAnsi="Times New Roman" w:cs="Times New Roman" w:eastAsiaTheme="minorEastAsia"/>
          <w:color w:val="auto"/>
          <w:sz w:val="24"/>
          <w:szCs w:val="24"/>
          <w:lang w:val="en-US" w:eastAsia="zh-CN"/>
        </w:rPr>
        <w:t>中华人民共和国环境保护法</w:t>
      </w:r>
      <w:bookmarkEnd w:id="448"/>
      <w:r>
        <w:rPr>
          <w:rFonts w:hint="default" w:ascii="Times New Roman" w:hAnsi="Times New Roman" w:cs="Times New Roman" w:eastAsiaTheme="minorEastAsia"/>
          <w:color w:val="auto"/>
          <w:sz w:val="24"/>
          <w:szCs w:val="24"/>
          <w:lang w:val="en-US" w:eastAsia="zh-CN"/>
        </w:rPr>
        <w:t xml:space="preserve">》  </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自2015年1月1日起施行</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p>
    <w:p w14:paraId="7788C05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《中华人民共和国环境影响评价法》 (2018年12月29日修订通过</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p>
    <w:p w14:paraId="72E1632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《中华人民共和国水污染防治法》(2017年6月27日修订通过，2018年1月1日起施行</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p>
    <w:p w14:paraId="40351458">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jc w:val="both"/>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《中华人民共和国大气污染防治法》 (2018年10月26日修订通过</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p>
    <w:p w14:paraId="1898C7C2">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《中华人民共和国固体废物污染环境防治法》  (2020年4月29日修订通过，2020年9月1日起施行</w:t>
      </w:r>
      <w:r>
        <w:rPr>
          <w:rFonts w:hint="eastAsia"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p>
    <w:p w14:paraId="66F500D6">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《关于切实加强风险防范严格环境影响评价管理的通知》</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环发〔2012〕</w:t>
      </w:r>
      <w:bookmarkStart w:id="449" w:name="_Toc22541"/>
      <w:r>
        <w:rPr>
          <w:rFonts w:hint="default" w:ascii="Times New Roman" w:hAnsi="Times New Roman" w:cs="Times New Roman" w:eastAsiaTheme="minorEastAsia"/>
          <w:color w:val="auto"/>
          <w:sz w:val="24"/>
          <w:szCs w:val="24"/>
          <w:lang w:val="en-US" w:eastAsia="zh-CN"/>
        </w:rPr>
        <w:t>98号</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bookmarkEnd w:id="449"/>
    </w:p>
    <w:p w14:paraId="03CC9ABE">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 xml:space="preserve">《关于进一步加强环境影响评价管理防范环境风险的通知》 </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环发〔2012〕77号</w:t>
      </w:r>
      <w:r>
        <w:rPr>
          <w:rFonts w:hint="eastAsia" w:ascii="Times New Roman" w:hAnsi="Times New Roman" w:cs="Times New Roman"/>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p>
    <w:p w14:paraId="45A2DA1E">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《危险化学品安全管理条例（修订）》（2013.12.7修订）；</w:t>
      </w:r>
    </w:p>
    <w:p w14:paraId="62010B36">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eastAsia="宋体" w:cs="Times New Roman"/>
          <w:i w:val="0"/>
          <w:iCs w:val="0"/>
          <w:color w:val="auto"/>
          <w:sz w:val="24"/>
          <w:szCs w:val="24"/>
        </w:rPr>
      </w:pPr>
      <w:r>
        <w:rPr>
          <w:rFonts w:hint="default" w:ascii="Times New Roman" w:hAnsi="Times New Roman" w:cs="Times New Roman" w:eastAsiaTheme="minorEastAsia"/>
          <w:color w:val="auto"/>
          <w:sz w:val="24"/>
          <w:szCs w:val="24"/>
          <w:lang w:val="en-US" w:eastAsia="zh-CN"/>
        </w:rPr>
        <w:t>《民用爆炸物</w:t>
      </w:r>
      <w:r>
        <w:rPr>
          <w:rFonts w:hint="eastAsia" w:ascii="Times New Roman" w:hAnsi="Times New Roman" w:cs="Times New Roman" w:eastAsiaTheme="minorEastAsia"/>
          <w:color w:val="auto"/>
          <w:sz w:val="24"/>
          <w:szCs w:val="24"/>
          <w:lang w:val="en-US" w:eastAsia="zh-CN"/>
        </w:rPr>
        <w:t>品</w:t>
      </w:r>
      <w:r>
        <w:rPr>
          <w:rFonts w:hint="default" w:ascii="Times New Roman" w:hAnsi="Times New Roman" w:cs="Times New Roman" w:eastAsiaTheme="minorEastAsia"/>
          <w:color w:val="auto"/>
          <w:sz w:val="24"/>
          <w:szCs w:val="24"/>
          <w:lang w:val="en-US" w:eastAsia="zh-CN"/>
        </w:rPr>
        <w:t xml:space="preserve">安全管理条例》 </w:t>
      </w:r>
      <w:r>
        <w:rPr>
          <w:rFonts w:hint="eastAsia"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国务院令第466号</w:t>
      </w:r>
      <w:r>
        <w:rPr>
          <w:rFonts w:hint="eastAsia"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w:t>
      </w:r>
    </w:p>
    <w:p w14:paraId="49BDBF3C">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《建设项目环境影响评价技术导则 总纲》  (HJ2. 1-2016)；</w:t>
      </w:r>
    </w:p>
    <w:p w14:paraId="61FD806F">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《环境影响评价技术导则 大气环境》  (HJ2.2-2018)；</w:t>
      </w:r>
    </w:p>
    <w:p w14:paraId="1EC03178">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《环境影响评价技术导则 地下水环境》  (HJ610-2016)；</w:t>
      </w:r>
    </w:p>
    <w:p w14:paraId="5E46D43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《环境影响评价技术导则 地表水环境》  (HJ2.3-2018)；</w:t>
      </w:r>
    </w:p>
    <w:p w14:paraId="0030B8E4">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5" w:leftChars="0" w:hanging="425" w:firstLineChars="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《建设项目环境风险评价技术导则》  (HJ169-2018)</w:t>
      </w:r>
      <w:r>
        <w:rPr>
          <w:rFonts w:hint="eastAsia" w:cs="Times New Roman" w:eastAsiaTheme="minorEastAsia"/>
          <w:color w:val="auto"/>
          <w:sz w:val="24"/>
          <w:szCs w:val="24"/>
          <w:lang w:val="en-US" w:eastAsia="zh-CN"/>
        </w:rPr>
        <w:t>。</w:t>
      </w:r>
    </w:p>
    <w:p w14:paraId="220B7B3C">
      <w:pPr>
        <w:keepNext w:val="0"/>
        <w:keepLines w:val="0"/>
        <w:widowControl/>
        <w:suppressLineNumbers w:val="0"/>
        <w:spacing w:line="360" w:lineRule="auto"/>
        <w:jc w:val="left"/>
        <w:outlineLvl w:val="0"/>
        <w:rPr>
          <w:rFonts w:hint="eastAsia" w:ascii="宋体" w:hAnsi="宋体" w:eastAsia="宋体" w:cs="宋体"/>
          <w:b/>
          <w:bCs/>
          <w:color w:val="auto"/>
          <w:kern w:val="0"/>
          <w:sz w:val="30"/>
          <w:szCs w:val="30"/>
          <w:lang w:val="en-US" w:eastAsia="zh-CN" w:bidi="ar"/>
        </w:rPr>
      </w:pPr>
      <w:bookmarkStart w:id="450" w:name="_Toc13801"/>
      <w:bookmarkStart w:id="451" w:name="_Toc21843"/>
      <w:bookmarkStart w:id="452" w:name="_Toc31998"/>
      <w:bookmarkStart w:id="453" w:name="_Toc13334"/>
      <w:bookmarkStart w:id="454" w:name="_Toc30767"/>
      <w:r>
        <w:rPr>
          <w:rFonts w:hint="eastAsia" w:ascii="宋体" w:hAnsi="宋体" w:eastAsia="宋体" w:cs="宋体"/>
          <w:b/>
          <w:bCs/>
          <w:color w:val="auto"/>
          <w:kern w:val="0"/>
          <w:sz w:val="30"/>
          <w:szCs w:val="30"/>
          <w:lang w:val="en-US" w:eastAsia="zh-CN" w:bidi="ar"/>
        </w:rPr>
        <w:t>2风险源调查</w:t>
      </w:r>
      <w:bookmarkEnd w:id="450"/>
      <w:bookmarkEnd w:id="451"/>
      <w:bookmarkEnd w:id="452"/>
      <w:bookmarkEnd w:id="453"/>
      <w:bookmarkEnd w:id="454"/>
    </w:p>
    <w:p w14:paraId="0B4B90EA">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455" w:name="_Toc1040"/>
      <w:bookmarkStart w:id="456" w:name="_Toc2431"/>
      <w:bookmarkStart w:id="457" w:name="_Toc8797"/>
      <w:bookmarkStart w:id="458" w:name="_Toc30245"/>
      <w:bookmarkStart w:id="459" w:name="_Toc2846"/>
      <w:r>
        <w:rPr>
          <w:rFonts w:hint="default" w:ascii="Times New Roman" w:hAnsi="Times New Roman" w:eastAsia="宋体" w:cs="Times New Roman"/>
          <w:b/>
          <w:bCs/>
          <w:color w:val="auto"/>
          <w:kern w:val="0"/>
          <w:sz w:val="28"/>
          <w:szCs w:val="28"/>
          <w:lang w:val="en-US" w:eastAsia="zh-CN" w:bidi="ar"/>
        </w:rPr>
        <w:t xml:space="preserve">2.1 </w:t>
      </w:r>
      <w:r>
        <w:rPr>
          <w:rFonts w:hint="eastAsia" w:ascii="Times New Roman" w:hAnsi="Times New Roman" w:eastAsia="宋体" w:cs="Times New Roman"/>
          <w:b/>
          <w:bCs/>
          <w:color w:val="auto"/>
          <w:kern w:val="0"/>
          <w:sz w:val="28"/>
          <w:szCs w:val="28"/>
          <w:lang w:val="en-US" w:eastAsia="zh-CN" w:bidi="ar"/>
        </w:rPr>
        <w:t>建设项目风险源调查</w:t>
      </w:r>
      <w:bookmarkEnd w:id="455"/>
      <w:bookmarkEnd w:id="456"/>
      <w:bookmarkEnd w:id="457"/>
      <w:bookmarkEnd w:id="458"/>
      <w:bookmarkEnd w:id="459"/>
      <w:r>
        <w:rPr>
          <w:rFonts w:hint="eastAsia" w:ascii="Times New Roman" w:hAnsi="Times New Roman" w:eastAsia="宋体" w:cs="Times New Roman"/>
          <w:b/>
          <w:bCs/>
          <w:color w:val="auto"/>
          <w:kern w:val="0"/>
          <w:sz w:val="28"/>
          <w:szCs w:val="28"/>
          <w:lang w:val="en-US" w:eastAsia="zh-CN" w:bidi="ar"/>
        </w:rPr>
        <w:t xml:space="preserve"> </w:t>
      </w:r>
    </w:p>
    <w:p w14:paraId="36F7AF18">
      <w:pPr>
        <w:autoSpaceDE w:val="0"/>
        <w:autoSpaceDN w:val="0"/>
        <w:adjustRightInd/>
        <w:snapToGrid/>
        <w:spacing w:line="360" w:lineRule="auto"/>
        <w:ind w:left="140" w:right="136" w:firstLine="482"/>
        <w:textAlignment w:val="auto"/>
        <w:rPr>
          <w:rFonts w:hint="eastAsia" w:ascii="Times New Roman" w:hAnsi="Times New Roman" w:cs="Times New Roman"/>
          <w:snapToGrid/>
          <w:color w:val="auto"/>
          <w:sz w:val="24"/>
          <w:szCs w:val="24"/>
          <w:highlight w:val="none"/>
          <w:lang w:eastAsia="zh-CN"/>
        </w:rPr>
      </w:pPr>
      <w:r>
        <w:rPr>
          <w:rFonts w:hint="eastAsia" w:ascii="宋体" w:hAnsi="宋体" w:eastAsia="宋体" w:cs="宋体"/>
          <w:color w:val="auto"/>
          <w:kern w:val="0"/>
          <w:sz w:val="24"/>
          <w:szCs w:val="24"/>
          <w:lang w:val="en-US" w:eastAsia="zh-CN" w:bidi="ar"/>
        </w:rPr>
        <w:t>根据《建设项目环境风险评价技术导则》（</w:t>
      </w:r>
      <w:r>
        <w:rPr>
          <w:rFonts w:hint="default" w:ascii="Times New Roman" w:hAnsi="Times New Roman" w:eastAsia="宋体" w:cs="Times New Roman"/>
          <w:color w:val="auto"/>
          <w:kern w:val="0"/>
          <w:sz w:val="24"/>
          <w:szCs w:val="24"/>
          <w:lang w:val="en-US" w:eastAsia="zh-CN" w:bidi="ar"/>
        </w:rPr>
        <w:t>HJ 169-2018</w:t>
      </w:r>
      <w:r>
        <w:rPr>
          <w:rFonts w:hint="eastAsia" w:ascii="宋体" w:hAnsi="宋体" w:eastAsia="宋体" w:cs="宋体"/>
          <w:color w:val="auto"/>
          <w:kern w:val="0"/>
          <w:sz w:val="24"/>
          <w:szCs w:val="24"/>
          <w:lang w:val="en-US" w:eastAsia="zh-CN" w:bidi="ar"/>
        </w:rPr>
        <w:t xml:space="preserve">）附录 </w:t>
      </w:r>
      <w:r>
        <w:rPr>
          <w:rFonts w:hint="default" w:ascii="Times New Roman" w:hAnsi="Times New Roman" w:eastAsia="宋体" w:cs="Times New Roman"/>
          <w:color w:val="auto"/>
          <w:kern w:val="0"/>
          <w:sz w:val="24"/>
          <w:szCs w:val="24"/>
          <w:lang w:val="en-US" w:eastAsia="zh-CN" w:bidi="ar"/>
        </w:rPr>
        <w:t>B</w:t>
      </w:r>
      <w:r>
        <w:rPr>
          <w:rFonts w:hint="eastAsia" w:ascii="宋体" w:hAnsi="宋体" w:eastAsia="宋体" w:cs="宋体"/>
          <w:color w:val="auto"/>
          <w:kern w:val="0"/>
          <w:sz w:val="24"/>
          <w:szCs w:val="24"/>
          <w:lang w:val="en-US" w:eastAsia="zh-CN" w:bidi="ar"/>
        </w:rPr>
        <w:t>，</w:t>
      </w:r>
      <w:r>
        <w:rPr>
          <w:rFonts w:hint="eastAsia" w:ascii="Times New Roman" w:hAnsi="Times New Roman" w:cs="Times New Roman"/>
          <w:snapToGrid/>
          <w:color w:val="auto"/>
          <w:sz w:val="24"/>
          <w:szCs w:val="24"/>
          <w:highlight w:val="none"/>
          <w:lang w:val="en-US" w:eastAsia="zh-CN"/>
        </w:rPr>
        <w:t>本项目实施后涉及的危险物质为</w:t>
      </w:r>
      <w:r>
        <w:rPr>
          <w:rFonts w:hint="default" w:ascii="Times New Roman" w:hAnsi="Times New Roman" w:eastAsia="宋体" w:cs="Times New Roman"/>
          <w:snapToGrid/>
          <w:color w:val="auto"/>
          <w:sz w:val="24"/>
          <w:szCs w:val="24"/>
          <w:highlight w:val="none"/>
        </w:rPr>
        <w:t>硝酸铵溶液、复合油相、炸药、废机油</w:t>
      </w:r>
      <w:r>
        <w:rPr>
          <w:rFonts w:hint="eastAsia" w:cs="Times New Roman"/>
          <w:snapToGrid/>
          <w:color w:val="auto"/>
          <w:sz w:val="24"/>
          <w:szCs w:val="24"/>
          <w:highlight w:val="none"/>
          <w:lang w:eastAsia="zh-CN"/>
        </w:rPr>
        <w:t>、</w:t>
      </w:r>
      <w:r>
        <w:rPr>
          <w:rFonts w:hint="eastAsia" w:cs="Times New Roman"/>
          <w:snapToGrid/>
          <w:color w:val="auto"/>
          <w:sz w:val="24"/>
          <w:szCs w:val="24"/>
          <w:highlight w:val="none"/>
          <w:lang w:val="en-US" w:eastAsia="zh-CN"/>
        </w:rPr>
        <w:t>油墨、油墨添加剂</w:t>
      </w:r>
      <w:r>
        <w:rPr>
          <w:rFonts w:hint="eastAsia" w:ascii="Times New Roman" w:hAnsi="Times New Roman" w:cs="Times New Roman"/>
          <w:snapToGrid/>
          <w:color w:val="auto"/>
          <w:sz w:val="24"/>
          <w:szCs w:val="24"/>
          <w:highlight w:val="none"/>
          <w:lang w:val="en-US" w:eastAsia="zh-CN"/>
        </w:rPr>
        <w:t>等</w:t>
      </w:r>
      <w:r>
        <w:rPr>
          <w:rFonts w:hint="eastAsia" w:ascii="Times New Roman" w:hAnsi="Times New Roman" w:cs="Times New Roman"/>
          <w:snapToGrid/>
          <w:color w:val="auto"/>
          <w:sz w:val="24"/>
          <w:szCs w:val="24"/>
          <w:highlight w:val="none"/>
          <w:lang w:eastAsia="zh-CN"/>
        </w:rPr>
        <w:t>。</w:t>
      </w:r>
    </w:p>
    <w:p w14:paraId="0E77D9E1">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460" w:name="_Toc4604"/>
      <w:bookmarkStart w:id="461" w:name="_Toc22698"/>
      <w:bookmarkStart w:id="462" w:name="_Toc30446"/>
      <w:bookmarkStart w:id="463" w:name="_Toc14444"/>
      <w:bookmarkStart w:id="464" w:name="_Toc8865"/>
      <w:r>
        <w:rPr>
          <w:rFonts w:hint="default" w:ascii="Times New Roman" w:hAnsi="Times New Roman" w:eastAsia="宋体" w:cs="Times New Roman"/>
          <w:b/>
          <w:bCs/>
          <w:color w:val="auto"/>
          <w:kern w:val="0"/>
          <w:sz w:val="28"/>
          <w:szCs w:val="28"/>
          <w:lang w:val="en-US" w:eastAsia="zh-CN" w:bidi="ar"/>
        </w:rPr>
        <w:t xml:space="preserve">2.2 </w:t>
      </w:r>
      <w:r>
        <w:rPr>
          <w:rFonts w:hint="eastAsia" w:ascii="Times New Roman" w:hAnsi="Times New Roman" w:eastAsia="宋体" w:cs="Times New Roman"/>
          <w:b/>
          <w:bCs/>
          <w:color w:val="auto"/>
          <w:kern w:val="0"/>
          <w:sz w:val="28"/>
          <w:szCs w:val="28"/>
          <w:lang w:val="en-US" w:eastAsia="zh-CN" w:bidi="ar"/>
        </w:rPr>
        <w:t>环境敏感目标调查</w:t>
      </w:r>
      <w:bookmarkEnd w:id="460"/>
      <w:bookmarkEnd w:id="461"/>
      <w:bookmarkEnd w:id="462"/>
      <w:bookmarkEnd w:id="463"/>
      <w:bookmarkEnd w:id="464"/>
      <w:r>
        <w:rPr>
          <w:rFonts w:hint="eastAsia" w:ascii="Times New Roman" w:hAnsi="Times New Roman" w:eastAsia="宋体" w:cs="Times New Roman"/>
          <w:b/>
          <w:bCs/>
          <w:color w:val="auto"/>
          <w:kern w:val="0"/>
          <w:sz w:val="28"/>
          <w:szCs w:val="28"/>
          <w:lang w:val="en-US" w:eastAsia="zh-CN" w:bidi="ar"/>
        </w:rPr>
        <w:t xml:space="preserve"> </w:t>
      </w:r>
    </w:p>
    <w:p w14:paraId="766C14AE">
      <w:pPr>
        <w:autoSpaceDE w:val="0"/>
        <w:autoSpaceDN w:val="0"/>
        <w:adjustRightInd/>
        <w:snapToGrid/>
        <w:spacing w:line="360" w:lineRule="auto"/>
        <w:ind w:left="140" w:right="136" w:firstLine="482"/>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根据现场调查，项目周边</w:t>
      </w:r>
      <w:r>
        <w:rPr>
          <w:rFonts w:hint="default" w:ascii="宋体" w:hAnsi="宋体" w:eastAsia="宋体" w:cs="宋体"/>
          <w:color w:val="auto"/>
          <w:kern w:val="0"/>
          <w:sz w:val="24"/>
          <w:szCs w:val="24"/>
          <w:lang w:val="en-US" w:eastAsia="zh-CN" w:bidi="ar"/>
        </w:rPr>
        <w:t>5km</w:t>
      </w:r>
      <w:r>
        <w:rPr>
          <w:rFonts w:hint="eastAsia" w:ascii="宋体" w:hAnsi="宋体" w:eastAsia="宋体" w:cs="宋体"/>
          <w:color w:val="auto"/>
          <w:kern w:val="0"/>
          <w:sz w:val="24"/>
          <w:szCs w:val="24"/>
          <w:lang w:val="en-US" w:eastAsia="zh-CN" w:bidi="ar"/>
        </w:rPr>
        <w:t>范围内大气环境</w:t>
      </w:r>
      <w:r>
        <w:rPr>
          <w:rFonts w:hint="eastAsia" w:ascii="宋体" w:hAnsi="宋体" w:cs="宋体"/>
          <w:color w:val="auto"/>
          <w:kern w:val="0"/>
          <w:sz w:val="24"/>
          <w:szCs w:val="24"/>
          <w:lang w:val="en-US" w:eastAsia="zh-CN" w:bidi="ar"/>
        </w:rPr>
        <w:t>保护</w:t>
      </w:r>
      <w:r>
        <w:rPr>
          <w:rFonts w:hint="eastAsia" w:ascii="宋体" w:hAnsi="宋体" w:eastAsia="宋体" w:cs="宋体"/>
          <w:color w:val="auto"/>
          <w:kern w:val="0"/>
          <w:sz w:val="24"/>
          <w:szCs w:val="24"/>
          <w:lang w:val="en-US" w:eastAsia="zh-CN" w:bidi="ar"/>
        </w:rPr>
        <w:t>目标主要为周边的居住区</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地表水环境</w:t>
      </w:r>
      <w:r>
        <w:rPr>
          <w:rFonts w:hint="eastAsia" w:ascii="宋体" w:hAnsi="宋体" w:cs="宋体"/>
          <w:color w:val="auto"/>
          <w:kern w:val="0"/>
          <w:sz w:val="24"/>
          <w:szCs w:val="24"/>
          <w:lang w:val="en-US" w:eastAsia="zh-CN" w:bidi="ar"/>
        </w:rPr>
        <w:t>保护</w:t>
      </w:r>
      <w:r>
        <w:rPr>
          <w:rFonts w:hint="eastAsia" w:ascii="宋体" w:hAnsi="宋体" w:eastAsia="宋体" w:cs="宋体"/>
          <w:color w:val="auto"/>
          <w:kern w:val="0"/>
          <w:sz w:val="24"/>
          <w:szCs w:val="24"/>
          <w:lang w:val="en-US" w:eastAsia="zh-CN" w:bidi="ar"/>
        </w:rPr>
        <w:t>目标为</w:t>
      </w:r>
      <w:r>
        <w:rPr>
          <w:rFonts w:hint="default" w:ascii="宋体" w:hAnsi="宋体" w:eastAsia="宋体" w:cs="宋体"/>
          <w:color w:val="auto"/>
          <w:kern w:val="0"/>
          <w:sz w:val="24"/>
          <w:szCs w:val="24"/>
          <w:lang w:val="en-US" w:eastAsia="zh-CN" w:bidi="ar"/>
        </w:rPr>
        <w:t>大凌河西支</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地下水环境</w:t>
      </w:r>
      <w:r>
        <w:rPr>
          <w:rFonts w:hint="eastAsia" w:ascii="宋体" w:hAnsi="宋体" w:cs="宋体"/>
          <w:color w:val="auto"/>
          <w:kern w:val="0"/>
          <w:sz w:val="24"/>
          <w:szCs w:val="24"/>
          <w:lang w:val="en-US" w:eastAsia="zh-CN" w:bidi="ar"/>
        </w:rPr>
        <w:t>保护</w:t>
      </w:r>
      <w:r>
        <w:rPr>
          <w:rFonts w:hint="eastAsia" w:ascii="宋体" w:hAnsi="宋体" w:eastAsia="宋体" w:cs="宋体"/>
          <w:color w:val="auto"/>
          <w:kern w:val="0"/>
          <w:sz w:val="24"/>
          <w:szCs w:val="24"/>
          <w:lang w:val="en-US" w:eastAsia="zh-CN" w:bidi="ar"/>
        </w:rPr>
        <w:t>目标为喀左县一水源1#井、4#井，喀左县香磨水源，</w:t>
      </w:r>
      <w:r>
        <w:rPr>
          <w:rFonts w:hint="eastAsia" w:ascii="宋体" w:hAnsi="宋体" w:cs="宋体"/>
          <w:color w:val="auto"/>
          <w:kern w:val="0"/>
          <w:sz w:val="24"/>
          <w:szCs w:val="24"/>
          <w:lang w:val="en-US" w:eastAsia="zh-CN" w:bidi="ar"/>
        </w:rPr>
        <w:t>其中，喀左县一水源的服务人口为6.2万人，设计供水量为1.2万吨/日，</w:t>
      </w:r>
      <w:r>
        <w:rPr>
          <w:rFonts w:hint="eastAsia" w:ascii="宋体" w:hAnsi="宋体" w:eastAsia="宋体" w:cs="宋体"/>
          <w:color w:val="auto"/>
          <w:kern w:val="0"/>
          <w:sz w:val="24"/>
          <w:szCs w:val="24"/>
          <w:lang w:val="en-US" w:eastAsia="zh-CN" w:bidi="ar"/>
        </w:rPr>
        <w:t>喀左县香磨水源</w:t>
      </w:r>
      <w:r>
        <w:rPr>
          <w:rFonts w:hint="eastAsia" w:ascii="宋体" w:hAnsi="宋体" w:cs="宋体"/>
          <w:color w:val="auto"/>
          <w:kern w:val="0"/>
          <w:sz w:val="24"/>
          <w:szCs w:val="24"/>
          <w:lang w:val="en-US" w:eastAsia="zh-CN" w:bidi="ar"/>
        </w:rPr>
        <w:t>为备用水源，设计供水量为0.6万吨/日。具体</w:t>
      </w:r>
      <w:r>
        <w:rPr>
          <w:rFonts w:hint="eastAsia" w:ascii="宋体" w:hAnsi="宋体" w:eastAsia="宋体" w:cs="宋体"/>
          <w:color w:val="auto"/>
          <w:kern w:val="0"/>
          <w:sz w:val="24"/>
          <w:szCs w:val="24"/>
          <w:lang w:val="en-US" w:eastAsia="zh-CN" w:bidi="ar"/>
        </w:rPr>
        <w:t>见下表</w:t>
      </w:r>
      <w:r>
        <w:rPr>
          <w:rFonts w:hint="eastAsia" w:ascii="宋体" w:hAnsi="宋体" w:cs="宋体"/>
          <w:color w:val="auto"/>
          <w:kern w:val="0"/>
          <w:sz w:val="24"/>
          <w:szCs w:val="24"/>
          <w:lang w:val="en-US" w:eastAsia="zh-CN" w:bidi="ar"/>
        </w:rPr>
        <w:t>。</w:t>
      </w:r>
    </w:p>
    <w:p w14:paraId="557B75E8">
      <w:pPr>
        <w:keepNext w:val="0"/>
        <w:keepLines w:val="0"/>
        <w:widowControl/>
        <w:suppressLineNumbers w:val="0"/>
        <w:spacing w:line="240" w:lineRule="auto"/>
        <w:ind w:firstLine="422" w:firstLineChars="200"/>
        <w:jc w:val="center"/>
        <w:rPr>
          <w:rFonts w:hint="default" w:ascii="宋体" w:hAnsi="宋体" w:eastAsia="宋体" w:cs="宋体"/>
          <w:b/>
          <w:bCs/>
          <w:color w:val="auto"/>
          <w:kern w:val="0"/>
          <w:sz w:val="21"/>
          <w:szCs w:val="21"/>
          <w:lang w:val="en-US" w:eastAsia="zh-CN" w:bidi="ar"/>
        </w:rPr>
      </w:pPr>
      <w:r>
        <w:rPr>
          <w:rFonts w:hint="default" w:ascii="宋体" w:hAnsi="宋体" w:eastAsia="宋体" w:cs="宋体"/>
          <w:b/>
          <w:bCs/>
          <w:color w:val="auto"/>
          <w:kern w:val="0"/>
          <w:sz w:val="21"/>
          <w:szCs w:val="21"/>
          <w:lang w:val="en-US" w:eastAsia="zh-CN" w:bidi="ar"/>
        </w:rPr>
        <w:t>表</w:t>
      </w:r>
      <w:r>
        <w:rPr>
          <w:rFonts w:hint="eastAsia" w:ascii="宋体" w:hAnsi="宋体" w:eastAsia="宋体" w:cs="宋体"/>
          <w:b/>
          <w:bCs/>
          <w:color w:val="auto"/>
          <w:kern w:val="0"/>
          <w:sz w:val="21"/>
          <w:szCs w:val="21"/>
          <w:lang w:val="en-US" w:eastAsia="zh-CN" w:bidi="ar"/>
        </w:rPr>
        <w:t>2-1</w:t>
      </w:r>
      <w:r>
        <w:rPr>
          <w:rFonts w:hint="default" w:ascii="宋体" w:hAnsi="宋体" w:eastAsia="宋体" w:cs="宋体"/>
          <w:b/>
          <w:bCs/>
          <w:color w:val="auto"/>
          <w:kern w:val="0"/>
          <w:sz w:val="21"/>
          <w:szCs w:val="21"/>
          <w:lang w:val="en-US" w:eastAsia="zh-CN" w:bidi="ar"/>
        </w:rPr>
        <w:t xml:space="preserve">  本项目</w:t>
      </w:r>
      <w:r>
        <w:rPr>
          <w:rFonts w:hint="eastAsia" w:ascii="宋体" w:hAnsi="宋体" w:eastAsia="宋体" w:cs="宋体"/>
          <w:b/>
          <w:bCs/>
          <w:color w:val="auto"/>
          <w:kern w:val="0"/>
          <w:sz w:val="21"/>
          <w:szCs w:val="21"/>
          <w:lang w:val="en-US" w:eastAsia="zh-CN" w:bidi="ar"/>
        </w:rPr>
        <w:t>环境</w:t>
      </w:r>
      <w:r>
        <w:rPr>
          <w:rFonts w:hint="default" w:ascii="宋体" w:hAnsi="宋体" w:eastAsia="宋体" w:cs="宋体"/>
          <w:b/>
          <w:bCs/>
          <w:color w:val="auto"/>
          <w:kern w:val="0"/>
          <w:sz w:val="21"/>
          <w:szCs w:val="21"/>
          <w:lang w:val="en-US" w:eastAsia="zh-CN" w:bidi="ar"/>
        </w:rPr>
        <w:t>风险保护目标一览表</w:t>
      </w:r>
    </w:p>
    <w:tbl>
      <w:tblPr>
        <w:tblStyle w:val="32"/>
        <w:tblW w:w="500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3"/>
        <w:gridCol w:w="5"/>
        <w:gridCol w:w="220"/>
        <w:gridCol w:w="591"/>
        <w:gridCol w:w="641"/>
        <w:gridCol w:w="246"/>
        <w:gridCol w:w="1184"/>
        <w:gridCol w:w="1002"/>
        <w:gridCol w:w="2040"/>
        <w:gridCol w:w="947"/>
        <w:gridCol w:w="598"/>
        <w:gridCol w:w="623"/>
      </w:tblGrid>
      <w:tr w14:paraId="7C38D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restart"/>
            <w:noWrap w:val="0"/>
            <w:vAlign w:val="center"/>
          </w:tcPr>
          <w:p w14:paraId="38DAF540">
            <w:pPr>
              <w:adjustRightInd/>
              <w:snapToGrid/>
              <w:spacing w:line="240" w:lineRule="auto"/>
              <w:ind w:right="2" w:firstLine="0"/>
              <w:jc w:val="center"/>
              <w:textAlignment w:val="auto"/>
              <w:rPr>
                <w:rFonts w:hint="default" w:ascii="Times New Roman" w:hAnsi="Times New Roman" w:cs="Times New Roman"/>
                <w:b/>
                <w:snapToGrid/>
                <w:color w:val="auto"/>
                <w:sz w:val="21"/>
                <w:szCs w:val="21"/>
                <w:lang w:eastAsia="en-US"/>
              </w:rPr>
            </w:pPr>
            <w:r>
              <w:rPr>
                <w:rFonts w:hint="default" w:ascii="Times New Roman" w:hAnsi="Times New Roman" w:cs="Times New Roman"/>
                <w:b/>
                <w:snapToGrid/>
                <w:color w:val="auto"/>
                <w:sz w:val="21"/>
                <w:szCs w:val="21"/>
                <w:lang w:eastAsia="en-US"/>
              </w:rPr>
              <w:t>类别</w:t>
            </w:r>
          </w:p>
        </w:tc>
        <w:tc>
          <w:tcPr>
            <w:tcW w:w="487" w:type="pct"/>
            <w:gridSpan w:val="2"/>
            <w:vMerge w:val="restart"/>
            <w:noWrap w:val="0"/>
            <w:vAlign w:val="center"/>
          </w:tcPr>
          <w:p w14:paraId="1D3F8CD6">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r>
              <w:rPr>
                <w:rFonts w:hint="default" w:ascii="Times New Roman" w:hAnsi="Times New Roman" w:cs="Times New Roman"/>
                <w:b/>
                <w:snapToGrid/>
                <w:color w:val="auto"/>
                <w:sz w:val="21"/>
                <w:szCs w:val="21"/>
                <w:lang w:eastAsia="en-US"/>
              </w:rPr>
              <w:t>保护目标名称</w:t>
            </w:r>
          </w:p>
        </w:tc>
        <w:tc>
          <w:tcPr>
            <w:tcW w:w="1244" w:type="pct"/>
            <w:gridSpan w:val="3"/>
            <w:noWrap w:val="0"/>
            <w:vAlign w:val="center"/>
          </w:tcPr>
          <w:p w14:paraId="6DD7D428">
            <w:pPr>
              <w:adjustRightInd/>
              <w:snapToGrid/>
              <w:spacing w:line="240" w:lineRule="auto"/>
              <w:ind w:firstLine="0" w:firstLineChars="0"/>
              <w:jc w:val="center"/>
              <w:textAlignment w:val="auto"/>
              <w:rPr>
                <w:rFonts w:hint="default" w:ascii="Times New Roman" w:hAnsi="Times New Roman" w:eastAsia="宋体" w:cs="Times New Roman"/>
                <w:b/>
                <w:snapToGrid/>
                <w:color w:val="auto"/>
                <w:kern w:val="2"/>
                <w:sz w:val="21"/>
                <w:szCs w:val="21"/>
                <w:lang w:val="en-US" w:eastAsia="zh-CN" w:bidi="ar-SA"/>
              </w:rPr>
            </w:pPr>
            <w:r>
              <w:rPr>
                <w:rFonts w:hint="default" w:ascii="Times New Roman" w:hAnsi="Times New Roman" w:cs="Times New Roman"/>
                <w:b/>
                <w:snapToGrid/>
                <w:color w:val="auto"/>
                <w:kern w:val="2"/>
                <w:sz w:val="21"/>
                <w:szCs w:val="21"/>
                <w:lang w:val="en-US" w:eastAsia="zh-CN" w:bidi="ar-SA"/>
              </w:rPr>
              <w:t>坐标</w:t>
            </w:r>
          </w:p>
        </w:tc>
        <w:tc>
          <w:tcPr>
            <w:tcW w:w="602" w:type="pct"/>
            <w:vMerge w:val="restart"/>
            <w:noWrap w:val="0"/>
            <w:vAlign w:val="center"/>
          </w:tcPr>
          <w:p w14:paraId="6A630BA0">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r>
              <w:rPr>
                <w:rFonts w:hint="eastAsia" w:cs="Times New Roman"/>
                <w:b/>
                <w:snapToGrid/>
                <w:color w:val="auto"/>
                <w:sz w:val="21"/>
                <w:szCs w:val="21"/>
                <w:lang w:val="en-US" w:eastAsia="zh-CN"/>
              </w:rPr>
              <w:t>保护对象</w:t>
            </w:r>
          </w:p>
        </w:tc>
        <w:tc>
          <w:tcPr>
            <w:tcW w:w="1225" w:type="pct"/>
            <w:vMerge w:val="restart"/>
            <w:noWrap w:val="0"/>
            <w:vAlign w:val="center"/>
          </w:tcPr>
          <w:p w14:paraId="05E4BB6B">
            <w:pPr>
              <w:adjustRightInd/>
              <w:snapToGrid/>
              <w:spacing w:line="240" w:lineRule="auto"/>
              <w:ind w:firstLine="0"/>
              <w:jc w:val="center"/>
              <w:textAlignment w:val="auto"/>
              <w:rPr>
                <w:rFonts w:hint="default" w:cs="Times New Roman"/>
                <w:b/>
                <w:snapToGrid/>
                <w:color w:val="auto"/>
                <w:sz w:val="21"/>
                <w:szCs w:val="21"/>
                <w:lang w:val="en-US" w:eastAsia="zh-CN"/>
              </w:rPr>
            </w:pPr>
            <w:r>
              <w:rPr>
                <w:rFonts w:hint="eastAsia" w:cs="Times New Roman"/>
                <w:b/>
                <w:snapToGrid/>
                <w:color w:val="auto"/>
                <w:sz w:val="21"/>
                <w:szCs w:val="21"/>
                <w:lang w:val="en-US" w:eastAsia="zh-CN"/>
              </w:rPr>
              <w:t>保护内容</w:t>
            </w:r>
          </w:p>
        </w:tc>
        <w:tc>
          <w:tcPr>
            <w:tcW w:w="569" w:type="pct"/>
            <w:vMerge w:val="restart"/>
            <w:noWrap w:val="0"/>
            <w:vAlign w:val="center"/>
          </w:tcPr>
          <w:p w14:paraId="2B14BA67">
            <w:pPr>
              <w:adjustRightInd/>
              <w:snapToGrid/>
              <w:spacing w:line="240" w:lineRule="auto"/>
              <w:ind w:firstLine="0" w:firstLineChars="0"/>
              <w:jc w:val="center"/>
              <w:textAlignment w:val="auto"/>
              <w:rPr>
                <w:rFonts w:hint="eastAsia" w:cs="Times New Roman"/>
                <w:b/>
                <w:snapToGrid/>
                <w:color w:val="auto"/>
                <w:sz w:val="21"/>
                <w:szCs w:val="21"/>
                <w:lang w:val="en-US" w:eastAsia="zh-CN"/>
              </w:rPr>
            </w:pPr>
            <w:r>
              <w:rPr>
                <w:rFonts w:hint="eastAsia" w:ascii="Times New Roman" w:hAnsi="Times New Roman" w:cs="Times New Roman"/>
                <w:b/>
                <w:snapToGrid/>
                <w:color w:val="auto"/>
                <w:sz w:val="21"/>
                <w:szCs w:val="21"/>
                <w:lang w:eastAsia="zh-CN"/>
              </w:rPr>
              <w:t>常住</w:t>
            </w:r>
            <w:r>
              <w:rPr>
                <w:rFonts w:hint="default" w:ascii="Times New Roman" w:hAnsi="Times New Roman" w:cs="Times New Roman"/>
                <w:b/>
                <w:snapToGrid/>
                <w:color w:val="auto"/>
                <w:sz w:val="21"/>
                <w:szCs w:val="21"/>
                <w:lang w:eastAsia="en-US"/>
              </w:rPr>
              <w:t>人口数</w:t>
            </w:r>
            <w:r>
              <w:rPr>
                <w:rFonts w:hint="default" w:ascii="Times New Roman" w:hAnsi="Times New Roman" w:cs="Times New Roman"/>
                <w:b/>
                <w:snapToGrid/>
                <w:color w:val="auto"/>
                <w:sz w:val="21"/>
                <w:szCs w:val="21"/>
                <w:lang w:val="en-US" w:eastAsia="zh-CN"/>
              </w:rPr>
              <w:t>/人</w:t>
            </w:r>
          </w:p>
        </w:tc>
        <w:tc>
          <w:tcPr>
            <w:tcW w:w="733" w:type="pct"/>
            <w:gridSpan w:val="2"/>
            <w:noWrap w:val="0"/>
            <w:vAlign w:val="center"/>
          </w:tcPr>
          <w:p w14:paraId="692DF0FA">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r>
              <w:rPr>
                <w:rFonts w:hint="default" w:ascii="Times New Roman" w:hAnsi="Times New Roman" w:cs="Times New Roman"/>
                <w:b/>
                <w:snapToGrid/>
                <w:color w:val="auto"/>
                <w:sz w:val="21"/>
                <w:szCs w:val="21"/>
                <w:lang w:eastAsia="en-US"/>
              </w:rPr>
              <w:t>与</w:t>
            </w:r>
            <w:r>
              <w:rPr>
                <w:rFonts w:hint="default" w:ascii="Times New Roman" w:hAnsi="Times New Roman" w:cs="Times New Roman"/>
                <w:b/>
                <w:snapToGrid/>
                <w:color w:val="auto"/>
                <w:sz w:val="21"/>
                <w:szCs w:val="21"/>
              </w:rPr>
              <w:t>厂界</w:t>
            </w:r>
            <w:r>
              <w:rPr>
                <w:rFonts w:hint="default" w:ascii="Times New Roman" w:hAnsi="Times New Roman" w:cs="Times New Roman"/>
                <w:b/>
                <w:snapToGrid/>
                <w:color w:val="auto"/>
                <w:sz w:val="21"/>
                <w:szCs w:val="21"/>
                <w:lang w:eastAsia="en-US"/>
              </w:rPr>
              <w:t>相对位置</w:t>
            </w:r>
          </w:p>
        </w:tc>
      </w:tr>
      <w:tr w14:paraId="6EEAC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27B48911">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p>
        </w:tc>
        <w:tc>
          <w:tcPr>
            <w:tcW w:w="487" w:type="pct"/>
            <w:gridSpan w:val="2"/>
            <w:vMerge w:val="continue"/>
            <w:noWrap w:val="0"/>
            <w:vAlign w:val="center"/>
          </w:tcPr>
          <w:p w14:paraId="68C77B81">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p>
        </w:tc>
        <w:tc>
          <w:tcPr>
            <w:tcW w:w="533" w:type="pct"/>
            <w:gridSpan w:val="2"/>
            <w:noWrap w:val="0"/>
            <w:vAlign w:val="center"/>
          </w:tcPr>
          <w:p w14:paraId="44DCEFE7">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bidi="ar-SA"/>
              </w:rPr>
              <w:t>X</w:t>
            </w:r>
          </w:p>
        </w:tc>
        <w:tc>
          <w:tcPr>
            <w:tcW w:w="711" w:type="pct"/>
            <w:noWrap w:val="0"/>
            <w:vAlign w:val="center"/>
          </w:tcPr>
          <w:p w14:paraId="37BDABB9">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bidi="ar-SA"/>
              </w:rPr>
              <w:t>Y</w:t>
            </w:r>
          </w:p>
        </w:tc>
        <w:tc>
          <w:tcPr>
            <w:tcW w:w="602" w:type="pct"/>
            <w:vMerge w:val="continue"/>
            <w:noWrap w:val="0"/>
            <w:vAlign w:val="center"/>
          </w:tcPr>
          <w:p w14:paraId="1AB70B88">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p>
        </w:tc>
        <w:tc>
          <w:tcPr>
            <w:tcW w:w="1225" w:type="pct"/>
            <w:vMerge w:val="continue"/>
            <w:noWrap w:val="0"/>
            <w:vAlign w:val="center"/>
          </w:tcPr>
          <w:p w14:paraId="5E81679A">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p>
        </w:tc>
        <w:tc>
          <w:tcPr>
            <w:tcW w:w="569" w:type="pct"/>
            <w:vMerge w:val="continue"/>
            <w:noWrap w:val="0"/>
            <w:vAlign w:val="center"/>
          </w:tcPr>
          <w:p w14:paraId="5A15913B">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p>
        </w:tc>
        <w:tc>
          <w:tcPr>
            <w:tcW w:w="359" w:type="pct"/>
            <w:noWrap w:val="0"/>
            <w:vAlign w:val="center"/>
          </w:tcPr>
          <w:p w14:paraId="4C90E280">
            <w:pPr>
              <w:adjustRightInd/>
              <w:snapToGrid/>
              <w:spacing w:line="240" w:lineRule="auto"/>
              <w:ind w:firstLine="0"/>
              <w:jc w:val="center"/>
              <w:textAlignment w:val="auto"/>
              <w:rPr>
                <w:rFonts w:hint="default" w:ascii="Times New Roman" w:hAnsi="Times New Roman" w:cs="Times New Roman"/>
                <w:b/>
                <w:snapToGrid/>
                <w:color w:val="auto"/>
                <w:sz w:val="21"/>
                <w:szCs w:val="21"/>
                <w:lang w:eastAsia="en-US"/>
              </w:rPr>
            </w:pPr>
            <w:r>
              <w:rPr>
                <w:rFonts w:hint="default" w:ascii="Times New Roman" w:hAnsi="Times New Roman" w:cs="Times New Roman"/>
                <w:b/>
                <w:snapToGrid/>
                <w:color w:val="auto"/>
                <w:sz w:val="21"/>
                <w:szCs w:val="21"/>
                <w:lang w:eastAsia="en-US"/>
              </w:rPr>
              <w:t>方位</w:t>
            </w:r>
          </w:p>
        </w:tc>
        <w:tc>
          <w:tcPr>
            <w:tcW w:w="374" w:type="pct"/>
            <w:noWrap w:val="0"/>
            <w:vAlign w:val="center"/>
          </w:tcPr>
          <w:p w14:paraId="68B4E0F1">
            <w:pPr>
              <w:adjustRightInd/>
              <w:snapToGrid/>
              <w:spacing w:line="240" w:lineRule="auto"/>
              <w:ind w:firstLine="0"/>
              <w:jc w:val="center"/>
              <w:textAlignment w:val="auto"/>
              <w:rPr>
                <w:rFonts w:hint="default" w:ascii="Times New Roman" w:hAnsi="Times New Roman" w:eastAsia="Times New Roman" w:cs="Times New Roman"/>
                <w:b/>
                <w:snapToGrid/>
                <w:color w:val="auto"/>
                <w:sz w:val="21"/>
                <w:szCs w:val="21"/>
                <w:lang w:eastAsia="en-US"/>
              </w:rPr>
            </w:pPr>
            <w:r>
              <w:rPr>
                <w:rFonts w:hint="default" w:ascii="Times New Roman" w:hAnsi="Times New Roman" w:cs="Times New Roman"/>
                <w:b/>
                <w:snapToGrid/>
                <w:color w:val="auto"/>
                <w:sz w:val="21"/>
                <w:szCs w:val="21"/>
                <w:lang w:eastAsia="en-US"/>
              </w:rPr>
              <w:t>距离</w:t>
            </w:r>
            <w:r>
              <w:rPr>
                <w:rFonts w:hint="default" w:ascii="Times New Roman" w:hAnsi="Times New Roman" w:cs="Times New Roman"/>
                <w:b/>
                <w:snapToGrid/>
                <w:color w:val="auto"/>
                <w:spacing w:val="-43"/>
                <w:sz w:val="21"/>
                <w:szCs w:val="21"/>
                <w:lang w:eastAsia="en-US"/>
              </w:rPr>
              <w:t xml:space="preserve"> </w:t>
            </w:r>
            <w:r>
              <w:rPr>
                <w:rFonts w:hint="default" w:ascii="Times New Roman" w:hAnsi="Times New Roman" w:eastAsia="Times New Roman" w:cs="Times New Roman"/>
                <w:b/>
                <w:snapToGrid/>
                <w:color w:val="auto"/>
                <w:sz w:val="21"/>
                <w:szCs w:val="21"/>
                <w:lang w:eastAsia="en-US"/>
              </w:rPr>
              <w:t>m</w:t>
            </w:r>
          </w:p>
        </w:tc>
      </w:tr>
      <w:tr w14:paraId="2773F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restart"/>
            <w:noWrap w:val="0"/>
            <w:vAlign w:val="center"/>
          </w:tcPr>
          <w:p w14:paraId="6124194E">
            <w:pPr>
              <w:pStyle w:val="115"/>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color w:val="auto"/>
                <w:sz w:val="21"/>
                <w:szCs w:val="21"/>
              </w:rPr>
            </w:pPr>
            <w:bookmarkStart w:id="465" w:name="OLE_LINK142" w:colFirst="2" w:colLast="2"/>
            <w:bookmarkStart w:id="466" w:name="OLE_LINK146" w:colFirst="5" w:colLast="5"/>
            <w:bookmarkStart w:id="467" w:name="OLE_LINK145" w:colFirst="3" w:colLast="4"/>
            <w:bookmarkStart w:id="468" w:name="OLE_LINK143" w:colFirst="6" w:colLast="7"/>
            <w:bookmarkStart w:id="469" w:name="OLE_LINK243" w:colFirst="7" w:colLast="7"/>
            <w:r>
              <w:rPr>
                <w:color w:val="auto"/>
                <w:spacing w:val="-5"/>
                <w:sz w:val="21"/>
                <w:szCs w:val="21"/>
              </w:rPr>
              <w:t>环境</w:t>
            </w:r>
          </w:p>
          <w:p w14:paraId="0FD03EB1">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cs="Times New Roman"/>
                <w:snapToGrid/>
                <w:color w:val="auto"/>
                <w:sz w:val="21"/>
                <w:szCs w:val="21"/>
                <w:lang w:eastAsia="en-US"/>
              </w:rPr>
            </w:pPr>
            <w:r>
              <w:rPr>
                <w:color w:val="auto"/>
                <w:spacing w:val="-9"/>
                <w:sz w:val="21"/>
                <w:szCs w:val="21"/>
              </w:rPr>
              <w:t>空气</w:t>
            </w:r>
          </w:p>
        </w:tc>
        <w:tc>
          <w:tcPr>
            <w:tcW w:w="132" w:type="pct"/>
            <w:noWrap w:val="0"/>
            <w:vAlign w:val="center"/>
          </w:tcPr>
          <w:p w14:paraId="6D63323C">
            <w:pPr>
              <w:keepNext w:val="0"/>
              <w:keepLines w:val="0"/>
              <w:widowControl/>
              <w:suppressLineNumbers w:val="0"/>
              <w:jc w:val="center"/>
              <w:textAlignment w:val="center"/>
              <w:rPr>
                <w:rFonts w:hint="default" w:ascii="Times New Roman" w:hAnsi="Times New Roman" w:eastAsia="宋体" w:cs="Times New Roman"/>
                <w:snapToGrid/>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1</w:t>
            </w:r>
          </w:p>
        </w:tc>
        <w:tc>
          <w:tcPr>
            <w:tcW w:w="354" w:type="pct"/>
            <w:noWrap w:val="0"/>
            <w:vAlign w:val="center"/>
          </w:tcPr>
          <w:p w14:paraId="14AF2522">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rPr>
              <w:t>小城子村</w:t>
            </w:r>
          </w:p>
        </w:tc>
        <w:tc>
          <w:tcPr>
            <w:tcW w:w="533" w:type="pct"/>
            <w:gridSpan w:val="2"/>
            <w:noWrap w:val="0"/>
            <w:vAlign w:val="center"/>
          </w:tcPr>
          <w:p w14:paraId="0F8DF1C6">
            <w:pPr>
              <w:adjustRightInd/>
              <w:snapToGrid/>
              <w:spacing w:line="240" w:lineRule="auto"/>
              <w:ind w:right="2"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727390</w:t>
            </w:r>
          </w:p>
        </w:tc>
        <w:tc>
          <w:tcPr>
            <w:tcW w:w="711" w:type="pct"/>
            <w:noWrap w:val="0"/>
            <w:vAlign w:val="center"/>
          </w:tcPr>
          <w:p w14:paraId="2F65E745">
            <w:pPr>
              <w:adjustRightInd/>
              <w:snapToGrid/>
              <w:spacing w:line="240" w:lineRule="auto"/>
              <w:ind w:right="2"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4558027</w:t>
            </w:r>
          </w:p>
        </w:tc>
        <w:tc>
          <w:tcPr>
            <w:tcW w:w="602" w:type="pct"/>
            <w:noWrap w:val="0"/>
            <w:vAlign w:val="center"/>
          </w:tcPr>
          <w:p w14:paraId="551E8BD8">
            <w:pPr>
              <w:adjustRightInd/>
              <w:snapToGrid/>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restart"/>
            <w:noWrap w:val="0"/>
            <w:vAlign w:val="center"/>
          </w:tcPr>
          <w:p w14:paraId="16956CF1">
            <w:pPr>
              <w:adjustRightInd/>
              <w:snapToGrid/>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eastAsia="宋体" w:cs="Times New Roman"/>
                <w:color w:val="auto"/>
                <w:kern w:val="2"/>
                <w:sz w:val="21"/>
                <w:szCs w:val="21"/>
                <w:highlight w:val="none"/>
                <w:lang w:val="en-US" w:eastAsia="zh-CN" w:bidi="ar-SA"/>
              </w:rPr>
              <w:t>《环境空气质量标准》（GB3095-</w:t>
            </w:r>
            <w:r>
              <w:rPr>
                <w:rFonts w:hint="eastAsia" w:cs="Times New Roman"/>
                <w:color w:val="auto"/>
                <w:kern w:val="2"/>
                <w:sz w:val="21"/>
                <w:szCs w:val="21"/>
                <w:highlight w:val="none"/>
                <w:lang w:val="en-US" w:eastAsia="zh-CN" w:bidi="ar-SA"/>
              </w:rPr>
              <w:t>2026</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过渡期</w:t>
            </w:r>
            <w:r>
              <w:rPr>
                <w:rFonts w:hint="eastAsia" w:ascii="Times New Roman" w:hAnsi="Times New Roman" w:eastAsia="宋体" w:cs="Times New Roman"/>
                <w:color w:val="auto"/>
                <w:kern w:val="2"/>
                <w:sz w:val="21"/>
                <w:szCs w:val="21"/>
                <w:highlight w:val="none"/>
                <w:lang w:val="en-US" w:eastAsia="zh-CN" w:bidi="ar-SA"/>
              </w:rPr>
              <w:t>一</w:t>
            </w:r>
            <w:r>
              <w:rPr>
                <w:rFonts w:hint="default" w:ascii="Times New Roman" w:hAnsi="Times New Roman" w:eastAsia="宋体" w:cs="Times New Roman"/>
                <w:color w:val="auto"/>
                <w:kern w:val="2"/>
                <w:sz w:val="21"/>
                <w:szCs w:val="21"/>
                <w:highlight w:val="none"/>
                <w:lang w:val="en-US" w:eastAsia="zh-CN" w:bidi="ar-SA"/>
              </w:rPr>
              <w:t>级</w:t>
            </w:r>
            <w:r>
              <w:rPr>
                <w:rFonts w:hint="eastAsia" w:cs="Times New Roman"/>
                <w:color w:val="auto"/>
                <w:kern w:val="2"/>
                <w:sz w:val="21"/>
                <w:szCs w:val="21"/>
                <w:highlight w:val="none"/>
                <w:lang w:val="en-US" w:eastAsia="zh-CN" w:bidi="ar-SA"/>
              </w:rPr>
              <w:t>、二级</w:t>
            </w:r>
            <w:r>
              <w:rPr>
                <w:rFonts w:hint="default" w:ascii="Times New Roman" w:hAnsi="Times New Roman" w:eastAsia="宋体" w:cs="Times New Roman"/>
                <w:color w:val="auto"/>
                <w:kern w:val="2"/>
                <w:sz w:val="21"/>
                <w:szCs w:val="21"/>
                <w:highlight w:val="none"/>
                <w:lang w:val="en-US" w:eastAsia="zh-CN" w:bidi="ar-SA"/>
              </w:rPr>
              <w:t>标准</w:t>
            </w:r>
          </w:p>
        </w:tc>
        <w:tc>
          <w:tcPr>
            <w:tcW w:w="947" w:type="dxa"/>
            <w:noWrap w:val="0"/>
            <w:vAlign w:val="center"/>
          </w:tcPr>
          <w:p w14:paraId="5C4E18AC">
            <w:pPr>
              <w:adjustRightInd/>
              <w:snapToGrid/>
              <w:spacing w:line="240" w:lineRule="auto"/>
              <w:ind w:right="5" w:rightChars="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851</w:t>
            </w:r>
          </w:p>
        </w:tc>
        <w:tc>
          <w:tcPr>
            <w:tcW w:w="359" w:type="pct"/>
            <w:noWrap w:val="0"/>
            <w:vAlign w:val="center"/>
          </w:tcPr>
          <w:p w14:paraId="7C598E2B">
            <w:pPr>
              <w:adjustRightInd/>
              <w:snapToGrid/>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eastAsia="宋体" w:cs="Times New Roman"/>
                <w:snapToGrid/>
                <w:color w:val="auto"/>
                <w:sz w:val="21"/>
                <w:szCs w:val="21"/>
                <w:lang w:val="en-US" w:eastAsia="zh-CN"/>
              </w:rPr>
              <w:t>SW</w:t>
            </w:r>
          </w:p>
        </w:tc>
        <w:tc>
          <w:tcPr>
            <w:tcW w:w="374" w:type="pct"/>
            <w:noWrap w:val="0"/>
            <w:vAlign w:val="center"/>
          </w:tcPr>
          <w:p w14:paraId="08634525">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ascii="Times New Roman" w:hAnsi="Times New Roman" w:eastAsia="宋体" w:cs="Times New Roman"/>
                <w:snapToGrid/>
                <w:color w:val="auto"/>
                <w:sz w:val="21"/>
                <w:szCs w:val="21"/>
                <w:lang w:val="en-US" w:eastAsia="zh-CN"/>
              </w:rPr>
              <w:t>925</w:t>
            </w:r>
          </w:p>
        </w:tc>
      </w:tr>
      <w:tr w14:paraId="16352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53C6F108">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749A9E58">
            <w:pPr>
              <w:keepNext w:val="0"/>
              <w:keepLines w:val="0"/>
              <w:widowControl/>
              <w:suppressLineNumbers w:val="0"/>
              <w:jc w:val="center"/>
              <w:textAlignment w:val="center"/>
              <w:rPr>
                <w:rFonts w:hint="default" w:ascii="Times New Roman" w:hAnsi="Times New Roman" w:eastAsia="宋体" w:cs="Times New Roman"/>
                <w:snapToGrid/>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w:t>
            </w:r>
          </w:p>
        </w:tc>
        <w:tc>
          <w:tcPr>
            <w:tcW w:w="354" w:type="pct"/>
            <w:noWrap w:val="0"/>
            <w:vAlign w:val="center"/>
          </w:tcPr>
          <w:p w14:paraId="26FE2C63">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sz w:val="21"/>
                <w:szCs w:val="21"/>
                <w:highlight w:val="none"/>
                <w:lang w:val="en-US" w:eastAsia="zh-CN"/>
              </w:rPr>
              <w:t>喀左县</w:t>
            </w:r>
            <w:r>
              <w:rPr>
                <w:rFonts w:hint="eastAsia" w:cs="Times New Roman"/>
                <w:snapToGrid/>
                <w:color w:val="auto"/>
                <w:sz w:val="21"/>
                <w:szCs w:val="21"/>
                <w:highlight w:val="none"/>
                <w:lang w:val="en-US" w:eastAsia="zh-CN"/>
              </w:rPr>
              <w:t>大城子街道</w:t>
            </w:r>
          </w:p>
        </w:tc>
        <w:tc>
          <w:tcPr>
            <w:tcW w:w="533" w:type="pct"/>
            <w:gridSpan w:val="2"/>
            <w:noWrap w:val="0"/>
            <w:vAlign w:val="center"/>
          </w:tcPr>
          <w:p w14:paraId="46B23B89">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728691</w:t>
            </w:r>
          </w:p>
        </w:tc>
        <w:tc>
          <w:tcPr>
            <w:tcW w:w="711" w:type="pct"/>
            <w:noWrap w:val="0"/>
            <w:vAlign w:val="center"/>
          </w:tcPr>
          <w:p w14:paraId="127F1113">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4556994</w:t>
            </w:r>
          </w:p>
        </w:tc>
        <w:tc>
          <w:tcPr>
            <w:tcW w:w="602" w:type="pct"/>
            <w:noWrap w:val="0"/>
            <w:vAlign w:val="center"/>
          </w:tcPr>
          <w:p w14:paraId="4D002FDA">
            <w:pPr>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37490347">
            <w:pPr>
              <w:adjustRightInd/>
              <w:snapToGrid/>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p>
        </w:tc>
        <w:tc>
          <w:tcPr>
            <w:tcW w:w="947" w:type="dxa"/>
            <w:noWrap w:val="0"/>
            <w:vAlign w:val="center"/>
          </w:tcPr>
          <w:p w14:paraId="1D59E71A">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42510</w:t>
            </w:r>
          </w:p>
        </w:tc>
        <w:tc>
          <w:tcPr>
            <w:tcW w:w="359" w:type="pct"/>
            <w:noWrap w:val="0"/>
            <w:vAlign w:val="center"/>
          </w:tcPr>
          <w:p w14:paraId="2C1250B2">
            <w:pPr>
              <w:adjustRightInd/>
              <w:snapToGrid/>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eastAsia="宋体" w:cs="Times New Roman"/>
                <w:snapToGrid/>
                <w:color w:val="auto"/>
                <w:sz w:val="21"/>
                <w:szCs w:val="21"/>
                <w:lang w:val="en-US" w:eastAsia="zh-CN"/>
              </w:rPr>
              <w:t>SE</w:t>
            </w:r>
          </w:p>
        </w:tc>
        <w:tc>
          <w:tcPr>
            <w:tcW w:w="374" w:type="pct"/>
            <w:noWrap w:val="0"/>
            <w:vAlign w:val="center"/>
          </w:tcPr>
          <w:p w14:paraId="6F2A4705">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eastAsia="宋体" w:cs="Times New Roman"/>
                <w:snapToGrid/>
                <w:color w:val="auto"/>
                <w:sz w:val="21"/>
                <w:szCs w:val="21"/>
                <w:lang w:val="en-US" w:eastAsia="zh-CN"/>
              </w:rPr>
              <w:t>1</w:t>
            </w:r>
            <w:r>
              <w:rPr>
                <w:rFonts w:hint="eastAsia" w:ascii="Times New Roman" w:hAnsi="Times New Roman" w:eastAsia="宋体" w:cs="Times New Roman"/>
                <w:snapToGrid/>
                <w:color w:val="auto"/>
                <w:sz w:val="21"/>
                <w:szCs w:val="21"/>
                <w:lang w:val="en-US" w:eastAsia="zh-CN"/>
              </w:rPr>
              <w:t>8</w:t>
            </w:r>
            <w:r>
              <w:rPr>
                <w:rFonts w:hint="default" w:ascii="Times New Roman" w:hAnsi="Times New Roman" w:eastAsia="宋体" w:cs="Times New Roman"/>
                <w:snapToGrid/>
                <w:color w:val="auto"/>
                <w:sz w:val="21"/>
                <w:szCs w:val="21"/>
                <w:lang w:val="en-US" w:eastAsia="zh-CN"/>
              </w:rPr>
              <w:t>50</w:t>
            </w:r>
          </w:p>
        </w:tc>
      </w:tr>
      <w:tr w14:paraId="5D9D2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32537E06">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65773177">
            <w:pPr>
              <w:keepNext w:val="0"/>
              <w:keepLines w:val="0"/>
              <w:widowControl/>
              <w:suppressLineNumbers w:val="0"/>
              <w:jc w:val="center"/>
              <w:textAlignment w:val="center"/>
              <w:rPr>
                <w:rFonts w:hint="eastAsia"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3</w:t>
            </w:r>
          </w:p>
        </w:tc>
        <w:tc>
          <w:tcPr>
            <w:tcW w:w="354" w:type="pct"/>
            <w:noWrap w:val="0"/>
            <w:vAlign w:val="center"/>
          </w:tcPr>
          <w:p w14:paraId="0474FBF7">
            <w:pPr>
              <w:spacing w:line="240" w:lineRule="auto"/>
              <w:ind w:firstLine="0" w:firstLineChars="0"/>
              <w:jc w:val="center"/>
              <w:textAlignment w:val="auto"/>
              <w:rPr>
                <w:rFonts w:hint="default" w:ascii="Times New Roman" w:hAnsi="Times New Roman" w:cs="Times New Roman"/>
                <w:snapToGrid/>
                <w:color w:val="auto"/>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皮匠沟</w:t>
            </w:r>
          </w:p>
        </w:tc>
        <w:tc>
          <w:tcPr>
            <w:tcW w:w="533" w:type="pct"/>
            <w:gridSpan w:val="2"/>
            <w:noWrap w:val="0"/>
            <w:vAlign w:val="center"/>
          </w:tcPr>
          <w:p w14:paraId="6F3C0922">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730225</w:t>
            </w:r>
          </w:p>
        </w:tc>
        <w:tc>
          <w:tcPr>
            <w:tcW w:w="711" w:type="pct"/>
            <w:noWrap w:val="0"/>
            <w:vAlign w:val="center"/>
          </w:tcPr>
          <w:p w14:paraId="043DC81F">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4559822</w:t>
            </w:r>
          </w:p>
        </w:tc>
        <w:tc>
          <w:tcPr>
            <w:tcW w:w="602" w:type="pct"/>
            <w:noWrap w:val="0"/>
            <w:vAlign w:val="center"/>
          </w:tcPr>
          <w:p w14:paraId="42044D06">
            <w:pPr>
              <w:adjustRightInd/>
              <w:snapToGrid/>
              <w:spacing w:line="240" w:lineRule="auto"/>
              <w:ind w:firstLine="0" w:firstLineChars="0"/>
              <w:jc w:val="center"/>
              <w:textAlignment w:val="auto"/>
              <w:rPr>
                <w:rFonts w:hint="eastAsia"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6F3EDC09">
            <w:pPr>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p>
        </w:tc>
        <w:tc>
          <w:tcPr>
            <w:tcW w:w="947" w:type="dxa"/>
            <w:noWrap w:val="0"/>
            <w:vAlign w:val="center"/>
          </w:tcPr>
          <w:p w14:paraId="706FE1AB">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94</w:t>
            </w:r>
          </w:p>
        </w:tc>
        <w:tc>
          <w:tcPr>
            <w:tcW w:w="359" w:type="pct"/>
            <w:noWrap w:val="0"/>
            <w:vAlign w:val="center"/>
          </w:tcPr>
          <w:p w14:paraId="75E4AA42">
            <w:pPr>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1CDE5DF7">
            <w:pPr>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cs="Times New Roman"/>
                <w:snapToGrid/>
                <w:color w:val="auto"/>
                <w:kern w:val="2"/>
                <w:sz w:val="21"/>
                <w:szCs w:val="21"/>
                <w:lang w:val="en-US" w:eastAsia="zh-CN"/>
              </w:rPr>
              <w:t>1966</w:t>
            </w:r>
          </w:p>
        </w:tc>
      </w:tr>
      <w:tr w14:paraId="6AC6D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15F2EC9F">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17CD6C98">
            <w:pPr>
              <w:keepNext w:val="0"/>
              <w:keepLines w:val="0"/>
              <w:widowControl/>
              <w:suppressLineNumbers w:val="0"/>
              <w:jc w:val="center"/>
              <w:textAlignment w:val="center"/>
              <w:rPr>
                <w:rFonts w:hint="eastAsia"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4</w:t>
            </w:r>
          </w:p>
        </w:tc>
        <w:tc>
          <w:tcPr>
            <w:tcW w:w="354" w:type="pct"/>
            <w:noWrap w:val="0"/>
            <w:vAlign w:val="center"/>
          </w:tcPr>
          <w:p w14:paraId="70B2AC50">
            <w:pPr>
              <w:spacing w:line="240" w:lineRule="auto"/>
              <w:ind w:firstLine="0" w:firstLineChars="0"/>
              <w:jc w:val="center"/>
              <w:textAlignment w:val="auto"/>
              <w:rPr>
                <w:rFonts w:hint="default" w:ascii="Times New Roman" w:hAnsi="Times New Roman" w:cs="Times New Roman"/>
                <w:snapToGrid/>
                <w:color w:val="auto"/>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盛家窝铺</w:t>
            </w:r>
          </w:p>
        </w:tc>
        <w:tc>
          <w:tcPr>
            <w:tcW w:w="533" w:type="pct"/>
            <w:gridSpan w:val="2"/>
            <w:noWrap w:val="0"/>
            <w:vAlign w:val="center"/>
          </w:tcPr>
          <w:p w14:paraId="177AEAB2">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726827</w:t>
            </w:r>
          </w:p>
        </w:tc>
        <w:tc>
          <w:tcPr>
            <w:tcW w:w="711" w:type="pct"/>
            <w:noWrap w:val="0"/>
            <w:vAlign w:val="center"/>
          </w:tcPr>
          <w:p w14:paraId="2C907DF4">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4556633</w:t>
            </w:r>
          </w:p>
        </w:tc>
        <w:tc>
          <w:tcPr>
            <w:tcW w:w="602" w:type="pct"/>
            <w:noWrap w:val="0"/>
            <w:vAlign w:val="center"/>
          </w:tcPr>
          <w:p w14:paraId="448BE3F8">
            <w:pPr>
              <w:adjustRightInd/>
              <w:snapToGrid/>
              <w:spacing w:line="240" w:lineRule="auto"/>
              <w:ind w:firstLine="0" w:firstLineChars="0"/>
              <w:jc w:val="center"/>
              <w:textAlignment w:val="auto"/>
              <w:rPr>
                <w:rFonts w:hint="eastAsia"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3D42601">
            <w:pPr>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p>
        </w:tc>
        <w:tc>
          <w:tcPr>
            <w:tcW w:w="947" w:type="dxa"/>
            <w:noWrap w:val="0"/>
            <w:vAlign w:val="center"/>
          </w:tcPr>
          <w:p w14:paraId="1D227C75">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226</w:t>
            </w:r>
          </w:p>
        </w:tc>
        <w:tc>
          <w:tcPr>
            <w:tcW w:w="359" w:type="pct"/>
            <w:noWrap w:val="0"/>
            <w:vAlign w:val="center"/>
          </w:tcPr>
          <w:p w14:paraId="4B5E995C">
            <w:pPr>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cs="Times New Roman"/>
                <w:snapToGrid/>
                <w:color w:val="auto"/>
                <w:kern w:val="2"/>
                <w:sz w:val="21"/>
                <w:szCs w:val="21"/>
                <w:lang w:val="en-US" w:eastAsia="zh-CN"/>
              </w:rPr>
              <w:t>SW</w:t>
            </w:r>
          </w:p>
        </w:tc>
        <w:tc>
          <w:tcPr>
            <w:tcW w:w="374" w:type="pct"/>
            <w:noWrap w:val="0"/>
            <w:vAlign w:val="center"/>
          </w:tcPr>
          <w:p w14:paraId="53087F37">
            <w:pPr>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cs="Times New Roman"/>
                <w:snapToGrid/>
                <w:color w:val="auto"/>
                <w:kern w:val="2"/>
                <w:sz w:val="21"/>
                <w:szCs w:val="21"/>
                <w:lang w:val="en-US" w:eastAsia="zh-CN"/>
              </w:rPr>
              <w:t>2</w:t>
            </w:r>
            <w:r>
              <w:rPr>
                <w:rFonts w:hint="eastAsia" w:ascii="Times New Roman" w:hAnsi="Times New Roman" w:cs="Times New Roman"/>
                <w:snapToGrid/>
                <w:color w:val="auto"/>
                <w:kern w:val="2"/>
                <w:sz w:val="21"/>
                <w:szCs w:val="21"/>
                <w:lang w:val="en-US" w:eastAsia="zh-CN"/>
              </w:rPr>
              <w:t>82</w:t>
            </w:r>
            <w:r>
              <w:rPr>
                <w:rFonts w:hint="default" w:ascii="Times New Roman" w:hAnsi="Times New Roman" w:cs="Times New Roman"/>
                <w:snapToGrid/>
                <w:color w:val="auto"/>
                <w:kern w:val="2"/>
                <w:sz w:val="21"/>
                <w:szCs w:val="21"/>
                <w:lang w:val="en-US" w:eastAsia="zh-CN"/>
              </w:rPr>
              <w:t>5</w:t>
            </w:r>
          </w:p>
        </w:tc>
      </w:tr>
      <w:tr w14:paraId="49268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30B1986C">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438FA8E1">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5</w:t>
            </w:r>
          </w:p>
        </w:tc>
        <w:tc>
          <w:tcPr>
            <w:tcW w:w="354" w:type="pct"/>
            <w:noWrap w:val="0"/>
            <w:vAlign w:val="center"/>
          </w:tcPr>
          <w:p w14:paraId="41A764C4">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sz w:val="21"/>
                <w:szCs w:val="21"/>
                <w:highlight w:val="none"/>
                <w:lang w:val="en-US" w:eastAsia="zh-CN"/>
              </w:rPr>
              <w:t>万草沟</w:t>
            </w:r>
          </w:p>
        </w:tc>
        <w:tc>
          <w:tcPr>
            <w:tcW w:w="533" w:type="pct"/>
            <w:gridSpan w:val="2"/>
            <w:noWrap w:val="0"/>
            <w:vAlign w:val="center"/>
          </w:tcPr>
          <w:p w14:paraId="673F19E7">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726128</w:t>
            </w:r>
          </w:p>
        </w:tc>
        <w:tc>
          <w:tcPr>
            <w:tcW w:w="711" w:type="pct"/>
            <w:noWrap w:val="0"/>
            <w:vAlign w:val="center"/>
          </w:tcPr>
          <w:p w14:paraId="2DF26A7F">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4560415</w:t>
            </w:r>
          </w:p>
        </w:tc>
        <w:tc>
          <w:tcPr>
            <w:tcW w:w="602" w:type="pct"/>
            <w:noWrap w:val="0"/>
            <w:vAlign w:val="center"/>
          </w:tcPr>
          <w:p w14:paraId="118FD002">
            <w:pPr>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restart"/>
            <w:noWrap w:val="0"/>
            <w:vAlign w:val="center"/>
          </w:tcPr>
          <w:p w14:paraId="765DC18B">
            <w:pPr>
              <w:adjustRightInd/>
              <w:snapToGrid/>
              <w:spacing w:line="240" w:lineRule="auto"/>
              <w:ind w:right="1" w:firstLine="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eastAsia="宋体" w:cs="Times New Roman"/>
                <w:color w:val="auto"/>
                <w:kern w:val="2"/>
                <w:sz w:val="21"/>
                <w:szCs w:val="21"/>
                <w:highlight w:val="none"/>
                <w:lang w:val="en-US" w:eastAsia="zh-CN" w:bidi="ar-SA"/>
              </w:rPr>
              <w:t>《环境空气质量标准》（GB3095-</w:t>
            </w:r>
            <w:r>
              <w:rPr>
                <w:rFonts w:hint="eastAsia" w:cs="Times New Roman"/>
                <w:color w:val="auto"/>
                <w:kern w:val="2"/>
                <w:sz w:val="21"/>
                <w:szCs w:val="21"/>
                <w:highlight w:val="none"/>
                <w:lang w:val="en-US" w:eastAsia="zh-CN" w:bidi="ar-SA"/>
              </w:rPr>
              <w:t>2026</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过渡期二级</w:t>
            </w:r>
            <w:r>
              <w:rPr>
                <w:rFonts w:hint="default" w:ascii="Times New Roman" w:hAnsi="Times New Roman" w:eastAsia="宋体" w:cs="Times New Roman"/>
                <w:color w:val="auto"/>
                <w:kern w:val="2"/>
                <w:sz w:val="21"/>
                <w:szCs w:val="21"/>
                <w:highlight w:val="none"/>
                <w:lang w:val="en-US" w:eastAsia="zh-CN" w:bidi="ar-SA"/>
              </w:rPr>
              <w:t>标准</w:t>
            </w:r>
          </w:p>
        </w:tc>
        <w:tc>
          <w:tcPr>
            <w:tcW w:w="947" w:type="dxa"/>
            <w:noWrap w:val="0"/>
            <w:vAlign w:val="center"/>
          </w:tcPr>
          <w:p w14:paraId="225689CD">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162</w:t>
            </w:r>
          </w:p>
        </w:tc>
        <w:tc>
          <w:tcPr>
            <w:tcW w:w="359" w:type="pct"/>
            <w:noWrap w:val="0"/>
            <w:vAlign w:val="center"/>
          </w:tcPr>
          <w:p w14:paraId="0FA6BBB5">
            <w:pPr>
              <w:adjustRightInd/>
              <w:snapToGrid/>
              <w:spacing w:line="240" w:lineRule="auto"/>
              <w:ind w:right="1" w:firstLine="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eastAsia="宋体" w:cs="Times New Roman"/>
                <w:snapToGrid/>
                <w:color w:val="auto"/>
                <w:sz w:val="21"/>
                <w:szCs w:val="21"/>
                <w:lang w:val="en-US" w:eastAsia="zh-CN"/>
              </w:rPr>
              <w:t>NW</w:t>
            </w:r>
          </w:p>
        </w:tc>
        <w:tc>
          <w:tcPr>
            <w:tcW w:w="374" w:type="pct"/>
            <w:noWrap w:val="0"/>
            <w:vAlign w:val="center"/>
          </w:tcPr>
          <w:p w14:paraId="28A4452E">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sz w:val="21"/>
                <w:szCs w:val="21"/>
                <w:lang w:val="en-US" w:eastAsia="zh-CN"/>
              </w:rPr>
              <w:t>2257</w:t>
            </w:r>
          </w:p>
        </w:tc>
      </w:tr>
      <w:tr w14:paraId="79D50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552DCB05">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5D713AF8">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yellow"/>
                <w:lang w:val="en-US" w:eastAsia="zh-CN" w:bidi="ar-SA"/>
              </w:rPr>
            </w:pPr>
            <w:r>
              <w:rPr>
                <w:rFonts w:hint="eastAsia" w:ascii="宋体" w:hAnsi="宋体" w:eastAsia="宋体" w:cs="宋体"/>
                <w:i w:val="0"/>
                <w:iCs w:val="0"/>
                <w:color w:val="auto"/>
                <w:kern w:val="0"/>
                <w:sz w:val="21"/>
                <w:szCs w:val="21"/>
                <w:u w:val="none"/>
                <w:lang w:val="en-US" w:eastAsia="zh-CN" w:bidi="ar"/>
              </w:rPr>
              <w:t>6</w:t>
            </w:r>
          </w:p>
        </w:tc>
        <w:tc>
          <w:tcPr>
            <w:tcW w:w="354" w:type="pct"/>
            <w:noWrap w:val="0"/>
            <w:vAlign w:val="center"/>
          </w:tcPr>
          <w:p w14:paraId="444DC432">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sz w:val="21"/>
                <w:szCs w:val="21"/>
                <w:highlight w:val="none"/>
                <w:lang w:val="en-US" w:eastAsia="zh-CN"/>
              </w:rPr>
              <w:t>窑上</w:t>
            </w:r>
            <w:r>
              <w:rPr>
                <w:rFonts w:hint="eastAsia" w:cs="Times New Roman"/>
                <w:snapToGrid/>
                <w:color w:val="auto"/>
                <w:sz w:val="21"/>
                <w:szCs w:val="21"/>
                <w:highlight w:val="none"/>
                <w:lang w:val="en-US" w:eastAsia="zh-CN"/>
              </w:rPr>
              <w:t>1</w:t>
            </w:r>
          </w:p>
        </w:tc>
        <w:tc>
          <w:tcPr>
            <w:tcW w:w="533" w:type="pct"/>
            <w:gridSpan w:val="2"/>
            <w:noWrap w:val="0"/>
            <w:vAlign w:val="center"/>
          </w:tcPr>
          <w:p w14:paraId="215DE918">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bookmarkStart w:id="470" w:name="OLE_LINK121"/>
            <w:r>
              <w:rPr>
                <w:rFonts w:hint="default" w:ascii="Times New Roman" w:hAnsi="Times New Roman" w:cs="Times New Roman"/>
                <w:color w:val="auto"/>
                <w:sz w:val="21"/>
                <w:szCs w:val="21"/>
              </w:rPr>
              <w:t>725000</w:t>
            </w:r>
          </w:p>
        </w:tc>
        <w:tc>
          <w:tcPr>
            <w:tcW w:w="711" w:type="pct"/>
            <w:noWrap w:val="0"/>
            <w:vAlign w:val="center"/>
          </w:tcPr>
          <w:p w14:paraId="403B278C">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4560123</w:t>
            </w:r>
          </w:p>
        </w:tc>
        <w:tc>
          <w:tcPr>
            <w:tcW w:w="602" w:type="pct"/>
            <w:noWrap w:val="0"/>
            <w:vAlign w:val="center"/>
          </w:tcPr>
          <w:p w14:paraId="6A751D15">
            <w:pPr>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746891DE">
            <w:pPr>
              <w:adjustRightInd/>
              <w:snapToGrid/>
              <w:spacing w:line="240" w:lineRule="auto"/>
              <w:ind w:right="1" w:firstLine="0"/>
              <w:jc w:val="center"/>
              <w:textAlignment w:val="auto"/>
              <w:rPr>
                <w:rFonts w:hint="default" w:ascii="Times New Roman" w:hAnsi="Times New Roman" w:eastAsia="宋体" w:cs="Times New Roman"/>
                <w:snapToGrid/>
                <w:color w:val="auto"/>
                <w:sz w:val="21"/>
                <w:szCs w:val="21"/>
                <w:lang w:val="en-US" w:eastAsia="zh-CN"/>
              </w:rPr>
            </w:pPr>
          </w:p>
        </w:tc>
        <w:tc>
          <w:tcPr>
            <w:tcW w:w="947" w:type="dxa"/>
            <w:noWrap w:val="0"/>
            <w:vAlign w:val="center"/>
          </w:tcPr>
          <w:p w14:paraId="248B585D">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233</w:t>
            </w:r>
          </w:p>
        </w:tc>
        <w:tc>
          <w:tcPr>
            <w:tcW w:w="359" w:type="pct"/>
            <w:noWrap w:val="0"/>
            <w:vAlign w:val="center"/>
          </w:tcPr>
          <w:p w14:paraId="7F6169D4">
            <w:pPr>
              <w:adjustRightInd/>
              <w:snapToGrid/>
              <w:spacing w:line="240" w:lineRule="auto"/>
              <w:ind w:right="1" w:firstLine="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eastAsia="宋体" w:cs="Times New Roman"/>
                <w:snapToGrid/>
                <w:color w:val="auto"/>
                <w:sz w:val="21"/>
                <w:szCs w:val="21"/>
                <w:lang w:val="en-US" w:eastAsia="zh-CN"/>
              </w:rPr>
              <w:t>NW</w:t>
            </w:r>
            <w:bookmarkEnd w:id="470"/>
          </w:p>
        </w:tc>
        <w:tc>
          <w:tcPr>
            <w:tcW w:w="374" w:type="pct"/>
            <w:noWrap w:val="0"/>
            <w:vAlign w:val="center"/>
          </w:tcPr>
          <w:p w14:paraId="133D7F5B">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sz w:val="21"/>
                <w:szCs w:val="21"/>
                <w:lang w:val="en-US" w:eastAsia="zh-CN"/>
              </w:rPr>
              <w:t>2892</w:t>
            </w:r>
          </w:p>
        </w:tc>
      </w:tr>
      <w:tr w14:paraId="381F6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E32726D">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69E28D01">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7</w:t>
            </w:r>
          </w:p>
        </w:tc>
        <w:tc>
          <w:tcPr>
            <w:tcW w:w="354" w:type="pct"/>
            <w:noWrap w:val="0"/>
            <w:vAlign w:val="center"/>
          </w:tcPr>
          <w:p w14:paraId="3A03F4BF">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rPr>
              <w:t>东</w:t>
            </w:r>
            <w:r>
              <w:rPr>
                <w:rFonts w:hint="default" w:ascii="Times New Roman" w:hAnsi="Times New Roman" w:cs="Times New Roman"/>
                <w:snapToGrid/>
                <w:color w:val="auto"/>
                <w:kern w:val="2"/>
                <w:sz w:val="21"/>
                <w:szCs w:val="21"/>
                <w:highlight w:val="none"/>
                <w:lang w:val="en-US" w:eastAsia="zh-CN"/>
              </w:rPr>
              <w:t>前沟</w:t>
            </w:r>
          </w:p>
        </w:tc>
        <w:tc>
          <w:tcPr>
            <w:tcW w:w="533" w:type="pct"/>
            <w:gridSpan w:val="2"/>
            <w:noWrap w:val="0"/>
            <w:vAlign w:val="center"/>
          </w:tcPr>
          <w:p w14:paraId="4E899C67">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724270</w:t>
            </w:r>
          </w:p>
        </w:tc>
        <w:tc>
          <w:tcPr>
            <w:tcW w:w="711" w:type="pct"/>
            <w:noWrap w:val="0"/>
            <w:vAlign w:val="center"/>
          </w:tcPr>
          <w:p w14:paraId="6963DEC2">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4560143</w:t>
            </w:r>
          </w:p>
        </w:tc>
        <w:tc>
          <w:tcPr>
            <w:tcW w:w="602" w:type="pct"/>
            <w:noWrap w:val="0"/>
            <w:vAlign w:val="center"/>
          </w:tcPr>
          <w:p w14:paraId="2E52578B">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695069DA">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1FB764A2">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220</w:t>
            </w:r>
          </w:p>
        </w:tc>
        <w:tc>
          <w:tcPr>
            <w:tcW w:w="359" w:type="pct"/>
            <w:noWrap w:val="0"/>
            <w:vAlign w:val="center"/>
          </w:tcPr>
          <w:p w14:paraId="01E6D758">
            <w:pPr>
              <w:spacing w:line="240" w:lineRule="auto"/>
              <w:ind w:firstLine="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WNW</w:t>
            </w:r>
          </w:p>
        </w:tc>
        <w:tc>
          <w:tcPr>
            <w:tcW w:w="374" w:type="pct"/>
            <w:noWrap w:val="0"/>
            <w:vAlign w:val="center"/>
          </w:tcPr>
          <w:p w14:paraId="6C656130">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3031</w:t>
            </w:r>
          </w:p>
        </w:tc>
      </w:tr>
      <w:tr w14:paraId="2DC9D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7A3A44D">
            <w:pPr>
              <w:adjustRightInd/>
              <w:snapToGrid/>
              <w:spacing w:line="240" w:lineRule="auto"/>
              <w:ind w:firstLine="0"/>
              <w:jc w:val="center"/>
              <w:textAlignment w:val="auto"/>
              <w:rPr>
                <w:rFonts w:hint="default" w:ascii="Times New Roman" w:hAnsi="Times New Roman" w:cs="Times New Roman"/>
                <w:snapToGrid/>
                <w:color w:val="auto"/>
                <w:sz w:val="21"/>
                <w:szCs w:val="21"/>
                <w:highlight w:val="yellow"/>
                <w:lang w:eastAsia="en-US"/>
              </w:rPr>
            </w:pPr>
          </w:p>
        </w:tc>
        <w:tc>
          <w:tcPr>
            <w:tcW w:w="132" w:type="pct"/>
            <w:shd w:val="clear" w:color="auto" w:fill="auto"/>
            <w:noWrap w:val="0"/>
            <w:vAlign w:val="center"/>
          </w:tcPr>
          <w:p w14:paraId="3A34A9EF">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8</w:t>
            </w:r>
          </w:p>
        </w:tc>
        <w:tc>
          <w:tcPr>
            <w:tcW w:w="354" w:type="pct"/>
            <w:noWrap w:val="0"/>
            <w:vAlign w:val="center"/>
          </w:tcPr>
          <w:p w14:paraId="3DA3EB94">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西沟子</w:t>
            </w:r>
          </w:p>
        </w:tc>
        <w:tc>
          <w:tcPr>
            <w:tcW w:w="533" w:type="pct"/>
            <w:gridSpan w:val="2"/>
            <w:noWrap w:val="0"/>
            <w:vAlign w:val="center"/>
          </w:tcPr>
          <w:p w14:paraId="2EC24081">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724732</w:t>
            </w:r>
          </w:p>
        </w:tc>
        <w:tc>
          <w:tcPr>
            <w:tcW w:w="711" w:type="pct"/>
            <w:noWrap w:val="0"/>
            <w:vAlign w:val="center"/>
          </w:tcPr>
          <w:p w14:paraId="291CAF3D">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4559441</w:t>
            </w:r>
          </w:p>
        </w:tc>
        <w:tc>
          <w:tcPr>
            <w:tcW w:w="602" w:type="pct"/>
            <w:noWrap w:val="0"/>
            <w:vAlign w:val="center"/>
          </w:tcPr>
          <w:p w14:paraId="7A3A8527">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5CF7777B">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p>
        </w:tc>
        <w:tc>
          <w:tcPr>
            <w:tcW w:w="947" w:type="dxa"/>
            <w:noWrap w:val="0"/>
            <w:vAlign w:val="center"/>
          </w:tcPr>
          <w:p w14:paraId="1E5E44C2">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34</w:t>
            </w:r>
          </w:p>
        </w:tc>
        <w:tc>
          <w:tcPr>
            <w:tcW w:w="359" w:type="pct"/>
            <w:noWrap w:val="0"/>
            <w:vAlign w:val="center"/>
          </w:tcPr>
          <w:p w14:paraId="3E49D06B">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WNW</w:t>
            </w:r>
          </w:p>
        </w:tc>
        <w:tc>
          <w:tcPr>
            <w:tcW w:w="374" w:type="pct"/>
            <w:noWrap w:val="0"/>
            <w:vAlign w:val="center"/>
          </w:tcPr>
          <w:p w14:paraId="7A66B435">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rPr>
              <w:t>3982</w:t>
            </w:r>
          </w:p>
        </w:tc>
      </w:tr>
      <w:tr w14:paraId="66755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142BAF42">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76271EC6">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9</w:t>
            </w:r>
          </w:p>
        </w:tc>
        <w:tc>
          <w:tcPr>
            <w:tcW w:w="354" w:type="pct"/>
            <w:noWrap w:val="0"/>
            <w:vAlign w:val="center"/>
          </w:tcPr>
          <w:p w14:paraId="08BC2C41">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北洼</w:t>
            </w:r>
          </w:p>
        </w:tc>
        <w:tc>
          <w:tcPr>
            <w:tcW w:w="533" w:type="pct"/>
            <w:gridSpan w:val="2"/>
            <w:noWrap w:val="0"/>
            <w:vAlign w:val="center"/>
          </w:tcPr>
          <w:p w14:paraId="72B01370">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725294</w:t>
            </w:r>
          </w:p>
        </w:tc>
        <w:tc>
          <w:tcPr>
            <w:tcW w:w="711" w:type="pct"/>
            <w:noWrap w:val="0"/>
            <w:vAlign w:val="center"/>
          </w:tcPr>
          <w:p w14:paraId="1A67861B">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4558622</w:t>
            </w:r>
          </w:p>
        </w:tc>
        <w:tc>
          <w:tcPr>
            <w:tcW w:w="602" w:type="pct"/>
            <w:noWrap w:val="0"/>
            <w:vAlign w:val="center"/>
          </w:tcPr>
          <w:p w14:paraId="160D7FAC">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339BA909">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13B94200">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235</w:t>
            </w:r>
          </w:p>
        </w:tc>
        <w:tc>
          <w:tcPr>
            <w:tcW w:w="359" w:type="pct"/>
            <w:noWrap w:val="0"/>
            <w:vAlign w:val="center"/>
          </w:tcPr>
          <w:p w14:paraId="50ED33A8">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W</w:t>
            </w:r>
          </w:p>
        </w:tc>
        <w:tc>
          <w:tcPr>
            <w:tcW w:w="374" w:type="pct"/>
            <w:noWrap w:val="0"/>
            <w:vAlign w:val="center"/>
          </w:tcPr>
          <w:p w14:paraId="7321979F">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2445</w:t>
            </w:r>
          </w:p>
        </w:tc>
      </w:tr>
      <w:tr w14:paraId="351B5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18751076">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26801DEC">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10</w:t>
            </w:r>
          </w:p>
        </w:tc>
        <w:tc>
          <w:tcPr>
            <w:tcW w:w="354" w:type="pct"/>
            <w:noWrap w:val="0"/>
            <w:vAlign w:val="center"/>
          </w:tcPr>
          <w:p w14:paraId="358CDCE5">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洞上</w:t>
            </w:r>
          </w:p>
        </w:tc>
        <w:tc>
          <w:tcPr>
            <w:tcW w:w="533" w:type="pct"/>
            <w:gridSpan w:val="2"/>
            <w:noWrap w:val="0"/>
            <w:vAlign w:val="center"/>
          </w:tcPr>
          <w:p w14:paraId="61A01D6D">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725592</w:t>
            </w:r>
          </w:p>
        </w:tc>
        <w:tc>
          <w:tcPr>
            <w:tcW w:w="711" w:type="pct"/>
            <w:noWrap w:val="0"/>
            <w:vAlign w:val="center"/>
          </w:tcPr>
          <w:p w14:paraId="5CFD7A17">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4558000</w:t>
            </w:r>
          </w:p>
        </w:tc>
        <w:tc>
          <w:tcPr>
            <w:tcW w:w="602" w:type="pct"/>
            <w:noWrap w:val="0"/>
            <w:vAlign w:val="center"/>
          </w:tcPr>
          <w:p w14:paraId="53F17E8B">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2BEF4B86">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3278884A">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340</w:t>
            </w:r>
          </w:p>
        </w:tc>
        <w:tc>
          <w:tcPr>
            <w:tcW w:w="359" w:type="pct"/>
            <w:noWrap w:val="0"/>
            <w:vAlign w:val="center"/>
          </w:tcPr>
          <w:p w14:paraId="0019BC4B">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WSW</w:t>
            </w:r>
          </w:p>
        </w:tc>
        <w:tc>
          <w:tcPr>
            <w:tcW w:w="374" w:type="pct"/>
            <w:noWrap w:val="0"/>
            <w:vAlign w:val="center"/>
          </w:tcPr>
          <w:p w14:paraId="20A39839">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2559</w:t>
            </w:r>
          </w:p>
        </w:tc>
      </w:tr>
      <w:tr w14:paraId="540D2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16C4E0FC">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294032B1">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11</w:t>
            </w:r>
          </w:p>
        </w:tc>
        <w:tc>
          <w:tcPr>
            <w:tcW w:w="354" w:type="pct"/>
            <w:noWrap w:val="0"/>
            <w:vAlign w:val="center"/>
          </w:tcPr>
          <w:p w14:paraId="60A0C76B">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南沟</w:t>
            </w:r>
          </w:p>
        </w:tc>
        <w:tc>
          <w:tcPr>
            <w:tcW w:w="533" w:type="pct"/>
            <w:gridSpan w:val="2"/>
            <w:noWrap w:val="0"/>
            <w:vAlign w:val="center"/>
          </w:tcPr>
          <w:p w14:paraId="275E518B">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725874</w:t>
            </w:r>
          </w:p>
        </w:tc>
        <w:tc>
          <w:tcPr>
            <w:tcW w:w="711" w:type="pct"/>
            <w:noWrap w:val="0"/>
            <w:vAlign w:val="center"/>
          </w:tcPr>
          <w:p w14:paraId="628027CE">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4557538</w:t>
            </w:r>
          </w:p>
        </w:tc>
        <w:tc>
          <w:tcPr>
            <w:tcW w:w="602" w:type="pct"/>
            <w:noWrap w:val="0"/>
            <w:vAlign w:val="center"/>
          </w:tcPr>
          <w:p w14:paraId="479DE294">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27AA72F7">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58320318">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107</w:t>
            </w:r>
          </w:p>
        </w:tc>
        <w:tc>
          <w:tcPr>
            <w:tcW w:w="359" w:type="pct"/>
            <w:noWrap w:val="0"/>
            <w:vAlign w:val="center"/>
          </w:tcPr>
          <w:p w14:paraId="236A751C">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SW</w:t>
            </w:r>
          </w:p>
        </w:tc>
        <w:tc>
          <w:tcPr>
            <w:tcW w:w="374" w:type="pct"/>
            <w:noWrap w:val="0"/>
            <w:vAlign w:val="center"/>
          </w:tcPr>
          <w:p w14:paraId="4EDB5061">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2749</w:t>
            </w:r>
          </w:p>
        </w:tc>
      </w:tr>
      <w:tr w14:paraId="65A40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59DA7136">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7E423D7A">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12</w:t>
            </w:r>
          </w:p>
        </w:tc>
        <w:tc>
          <w:tcPr>
            <w:tcW w:w="354" w:type="pct"/>
            <w:noWrap w:val="0"/>
            <w:vAlign w:val="center"/>
          </w:tcPr>
          <w:p w14:paraId="204F9285">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bookmarkStart w:id="471" w:name="OLE_LINK30"/>
            <w:r>
              <w:rPr>
                <w:rFonts w:hint="default" w:ascii="Times New Roman" w:hAnsi="Times New Roman" w:cs="Times New Roman"/>
                <w:snapToGrid/>
                <w:color w:val="auto"/>
                <w:kern w:val="2"/>
                <w:sz w:val="21"/>
                <w:szCs w:val="21"/>
                <w:highlight w:val="none"/>
                <w:lang w:val="en-US" w:eastAsia="zh-CN"/>
              </w:rPr>
              <w:t>锢炉沟</w:t>
            </w:r>
            <w:bookmarkEnd w:id="471"/>
          </w:p>
        </w:tc>
        <w:tc>
          <w:tcPr>
            <w:tcW w:w="533" w:type="pct"/>
            <w:gridSpan w:val="2"/>
            <w:noWrap w:val="0"/>
            <w:vAlign w:val="center"/>
          </w:tcPr>
          <w:p w14:paraId="58194B34">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725175</w:t>
            </w:r>
          </w:p>
        </w:tc>
        <w:tc>
          <w:tcPr>
            <w:tcW w:w="711" w:type="pct"/>
            <w:noWrap w:val="0"/>
            <w:vAlign w:val="center"/>
          </w:tcPr>
          <w:p w14:paraId="54D75354">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4557281</w:t>
            </w:r>
          </w:p>
        </w:tc>
        <w:tc>
          <w:tcPr>
            <w:tcW w:w="602" w:type="pct"/>
            <w:noWrap w:val="0"/>
            <w:vAlign w:val="center"/>
          </w:tcPr>
          <w:p w14:paraId="542FF5DF">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7990BA8">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1B1B77FF">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125</w:t>
            </w:r>
          </w:p>
        </w:tc>
        <w:tc>
          <w:tcPr>
            <w:tcW w:w="359" w:type="pct"/>
            <w:noWrap w:val="0"/>
            <w:vAlign w:val="center"/>
          </w:tcPr>
          <w:p w14:paraId="5773183B">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SW</w:t>
            </w:r>
          </w:p>
        </w:tc>
        <w:tc>
          <w:tcPr>
            <w:tcW w:w="374" w:type="pct"/>
            <w:noWrap w:val="0"/>
            <w:vAlign w:val="center"/>
          </w:tcPr>
          <w:p w14:paraId="7ED084D6">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3</w:t>
            </w:r>
            <w:r>
              <w:rPr>
                <w:rFonts w:hint="eastAsia" w:ascii="Times New Roman" w:hAnsi="Times New Roman" w:cs="Times New Roman"/>
                <w:snapToGrid/>
                <w:color w:val="auto"/>
                <w:kern w:val="2"/>
                <w:sz w:val="21"/>
                <w:szCs w:val="21"/>
                <w:lang w:val="en-US" w:eastAsia="zh-CN"/>
              </w:rPr>
              <w:t>2</w:t>
            </w:r>
            <w:r>
              <w:rPr>
                <w:rFonts w:hint="default" w:ascii="Times New Roman" w:hAnsi="Times New Roman" w:cs="Times New Roman"/>
                <w:snapToGrid/>
                <w:color w:val="auto"/>
                <w:kern w:val="2"/>
                <w:sz w:val="21"/>
                <w:szCs w:val="21"/>
                <w:lang w:val="en-US" w:eastAsia="zh-CN"/>
              </w:rPr>
              <w:t>72</w:t>
            </w:r>
          </w:p>
        </w:tc>
      </w:tr>
      <w:tr w14:paraId="05EF8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3544339E">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1F59B6EC">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13</w:t>
            </w:r>
          </w:p>
        </w:tc>
        <w:tc>
          <w:tcPr>
            <w:tcW w:w="354" w:type="pct"/>
            <w:noWrap w:val="0"/>
            <w:vAlign w:val="center"/>
          </w:tcPr>
          <w:p w14:paraId="16F010A3">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姜家房申</w:t>
            </w:r>
          </w:p>
        </w:tc>
        <w:tc>
          <w:tcPr>
            <w:tcW w:w="533" w:type="pct"/>
            <w:gridSpan w:val="2"/>
            <w:noWrap w:val="0"/>
            <w:vAlign w:val="center"/>
          </w:tcPr>
          <w:p w14:paraId="616AB2F2">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726317</w:t>
            </w:r>
          </w:p>
        </w:tc>
        <w:tc>
          <w:tcPr>
            <w:tcW w:w="711" w:type="pct"/>
            <w:noWrap w:val="0"/>
            <w:vAlign w:val="center"/>
          </w:tcPr>
          <w:p w14:paraId="3A07FD54">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4557112</w:t>
            </w:r>
          </w:p>
        </w:tc>
        <w:tc>
          <w:tcPr>
            <w:tcW w:w="602" w:type="pct"/>
            <w:noWrap w:val="0"/>
            <w:vAlign w:val="center"/>
          </w:tcPr>
          <w:p w14:paraId="0A1A3CD7">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26311FDA">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25927B12">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115</w:t>
            </w:r>
          </w:p>
        </w:tc>
        <w:tc>
          <w:tcPr>
            <w:tcW w:w="359" w:type="pct"/>
            <w:noWrap w:val="0"/>
            <w:vAlign w:val="center"/>
          </w:tcPr>
          <w:p w14:paraId="1F41F554">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SW</w:t>
            </w:r>
          </w:p>
        </w:tc>
        <w:tc>
          <w:tcPr>
            <w:tcW w:w="374" w:type="pct"/>
            <w:noWrap w:val="0"/>
            <w:vAlign w:val="center"/>
          </w:tcPr>
          <w:p w14:paraId="170472EF">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2</w:t>
            </w:r>
            <w:r>
              <w:rPr>
                <w:rFonts w:hint="eastAsia" w:ascii="Times New Roman" w:hAnsi="Times New Roman" w:cs="Times New Roman"/>
                <w:snapToGrid/>
                <w:color w:val="auto"/>
                <w:kern w:val="2"/>
                <w:sz w:val="21"/>
                <w:szCs w:val="21"/>
                <w:lang w:val="en-US" w:eastAsia="zh-CN"/>
              </w:rPr>
              <w:t>6</w:t>
            </w:r>
            <w:r>
              <w:rPr>
                <w:rFonts w:hint="default" w:ascii="Times New Roman" w:hAnsi="Times New Roman" w:cs="Times New Roman"/>
                <w:snapToGrid/>
                <w:color w:val="auto"/>
                <w:kern w:val="2"/>
                <w:sz w:val="21"/>
                <w:szCs w:val="21"/>
                <w:lang w:val="en-US" w:eastAsia="zh-CN"/>
              </w:rPr>
              <w:t>86</w:t>
            </w:r>
          </w:p>
        </w:tc>
      </w:tr>
      <w:tr w14:paraId="6A957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60CC5C4E">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shd w:val="clear" w:color="auto" w:fill="auto"/>
            <w:noWrap w:val="0"/>
            <w:vAlign w:val="center"/>
          </w:tcPr>
          <w:p w14:paraId="59E9CCE5">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14</w:t>
            </w:r>
          </w:p>
        </w:tc>
        <w:tc>
          <w:tcPr>
            <w:tcW w:w="354" w:type="pct"/>
            <w:noWrap w:val="0"/>
            <w:vAlign w:val="center"/>
          </w:tcPr>
          <w:p w14:paraId="67524A2A">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二道沟</w:t>
            </w:r>
          </w:p>
        </w:tc>
        <w:tc>
          <w:tcPr>
            <w:tcW w:w="533" w:type="pct"/>
            <w:gridSpan w:val="2"/>
            <w:noWrap w:val="0"/>
            <w:vAlign w:val="center"/>
          </w:tcPr>
          <w:p w14:paraId="55F9E289">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725976</w:t>
            </w:r>
          </w:p>
        </w:tc>
        <w:tc>
          <w:tcPr>
            <w:tcW w:w="711" w:type="pct"/>
            <w:noWrap w:val="0"/>
            <w:vAlign w:val="center"/>
          </w:tcPr>
          <w:p w14:paraId="20251395">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4555970</w:t>
            </w:r>
          </w:p>
        </w:tc>
        <w:tc>
          <w:tcPr>
            <w:tcW w:w="602" w:type="pct"/>
            <w:noWrap w:val="0"/>
            <w:vAlign w:val="center"/>
          </w:tcPr>
          <w:p w14:paraId="054FBC9E">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584722DD">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2720FBF9">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139</w:t>
            </w:r>
          </w:p>
        </w:tc>
        <w:tc>
          <w:tcPr>
            <w:tcW w:w="359" w:type="pct"/>
            <w:noWrap w:val="0"/>
            <w:vAlign w:val="center"/>
          </w:tcPr>
          <w:p w14:paraId="209357B0">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SW</w:t>
            </w:r>
          </w:p>
        </w:tc>
        <w:tc>
          <w:tcPr>
            <w:tcW w:w="374" w:type="pct"/>
            <w:noWrap w:val="0"/>
            <w:vAlign w:val="center"/>
          </w:tcPr>
          <w:p w14:paraId="4BBA30F7">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ascii="Times New Roman" w:hAnsi="Times New Roman" w:cs="Times New Roman"/>
                <w:snapToGrid/>
                <w:color w:val="auto"/>
                <w:kern w:val="2"/>
                <w:sz w:val="21"/>
                <w:szCs w:val="21"/>
                <w:lang w:val="en-US" w:eastAsia="zh-CN"/>
              </w:rPr>
              <w:t>419</w:t>
            </w:r>
            <w:r>
              <w:rPr>
                <w:rFonts w:hint="default" w:ascii="Times New Roman" w:hAnsi="Times New Roman" w:cs="Times New Roman"/>
                <w:snapToGrid/>
                <w:color w:val="auto"/>
                <w:kern w:val="2"/>
                <w:sz w:val="21"/>
                <w:szCs w:val="21"/>
                <w:lang w:val="en-US" w:eastAsia="zh-CN"/>
              </w:rPr>
              <w:t>0</w:t>
            </w:r>
          </w:p>
        </w:tc>
      </w:tr>
      <w:tr w14:paraId="5D765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74F321DD">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17D3C230">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15</w:t>
            </w:r>
          </w:p>
        </w:tc>
        <w:tc>
          <w:tcPr>
            <w:tcW w:w="354" w:type="pct"/>
            <w:noWrap w:val="0"/>
            <w:vAlign w:val="center"/>
          </w:tcPr>
          <w:p w14:paraId="21110A66">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kern w:val="2"/>
                <w:sz w:val="21"/>
                <w:szCs w:val="21"/>
                <w:highlight w:val="none"/>
                <w:lang w:val="en-US" w:eastAsia="zh-CN"/>
              </w:rPr>
              <w:t>头道沟</w:t>
            </w:r>
          </w:p>
        </w:tc>
        <w:tc>
          <w:tcPr>
            <w:tcW w:w="533" w:type="pct"/>
            <w:gridSpan w:val="2"/>
            <w:noWrap w:val="0"/>
            <w:vAlign w:val="center"/>
          </w:tcPr>
          <w:p w14:paraId="7BDB65B3">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726121</w:t>
            </w:r>
          </w:p>
        </w:tc>
        <w:tc>
          <w:tcPr>
            <w:tcW w:w="711" w:type="pct"/>
            <w:noWrap w:val="0"/>
            <w:vAlign w:val="center"/>
          </w:tcPr>
          <w:p w14:paraId="0662CA6B">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4556176</w:t>
            </w:r>
          </w:p>
        </w:tc>
        <w:tc>
          <w:tcPr>
            <w:tcW w:w="602" w:type="pct"/>
            <w:noWrap w:val="0"/>
            <w:vAlign w:val="center"/>
          </w:tcPr>
          <w:p w14:paraId="06FF7205">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A3F6606">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50311A94">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136</w:t>
            </w:r>
          </w:p>
        </w:tc>
        <w:tc>
          <w:tcPr>
            <w:tcW w:w="359" w:type="pct"/>
            <w:noWrap w:val="0"/>
            <w:vAlign w:val="center"/>
          </w:tcPr>
          <w:p w14:paraId="7A52A085">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SW</w:t>
            </w:r>
          </w:p>
        </w:tc>
        <w:tc>
          <w:tcPr>
            <w:tcW w:w="374" w:type="pct"/>
            <w:noWrap w:val="0"/>
            <w:vAlign w:val="center"/>
          </w:tcPr>
          <w:p w14:paraId="5960558B">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3</w:t>
            </w:r>
            <w:r>
              <w:rPr>
                <w:rFonts w:hint="eastAsia" w:ascii="Times New Roman" w:hAnsi="Times New Roman" w:cs="Times New Roman"/>
                <w:snapToGrid/>
                <w:color w:val="auto"/>
                <w:kern w:val="2"/>
                <w:sz w:val="21"/>
                <w:szCs w:val="21"/>
                <w:lang w:val="en-US" w:eastAsia="zh-CN"/>
              </w:rPr>
              <w:t>7</w:t>
            </w:r>
            <w:r>
              <w:rPr>
                <w:rFonts w:hint="default" w:ascii="Times New Roman" w:hAnsi="Times New Roman" w:cs="Times New Roman"/>
                <w:snapToGrid/>
                <w:color w:val="auto"/>
                <w:kern w:val="2"/>
                <w:sz w:val="21"/>
                <w:szCs w:val="21"/>
                <w:lang w:val="en-US" w:eastAsia="zh-CN"/>
              </w:rPr>
              <w:t>38</w:t>
            </w:r>
          </w:p>
        </w:tc>
      </w:tr>
      <w:tr w14:paraId="0B62C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6C297B36">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403B293E">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16</w:t>
            </w:r>
          </w:p>
        </w:tc>
        <w:tc>
          <w:tcPr>
            <w:tcW w:w="354" w:type="pct"/>
            <w:noWrap w:val="0"/>
            <w:vAlign w:val="center"/>
          </w:tcPr>
          <w:p w14:paraId="3A6F2E59">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大五家子</w:t>
            </w:r>
          </w:p>
        </w:tc>
        <w:tc>
          <w:tcPr>
            <w:tcW w:w="533" w:type="pct"/>
            <w:gridSpan w:val="2"/>
            <w:noWrap w:val="0"/>
            <w:vAlign w:val="center"/>
          </w:tcPr>
          <w:p w14:paraId="791CE96E">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727482</w:t>
            </w:r>
          </w:p>
        </w:tc>
        <w:tc>
          <w:tcPr>
            <w:tcW w:w="711" w:type="pct"/>
            <w:noWrap w:val="0"/>
            <w:vAlign w:val="center"/>
          </w:tcPr>
          <w:p w14:paraId="2B22BCB9">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4556554</w:t>
            </w:r>
          </w:p>
        </w:tc>
        <w:tc>
          <w:tcPr>
            <w:tcW w:w="602" w:type="pct"/>
            <w:noWrap w:val="0"/>
            <w:vAlign w:val="center"/>
          </w:tcPr>
          <w:p w14:paraId="2D42838F">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552801D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759CCF0B">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525</w:t>
            </w:r>
          </w:p>
        </w:tc>
        <w:tc>
          <w:tcPr>
            <w:tcW w:w="359" w:type="pct"/>
            <w:noWrap w:val="0"/>
            <w:vAlign w:val="center"/>
          </w:tcPr>
          <w:p w14:paraId="175DF143">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SSW</w:t>
            </w:r>
          </w:p>
        </w:tc>
        <w:tc>
          <w:tcPr>
            <w:tcW w:w="374" w:type="pct"/>
            <w:noWrap w:val="0"/>
            <w:vAlign w:val="center"/>
          </w:tcPr>
          <w:p w14:paraId="19B6496E">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2956</w:t>
            </w:r>
          </w:p>
        </w:tc>
      </w:tr>
      <w:tr w14:paraId="05199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60799BDC">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295FC9CB">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17</w:t>
            </w:r>
          </w:p>
        </w:tc>
        <w:tc>
          <w:tcPr>
            <w:tcW w:w="354" w:type="pct"/>
            <w:noWrap w:val="0"/>
            <w:vAlign w:val="center"/>
          </w:tcPr>
          <w:p w14:paraId="78111E56">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小五家子</w:t>
            </w:r>
          </w:p>
        </w:tc>
        <w:tc>
          <w:tcPr>
            <w:tcW w:w="533" w:type="pct"/>
            <w:gridSpan w:val="2"/>
            <w:noWrap w:val="0"/>
            <w:vAlign w:val="center"/>
          </w:tcPr>
          <w:p w14:paraId="7403F715">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728367</w:t>
            </w:r>
          </w:p>
        </w:tc>
        <w:tc>
          <w:tcPr>
            <w:tcW w:w="711" w:type="pct"/>
            <w:noWrap w:val="0"/>
            <w:vAlign w:val="center"/>
          </w:tcPr>
          <w:p w14:paraId="22543D83">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4555326</w:t>
            </w:r>
          </w:p>
        </w:tc>
        <w:tc>
          <w:tcPr>
            <w:tcW w:w="602" w:type="pct"/>
            <w:noWrap w:val="0"/>
            <w:vAlign w:val="center"/>
          </w:tcPr>
          <w:p w14:paraId="11BC35F8">
            <w:pPr>
              <w:adjustRightInd/>
              <w:snapToGrid/>
              <w:spacing w:line="240" w:lineRule="auto"/>
              <w:ind w:firstLine="0" w:firstLineChars="0"/>
              <w:jc w:val="center"/>
              <w:textAlignment w:val="auto"/>
              <w:rPr>
                <w:rFonts w:hint="eastAsia"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31955CC4">
            <w:pPr>
              <w:spacing w:line="240" w:lineRule="auto"/>
              <w:ind w:firstLine="0"/>
              <w:jc w:val="center"/>
              <w:textAlignment w:val="auto"/>
              <w:rPr>
                <w:rFonts w:hint="eastAsia" w:cs="Times New Roman"/>
                <w:snapToGrid/>
                <w:color w:val="auto"/>
                <w:kern w:val="2"/>
                <w:sz w:val="21"/>
                <w:szCs w:val="21"/>
                <w:lang w:val="en-US" w:eastAsia="zh-CN"/>
              </w:rPr>
            </w:pPr>
          </w:p>
        </w:tc>
        <w:tc>
          <w:tcPr>
            <w:tcW w:w="947" w:type="dxa"/>
            <w:noWrap w:val="0"/>
            <w:vAlign w:val="center"/>
          </w:tcPr>
          <w:p w14:paraId="1C6ECE08">
            <w:pPr>
              <w:adjustRightInd/>
              <w:snapToGrid/>
              <w:spacing w:line="240" w:lineRule="auto"/>
              <w:ind w:right="5" w:rightChars="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324</w:t>
            </w:r>
          </w:p>
        </w:tc>
        <w:tc>
          <w:tcPr>
            <w:tcW w:w="359" w:type="pct"/>
            <w:noWrap w:val="0"/>
            <w:vAlign w:val="center"/>
          </w:tcPr>
          <w:p w14:paraId="095A6016">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kern w:val="2"/>
                <w:sz w:val="21"/>
                <w:szCs w:val="21"/>
                <w:lang w:val="en-US" w:eastAsia="zh-CN"/>
              </w:rPr>
              <w:t>S</w:t>
            </w:r>
          </w:p>
        </w:tc>
        <w:tc>
          <w:tcPr>
            <w:tcW w:w="374" w:type="pct"/>
            <w:noWrap w:val="0"/>
            <w:vAlign w:val="center"/>
          </w:tcPr>
          <w:p w14:paraId="4E7E6960">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kern w:val="2"/>
                <w:sz w:val="21"/>
                <w:szCs w:val="21"/>
                <w:lang w:val="en-US" w:eastAsia="zh-CN"/>
              </w:rPr>
              <w:t>3274</w:t>
            </w:r>
          </w:p>
        </w:tc>
      </w:tr>
      <w:tr w14:paraId="759B9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24D4179E">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1754DB4B">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18</w:t>
            </w:r>
          </w:p>
        </w:tc>
        <w:tc>
          <w:tcPr>
            <w:tcW w:w="354" w:type="pct"/>
            <w:shd w:val="clear" w:color="auto" w:fill="auto"/>
            <w:noWrap w:val="0"/>
            <w:vAlign w:val="center"/>
          </w:tcPr>
          <w:p w14:paraId="5C3A8407">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sz w:val="21"/>
                <w:szCs w:val="21"/>
                <w:highlight w:val="none"/>
                <w:lang w:val="en-US" w:eastAsia="zh-CN"/>
              </w:rPr>
              <w:t>窑上</w:t>
            </w:r>
          </w:p>
        </w:tc>
        <w:tc>
          <w:tcPr>
            <w:tcW w:w="533" w:type="pct"/>
            <w:gridSpan w:val="2"/>
            <w:shd w:val="clear" w:color="auto" w:fill="auto"/>
            <w:noWrap w:val="0"/>
            <w:vAlign w:val="center"/>
          </w:tcPr>
          <w:p w14:paraId="132ECE98">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728106</w:t>
            </w:r>
          </w:p>
        </w:tc>
        <w:tc>
          <w:tcPr>
            <w:tcW w:w="711" w:type="pct"/>
            <w:shd w:val="clear" w:color="auto" w:fill="auto"/>
            <w:noWrap w:val="0"/>
            <w:vAlign w:val="center"/>
          </w:tcPr>
          <w:p w14:paraId="0EBCED58">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4557521</w:t>
            </w:r>
          </w:p>
        </w:tc>
        <w:tc>
          <w:tcPr>
            <w:tcW w:w="602" w:type="pct"/>
            <w:shd w:val="clear" w:color="auto" w:fill="auto"/>
            <w:noWrap w:val="0"/>
            <w:vAlign w:val="center"/>
          </w:tcPr>
          <w:p w14:paraId="33F07709">
            <w:pPr>
              <w:adjustRightInd/>
              <w:snapToGrid/>
              <w:spacing w:line="240" w:lineRule="auto"/>
              <w:ind w:firstLine="0" w:firstLineChars="0"/>
              <w:jc w:val="center"/>
              <w:textAlignment w:val="auto"/>
              <w:rPr>
                <w:rFonts w:hint="eastAsia"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sz w:val="21"/>
                <w:szCs w:val="21"/>
                <w:lang w:val="en-US" w:eastAsia="zh-CN"/>
              </w:rPr>
              <w:t>人群</w:t>
            </w:r>
          </w:p>
        </w:tc>
        <w:tc>
          <w:tcPr>
            <w:tcW w:w="1225" w:type="pct"/>
            <w:vMerge w:val="restart"/>
            <w:shd w:val="clear" w:color="auto" w:fill="auto"/>
            <w:noWrap w:val="0"/>
            <w:vAlign w:val="center"/>
          </w:tcPr>
          <w:p w14:paraId="737AA671">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eastAsia="宋体" w:cs="Times New Roman"/>
                <w:color w:val="auto"/>
                <w:kern w:val="2"/>
                <w:sz w:val="21"/>
                <w:szCs w:val="21"/>
                <w:highlight w:val="none"/>
                <w:lang w:val="en-US" w:eastAsia="zh-CN" w:bidi="ar-SA"/>
              </w:rPr>
              <w:t>《环境空气质量标准》（GB3095-</w:t>
            </w:r>
            <w:r>
              <w:rPr>
                <w:rFonts w:hint="eastAsia" w:cs="Times New Roman"/>
                <w:color w:val="auto"/>
                <w:kern w:val="2"/>
                <w:sz w:val="21"/>
                <w:szCs w:val="21"/>
                <w:highlight w:val="none"/>
                <w:lang w:val="en-US" w:eastAsia="zh-CN" w:bidi="ar-SA"/>
              </w:rPr>
              <w:t>2026</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过渡期</w:t>
            </w:r>
            <w:r>
              <w:rPr>
                <w:rFonts w:hint="eastAsia" w:ascii="Times New Roman" w:hAnsi="Times New Roman" w:eastAsia="宋体" w:cs="Times New Roman"/>
                <w:color w:val="auto"/>
                <w:kern w:val="2"/>
                <w:sz w:val="21"/>
                <w:szCs w:val="21"/>
                <w:highlight w:val="none"/>
                <w:lang w:val="en-US" w:eastAsia="zh-CN" w:bidi="ar-SA"/>
              </w:rPr>
              <w:t>一</w:t>
            </w:r>
            <w:r>
              <w:rPr>
                <w:rFonts w:hint="default" w:ascii="Times New Roman" w:hAnsi="Times New Roman" w:eastAsia="宋体" w:cs="Times New Roman"/>
                <w:color w:val="auto"/>
                <w:kern w:val="2"/>
                <w:sz w:val="21"/>
                <w:szCs w:val="21"/>
                <w:highlight w:val="none"/>
                <w:lang w:val="en-US" w:eastAsia="zh-CN" w:bidi="ar-SA"/>
              </w:rPr>
              <w:t>级标准</w:t>
            </w:r>
          </w:p>
        </w:tc>
        <w:tc>
          <w:tcPr>
            <w:tcW w:w="947" w:type="dxa"/>
            <w:shd w:val="clear" w:color="auto" w:fill="auto"/>
            <w:noWrap w:val="0"/>
            <w:vAlign w:val="center"/>
          </w:tcPr>
          <w:p w14:paraId="539EB91C">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790</w:t>
            </w:r>
          </w:p>
        </w:tc>
        <w:tc>
          <w:tcPr>
            <w:tcW w:w="359" w:type="pct"/>
            <w:shd w:val="clear" w:color="auto" w:fill="auto"/>
            <w:noWrap w:val="0"/>
            <w:vAlign w:val="center"/>
          </w:tcPr>
          <w:p w14:paraId="2F6306CA">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rPr>
              <w:t>S</w:t>
            </w:r>
          </w:p>
        </w:tc>
        <w:tc>
          <w:tcPr>
            <w:tcW w:w="374" w:type="pct"/>
            <w:shd w:val="clear" w:color="auto" w:fill="auto"/>
            <w:noWrap w:val="0"/>
            <w:vAlign w:val="center"/>
          </w:tcPr>
          <w:p w14:paraId="0B78B0EA">
            <w:pPr>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sz w:val="21"/>
                <w:szCs w:val="21"/>
                <w:highlight w:val="none"/>
                <w:lang w:val="en-US" w:eastAsia="zh-CN"/>
              </w:rPr>
              <w:t>14</w:t>
            </w:r>
            <w:r>
              <w:rPr>
                <w:rFonts w:hint="default" w:ascii="Times New Roman" w:hAnsi="Times New Roman" w:eastAsia="宋体" w:cs="Times New Roman"/>
                <w:snapToGrid/>
                <w:color w:val="auto"/>
                <w:sz w:val="21"/>
                <w:szCs w:val="21"/>
                <w:highlight w:val="none"/>
                <w:lang w:val="en-US" w:eastAsia="zh-CN"/>
              </w:rPr>
              <w:t>30</w:t>
            </w:r>
          </w:p>
        </w:tc>
      </w:tr>
      <w:tr w14:paraId="56F69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5BF8E3FD">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75F4AD60">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19</w:t>
            </w:r>
          </w:p>
        </w:tc>
        <w:tc>
          <w:tcPr>
            <w:tcW w:w="354" w:type="pct"/>
            <w:noWrap w:val="0"/>
            <w:vAlign w:val="center"/>
          </w:tcPr>
          <w:p w14:paraId="7173D619">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马莲沟</w:t>
            </w:r>
          </w:p>
        </w:tc>
        <w:tc>
          <w:tcPr>
            <w:tcW w:w="533" w:type="pct"/>
            <w:gridSpan w:val="2"/>
            <w:noWrap w:val="0"/>
            <w:vAlign w:val="center"/>
          </w:tcPr>
          <w:p w14:paraId="729BB00F">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727926</w:t>
            </w:r>
          </w:p>
        </w:tc>
        <w:tc>
          <w:tcPr>
            <w:tcW w:w="711" w:type="pct"/>
            <w:noWrap w:val="0"/>
            <w:vAlign w:val="center"/>
          </w:tcPr>
          <w:p w14:paraId="10C6F0C8">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4554641</w:t>
            </w:r>
          </w:p>
        </w:tc>
        <w:tc>
          <w:tcPr>
            <w:tcW w:w="602" w:type="pct"/>
            <w:noWrap w:val="0"/>
            <w:vAlign w:val="center"/>
          </w:tcPr>
          <w:p w14:paraId="0FBB79EE">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D9A91CB">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509BE840">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85</w:t>
            </w:r>
          </w:p>
        </w:tc>
        <w:tc>
          <w:tcPr>
            <w:tcW w:w="359" w:type="pct"/>
            <w:noWrap w:val="0"/>
            <w:vAlign w:val="center"/>
          </w:tcPr>
          <w:p w14:paraId="7C4F8BD7">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S</w:t>
            </w:r>
          </w:p>
        </w:tc>
        <w:tc>
          <w:tcPr>
            <w:tcW w:w="374" w:type="pct"/>
            <w:noWrap w:val="0"/>
            <w:vAlign w:val="center"/>
          </w:tcPr>
          <w:p w14:paraId="1B172D9A">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4570</w:t>
            </w:r>
          </w:p>
        </w:tc>
      </w:tr>
      <w:tr w14:paraId="05458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166D2AC3">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111F2B50">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20</w:t>
            </w:r>
          </w:p>
        </w:tc>
        <w:tc>
          <w:tcPr>
            <w:tcW w:w="354" w:type="pct"/>
            <w:noWrap w:val="0"/>
            <w:vAlign w:val="center"/>
          </w:tcPr>
          <w:p w14:paraId="3E5B53E4">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铜匠沟</w:t>
            </w:r>
          </w:p>
        </w:tc>
        <w:tc>
          <w:tcPr>
            <w:tcW w:w="533" w:type="pct"/>
            <w:gridSpan w:val="2"/>
            <w:noWrap w:val="0"/>
            <w:vAlign w:val="center"/>
          </w:tcPr>
          <w:p w14:paraId="008EA4ED">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730138</w:t>
            </w:r>
          </w:p>
        </w:tc>
        <w:tc>
          <w:tcPr>
            <w:tcW w:w="711" w:type="pct"/>
            <w:noWrap w:val="0"/>
            <w:vAlign w:val="center"/>
          </w:tcPr>
          <w:p w14:paraId="0F4B004B">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4558848</w:t>
            </w:r>
          </w:p>
        </w:tc>
        <w:tc>
          <w:tcPr>
            <w:tcW w:w="602" w:type="pct"/>
            <w:noWrap w:val="0"/>
            <w:vAlign w:val="center"/>
          </w:tcPr>
          <w:p w14:paraId="3D9936E1">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05279494">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477E5DD3">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36</w:t>
            </w:r>
          </w:p>
        </w:tc>
        <w:tc>
          <w:tcPr>
            <w:tcW w:w="359" w:type="pct"/>
            <w:noWrap w:val="0"/>
            <w:vAlign w:val="center"/>
          </w:tcPr>
          <w:p w14:paraId="449A9957">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E</w:t>
            </w:r>
          </w:p>
        </w:tc>
        <w:tc>
          <w:tcPr>
            <w:tcW w:w="374" w:type="pct"/>
            <w:noWrap w:val="0"/>
            <w:vAlign w:val="center"/>
          </w:tcPr>
          <w:p w14:paraId="1A787EDA">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1829</w:t>
            </w:r>
          </w:p>
        </w:tc>
      </w:tr>
      <w:tr w14:paraId="7C43A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5CE8B509">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07690E0F">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21</w:t>
            </w:r>
          </w:p>
        </w:tc>
        <w:tc>
          <w:tcPr>
            <w:tcW w:w="354" w:type="pct"/>
            <w:noWrap w:val="0"/>
            <w:vAlign w:val="center"/>
          </w:tcPr>
          <w:p w14:paraId="57108E69">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倪家窝铺</w:t>
            </w:r>
          </w:p>
        </w:tc>
        <w:tc>
          <w:tcPr>
            <w:tcW w:w="533" w:type="pct"/>
            <w:gridSpan w:val="2"/>
            <w:noWrap w:val="0"/>
            <w:vAlign w:val="center"/>
          </w:tcPr>
          <w:p w14:paraId="467D91AF">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730373</w:t>
            </w:r>
          </w:p>
        </w:tc>
        <w:tc>
          <w:tcPr>
            <w:tcW w:w="711" w:type="pct"/>
            <w:noWrap w:val="0"/>
            <w:vAlign w:val="center"/>
          </w:tcPr>
          <w:p w14:paraId="24D62187">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4558822</w:t>
            </w:r>
          </w:p>
        </w:tc>
        <w:tc>
          <w:tcPr>
            <w:tcW w:w="602" w:type="pct"/>
            <w:noWrap w:val="0"/>
            <w:vAlign w:val="center"/>
          </w:tcPr>
          <w:p w14:paraId="2A103666">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677EF49C">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195C62EB">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136</w:t>
            </w:r>
          </w:p>
        </w:tc>
        <w:tc>
          <w:tcPr>
            <w:tcW w:w="359" w:type="pct"/>
            <w:noWrap w:val="0"/>
            <w:vAlign w:val="center"/>
          </w:tcPr>
          <w:p w14:paraId="5B6B21B4">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E</w:t>
            </w:r>
          </w:p>
        </w:tc>
        <w:tc>
          <w:tcPr>
            <w:tcW w:w="374" w:type="pct"/>
            <w:noWrap w:val="0"/>
            <w:vAlign w:val="center"/>
          </w:tcPr>
          <w:p w14:paraId="34BEFEA7">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2225</w:t>
            </w:r>
          </w:p>
        </w:tc>
      </w:tr>
      <w:tr w14:paraId="3DE2C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6800B6D9">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20163E63">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22</w:t>
            </w:r>
          </w:p>
        </w:tc>
        <w:tc>
          <w:tcPr>
            <w:tcW w:w="354" w:type="pct"/>
            <w:noWrap w:val="0"/>
            <w:vAlign w:val="center"/>
          </w:tcPr>
          <w:p w14:paraId="4DD9929A">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东山</w:t>
            </w:r>
          </w:p>
        </w:tc>
        <w:tc>
          <w:tcPr>
            <w:tcW w:w="533" w:type="pct"/>
            <w:gridSpan w:val="2"/>
            <w:noWrap w:val="0"/>
            <w:vAlign w:val="center"/>
          </w:tcPr>
          <w:p w14:paraId="079BB420">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730819</w:t>
            </w:r>
          </w:p>
        </w:tc>
        <w:tc>
          <w:tcPr>
            <w:tcW w:w="711" w:type="pct"/>
            <w:noWrap w:val="0"/>
            <w:vAlign w:val="center"/>
          </w:tcPr>
          <w:p w14:paraId="1B628B03">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4558484</w:t>
            </w:r>
          </w:p>
        </w:tc>
        <w:tc>
          <w:tcPr>
            <w:tcW w:w="602" w:type="pct"/>
            <w:noWrap w:val="0"/>
            <w:vAlign w:val="center"/>
          </w:tcPr>
          <w:p w14:paraId="5688CFF6">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5A7717A4">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3464A522">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84</w:t>
            </w:r>
          </w:p>
        </w:tc>
        <w:tc>
          <w:tcPr>
            <w:tcW w:w="359" w:type="pct"/>
            <w:noWrap w:val="0"/>
            <w:vAlign w:val="center"/>
          </w:tcPr>
          <w:p w14:paraId="509F737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E</w:t>
            </w:r>
          </w:p>
        </w:tc>
        <w:tc>
          <w:tcPr>
            <w:tcW w:w="374" w:type="pct"/>
            <w:noWrap w:val="0"/>
            <w:vAlign w:val="center"/>
          </w:tcPr>
          <w:p w14:paraId="47CAE033">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2564</w:t>
            </w:r>
          </w:p>
        </w:tc>
      </w:tr>
      <w:tr w14:paraId="2F3CA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7" w:type="pct"/>
            <w:gridSpan w:val="2"/>
            <w:vMerge w:val="continue"/>
            <w:noWrap w:val="0"/>
            <w:vAlign w:val="center"/>
          </w:tcPr>
          <w:p w14:paraId="3573E434">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0FC6E6A2">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23</w:t>
            </w:r>
          </w:p>
        </w:tc>
        <w:tc>
          <w:tcPr>
            <w:tcW w:w="354" w:type="pct"/>
            <w:noWrap w:val="0"/>
            <w:vAlign w:val="center"/>
          </w:tcPr>
          <w:p w14:paraId="38B65780">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头道洼村</w:t>
            </w:r>
          </w:p>
        </w:tc>
        <w:tc>
          <w:tcPr>
            <w:tcW w:w="533" w:type="pct"/>
            <w:gridSpan w:val="2"/>
            <w:noWrap w:val="0"/>
            <w:vAlign w:val="center"/>
          </w:tcPr>
          <w:p w14:paraId="08EB8328">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732219</w:t>
            </w:r>
          </w:p>
        </w:tc>
        <w:tc>
          <w:tcPr>
            <w:tcW w:w="711" w:type="pct"/>
            <w:noWrap w:val="0"/>
            <w:vAlign w:val="center"/>
          </w:tcPr>
          <w:p w14:paraId="7BE2723B">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4558679</w:t>
            </w:r>
          </w:p>
        </w:tc>
        <w:tc>
          <w:tcPr>
            <w:tcW w:w="602" w:type="pct"/>
            <w:noWrap w:val="0"/>
            <w:vAlign w:val="center"/>
          </w:tcPr>
          <w:p w14:paraId="51855F50">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2A1856D0">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6380E22B">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400</w:t>
            </w:r>
          </w:p>
        </w:tc>
        <w:tc>
          <w:tcPr>
            <w:tcW w:w="359" w:type="pct"/>
            <w:noWrap w:val="0"/>
            <w:vAlign w:val="center"/>
          </w:tcPr>
          <w:p w14:paraId="4A7364A1">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E</w:t>
            </w:r>
          </w:p>
        </w:tc>
        <w:tc>
          <w:tcPr>
            <w:tcW w:w="374" w:type="pct"/>
            <w:noWrap w:val="0"/>
            <w:vAlign w:val="center"/>
          </w:tcPr>
          <w:p w14:paraId="4D5A6417">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3428</w:t>
            </w:r>
          </w:p>
        </w:tc>
      </w:tr>
      <w:tr w14:paraId="093A8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758BF99C">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29106B16">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24</w:t>
            </w:r>
          </w:p>
        </w:tc>
        <w:tc>
          <w:tcPr>
            <w:tcW w:w="354" w:type="pct"/>
            <w:noWrap w:val="0"/>
            <w:vAlign w:val="center"/>
          </w:tcPr>
          <w:p w14:paraId="18B9B4E9">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西沟</w:t>
            </w:r>
          </w:p>
        </w:tc>
        <w:tc>
          <w:tcPr>
            <w:tcW w:w="533" w:type="pct"/>
            <w:gridSpan w:val="2"/>
            <w:noWrap w:val="0"/>
            <w:vAlign w:val="center"/>
          </w:tcPr>
          <w:p w14:paraId="518AEE93">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732079</w:t>
            </w:r>
          </w:p>
        </w:tc>
        <w:tc>
          <w:tcPr>
            <w:tcW w:w="711" w:type="pct"/>
            <w:noWrap w:val="0"/>
            <w:vAlign w:val="center"/>
          </w:tcPr>
          <w:p w14:paraId="2E552ED2">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4560485</w:t>
            </w:r>
          </w:p>
        </w:tc>
        <w:tc>
          <w:tcPr>
            <w:tcW w:w="602" w:type="pct"/>
            <w:noWrap w:val="0"/>
            <w:vAlign w:val="center"/>
          </w:tcPr>
          <w:p w14:paraId="6F5E1E18">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50F99DE2">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2D88EF11">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370</w:t>
            </w:r>
          </w:p>
        </w:tc>
        <w:tc>
          <w:tcPr>
            <w:tcW w:w="359" w:type="pct"/>
            <w:noWrap w:val="0"/>
            <w:vAlign w:val="center"/>
          </w:tcPr>
          <w:p w14:paraId="67DB9B9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ENE</w:t>
            </w:r>
          </w:p>
        </w:tc>
        <w:tc>
          <w:tcPr>
            <w:tcW w:w="374" w:type="pct"/>
            <w:noWrap w:val="0"/>
            <w:vAlign w:val="center"/>
          </w:tcPr>
          <w:p w14:paraId="5C7FA582">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3728</w:t>
            </w:r>
          </w:p>
        </w:tc>
      </w:tr>
      <w:tr w14:paraId="1F2C7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7EB5EC6D">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6C59A818">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25</w:t>
            </w:r>
          </w:p>
        </w:tc>
        <w:tc>
          <w:tcPr>
            <w:tcW w:w="354" w:type="pct"/>
            <w:noWrap w:val="0"/>
            <w:vAlign w:val="center"/>
          </w:tcPr>
          <w:p w14:paraId="4A32D3C8">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锢炉沟</w:t>
            </w:r>
            <w:r>
              <w:rPr>
                <w:rFonts w:hint="eastAsia" w:cs="Times New Roman"/>
                <w:snapToGrid/>
                <w:color w:val="auto"/>
                <w:kern w:val="2"/>
                <w:sz w:val="21"/>
                <w:szCs w:val="21"/>
                <w:highlight w:val="none"/>
                <w:lang w:val="en-US" w:eastAsia="zh-CN"/>
              </w:rPr>
              <w:t>1</w:t>
            </w:r>
          </w:p>
        </w:tc>
        <w:tc>
          <w:tcPr>
            <w:tcW w:w="533" w:type="pct"/>
            <w:gridSpan w:val="2"/>
            <w:noWrap w:val="0"/>
            <w:vAlign w:val="center"/>
          </w:tcPr>
          <w:p w14:paraId="6FCB36FB">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730162</w:t>
            </w:r>
          </w:p>
        </w:tc>
        <w:tc>
          <w:tcPr>
            <w:tcW w:w="711" w:type="pct"/>
            <w:noWrap w:val="0"/>
            <w:vAlign w:val="center"/>
          </w:tcPr>
          <w:p w14:paraId="7B4C0D8F">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4559133</w:t>
            </w:r>
          </w:p>
        </w:tc>
        <w:tc>
          <w:tcPr>
            <w:tcW w:w="602" w:type="pct"/>
            <w:noWrap w:val="0"/>
            <w:vAlign w:val="center"/>
          </w:tcPr>
          <w:p w14:paraId="678729C0">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36549790">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14F71C45">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192</w:t>
            </w:r>
          </w:p>
        </w:tc>
        <w:tc>
          <w:tcPr>
            <w:tcW w:w="359" w:type="pct"/>
            <w:noWrap w:val="0"/>
            <w:vAlign w:val="center"/>
          </w:tcPr>
          <w:p w14:paraId="477333AF">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ENE</w:t>
            </w:r>
          </w:p>
        </w:tc>
        <w:tc>
          <w:tcPr>
            <w:tcW w:w="374" w:type="pct"/>
            <w:noWrap w:val="0"/>
            <w:vAlign w:val="center"/>
          </w:tcPr>
          <w:p w14:paraId="3D452C93">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1175</w:t>
            </w:r>
          </w:p>
        </w:tc>
      </w:tr>
      <w:tr w14:paraId="6B20E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5A5947D">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619487BE">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26</w:t>
            </w:r>
          </w:p>
        </w:tc>
        <w:tc>
          <w:tcPr>
            <w:tcW w:w="354" w:type="pct"/>
            <w:noWrap w:val="0"/>
            <w:vAlign w:val="center"/>
          </w:tcPr>
          <w:p w14:paraId="5988C1A7">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红石砬村</w:t>
            </w:r>
          </w:p>
        </w:tc>
        <w:tc>
          <w:tcPr>
            <w:tcW w:w="533" w:type="pct"/>
            <w:gridSpan w:val="2"/>
            <w:noWrap w:val="0"/>
            <w:vAlign w:val="center"/>
          </w:tcPr>
          <w:p w14:paraId="25DA270A">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730019</w:t>
            </w:r>
          </w:p>
        </w:tc>
        <w:tc>
          <w:tcPr>
            <w:tcW w:w="711" w:type="pct"/>
            <w:noWrap w:val="0"/>
            <w:vAlign w:val="center"/>
          </w:tcPr>
          <w:p w14:paraId="0B557DAB">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4559464</w:t>
            </w:r>
          </w:p>
        </w:tc>
        <w:tc>
          <w:tcPr>
            <w:tcW w:w="602" w:type="pct"/>
            <w:noWrap w:val="0"/>
            <w:vAlign w:val="center"/>
          </w:tcPr>
          <w:p w14:paraId="027F33B6">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D0BC6C4">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2C4B7648">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112</w:t>
            </w:r>
          </w:p>
        </w:tc>
        <w:tc>
          <w:tcPr>
            <w:tcW w:w="359" w:type="pct"/>
            <w:noWrap w:val="0"/>
            <w:vAlign w:val="center"/>
          </w:tcPr>
          <w:p w14:paraId="2088D27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73864E61">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1306</w:t>
            </w:r>
          </w:p>
        </w:tc>
      </w:tr>
      <w:tr w14:paraId="7F6B3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7E84DC52">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505DAF2B">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27</w:t>
            </w:r>
          </w:p>
        </w:tc>
        <w:tc>
          <w:tcPr>
            <w:tcW w:w="354" w:type="pct"/>
            <w:shd w:val="clear" w:color="auto" w:fill="auto"/>
            <w:noWrap w:val="0"/>
            <w:vAlign w:val="center"/>
          </w:tcPr>
          <w:p w14:paraId="4DBA8655">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kern w:val="2"/>
                <w:sz w:val="21"/>
                <w:szCs w:val="21"/>
                <w:highlight w:val="none"/>
                <w:lang w:val="en-US" w:eastAsia="zh-CN"/>
              </w:rPr>
              <w:t>松树沟</w:t>
            </w:r>
          </w:p>
        </w:tc>
        <w:tc>
          <w:tcPr>
            <w:tcW w:w="533" w:type="pct"/>
            <w:gridSpan w:val="2"/>
            <w:shd w:val="clear" w:color="auto" w:fill="auto"/>
            <w:noWrap w:val="0"/>
            <w:vAlign w:val="center"/>
          </w:tcPr>
          <w:p w14:paraId="01776DC4">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730275</w:t>
            </w:r>
          </w:p>
        </w:tc>
        <w:tc>
          <w:tcPr>
            <w:tcW w:w="711" w:type="pct"/>
            <w:shd w:val="clear" w:color="auto" w:fill="auto"/>
            <w:noWrap w:val="0"/>
            <w:vAlign w:val="center"/>
          </w:tcPr>
          <w:p w14:paraId="578655A2">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4559807</w:t>
            </w:r>
          </w:p>
        </w:tc>
        <w:tc>
          <w:tcPr>
            <w:tcW w:w="602" w:type="pct"/>
            <w:shd w:val="clear" w:color="auto" w:fill="auto"/>
            <w:noWrap w:val="0"/>
            <w:vAlign w:val="center"/>
          </w:tcPr>
          <w:p w14:paraId="560A94FF">
            <w:pPr>
              <w:adjustRightInd/>
              <w:snapToGrid/>
              <w:spacing w:line="240" w:lineRule="auto"/>
              <w:ind w:firstLine="0" w:firstLineChars="0"/>
              <w:jc w:val="center"/>
              <w:textAlignment w:val="auto"/>
              <w:rPr>
                <w:rFonts w:hint="eastAsia" w:ascii="Times New Roman" w:hAnsi="Times New Roman" w:eastAsia="宋体" w:cs="Times New Roman"/>
                <w:snapToGrid/>
                <w:color w:val="auto"/>
                <w:kern w:val="2"/>
                <w:sz w:val="21"/>
                <w:szCs w:val="21"/>
                <w:lang w:val="en-US" w:eastAsia="zh-CN" w:bidi="ar-SA"/>
              </w:rPr>
            </w:pPr>
            <w:r>
              <w:rPr>
                <w:rFonts w:hint="eastAsia" w:cs="Times New Roman"/>
                <w:snapToGrid/>
                <w:color w:val="auto"/>
                <w:sz w:val="21"/>
                <w:szCs w:val="21"/>
                <w:lang w:val="en-US" w:eastAsia="zh-CN"/>
              </w:rPr>
              <w:t>人群</w:t>
            </w:r>
          </w:p>
        </w:tc>
        <w:tc>
          <w:tcPr>
            <w:tcW w:w="1225" w:type="pct"/>
            <w:vMerge w:val="restart"/>
            <w:noWrap w:val="0"/>
            <w:vAlign w:val="center"/>
          </w:tcPr>
          <w:p w14:paraId="250A35C6">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eastAsia="宋体" w:cs="Times New Roman"/>
                <w:color w:val="auto"/>
                <w:kern w:val="2"/>
                <w:sz w:val="21"/>
                <w:szCs w:val="21"/>
                <w:highlight w:val="none"/>
                <w:lang w:val="en-US" w:eastAsia="zh-CN" w:bidi="ar-SA"/>
              </w:rPr>
              <w:t>《环境空气质量标准》（GB3095-</w:t>
            </w:r>
            <w:r>
              <w:rPr>
                <w:rFonts w:hint="eastAsia" w:cs="Times New Roman"/>
                <w:color w:val="auto"/>
                <w:kern w:val="2"/>
                <w:sz w:val="21"/>
                <w:szCs w:val="21"/>
                <w:highlight w:val="none"/>
                <w:lang w:val="en-US" w:eastAsia="zh-CN" w:bidi="ar-SA"/>
              </w:rPr>
              <w:t>2026</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过渡期二级</w:t>
            </w:r>
            <w:r>
              <w:rPr>
                <w:rFonts w:hint="default" w:ascii="Times New Roman" w:hAnsi="Times New Roman" w:eastAsia="宋体" w:cs="Times New Roman"/>
                <w:color w:val="auto"/>
                <w:kern w:val="2"/>
                <w:sz w:val="21"/>
                <w:szCs w:val="21"/>
                <w:highlight w:val="none"/>
                <w:lang w:val="en-US" w:eastAsia="zh-CN" w:bidi="ar-SA"/>
              </w:rPr>
              <w:t>标准</w:t>
            </w:r>
          </w:p>
        </w:tc>
        <w:tc>
          <w:tcPr>
            <w:tcW w:w="947" w:type="dxa"/>
            <w:noWrap w:val="0"/>
            <w:vAlign w:val="center"/>
          </w:tcPr>
          <w:p w14:paraId="635BFB8A">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80</w:t>
            </w:r>
          </w:p>
        </w:tc>
        <w:tc>
          <w:tcPr>
            <w:tcW w:w="359" w:type="pct"/>
            <w:noWrap w:val="0"/>
            <w:vAlign w:val="center"/>
          </w:tcPr>
          <w:p w14:paraId="2E633274">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ENE</w:t>
            </w:r>
          </w:p>
        </w:tc>
        <w:tc>
          <w:tcPr>
            <w:tcW w:w="374" w:type="pct"/>
            <w:noWrap w:val="0"/>
            <w:vAlign w:val="center"/>
          </w:tcPr>
          <w:p w14:paraId="680BF4DF">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2243</w:t>
            </w:r>
          </w:p>
        </w:tc>
      </w:tr>
      <w:tr w14:paraId="0DEDA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trPr>
        <w:tc>
          <w:tcPr>
            <w:tcW w:w="137" w:type="pct"/>
            <w:gridSpan w:val="2"/>
            <w:vMerge w:val="continue"/>
            <w:noWrap w:val="0"/>
            <w:vAlign w:val="center"/>
          </w:tcPr>
          <w:p w14:paraId="1C505DAE">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5A62AF67">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28</w:t>
            </w:r>
          </w:p>
        </w:tc>
        <w:tc>
          <w:tcPr>
            <w:tcW w:w="354" w:type="pct"/>
            <w:noWrap w:val="0"/>
            <w:vAlign w:val="center"/>
          </w:tcPr>
          <w:p w14:paraId="52DACCA4">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陈家沟</w:t>
            </w:r>
          </w:p>
        </w:tc>
        <w:tc>
          <w:tcPr>
            <w:tcW w:w="533" w:type="pct"/>
            <w:gridSpan w:val="2"/>
            <w:noWrap w:val="0"/>
            <w:vAlign w:val="center"/>
          </w:tcPr>
          <w:p w14:paraId="632DA727">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729949</w:t>
            </w:r>
          </w:p>
        </w:tc>
        <w:tc>
          <w:tcPr>
            <w:tcW w:w="711" w:type="pct"/>
            <w:noWrap w:val="0"/>
            <w:vAlign w:val="center"/>
          </w:tcPr>
          <w:p w14:paraId="3CD8366E">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4560082</w:t>
            </w:r>
          </w:p>
        </w:tc>
        <w:tc>
          <w:tcPr>
            <w:tcW w:w="602" w:type="pct"/>
            <w:noWrap w:val="0"/>
            <w:vAlign w:val="center"/>
          </w:tcPr>
          <w:p w14:paraId="4190E303">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8547462">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0F9CD66F">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359" w:type="pct"/>
            <w:noWrap w:val="0"/>
            <w:vAlign w:val="center"/>
          </w:tcPr>
          <w:p w14:paraId="6B9267CC">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004566AD">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2024</w:t>
            </w:r>
          </w:p>
        </w:tc>
      </w:tr>
      <w:tr w14:paraId="3C280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22687DD9">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3FA6EA5B">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29</w:t>
            </w:r>
          </w:p>
        </w:tc>
        <w:tc>
          <w:tcPr>
            <w:tcW w:w="354" w:type="pct"/>
            <w:noWrap w:val="0"/>
            <w:vAlign w:val="center"/>
          </w:tcPr>
          <w:p w14:paraId="1DD0A003">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山涯</w:t>
            </w:r>
          </w:p>
        </w:tc>
        <w:tc>
          <w:tcPr>
            <w:tcW w:w="533" w:type="pct"/>
            <w:gridSpan w:val="2"/>
            <w:noWrap w:val="0"/>
            <w:vAlign w:val="center"/>
          </w:tcPr>
          <w:p w14:paraId="0AA4F81F">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731444</w:t>
            </w:r>
          </w:p>
        </w:tc>
        <w:tc>
          <w:tcPr>
            <w:tcW w:w="711" w:type="pct"/>
            <w:noWrap w:val="0"/>
            <w:vAlign w:val="center"/>
          </w:tcPr>
          <w:p w14:paraId="4E3B3155">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4561611</w:t>
            </w:r>
          </w:p>
        </w:tc>
        <w:tc>
          <w:tcPr>
            <w:tcW w:w="602" w:type="pct"/>
            <w:noWrap w:val="0"/>
            <w:vAlign w:val="center"/>
          </w:tcPr>
          <w:p w14:paraId="517B0302">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72EFED7C">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1A097B98">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359" w:type="pct"/>
            <w:noWrap w:val="0"/>
            <w:vAlign w:val="center"/>
          </w:tcPr>
          <w:p w14:paraId="059F62DF">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74226659">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kern w:val="2"/>
                <w:sz w:val="21"/>
                <w:szCs w:val="21"/>
                <w:lang w:val="en-US" w:eastAsia="zh-CN"/>
              </w:rPr>
              <w:t>3498</w:t>
            </w:r>
          </w:p>
        </w:tc>
      </w:tr>
      <w:tr w14:paraId="4B738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D28ED52">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6C1B9570">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30</w:t>
            </w:r>
          </w:p>
        </w:tc>
        <w:tc>
          <w:tcPr>
            <w:tcW w:w="354" w:type="pct"/>
            <w:noWrap w:val="0"/>
            <w:vAlign w:val="center"/>
          </w:tcPr>
          <w:p w14:paraId="5EBC28B9">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胜利沟</w:t>
            </w:r>
          </w:p>
        </w:tc>
        <w:tc>
          <w:tcPr>
            <w:tcW w:w="533" w:type="pct"/>
            <w:gridSpan w:val="2"/>
            <w:noWrap w:val="0"/>
            <w:vAlign w:val="center"/>
          </w:tcPr>
          <w:p w14:paraId="5F48CB8A">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731799</w:t>
            </w:r>
          </w:p>
        </w:tc>
        <w:tc>
          <w:tcPr>
            <w:tcW w:w="711" w:type="pct"/>
            <w:noWrap w:val="0"/>
            <w:vAlign w:val="center"/>
          </w:tcPr>
          <w:p w14:paraId="415169D7">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4560860</w:t>
            </w:r>
          </w:p>
        </w:tc>
        <w:tc>
          <w:tcPr>
            <w:tcW w:w="602" w:type="pct"/>
            <w:noWrap w:val="0"/>
            <w:vAlign w:val="center"/>
          </w:tcPr>
          <w:p w14:paraId="1BE08C61">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F22FC29">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0BBBFD24">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133</w:t>
            </w:r>
          </w:p>
        </w:tc>
        <w:tc>
          <w:tcPr>
            <w:tcW w:w="359" w:type="pct"/>
            <w:noWrap w:val="0"/>
            <w:vAlign w:val="center"/>
          </w:tcPr>
          <w:p w14:paraId="176F815F">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2A7291B9">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3840</w:t>
            </w:r>
          </w:p>
        </w:tc>
      </w:tr>
      <w:tr w14:paraId="60B94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64F6B080">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53A9B139">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31</w:t>
            </w:r>
          </w:p>
        </w:tc>
        <w:tc>
          <w:tcPr>
            <w:tcW w:w="354" w:type="pct"/>
            <w:noWrap w:val="0"/>
            <w:vAlign w:val="center"/>
          </w:tcPr>
          <w:p w14:paraId="04AEB7DF">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榆树沟</w:t>
            </w:r>
          </w:p>
        </w:tc>
        <w:tc>
          <w:tcPr>
            <w:tcW w:w="533" w:type="pct"/>
            <w:gridSpan w:val="2"/>
            <w:noWrap w:val="0"/>
            <w:vAlign w:val="center"/>
          </w:tcPr>
          <w:p w14:paraId="07668E2F">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730392</w:t>
            </w:r>
          </w:p>
        </w:tc>
        <w:tc>
          <w:tcPr>
            <w:tcW w:w="711" w:type="pct"/>
            <w:noWrap w:val="0"/>
            <w:vAlign w:val="center"/>
          </w:tcPr>
          <w:p w14:paraId="429C0F04">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4560900</w:t>
            </w:r>
          </w:p>
        </w:tc>
        <w:tc>
          <w:tcPr>
            <w:tcW w:w="602" w:type="pct"/>
            <w:noWrap w:val="0"/>
            <w:vAlign w:val="center"/>
          </w:tcPr>
          <w:p w14:paraId="44AAB087">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0D67DA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6D883001">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67</w:t>
            </w:r>
          </w:p>
        </w:tc>
        <w:tc>
          <w:tcPr>
            <w:tcW w:w="359" w:type="pct"/>
            <w:noWrap w:val="0"/>
            <w:vAlign w:val="center"/>
          </w:tcPr>
          <w:p w14:paraId="405BAE04">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3CCF6FB3">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2490</w:t>
            </w:r>
          </w:p>
        </w:tc>
      </w:tr>
      <w:tr w14:paraId="66715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74CD52EF">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73366384">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32</w:t>
            </w:r>
          </w:p>
        </w:tc>
        <w:tc>
          <w:tcPr>
            <w:tcW w:w="354" w:type="pct"/>
            <w:noWrap w:val="0"/>
            <w:vAlign w:val="center"/>
          </w:tcPr>
          <w:p w14:paraId="0D5BDCDC">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大山根</w:t>
            </w:r>
          </w:p>
        </w:tc>
        <w:tc>
          <w:tcPr>
            <w:tcW w:w="533" w:type="pct"/>
            <w:gridSpan w:val="2"/>
            <w:noWrap w:val="0"/>
            <w:vAlign w:val="center"/>
          </w:tcPr>
          <w:p w14:paraId="2C214EA8">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730628</w:t>
            </w:r>
          </w:p>
        </w:tc>
        <w:tc>
          <w:tcPr>
            <w:tcW w:w="711" w:type="pct"/>
            <w:noWrap w:val="0"/>
            <w:vAlign w:val="center"/>
          </w:tcPr>
          <w:p w14:paraId="7DD164C8">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4562071</w:t>
            </w:r>
          </w:p>
        </w:tc>
        <w:tc>
          <w:tcPr>
            <w:tcW w:w="602" w:type="pct"/>
            <w:noWrap w:val="0"/>
            <w:vAlign w:val="center"/>
          </w:tcPr>
          <w:p w14:paraId="7B1DCFCC">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13E15121">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12A3857D">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w:t>
            </w:r>
          </w:p>
        </w:tc>
        <w:tc>
          <w:tcPr>
            <w:tcW w:w="359" w:type="pct"/>
            <w:noWrap w:val="0"/>
            <w:vAlign w:val="center"/>
          </w:tcPr>
          <w:p w14:paraId="7DAA8C16">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58E08146">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kern w:val="2"/>
                <w:sz w:val="21"/>
                <w:szCs w:val="21"/>
                <w:lang w:val="en-US" w:eastAsia="zh-CN"/>
              </w:rPr>
              <w:t>3031</w:t>
            </w:r>
          </w:p>
        </w:tc>
      </w:tr>
      <w:tr w14:paraId="4917D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1A60DC99">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6AD80F01">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33</w:t>
            </w:r>
          </w:p>
        </w:tc>
        <w:tc>
          <w:tcPr>
            <w:tcW w:w="354" w:type="pct"/>
            <w:noWrap w:val="0"/>
            <w:vAlign w:val="center"/>
          </w:tcPr>
          <w:p w14:paraId="3866B748">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山咀</w:t>
            </w:r>
          </w:p>
        </w:tc>
        <w:tc>
          <w:tcPr>
            <w:tcW w:w="533" w:type="pct"/>
            <w:gridSpan w:val="2"/>
            <w:noWrap w:val="0"/>
            <w:vAlign w:val="center"/>
          </w:tcPr>
          <w:p w14:paraId="3BDAE2DE">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729158</w:t>
            </w:r>
          </w:p>
        </w:tc>
        <w:tc>
          <w:tcPr>
            <w:tcW w:w="711" w:type="pct"/>
            <w:noWrap w:val="0"/>
            <w:vAlign w:val="center"/>
          </w:tcPr>
          <w:p w14:paraId="395C8302">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4560224</w:t>
            </w:r>
          </w:p>
        </w:tc>
        <w:tc>
          <w:tcPr>
            <w:tcW w:w="602" w:type="pct"/>
            <w:noWrap w:val="0"/>
            <w:vAlign w:val="center"/>
          </w:tcPr>
          <w:p w14:paraId="7CD312C8">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1D360C5">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6E72695B">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65</w:t>
            </w:r>
          </w:p>
        </w:tc>
        <w:tc>
          <w:tcPr>
            <w:tcW w:w="359" w:type="pct"/>
            <w:noWrap w:val="0"/>
            <w:vAlign w:val="center"/>
          </w:tcPr>
          <w:p w14:paraId="4731DF8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222835F1">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1420</w:t>
            </w:r>
          </w:p>
        </w:tc>
      </w:tr>
      <w:tr w14:paraId="0A3BA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5932370F">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1E95BE3E">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34</w:t>
            </w:r>
          </w:p>
        </w:tc>
        <w:tc>
          <w:tcPr>
            <w:tcW w:w="354" w:type="pct"/>
            <w:noWrap w:val="0"/>
            <w:vAlign w:val="center"/>
          </w:tcPr>
          <w:p w14:paraId="139D3839">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老德沟</w:t>
            </w:r>
          </w:p>
        </w:tc>
        <w:tc>
          <w:tcPr>
            <w:tcW w:w="533" w:type="pct"/>
            <w:gridSpan w:val="2"/>
            <w:noWrap w:val="0"/>
            <w:vAlign w:val="center"/>
          </w:tcPr>
          <w:p w14:paraId="54E1483D">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729241</w:t>
            </w:r>
          </w:p>
        </w:tc>
        <w:tc>
          <w:tcPr>
            <w:tcW w:w="711" w:type="pct"/>
            <w:noWrap w:val="0"/>
            <w:vAlign w:val="center"/>
          </w:tcPr>
          <w:p w14:paraId="575C23E8">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4560779</w:t>
            </w:r>
          </w:p>
        </w:tc>
        <w:tc>
          <w:tcPr>
            <w:tcW w:w="602" w:type="pct"/>
            <w:noWrap w:val="0"/>
            <w:vAlign w:val="center"/>
          </w:tcPr>
          <w:p w14:paraId="4FBEC4A2">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624E8E67">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0525C4B4">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226</w:t>
            </w:r>
          </w:p>
        </w:tc>
        <w:tc>
          <w:tcPr>
            <w:tcW w:w="359" w:type="pct"/>
            <w:noWrap w:val="0"/>
            <w:vAlign w:val="center"/>
          </w:tcPr>
          <w:p w14:paraId="5C5B9036">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6CDCBC23">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2015</w:t>
            </w:r>
          </w:p>
        </w:tc>
      </w:tr>
      <w:tr w14:paraId="646DF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12CE0215">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24A8495E">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35</w:t>
            </w:r>
          </w:p>
        </w:tc>
        <w:tc>
          <w:tcPr>
            <w:tcW w:w="354" w:type="pct"/>
            <w:noWrap w:val="0"/>
            <w:vAlign w:val="center"/>
          </w:tcPr>
          <w:p w14:paraId="08D73A67">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老德沟外</w:t>
            </w:r>
          </w:p>
        </w:tc>
        <w:tc>
          <w:tcPr>
            <w:tcW w:w="533" w:type="pct"/>
            <w:gridSpan w:val="2"/>
            <w:noWrap w:val="0"/>
            <w:vAlign w:val="center"/>
          </w:tcPr>
          <w:p w14:paraId="7A3BD294">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729216</w:t>
            </w:r>
          </w:p>
        </w:tc>
        <w:tc>
          <w:tcPr>
            <w:tcW w:w="711" w:type="pct"/>
            <w:noWrap w:val="0"/>
            <w:vAlign w:val="center"/>
          </w:tcPr>
          <w:p w14:paraId="1F06E642">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4560853</w:t>
            </w:r>
          </w:p>
        </w:tc>
        <w:tc>
          <w:tcPr>
            <w:tcW w:w="602" w:type="pct"/>
            <w:noWrap w:val="0"/>
            <w:vAlign w:val="center"/>
          </w:tcPr>
          <w:p w14:paraId="03B9ECD7">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064F6B8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65A277C4">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26</w:t>
            </w:r>
          </w:p>
        </w:tc>
        <w:tc>
          <w:tcPr>
            <w:tcW w:w="359" w:type="pct"/>
            <w:noWrap w:val="0"/>
            <w:vAlign w:val="center"/>
          </w:tcPr>
          <w:p w14:paraId="3CA0E78D">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52B52716">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kern w:val="2"/>
                <w:sz w:val="21"/>
                <w:szCs w:val="21"/>
                <w:lang w:val="en-US" w:eastAsia="zh-CN"/>
              </w:rPr>
              <w:t>1285</w:t>
            </w:r>
          </w:p>
        </w:tc>
      </w:tr>
      <w:tr w14:paraId="7F526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9E00702">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1B2394AD">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36</w:t>
            </w:r>
          </w:p>
        </w:tc>
        <w:tc>
          <w:tcPr>
            <w:tcW w:w="354" w:type="pct"/>
            <w:noWrap w:val="0"/>
            <w:vAlign w:val="center"/>
          </w:tcPr>
          <w:p w14:paraId="0214A338">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桃条沟</w:t>
            </w:r>
          </w:p>
        </w:tc>
        <w:tc>
          <w:tcPr>
            <w:tcW w:w="533" w:type="pct"/>
            <w:gridSpan w:val="2"/>
            <w:noWrap w:val="0"/>
            <w:vAlign w:val="center"/>
          </w:tcPr>
          <w:p w14:paraId="16738DD3">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728670</w:t>
            </w:r>
          </w:p>
        </w:tc>
        <w:tc>
          <w:tcPr>
            <w:tcW w:w="711" w:type="pct"/>
            <w:noWrap w:val="0"/>
            <w:vAlign w:val="center"/>
          </w:tcPr>
          <w:p w14:paraId="3350DE90">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4560863</w:t>
            </w:r>
          </w:p>
        </w:tc>
        <w:tc>
          <w:tcPr>
            <w:tcW w:w="602" w:type="pct"/>
            <w:noWrap w:val="0"/>
            <w:vAlign w:val="center"/>
          </w:tcPr>
          <w:p w14:paraId="2ECF0545">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2906D66F">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53E286F1">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68</w:t>
            </w:r>
          </w:p>
        </w:tc>
        <w:tc>
          <w:tcPr>
            <w:tcW w:w="359" w:type="pct"/>
            <w:noWrap w:val="0"/>
            <w:vAlign w:val="center"/>
          </w:tcPr>
          <w:p w14:paraId="7ECEE87E">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NE</w:t>
            </w:r>
          </w:p>
        </w:tc>
        <w:tc>
          <w:tcPr>
            <w:tcW w:w="374" w:type="pct"/>
            <w:noWrap w:val="0"/>
            <w:vAlign w:val="center"/>
          </w:tcPr>
          <w:p w14:paraId="6AF9EA51">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1870</w:t>
            </w:r>
          </w:p>
        </w:tc>
      </w:tr>
      <w:tr w14:paraId="30C6C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BD49880">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72C7D7DE">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37</w:t>
            </w:r>
          </w:p>
        </w:tc>
        <w:tc>
          <w:tcPr>
            <w:tcW w:w="354" w:type="pct"/>
            <w:noWrap w:val="0"/>
            <w:vAlign w:val="center"/>
          </w:tcPr>
          <w:p w14:paraId="4BE873F2">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岔沟</w:t>
            </w:r>
          </w:p>
        </w:tc>
        <w:tc>
          <w:tcPr>
            <w:tcW w:w="533" w:type="pct"/>
            <w:gridSpan w:val="2"/>
            <w:noWrap w:val="0"/>
            <w:vAlign w:val="center"/>
          </w:tcPr>
          <w:p w14:paraId="1C2064BD">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728378</w:t>
            </w:r>
          </w:p>
        </w:tc>
        <w:tc>
          <w:tcPr>
            <w:tcW w:w="711" w:type="pct"/>
            <w:noWrap w:val="0"/>
            <w:vAlign w:val="center"/>
          </w:tcPr>
          <w:p w14:paraId="22456651">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4560552</w:t>
            </w:r>
          </w:p>
        </w:tc>
        <w:tc>
          <w:tcPr>
            <w:tcW w:w="602" w:type="pct"/>
            <w:noWrap w:val="0"/>
            <w:vAlign w:val="center"/>
          </w:tcPr>
          <w:p w14:paraId="552F1471">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2B34B05D">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23BD582E">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43</w:t>
            </w:r>
          </w:p>
        </w:tc>
        <w:tc>
          <w:tcPr>
            <w:tcW w:w="359" w:type="pct"/>
            <w:noWrap w:val="0"/>
            <w:vAlign w:val="center"/>
          </w:tcPr>
          <w:p w14:paraId="706ABC4D">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w:t>
            </w:r>
          </w:p>
        </w:tc>
        <w:tc>
          <w:tcPr>
            <w:tcW w:w="374" w:type="pct"/>
            <w:noWrap w:val="0"/>
            <w:vAlign w:val="center"/>
          </w:tcPr>
          <w:p w14:paraId="4DF4F4E7">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1170</w:t>
            </w:r>
          </w:p>
        </w:tc>
      </w:tr>
      <w:tr w14:paraId="2D26C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2EAC4F0">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758BED23">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s="宋体"/>
                <w:i w:val="0"/>
                <w:iCs w:val="0"/>
                <w:color w:val="auto"/>
                <w:kern w:val="0"/>
                <w:sz w:val="21"/>
                <w:szCs w:val="21"/>
                <w:u w:val="none"/>
                <w:lang w:val="en-US" w:eastAsia="zh-CN" w:bidi="ar"/>
              </w:rPr>
              <w:t>38</w:t>
            </w:r>
          </w:p>
        </w:tc>
        <w:tc>
          <w:tcPr>
            <w:tcW w:w="354" w:type="pct"/>
            <w:noWrap w:val="0"/>
            <w:vAlign w:val="center"/>
          </w:tcPr>
          <w:p w14:paraId="1A37FBED">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kern w:val="2"/>
                <w:sz w:val="21"/>
                <w:szCs w:val="21"/>
                <w:highlight w:val="none"/>
                <w:lang w:val="en-US" w:eastAsia="zh-CN"/>
              </w:rPr>
              <w:t>碾子沟</w:t>
            </w:r>
          </w:p>
        </w:tc>
        <w:tc>
          <w:tcPr>
            <w:tcW w:w="533" w:type="pct"/>
            <w:gridSpan w:val="2"/>
            <w:noWrap w:val="0"/>
            <w:vAlign w:val="center"/>
          </w:tcPr>
          <w:p w14:paraId="42DF6400">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728142</w:t>
            </w:r>
          </w:p>
        </w:tc>
        <w:tc>
          <w:tcPr>
            <w:tcW w:w="711" w:type="pct"/>
            <w:noWrap w:val="0"/>
            <w:vAlign w:val="center"/>
          </w:tcPr>
          <w:p w14:paraId="180EFE66">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4561130</w:t>
            </w:r>
          </w:p>
        </w:tc>
        <w:tc>
          <w:tcPr>
            <w:tcW w:w="602" w:type="pct"/>
            <w:noWrap w:val="0"/>
            <w:vAlign w:val="center"/>
          </w:tcPr>
          <w:p w14:paraId="67FE24F0">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3F764DEB">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3799BD3D">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225</w:t>
            </w:r>
          </w:p>
        </w:tc>
        <w:tc>
          <w:tcPr>
            <w:tcW w:w="359" w:type="pct"/>
            <w:noWrap w:val="0"/>
            <w:vAlign w:val="center"/>
          </w:tcPr>
          <w:p w14:paraId="7608D1D6">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N</w:t>
            </w:r>
          </w:p>
        </w:tc>
        <w:tc>
          <w:tcPr>
            <w:tcW w:w="374" w:type="pct"/>
            <w:noWrap w:val="0"/>
            <w:vAlign w:val="center"/>
          </w:tcPr>
          <w:p w14:paraId="5ABCCA4A">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2004</w:t>
            </w:r>
          </w:p>
        </w:tc>
      </w:tr>
      <w:tr w14:paraId="6E138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107DC738">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6E628C1D">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39</w:t>
            </w:r>
          </w:p>
        </w:tc>
        <w:tc>
          <w:tcPr>
            <w:tcW w:w="354" w:type="pct"/>
            <w:noWrap w:val="0"/>
            <w:vAlign w:val="center"/>
          </w:tcPr>
          <w:p w14:paraId="27611176">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大</w:t>
            </w:r>
            <w:r>
              <w:rPr>
                <w:rFonts w:hint="default" w:ascii="Times New Roman" w:hAnsi="Times New Roman" w:cs="Times New Roman"/>
                <w:snapToGrid/>
                <w:color w:val="auto"/>
                <w:kern w:val="2"/>
                <w:sz w:val="21"/>
                <w:szCs w:val="21"/>
                <w:highlight w:val="none"/>
                <w:lang w:val="en-US" w:eastAsia="zh-CN"/>
              </w:rPr>
              <w:t>碾子沟</w:t>
            </w:r>
          </w:p>
        </w:tc>
        <w:tc>
          <w:tcPr>
            <w:tcW w:w="533" w:type="pct"/>
            <w:gridSpan w:val="2"/>
            <w:noWrap w:val="0"/>
            <w:vAlign w:val="center"/>
          </w:tcPr>
          <w:p w14:paraId="49EE1B34">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728868</w:t>
            </w:r>
          </w:p>
        </w:tc>
        <w:tc>
          <w:tcPr>
            <w:tcW w:w="711" w:type="pct"/>
            <w:noWrap w:val="0"/>
            <w:vAlign w:val="center"/>
          </w:tcPr>
          <w:p w14:paraId="11B345B6">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4562511</w:t>
            </w:r>
          </w:p>
        </w:tc>
        <w:tc>
          <w:tcPr>
            <w:tcW w:w="602" w:type="pct"/>
            <w:noWrap w:val="0"/>
            <w:vAlign w:val="center"/>
          </w:tcPr>
          <w:p w14:paraId="743D027A">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049FBE53">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49F1627C">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115</w:t>
            </w:r>
          </w:p>
        </w:tc>
        <w:tc>
          <w:tcPr>
            <w:tcW w:w="359" w:type="pct"/>
            <w:noWrap w:val="0"/>
            <w:vAlign w:val="center"/>
          </w:tcPr>
          <w:p w14:paraId="4D7CAE35">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w:t>
            </w:r>
          </w:p>
        </w:tc>
        <w:tc>
          <w:tcPr>
            <w:tcW w:w="374" w:type="pct"/>
            <w:noWrap w:val="0"/>
            <w:vAlign w:val="center"/>
          </w:tcPr>
          <w:p w14:paraId="1369ACCD">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2366</w:t>
            </w:r>
          </w:p>
        </w:tc>
      </w:tr>
      <w:tr w14:paraId="6C4B4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6A41BB7F">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7201CB80">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40</w:t>
            </w:r>
          </w:p>
        </w:tc>
        <w:tc>
          <w:tcPr>
            <w:tcW w:w="354" w:type="pct"/>
            <w:noWrap w:val="0"/>
            <w:vAlign w:val="center"/>
          </w:tcPr>
          <w:p w14:paraId="3D2D00EA">
            <w:pPr>
              <w:spacing w:line="240" w:lineRule="auto"/>
              <w:ind w:firstLine="0"/>
              <w:jc w:val="center"/>
              <w:textAlignment w:val="auto"/>
              <w:rPr>
                <w:rFonts w:hint="default"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上洼子</w:t>
            </w:r>
          </w:p>
        </w:tc>
        <w:tc>
          <w:tcPr>
            <w:tcW w:w="533" w:type="pct"/>
            <w:gridSpan w:val="2"/>
            <w:noWrap w:val="0"/>
            <w:vAlign w:val="center"/>
          </w:tcPr>
          <w:p w14:paraId="2EE3BBB8">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727597</w:t>
            </w:r>
          </w:p>
        </w:tc>
        <w:tc>
          <w:tcPr>
            <w:tcW w:w="711" w:type="pct"/>
            <w:noWrap w:val="0"/>
            <w:vAlign w:val="center"/>
          </w:tcPr>
          <w:p w14:paraId="201A1F85">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4562545</w:t>
            </w:r>
          </w:p>
        </w:tc>
        <w:tc>
          <w:tcPr>
            <w:tcW w:w="602" w:type="pct"/>
            <w:noWrap w:val="0"/>
            <w:vAlign w:val="center"/>
          </w:tcPr>
          <w:p w14:paraId="465A0341">
            <w:pPr>
              <w:adjustRightInd/>
              <w:snapToGrid/>
              <w:spacing w:line="240" w:lineRule="auto"/>
              <w:ind w:firstLine="0" w:firstLineChars="0"/>
              <w:jc w:val="center"/>
              <w:textAlignment w:val="auto"/>
              <w:rPr>
                <w:rFonts w:hint="eastAsia"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7AFDE303">
            <w:pPr>
              <w:spacing w:line="240" w:lineRule="auto"/>
              <w:ind w:firstLine="0"/>
              <w:jc w:val="center"/>
              <w:textAlignment w:val="auto"/>
              <w:rPr>
                <w:rFonts w:hint="eastAsia" w:cs="Times New Roman"/>
                <w:snapToGrid/>
                <w:color w:val="auto"/>
                <w:kern w:val="2"/>
                <w:sz w:val="21"/>
                <w:szCs w:val="21"/>
                <w:lang w:val="en-US" w:eastAsia="zh-CN"/>
              </w:rPr>
            </w:pPr>
          </w:p>
        </w:tc>
        <w:tc>
          <w:tcPr>
            <w:tcW w:w="947" w:type="dxa"/>
            <w:noWrap w:val="0"/>
            <w:vAlign w:val="center"/>
          </w:tcPr>
          <w:p w14:paraId="37727929">
            <w:pPr>
              <w:adjustRightInd/>
              <w:snapToGrid/>
              <w:spacing w:line="240" w:lineRule="auto"/>
              <w:ind w:right="5" w:rightChars="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49</w:t>
            </w:r>
          </w:p>
        </w:tc>
        <w:tc>
          <w:tcPr>
            <w:tcW w:w="359" w:type="pct"/>
            <w:noWrap w:val="0"/>
            <w:vAlign w:val="center"/>
          </w:tcPr>
          <w:p w14:paraId="63F4FAF6">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kern w:val="2"/>
                <w:sz w:val="21"/>
                <w:szCs w:val="21"/>
                <w:lang w:val="en-US" w:eastAsia="zh-CN"/>
              </w:rPr>
              <w:t>N</w:t>
            </w:r>
          </w:p>
        </w:tc>
        <w:tc>
          <w:tcPr>
            <w:tcW w:w="374" w:type="pct"/>
            <w:noWrap w:val="0"/>
            <w:vAlign w:val="center"/>
          </w:tcPr>
          <w:p w14:paraId="47578854">
            <w:pPr>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kern w:val="2"/>
                <w:sz w:val="21"/>
                <w:szCs w:val="21"/>
                <w:lang w:val="en-US" w:eastAsia="zh-CN"/>
              </w:rPr>
              <w:t>2706</w:t>
            </w:r>
          </w:p>
        </w:tc>
      </w:tr>
      <w:tr w14:paraId="35BDD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65FE6263">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529E156B">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41</w:t>
            </w:r>
          </w:p>
        </w:tc>
        <w:tc>
          <w:tcPr>
            <w:tcW w:w="354" w:type="pct"/>
            <w:noWrap w:val="0"/>
            <w:vAlign w:val="center"/>
          </w:tcPr>
          <w:p w14:paraId="5DAFEB4A">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肖家沟</w:t>
            </w:r>
          </w:p>
        </w:tc>
        <w:tc>
          <w:tcPr>
            <w:tcW w:w="533" w:type="pct"/>
            <w:gridSpan w:val="2"/>
            <w:noWrap w:val="0"/>
            <w:vAlign w:val="center"/>
          </w:tcPr>
          <w:p w14:paraId="06949A4A">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728011</w:t>
            </w:r>
          </w:p>
        </w:tc>
        <w:tc>
          <w:tcPr>
            <w:tcW w:w="711" w:type="pct"/>
            <w:noWrap w:val="0"/>
            <w:vAlign w:val="center"/>
          </w:tcPr>
          <w:p w14:paraId="603B62B1">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4562114</w:t>
            </w:r>
          </w:p>
        </w:tc>
        <w:tc>
          <w:tcPr>
            <w:tcW w:w="602" w:type="pct"/>
            <w:noWrap w:val="0"/>
            <w:vAlign w:val="center"/>
          </w:tcPr>
          <w:p w14:paraId="75AE6E13">
            <w:pPr>
              <w:adjustRightInd/>
              <w:snapToGrid/>
              <w:spacing w:line="240" w:lineRule="auto"/>
              <w:ind w:firstLine="0" w:firstLineChars="0"/>
              <w:jc w:val="center"/>
              <w:textAlignment w:val="auto"/>
              <w:rPr>
                <w:rFonts w:hint="default" w:ascii="Times New Roman" w:hAnsi="Times New Roman" w:cs="Times New Roman"/>
                <w:snapToGrid/>
                <w:color w:val="auto"/>
                <w:kern w:val="2"/>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4242EC9C">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p>
        </w:tc>
        <w:tc>
          <w:tcPr>
            <w:tcW w:w="947" w:type="dxa"/>
            <w:noWrap w:val="0"/>
            <w:vAlign w:val="center"/>
          </w:tcPr>
          <w:p w14:paraId="0339C63B">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61</w:t>
            </w:r>
          </w:p>
        </w:tc>
        <w:tc>
          <w:tcPr>
            <w:tcW w:w="359" w:type="pct"/>
            <w:noWrap w:val="0"/>
            <w:vAlign w:val="center"/>
          </w:tcPr>
          <w:p w14:paraId="7ACEF46F">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cs="Times New Roman"/>
                <w:snapToGrid/>
                <w:color w:val="auto"/>
                <w:kern w:val="2"/>
                <w:sz w:val="21"/>
                <w:szCs w:val="21"/>
                <w:lang w:val="en-US" w:eastAsia="zh-CN"/>
              </w:rPr>
              <w:t>N</w:t>
            </w:r>
          </w:p>
        </w:tc>
        <w:tc>
          <w:tcPr>
            <w:tcW w:w="374" w:type="pct"/>
            <w:noWrap w:val="0"/>
            <w:vAlign w:val="center"/>
          </w:tcPr>
          <w:p w14:paraId="661019CE">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3577</w:t>
            </w:r>
          </w:p>
        </w:tc>
      </w:tr>
      <w:tr w14:paraId="0FCD1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8" w:hRule="atLeast"/>
        </w:trPr>
        <w:tc>
          <w:tcPr>
            <w:tcW w:w="137" w:type="pct"/>
            <w:gridSpan w:val="2"/>
            <w:vMerge w:val="continue"/>
            <w:noWrap w:val="0"/>
            <w:vAlign w:val="center"/>
          </w:tcPr>
          <w:p w14:paraId="32AD245E">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5CF3300A">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42</w:t>
            </w:r>
          </w:p>
        </w:tc>
        <w:tc>
          <w:tcPr>
            <w:tcW w:w="354" w:type="pct"/>
            <w:noWrap w:val="0"/>
            <w:vAlign w:val="center"/>
          </w:tcPr>
          <w:p w14:paraId="1392DA21">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大马沟</w:t>
            </w:r>
          </w:p>
        </w:tc>
        <w:tc>
          <w:tcPr>
            <w:tcW w:w="533" w:type="pct"/>
            <w:gridSpan w:val="2"/>
            <w:noWrap w:val="0"/>
            <w:vAlign w:val="center"/>
          </w:tcPr>
          <w:p w14:paraId="3E069979">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726867</w:t>
            </w:r>
          </w:p>
        </w:tc>
        <w:tc>
          <w:tcPr>
            <w:tcW w:w="711" w:type="pct"/>
            <w:noWrap w:val="0"/>
            <w:vAlign w:val="center"/>
          </w:tcPr>
          <w:p w14:paraId="36A4B3BF">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4561744</w:t>
            </w:r>
          </w:p>
        </w:tc>
        <w:tc>
          <w:tcPr>
            <w:tcW w:w="602" w:type="pct"/>
            <w:noWrap w:val="0"/>
            <w:vAlign w:val="center"/>
          </w:tcPr>
          <w:p w14:paraId="1D91B9CC">
            <w:pPr>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624E6928">
            <w:pPr>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p>
        </w:tc>
        <w:tc>
          <w:tcPr>
            <w:tcW w:w="947" w:type="dxa"/>
            <w:noWrap w:val="0"/>
            <w:vAlign w:val="center"/>
          </w:tcPr>
          <w:p w14:paraId="2BACBAB5">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w:t>
            </w:r>
          </w:p>
        </w:tc>
        <w:tc>
          <w:tcPr>
            <w:tcW w:w="359" w:type="pct"/>
            <w:noWrap w:val="0"/>
            <w:vAlign w:val="center"/>
          </w:tcPr>
          <w:p w14:paraId="17AA8FC7">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eastAsia="宋体" w:cs="Times New Roman"/>
                <w:snapToGrid/>
                <w:color w:val="auto"/>
                <w:sz w:val="21"/>
                <w:szCs w:val="21"/>
                <w:lang w:val="en-US" w:eastAsia="zh-CN"/>
              </w:rPr>
              <w:t>N</w:t>
            </w:r>
          </w:p>
        </w:tc>
        <w:tc>
          <w:tcPr>
            <w:tcW w:w="374" w:type="pct"/>
            <w:noWrap w:val="0"/>
            <w:vAlign w:val="center"/>
          </w:tcPr>
          <w:p w14:paraId="6FE6F792">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3446</w:t>
            </w:r>
          </w:p>
        </w:tc>
      </w:tr>
      <w:tr w14:paraId="7DE0E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58EE5BF2">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7878EE06">
            <w:pPr>
              <w:keepNext w:val="0"/>
              <w:keepLines w:val="0"/>
              <w:widowControl/>
              <w:suppressLineNumbers w:val="0"/>
              <w:jc w:val="center"/>
              <w:textAlignment w:val="center"/>
              <w:rPr>
                <w:rFonts w:hint="default" w:ascii="Times New Roman" w:hAnsi="Times New Roman"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43</w:t>
            </w:r>
          </w:p>
        </w:tc>
        <w:tc>
          <w:tcPr>
            <w:tcW w:w="354" w:type="pct"/>
            <w:noWrap w:val="0"/>
            <w:vAlign w:val="center"/>
          </w:tcPr>
          <w:p w14:paraId="645E6A71">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二道沟</w:t>
            </w:r>
          </w:p>
        </w:tc>
        <w:tc>
          <w:tcPr>
            <w:tcW w:w="533" w:type="pct"/>
            <w:gridSpan w:val="2"/>
            <w:noWrap w:val="0"/>
            <w:vAlign w:val="center"/>
          </w:tcPr>
          <w:p w14:paraId="2A3A6B5A">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727309</w:t>
            </w:r>
          </w:p>
        </w:tc>
        <w:tc>
          <w:tcPr>
            <w:tcW w:w="711" w:type="pct"/>
            <w:noWrap w:val="0"/>
            <w:vAlign w:val="center"/>
          </w:tcPr>
          <w:p w14:paraId="2A147EB2">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4562076</w:t>
            </w:r>
          </w:p>
        </w:tc>
        <w:tc>
          <w:tcPr>
            <w:tcW w:w="602" w:type="pct"/>
            <w:noWrap w:val="0"/>
            <w:vAlign w:val="center"/>
          </w:tcPr>
          <w:p w14:paraId="78B5B1E7">
            <w:pPr>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142EA8D3">
            <w:pPr>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p>
        </w:tc>
        <w:tc>
          <w:tcPr>
            <w:tcW w:w="947" w:type="dxa"/>
            <w:noWrap w:val="0"/>
            <w:vAlign w:val="center"/>
          </w:tcPr>
          <w:p w14:paraId="380340B3">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105</w:t>
            </w:r>
          </w:p>
        </w:tc>
        <w:tc>
          <w:tcPr>
            <w:tcW w:w="359" w:type="pct"/>
            <w:noWrap w:val="0"/>
            <w:vAlign w:val="center"/>
          </w:tcPr>
          <w:p w14:paraId="07952AA7">
            <w:pPr>
              <w:spacing w:line="240" w:lineRule="auto"/>
              <w:ind w:firstLine="0"/>
              <w:jc w:val="center"/>
              <w:textAlignment w:val="auto"/>
              <w:rPr>
                <w:rFonts w:hint="default" w:ascii="Times New Roman" w:hAnsi="Times New Roman" w:cs="Times New Roman"/>
                <w:snapToGrid/>
                <w:color w:val="auto"/>
                <w:kern w:val="2"/>
                <w:sz w:val="21"/>
                <w:szCs w:val="21"/>
                <w:lang w:val="en-US" w:eastAsia="zh-CN"/>
              </w:rPr>
            </w:pPr>
            <w:r>
              <w:rPr>
                <w:rFonts w:hint="default" w:ascii="Times New Roman" w:hAnsi="Times New Roman" w:eastAsia="宋体" w:cs="Times New Roman"/>
                <w:snapToGrid/>
                <w:color w:val="auto"/>
                <w:sz w:val="21"/>
                <w:szCs w:val="21"/>
                <w:lang w:val="en-US" w:eastAsia="zh-CN"/>
              </w:rPr>
              <w:t>N</w:t>
            </w:r>
          </w:p>
        </w:tc>
        <w:tc>
          <w:tcPr>
            <w:tcW w:w="374" w:type="pct"/>
            <w:noWrap w:val="0"/>
            <w:vAlign w:val="center"/>
          </w:tcPr>
          <w:p w14:paraId="5078E5D1">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snapToGrid/>
                <w:color w:val="auto"/>
                <w:kern w:val="2"/>
                <w:sz w:val="21"/>
                <w:szCs w:val="21"/>
                <w:lang w:val="en-US" w:eastAsia="zh-CN"/>
              </w:rPr>
              <w:t>3</w:t>
            </w:r>
            <w:r>
              <w:rPr>
                <w:rFonts w:hint="eastAsia" w:cs="Times New Roman"/>
                <w:snapToGrid/>
                <w:color w:val="auto"/>
                <w:kern w:val="2"/>
                <w:sz w:val="21"/>
                <w:szCs w:val="21"/>
                <w:lang w:val="en-US" w:eastAsia="zh-CN"/>
              </w:rPr>
              <w:t>5</w:t>
            </w:r>
            <w:r>
              <w:rPr>
                <w:rFonts w:hint="default" w:ascii="Times New Roman" w:hAnsi="Times New Roman" w:cs="Times New Roman"/>
                <w:snapToGrid/>
                <w:color w:val="auto"/>
                <w:kern w:val="2"/>
                <w:sz w:val="21"/>
                <w:szCs w:val="21"/>
                <w:lang w:val="en-US" w:eastAsia="zh-CN"/>
              </w:rPr>
              <w:t>00</w:t>
            </w:r>
          </w:p>
        </w:tc>
      </w:tr>
      <w:tr w14:paraId="49798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vMerge w:val="continue"/>
            <w:noWrap w:val="0"/>
            <w:vAlign w:val="center"/>
          </w:tcPr>
          <w:p w14:paraId="4B1A8C05">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2" w:type="pct"/>
            <w:noWrap w:val="0"/>
            <w:vAlign w:val="center"/>
          </w:tcPr>
          <w:p w14:paraId="24AA145C">
            <w:pPr>
              <w:keepNext w:val="0"/>
              <w:keepLines w:val="0"/>
              <w:widowControl/>
              <w:suppressLineNumbers w:val="0"/>
              <w:jc w:val="center"/>
              <w:textAlignment w:val="center"/>
              <w:rPr>
                <w:rFonts w:hint="default" w:ascii="Times New Roman" w:hAnsi="Times New Roman" w:eastAsia="宋体" w:cs="Times New Roman"/>
                <w:snapToGrid/>
                <w:color w:val="auto"/>
                <w:kern w:val="2"/>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44</w:t>
            </w:r>
          </w:p>
        </w:tc>
        <w:tc>
          <w:tcPr>
            <w:tcW w:w="354" w:type="pct"/>
            <w:noWrap w:val="0"/>
            <w:vAlign w:val="center"/>
          </w:tcPr>
          <w:p w14:paraId="694C8A92">
            <w:pPr>
              <w:spacing w:line="240" w:lineRule="auto"/>
              <w:ind w:firstLine="0"/>
              <w:jc w:val="center"/>
              <w:textAlignment w:val="auto"/>
              <w:rPr>
                <w:rFonts w:hint="default" w:ascii="Times New Roman" w:hAnsi="Times New Roman" w:eastAsia="宋体" w:cs="Times New Roman"/>
                <w:snapToGrid/>
                <w:color w:val="auto"/>
                <w:kern w:val="2"/>
                <w:sz w:val="21"/>
                <w:szCs w:val="21"/>
                <w:highlight w:val="none"/>
                <w:lang w:val="en-US" w:eastAsia="zh-CN"/>
              </w:rPr>
            </w:pPr>
            <w:r>
              <w:rPr>
                <w:rFonts w:hint="default" w:ascii="Times New Roman" w:hAnsi="Times New Roman" w:cs="Times New Roman"/>
                <w:snapToGrid/>
                <w:color w:val="auto"/>
                <w:kern w:val="2"/>
                <w:sz w:val="21"/>
                <w:szCs w:val="21"/>
                <w:highlight w:val="none"/>
                <w:lang w:val="en-US" w:eastAsia="zh-CN"/>
              </w:rPr>
              <w:t>菜园子</w:t>
            </w:r>
          </w:p>
        </w:tc>
        <w:tc>
          <w:tcPr>
            <w:tcW w:w="533" w:type="pct"/>
            <w:gridSpan w:val="2"/>
            <w:noWrap w:val="0"/>
            <w:vAlign w:val="center"/>
          </w:tcPr>
          <w:p w14:paraId="4A69734E">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726002</w:t>
            </w:r>
          </w:p>
        </w:tc>
        <w:tc>
          <w:tcPr>
            <w:tcW w:w="711" w:type="pct"/>
            <w:noWrap w:val="0"/>
            <w:vAlign w:val="center"/>
          </w:tcPr>
          <w:p w14:paraId="20AC6C59">
            <w:pPr>
              <w:adjustRightInd/>
              <w:snapToGrid/>
              <w:spacing w:line="240" w:lineRule="auto"/>
              <w:ind w:right="5"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default" w:ascii="Times New Roman" w:hAnsi="Times New Roman" w:cs="Times New Roman"/>
                <w:color w:val="auto"/>
                <w:sz w:val="21"/>
                <w:szCs w:val="21"/>
              </w:rPr>
              <w:t>4562655</w:t>
            </w:r>
          </w:p>
        </w:tc>
        <w:tc>
          <w:tcPr>
            <w:tcW w:w="602" w:type="pct"/>
            <w:noWrap w:val="0"/>
            <w:vAlign w:val="center"/>
          </w:tcPr>
          <w:p w14:paraId="5B1C9920">
            <w:pPr>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人群</w:t>
            </w:r>
          </w:p>
        </w:tc>
        <w:tc>
          <w:tcPr>
            <w:tcW w:w="1225" w:type="pct"/>
            <w:vMerge w:val="continue"/>
            <w:noWrap w:val="0"/>
            <w:vAlign w:val="center"/>
          </w:tcPr>
          <w:p w14:paraId="723B5F37">
            <w:pPr>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p>
        </w:tc>
        <w:tc>
          <w:tcPr>
            <w:tcW w:w="947" w:type="dxa"/>
            <w:noWrap w:val="0"/>
            <w:vAlign w:val="center"/>
          </w:tcPr>
          <w:p w14:paraId="7AAEC61A">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131</w:t>
            </w:r>
          </w:p>
        </w:tc>
        <w:tc>
          <w:tcPr>
            <w:tcW w:w="359" w:type="pct"/>
            <w:noWrap w:val="0"/>
            <w:vAlign w:val="center"/>
          </w:tcPr>
          <w:p w14:paraId="1D4E990D">
            <w:pPr>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eastAsia="宋体" w:cs="Times New Roman"/>
                <w:snapToGrid/>
                <w:color w:val="auto"/>
                <w:sz w:val="21"/>
                <w:szCs w:val="21"/>
                <w:lang w:val="en-US" w:eastAsia="zh-CN"/>
              </w:rPr>
              <w:t>N</w:t>
            </w:r>
          </w:p>
        </w:tc>
        <w:tc>
          <w:tcPr>
            <w:tcW w:w="374" w:type="pct"/>
            <w:noWrap w:val="0"/>
            <w:vAlign w:val="center"/>
          </w:tcPr>
          <w:p w14:paraId="230B872F">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lang w:val="en-US" w:eastAsia="zh-CN" w:bidi="ar-SA"/>
              </w:rPr>
            </w:pPr>
            <w:r>
              <w:rPr>
                <w:rFonts w:hint="eastAsia" w:cs="Times New Roman"/>
                <w:snapToGrid/>
                <w:color w:val="auto"/>
                <w:kern w:val="2"/>
                <w:sz w:val="21"/>
                <w:szCs w:val="21"/>
                <w:lang w:val="en-US" w:eastAsia="zh-CN"/>
              </w:rPr>
              <w:t>3858</w:t>
            </w:r>
          </w:p>
        </w:tc>
      </w:tr>
      <w:tr w14:paraId="33664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7" w:type="pct"/>
            <w:gridSpan w:val="2"/>
            <w:noWrap w:val="0"/>
            <w:vAlign w:val="center"/>
          </w:tcPr>
          <w:p w14:paraId="4EF63141">
            <w:pPr>
              <w:adjustRightInd/>
              <w:snapToGrid/>
              <w:spacing w:line="240" w:lineRule="auto"/>
              <w:ind w:firstLine="0"/>
              <w:jc w:val="center"/>
              <w:textAlignment w:val="auto"/>
              <w:rPr>
                <w:rFonts w:hint="default" w:ascii="Times New Roman" w:hAnsi="Times New Roman" w:eastAsia="宋体" w:cs="Times New Roman"/>
                <w:snapToGrid/>
                <w:color w:val="auto"/>
                <w:sz w:val="21"/>
                <w:szCs w:val="21"/>
                <w:lang w:val="en-US" w:eastAsia="zh-CN"/>
              </w:rPr>
            </w:pPr>
            <w:r>
              <w:rPr>
                <w:rFonts w:hint="eastAsia" w:cs="Times New Roman"/>
                <w:snapToGrid/>
                <w:color w:val="auto"/>
                <w:sz w:val="21"/>
                <w:szCs w:val="21"/>
                <w:lang w:val="en-US" w:eastAsia="zh-CN"/>
              </w:rPr>
              <w:t>地表水</w:t>
            </w:r>
          </w:p>
        </w:tc>
        <w:tc>
          <w:tcPr>
            <w:tcW w:w="132" w:type="pct"/>
            <w:noWrap w:val="0"/>
            <w:vAlign w:val="center"/>
          </w:tcPr>
          <w:p w14:paraId="29C38177">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1</w:t>
            </w:r>
          </w:p>
        </w:tc>
        <w:tc>
          <w:tcPr>
            <w:tcW w:w="1599" w:type="pct"/>
            <w:gridSpan w:val="4"/>
            <w:noWrap w:val="0"/>
            <w:vAlign w:val="center"/>
          </w:tcPr>
          <w:p w14:paraId="4463591B">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highlight w:val="none"/>
                <w:lang w:val="en-US" w:eastAsia="zh-CN"/>
              </w:rPr>
              <w:t>大凌河西支</w:t>
            </w:r>
          </w:p>
        </w:tc>
        <w:tc>
          <w:tcPr>
            <w:tcW w:w="602" w:type="pct"/>
            <w:noWrap w:val="0"/>
            <w:vAlign w:val="center"/>
          </w:tcPr>
          <w:p w14:paraId="2032947B">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地表水</w:t>
            </w:r>
          </w:p>
        </w:tc>
        <w:tc>
          <w:tcPr>
            <w:tcW w:w="1225" w:type="pct"/>
            <w:noWrap w:val="0"/>
            <w:vAlign w:val="center"/>
          </w:tcPr>
          <w:p w14:paraId="084F981E">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《地表水环境质量标准》（GB3838-2002）</w:t>
            </w:r>
            <w:r>
              <w:rPr>
                <w:rFonts w:hint="default" w:ascii="Times New Roman" w:hAnsi="Times New Roman" w:eastAsia="宋体" w:cs="Times New Roman"/>
                <w:color w:val="auto"/>
                <w:sz w:val="21"/>
                <w:szCs w:val="21"/>
                <w:highlight w:val="none"/>
              </w:rPr>
              <w:t>Ⅲ类标准</w:t>
            </w:r>
          </w:p>
        </w:tc>
        <w:tc>
          <w:tcPr>
            <w:tcW w:w="569" w:type="pct"/>
            <w:noWrap w:val="0"/>
            <w:vAlign w:val="center"/>
          </w:tcPr>
          <w:p w14:paraId="63689659">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w:t>
            </w:r>
          </w:p>
        </w:tc>
        <w:tc>
          <w:tcPr>
            <w:tcW w:w="359" w:type="pct"/>
            <w:noWrap w:val="0"/>
            <w:vAlign w:val="center"/>
          </w:tcPr>
          <w:p w14:paraId="07FF8CEE">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snapToGrid/>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S</w:t>
            </w:r>
          </w:p>
        </w:tc>
        <w:tc>
          <w:tcPr>
            <w:tcW w:w="374" w:type="pct"/>
            <w:noWrap w:val="0"/>
            <w:vAlign w:val="center"/>
          </w:tcPr>
          <w:p w14:paraId="28B618C9">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81</w:t>
            </w:r>
            <w:r>
              <w:rPr>
                <w:rFonts w:hint="default" w:ascii="Times New Roman" w:hAnsi="Times New Roman" w:eastAsia="宋体" w:cs="Times New Roman"/>
                <w:color w:val="auto"/>
                <w:sz w:val="21"/>
                <w:szCs w:val="21"/>
                <w:highlight w:val="none"/>
                <w:lang w:val="en-US" w:eastAsia="zh-CN"/>
              </w:rPr>
              <w:t>0</w:t>
            </w:r>
          </w:p>
        </w:tc>
      </w:tr>
      <w:tr w14:paraId="7F8CA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4" w:type="pct"/>
            <w:vMerge w:val="restart"/>
            <w:noWrap w:val="0"/>
            <w:vAlign w:val="center"/>
          </w:tcPr>
          <w:p w14:paraId="7DEEC87D">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r>
              <w:rPr>
                <w:color w:val="auto"/>
                <w:spacing w:val="-5"/>
                <w:sz w:val="21"/>
                <w:szCs w:val="21"/>
              </w:rPr>
              <w:t>地下</w:t>
            </w:r>
            <w:r>
              <w:rPr>
                <w:color w:val="auto"/>
                <w:sz w:val="21"/>
                <w:szCs w:val="21"/>
              </w:rPr>
              <w:t>水</w:t>
            </w:r>
          </w:p>
        </w:tc>
        <w:tc>
          <w:tcPr>
            <w:tcW w:w="134" w:type="pct"/>
            <w:gridSpan w:val="2"/>
            <w:noWrap w:val="0"/>
            <w:vAlign w:val="center"/>
          </w:tcPr>
          <w:p w14:paraId="755F160A">
            <w:pPr>
              <w:spacing w:line="240" w:lineRule="auto"/>
              <w:ind w:firstLine="0"/>
              <w:jc w:val="center"/>
              <w:textAlignment w:val="auto"/>
              <w:rPr>
                <w:rFonts w:hint="default" w:ascii="Times New Roman" w:hAnsi="Times New Roman"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1</w:t>
            </w:r>
          </w:p>
        </w:tc>
        <w:tc>
          <w:tcPr>
            <w:tcW w:w="1599" w:type="pct"/>
            <w:gridSpan w:val="4"/>
            <w:noWrap w:val="0"/>
            <w:vAlign w:val="center"/>
          </w:tcPr>
          <w:p w14:paraId="41CEAB8F">
            <w:pPr>
              <w:adjustRightInd/>
              <w:snapToGrid/>
              <w:spacing w:line="240" w:lineRule="auto"/>
              <w:ind w:right="5" w:rightChars="0"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highlight w:val="none"/>
                <w:lang w:val="en-US" w:eastAsia="zh-CN" w:bidi="ar-SA"/>
              </w:rPr>
              <w:t>评价范围内潜水含水层、分散式水井</w:t>
            </w:r>
          </w:p>
        </w:tc>
        <w:tc>
          <w:tcPr>
            <w:tcW w:w="602" w:type="pct"/>
            <w:vMerge w:val="restart"/>
            <w:noWrap w:val="0"/>
            <w:vAlign w:val="center"/>
          </w:tcPr>
          <w:p w14:paraId="1F14E9E6">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地下水</w:t>
            </w:r>
          </w:p>
        </w:tc>
        <w:tc>
          <w:tcPr>
            <w:tcW w:w="1225" w:type="pct"/>
            <w:vMerge w:val="restart"/>
            <w:noWrap w:val="0"/>
            <w:vAlign w:val="center"/>
          </w:tcPr>
          <w:p w14:paraId="07E201B5">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《地下水质量标准》（GB/T14848-2017）Ⅲ类标准</w:t>
            </w:r>
          </w:p>
        </w:tc>
        <w:tc>
          <w:tcPr>
            <w:tcW w:w="569" w:type="pct"/>
            <w:noWrap w:val="0"/>
            <w:vAlign w:val="center"/>
          </w:tcPr>
          <w:p w14:paraId="5F8C61FF">
            <w:pPr>
              <w:adjustRightInd/>
              <w:snapToGrid/>
              <w:spacing w:line="240" w:lineRule="auto"/>
              <w:ind w:right="5"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359" w:type="pct"/>
            <w:noWrap w:val="0"/>
            <w:vAlign w:val="center"/>
          </w:tcPr>
          <w:p w14:paraId="297FE593">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374" w:type="pct"/>
            <w:noWrap w:val="0"/>
            <w:vAlign w:val="center"/>
          </w:tcPr>
          <w:p w14:paraId="21920493">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r>
      <w:tr w14:paraId="45C25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4" w:type="pct"/>
            <w:vMerge w:val="continue"/>
            <w:noWrap w:val="0"/>
            <w:vAlign w:val="center"/>
          </w:tcPr>
          <w:p w14:paraId="466B015E">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4" w:type="pct"/>
            <w:gridSpan w:val="2"/>
            <w:shd w:val="clear" w:color="auto" w:fill="auto"/>
            <w:noWrap w:val="0"/>
            <w:vAlign w:val="center"/>
          </w:tcPr>
          <w:p w14:paraId="7EF2B725">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rPr>
              <w:t>2</w:t>
            </w:r>
          </w:p>
        </w:tc>
        <w:tc>
          <w:tcPr>
            <w:tcW w:w="740" w:type="pct"/>
            <w:gridSpan w:val="2"/>
            <w:vMerge w:val="restart"/>
            <w:shd w:val="clear" w:color="auto" w:fill="auto"/>
            <w:noWrap w:val="0"/>
            <w:vAlign w:val="center"/>
          </w:tcPr>
          <w:p w14:paraId="3119850E">
            <w:pPr>
              <w:adjustRightInd/>
              <w:snapToGrid/>
              <w:spacing w:line="240" w:lineRule="auto"/>
              <w:ind w:right="5"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highlight w:val="none"/>
                <w:lang w:val="en-US" w:eastAsia="zh-CN" w:bidi="ar-SA"/>
              </w:rPr>
              <w:t>喀左县一水源</w:t>
            </w:r>
          </w:p>
        </w:tc>
        <w:tc>
          <w:tcPr>
            <w:tcW w:w="858" w:type="pct"/>
            <w:gridSpan w:val="2"/>
            <w:shd w:val="clear" w:color="auto" w:fill="auto"/>
            <w:noWrap w:val="0"/>
            <w:vAlign w:val="center"/>
          </w:tcPr>
          <w:p w14:paraId="5BB74CF8">
            <w:pPr>
              <w:adjustRightInd/>
              <w:snapToGrid/>
              <w:spacing w:line="240" w:lineRule="auto"/>
              <w:ind w:right="5" w:rightChars="0" w:firstLine="0" w:firstLineChars="0"/>
              <w:jc w:val="center"/>
              <w:textAlignment w:val="auto"/>
              <w:rPr>
                <w:rFonts w:hint="eastAsia"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4#井</w:t>
            </w:r>
            <w:r>
              <w:rPr>
                <w:rFonts w:hint="eastAsia" w:cs="Times New Roman"/>
                <w:color w:val="auto"/>
                <w:kern w:val="2"/>
                <w:sz w:val="21"/>
                <w:szCs w:val="21"/>
                <w:highlight w:val="none"/>
                <w:lang w:val="en-US" w:eastAsia="zh-CN" w:bidi="ar-SA"/>
              </w:rPr>
              <w:t>一级、</w:t>
            </w:r>
            <w:r>
              <w:rPr>
                <w:rFonts w:hint="default" w:ascii="Times New Roman" w:hAnsi="Times New Roman" w:eastAsia="宋体" w:cs="Times New Roman"/>
                <w:color w:val="auto"/>
                <w:kern w:val="2"/>
                <w:sz w:val="21"/>
                <w:szCs w:val="21"/>
                <w:highlight w:val="none"/>
                <w:lang w:val="en-US" w:eastAsia="zh-CN" w:bidi="ar-SA"/>
              </w:rPr>
              <w:t>二</w:t>
            </w:r>
            <w:r>
              <w:rPr>
                <w:rFonts w:hint="eastAsia" w:ascii="Times New Roman" w:hAnsi="Times New Roman" w:eastAsia="宋体" w:cs="Times New Roman"/>
                <w:color w:val="auto"/>
                <w:kern w:val="2"/>
                <w:sz w:val="21"/>
                <w:szCs w:val="21"/>
                <w:highlight w:val="none"/>
                <w:lang w:val="en-US" w:eastAsia="zh-CN" w:bidi="ar-SA"/>
              </w:rPr>
              <w:t>级</w:t>
            </w:r>
            <w:r>
              <w:rPr>
                <w:rFonts w:hint="default" w:ascii="Times New Roman" w:hAnsi="Times New Roman" w:eastAsia="宋体" w:cs="Times New Roman"/>
                <w:color w:val="auto"/>
                <w:kern w:val="2"/>
                <w:sz w:val="21"/>
                <w:szCs w:val="21"/>
                <w:highlight w:val="none"/>
                <w:lang w:val="en-US" w:eastAsia="zh-CN" w:bidi="ar-SA"/>
              </w:rPr>
              <w:t>保护区</w:t>
            </w:r>
          </w:p>
        </w:tc>
        <w:tc>
          <w:tcPr>
            <w:tcW w:w="602" w:type="pct"/>
            <w:vMerge w:val="continue"/>
            <w:shd w:val="clear" w:color="auto" w:fill="auto"/>
            <w:noWrap w:val="0"/>
            <w:vAlign w:val="center"/>
          </w:tcPr>
          <w:p w14:paraId="00D8A4B3">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225" w:type="pct"/>
            <w:vMerge w:val="continue"/>
            <w:shd w:val="clear" w:color="auto" w:fill="auto"/>
            <w:noWrap w:val="0"/>
            <w:vAlign w:val="center"/>
          </w:tcPr>
          <w:p w14:paraId="058B2F12">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9" w:type="pct"/>
            <w:shd w:val="clear" w:color="auto" w:fill="auto"/>
            <w:noWrap w:val="0"/>
            <w:vAlign w:val="center"/>
          </w:tcPr>
          <w:p w14:paraId="0CB925C4">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w:t>
            </w:r>
          </w:p>
        </w:tc>
        <w:tc>
          <w:tcPr>
            <w:tcW w:w="359" w:type="pct"/>
            <w:shd w:val="clear" w:color="auto" w:fill="auto"/>
            <w:noWrap w:val="0"/>
            <w:vAlign w:val="center"/>
          </w:tcPr>
          <w:p w14:paraId="164705A3">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w:t>
            </w:r>
            <w:r>
              <w:rPr>
                <w:rFonts w:hint="eastAsia" w:ascii="Times New Roman" w:hAnsi="Times New Roman" w:eastAsia="宋体" w:cs="Times New Roman"/>
                <w:color w:val="auto"/>
                <w:sz w:val="21"/>
                <w:szCs w:val="21"/>
                <w:highlight w:val="none"/>
                <w:lang w:val="en-US" w:eastAsia="zh-CN"/>
              </w:rPr>
              <w:t>W</w:t>
            </w:r>
          </w:p>
        </w:tc>
        <w:tc>
          <w:tcPr>
            <w:tcW w:w="374" w:type="pct"/>
            <w:shd w:val="clear" w:color="auto" w:fill="auto"/>
            <w:noWrap w:val="0"/>
            <w:vAlign w:val="center"/>
          </w:tcPr>
          <w:p w14:paraId="37B3348C">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1760</w:t>
            </w:r>
          </w:p>
        </w:tc>
      </w:tr>
      <w:tr w14:paraId="38C38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4" w:type="pct"/>
            <w:vMerge w:val="continue"/>
            <w:noWrap w:val="0"/>
            <w:vAlign w:val="center"/>
          </w:tcPr>
          <w:p w14:paraId="3F0CE30A">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4" w:type="pct"/>
            <w:gridSpan w:val="2"/>
            <w:shd w:val="clear" w:color="auto" w:fill="auto"/>
            <w:noWrap w:val="0"/>
            <w:vAlign w:val="center"/>
          </w:tcPr>
          <w:p w14:paraId="16E49378">
            <w:pPr>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rPr>
              <w:t>3</w:t>
            </w:r>
          </w:p>
        </w:tc>
        <w:tc>
          <w:tcPr>
            <w:tcW w:w="740" w:type="pct"/>
            <w:gridSpan w:val="2"/>
            <w:vMerge w:val="continue"/>
            <w:shd w:val="clear" w:color="auto" w:fill="auto"/>
            <w:noWrap w:val="0"/>
            <w:vAlign w:val="center"/>
          </w:tcPr>
          <w:p w14:paraId="1F0D5264">
            <w:pPr>
              <w:adjustRightInd/>
              <w:snapToGrid/>
              <w:spacing w:line="240" w:lineRule="auto"/>
              <w:ind w:right="5"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858" w:type="pct"/>
            <w:gridSpan w:val="2"/>
            <w:shd w:val="clear" w:color="auto" w:fill="auto"/>
            <w:noWrap w:val="0"/>
            <w:vAlign w:val="center"/>
          </w:tcPr>
          <w:p w14:paraId="04F80E98">
            <w:pPr>
              <w:adjustRightInd/>
              <w:snapToGrid/>
              <w:spacing w:line="240" w:lineRule="auto"/>
              <w:ind w:right="5" w:rightChars="0" w:firstLine="0" w:firstLineChars="0"/>
              <w:jc w:val="center"/>
              <w:textAlignment w:val="auto"/>
              <w:rPr>
                <w:rFonts w:hint="eastAsia"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1#井</w:t>
            </w:r>
            <w:r>
              <w:rPr>
                <w:rFonts w:hint="eastAsia" w:cs="Times New Roman"/>
                <w:color w:val="auto"/>
                <w:kern w:val="2"/>
                <w:sz w:val="21"/>
                <w:szCs w:val="21"/>
                <w:highlight w:val="none"/>
                <w:lang w:val="en-US" w:eastAsia="zh-CN" w:bidi="ar-SA"/>
              </w:rPr>
              <w:t>一级、</w:t>
            </w:r>
            <w:r>
              <w:rPr>
                <w:rFonts w:hint="eastAsia" w:ascii="Times New Roman" w:hAnsi="Times New Roman" w:eastAsia="宋体" w:cs="Times New Roman"/>
                <w:color w:val="auto"/>
                <w:kern w:val="2"/>
                <w:sz w:val="21"/>
                <w:szCs w:val="21"/>
                <w:highlight w:val="none"/>
                <w:lang w:val="en-US" w:eastAsia="zh-CN" w:bidi="ar-SA"/>
              </w:rPr>
              <w:t>二级</w:t>
            </w:r>
            <w:r>
              <w:rPr>
                <w:rFonts w:hint="default" w:ascii="Times New Roman" w:hAnsi="Times New Roman" w:eastAsia="宋体" w:cs="Times New Roman"/>
                <w:color w:val="auto"/>
                <w:kern w:val="2"/>
                <w:sz w:val="21"/>
                <w:szCs w:val="21"/>
                <w:highlight w:val="none"/>
                <w:lang w:val="en-US" w:eastAsia="zh-CN" w:bidi="ar-SA"/>
              </w:rPr>
              <w:t>保护区</w:t>
            </w:r>
          </w:p>
        </w:tc>
        <w:tc>
          <w:tcPr>
            <w:tcW w:w="602" w:type="pct"/>
            <w:vMerge w:val="continue"/>
            <w:shd w:val="clear" w:color="auto" w:fill="auto"/>
            <w:noWrap w:val="0"/>
            <w:vAlign w:val="center"/>
          </w:tcPr>
          <w:p w14:paraId="7E962237">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225" w:type="pct"/>
            <w:vMerge w:val="continue"/>
            <w:shd w:val="clear" w:color="auto" w:fill="auto"/>
            <w:noWrap w:val="0"/>
            <w:vAlign w:val="center"/>
          </w:tcPr>
          <w:p w14:paraId="4CCF9FB6">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9" w:type="pct"/>
            <w:shd w:val="clear" w:color="auto" w:fill="auto"/>
            <w:noWrap w:val="0"/>
            <w:vAlign w:val="center"/>
          </w:tcPr>
          <w:p w14:paraId="527C393B">
            <w:pPr>
              <w:adjustRightInd/>
              <w:snapToGrid/>
              <w:spacing w:line="240" w:lineRule="auto"/>
              <w:ind w:right="5"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w:t>
            </w:r>
          </w:p>
        </w:tc>
        <w:tc>
          <w:tcPr>
            <w:tcW w:w="359" w:type="pct"/>
            <w:shd w:val="clear" w:color="auto" w:fill="auto"/>
            <w:noWrap w:val="0"/>
            <w:vAlign w:val="center"/>
          </w:tcPr>
          <w:p w14:paraId="033CF821">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w:t>
            </w:r>
          </w:p>
        </w:tc>
        <w:tc>
          <w:tcPr>
            <w:tcW w:w="374" w:type="pct"/>
            <w:shd w:val="clear" w:color="auto" w:fill="auto"/>
            <w:noWrap w:val="0"/>
            <w:vAlign w:val="center"/>
          </w:tcPr>
          <w:p w14:paraId="79E34B9A">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243</w:t>
            </w:r>
            <w:r>
              <w:rPr>
                <w:rFonts w:hint="default" w:ascii="Times New Roman" w:hAnsi="Times New Roman" w:eastAsia="宋体" w:cs="Times New Roman"/>
                <w:color w:val="auto"/>
                <w:sz w:val="21"/>
                <w:szCs w:val="21"/>
                <w:highlight w:val="none"/>
                <w:lang w:val="en-US" w:eastAsia="zh-CN"/>
              </w:rPr>
              <w:t>0</w:t>
            </w:r>
          </w:p>
        </w:tc>
      </w:tr>
      <w:tr w14:paraId="42842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4" w:type="pct"/>
            <w:vMerge w:val="continue"/>
            <w:noWrap w:val="0"/>
            <w:vAlign w:val="center"/>
          </w:tcPr>
          <w:p w14:paraId="12A18668">
            <w:pPr>
              <w:adjustRightInd/>
              <w:snapToGrid/>
              <w:spacing w:line="240" w:lineRule="auto"/>
              <w:ind w:firstLine="0"/>
              <w:jc w:val="center"/>
              <w:textAlignment w:val="auto"/>
              <w:rPr>
                <w:rFonts w:hint="default" w:ascii="Times New Roman" w:hAnsi="Times New Roman" w:cs="Times New Roman"/>
                <w:snapToGrid/>
                <w:color w:val="auto"/>
                <w:sz w:val="21"/>
                <w:szCs w:val="21"/>
                <w:lang w:eastAsia="en-US"/>
              </w:rPr>
            </w:pPr>
          </w:p>
        </w:tc>
        <w:tc>
          <w:tcPr>
            <w:tcW w:w="134" w:type="pct"/>
            <w:gridSpan w:val="2"/>
            <w:shd w:val="clear" w:color="auto" w:fill="auto"/>
            <w:noWrap w:val="0"/>
            <w:vAlign w:val="center"/>
          </w:tcPr>
          <w:p w14:paraId="5489996B">
            <w:pPr>
              <w:spacing w:line="240" w:lineRule="auto"/>
              <w:ind w:firstLine="0" w:firstLineChars="0"/>
              <w:jc w:val="center"/>
              <w:textAlignment w:val="auto"/>
              <w:rPr>
                <w:rFonts w:hint="default"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4</w:t>
            </w:r>
          </w:p>
        </w:tc>
        <w:tc>
          <w:tcPr>
            <w:tcW w:w="1599" w:type="pct"/>
            <w:gridSpan w:val="4"/>
            <w:shd w:val="clear" w:color="auto" w:fill="auto"/>
            <w:noWrap w:val="0"/>
            <w:vAlign w:val="center"/>
          </w:tcPr>
          <w:p w14:paraId="4BC43392">
            <w:pPr>
              <w:adjustRightInd/>
              <w:snapToGrid/>
              <w:spacing w:line="240" w:lineRule="auto"/>
              <w:ind w:right="5"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喀左县</w:t>
            </w:r>
            <w:r>
              <w:rPr>
                <w:rFonts w:hint="eastAsia" w:ascii="Times New Roman" w:hAnsi="Times New Roman" w:eastAsia="宋体" w:cs="Times New Roman"/>
                <w:color w:val="auto"/>
                <w:kern w:val="2"/>
                <w:sz w:val="21"/>
                <w:szCs w:val="21"/>
                <w:highlight w:val="none"/>
                <w:lang w:val="en-US" w:eastAsia="zh-CN" w:bidi="ar-SA"/>
              </w:rPr>
              <w:t>香磨水源一级</w:t>
            </w:r>
            <w:r>
              <w:rPr>
                <w:rFonts w:hint="eastAsia" w:cs="Times New Roman"/>
                <w:color w:val="auto"/>
                <w:kern w:val="2"/>
                <w:sz w:val="21"/>
                <w:szCs w:val="21"/>
                <w:highlight w:val="none"/>
                <w:lang w:val="en-US" w:eastAsia="zh-CN" w:bidi="ar-SA"/>
              </w:rPr>
              <w:t>、二级</w:t>
            </w:r>
            <w:r>
              <w:rPr>
                <w:rFonts w:hint="eastAsia" w:ascii="Times New Roman" w:hAnsi="Times New Roman" w:eastAsia="宋体" w:cs="Times New Roman"/>
                <w:color w:val="auto"/>
                <w:kern w:val="2"/>
                <w:sz w:val="21"/>
                <w:szCs w:val="21"/>
                <w:highlight w:val="none"/>
                <w:lang w:val="en-US" w:eastAsia="zh-CN" w:bidi="ar-SA"/>
              </w:rPr>
              <w:t>保护区</w:t>
            </w:r>
          </w:p>
        </w:tc>
        <w:tc>
          <w:tcPr>
            <w:tcW w:w="602" w:type="pct"/>
            <w:vMerge w:val="continue"/>
            <w:shd w:val="clear" w:color="auto" w:fill="auto"/>
            <w:noWrap w:val="0"/>
            <w:vAlign w:val="center"/>
          </w:tcPr>
          <w:p w14:paraId="020F9B32">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p>
        </w:tc>
        <w:tc>
          <w:tcPr>
            <w:tcW w:w="1225" w:type="pct"/>
            <w:vMerge w:val="continue"/>
            <w:shd w:val="clear" w:color="auto" w:fill="auto"/>
            <w:noWrap w:val="0"/>
            <w:vAlign w:val="center"/>
          </w:tcPr>
          <w:p w14:paraId="2F1D3D91">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p>
        </w:tc>
        <w:tc>
          <w:tcPr>
            <w:tcW w:w="569" w:type="pct"/>
            <w:shd w:val="clear" w:color="auto" w:fill="auto"/>
            <w:noWrap w:val="0"/>
            <w:vAlign w:val="center"/>
          </w:tcPr>
          <w:p w14:paraId="5D9533AA">
            <w:pPr>
              <w:adjustRightInd/>
              <w:snapToGrid/>
              <w:spacing w:line="240" w:lineRule="auto"/>
              <w:ind w:right="5"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w:t>
            </w:r>
          </w:p>
        </w:tc>
        <w:tc>
          <w:tcPr>
            <w:tcW w:w="359" w:type="pct"/>
            <w:shd w:val="clear" w:color="auto" w:fill="auto"/>
            <w:noWrap w:val="0"/>
            <w:vAlign w:val="center"/>
          </w:tcPr>
          <w:p w14:paraId="4C1E88C1">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w:t>
            </w:r>
          </w:p>
        </w:tc>
        <w:tc>
          <w:tcPr>
            <w:tcW w:w="374" w:type="pct"/>
            <w:shd w:val="clear" w:color="auto" w:fill="auto"/>
            <w:noWrap w:val="0"/>
            <w:vAlign w:val="center"/>
          </w:tcPr>
          <w:p w14:paraId="5CB3DA5C">
            <w:pPr>
              <w:pStyle w:val="100"/>
              <w:keepNext w:val="0"/>
              <w:keepLines w:val="0"/>
              <w:pageBreakBefore w:val="0"/>
              <w:widowControl w:val="0"/>
              <w:shd w:val="clear" w:color="auto" w:fill="auto"/>
              <w:kinsoku/>
              <w:wordWrap/>
              <w:overflowPunct/>
              <w:topLinePunct w:val="0"/>
              <w:autoSpaceDE/>
              <w:autoSpaceDN/>
              <w:bidi w:val="0"/>
              <w:adjustRightInd/>
              <w:snapToGrid/>
              <w:spacing w:line="300" w:lineRule="exact"/>
              <w:ind w:right="113"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2816</w:t>
            </w:r>
          </w:p>
        </w:tc>
      </w:tr>
      <w:bookmarkEnd w:id="465"/>
      <w:bookmarkEnd w:id="466"/>
      <w:bookmarkEnd w:id="467"/>
      <w:bookmarkEnd w:id="468"/>
      <w:bookmarkEnd w:id="469"/>
    </w:tbl>
    <w:p w14:paraId="326F26D3">
      <w:pPr>
        <w:keepNext w:val="0"/>
        <w:keepLines w:val="0"/>
        <w:widowControl/>
        <w:suppressLineNumbers w:val="0"/>
        <w:spacing w:line="360" w:lineRule="auto"/>
        <w:jc w:val="left"/>
        <w:rPr>
          <w:rFonts w:hint="default" w:ascii="宋体" w:hAnsi="宋体" w:eastAsia="宋体" w:cs="宋体"/>
          <w:b/>
          <w:bCs/>
          <w:color w:val="auto"/>
          <w:kern w:val="0"/>
          <w:sz w:val="30"/>
          <w:szCs w:val="30"/>
          <w:lang w:val="en-US" w:eastAsia="zh-CN" w:bidi="ar"/>
        </w:rPr>
      </w:pPr>
    </w:p>
    <w:p w14:paraId="3177B073">
      <w:pPr>
        <w:keepNext w:val="0"/>
        <w:keepLines w:val="0"/>
        <w:widowControl/>
        <w:suppressLineNumbers w:val="0"/>
        <w:spacing w:line="360" w:lineRule="auto"/>
        <w:jc w:val="left"/>
        <w:rPr>
          <w:rFonts w:hint="eastAsia" w:ascii="宋体" w:hAnsi="宋体" w:eastAsia="宋体" w:cs="宋体"/>
          <w:b/>
          <w:bCs/>
          <w:color w:val="auto"/>
          <w:kern w:val="0"/>
          <w:sz w:val="30"/>
          <w:szCs w:val="30"/>
          <w:lang w:val="en-US" w:eastAsia="zh-CN" w:bidi="ar"/>
        </w:rPr>
        <w:sectPr>
          <w:footerReference r:id="rId25" w:type="default"/>
          <w:pgSz w:w="11905" w:h="16838"/>
          <w:pgMar w:top="1440" w:right="1800" w:bottom="1440" w:left="1800" w:header="851" w:footer="1134" w:gutter="0"/>
          <w:pgBorders>
            <w:top w:val="none" w:sz="0" w:space="0"/>
            <w:left w:val="none" w:sz="0" w:space="0"/>
            <w:bottom w:val="none" w:sz="0" w:space="0"/>
            <w:right w:val="none" w:sz="0" w:space="0"/>
          </w:pgBorders>
          <w:pgNumType w:fmt="decimal" w:start="1"/>
          <w:cols w:space="720" w:num="1"/>
          <w:docGrid w:linePitch="312" w:charSpace="0"/>
        </w:sectPr>
      </w:pPr>
    </w:p>
    <w:p w14:paraId="7886AECC">
      <w:pPr>
        <w:keepNext w:val="0"/>
        <w:keepLines w:val="0"/>
        <w:widowControl/>
        <w:suppressLineNumbers w:val="0"/>
        <w:spacing w:line="360" w:lineRule="auto"/>
        <w:jc w:val="center"/>
        <w:rPr>
          <w:color w:val="auto"/>
        </w:rPr>
      </w:pPr>
      <w:r>
        <w:rPr>
          <w:color w:val="auto"/>
          <w:sz w:val="21"/>
        </w:rPr>
        <mc:AlternateContent>
          <mc:Choice Requires="wps">
            <w:drawing>
              <wp:anchor distT="0" distB="0" distL="114300" distR="114300" simplePos="0" relativeHeight="251756544" behindDoc="0" locked="0" layoutInCell="1" allowOverlap="1">
                <wp:simplePos x="0" y="0"/>
                <wp:positionH relativeFrom="column">
                  <wp:posOffset>3992245</wp:posOffset>
                </wp:positionH>
                <wp:positionV relativeFrom="paragraph">
                  <wp:posOffset>3054985</wp:posOffset>
                </wp:positionV>
                <wp:extent cx="596265" cy="241300"/>
                <wp:effectExtent l="177800" t="0" r="0" b="0"/>
                <wp:wrapNone/>
                <wp:docPr id="160" name="文本框 160"/>
                <wp:cNvGraphicFramePr/>
                <a:graphic xmlns:a="http://schemas.openxmlformats.org/drawingml/2006/main">
                  <a:graphicData uri="http://schemas.microsoft.com/office/word/2010/wordprocessingShape">
                    <wps:wsp>
                      <wps:cNvSpPr txBox="1"/>
                      <wps:spPr>
                        <a:xfrm rot="15780000">
                          <a:off x="5026660" y="4149090"/>
                          <a:ext cx="596265"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A0503B">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2430m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35pt;margin-top:240.55pt;height:19pt;width:46.95pt;rotation:-6356992f;z-index:251756544;mso-width-relative:page;mso-height-relative:page;" filled="f" stroked="f" coordsize="21600,21600" o:gfxdata="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MQ57F2gAAAAsBAAAP&#10;AAAAAAAAAAEAIAAAACIAAABkcnMvZG93bnJldi54bWxQSwECFAAUAAAACACHTuJANnUib08CAACE&#10;BAAADgAAAAAAAAABACAAAAApAQAAZHJzL2Uyb0RvYy54bWxQSwUGAAAAAAYABgBZAQAA6gUAAAAA&#10;">
                <v:fill on="f" focussize="0,0"/>
                <v:stroke on="f" weight="0.5pt"/>
                <v:imagedata o:title=""/>
                <o:lock v:ext="edit" aspectratio="f"/>
                <v:textbox>
                  <w:txbxContent>
                    <w:p w14:paraId="04A0503B">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2430m</w:t>
                      </w:r>
                    </w:p>
                  </w:txbxContent>
                </v:textbox>
              </v:shape>
            </w:pict>
          </mc:Fallback>
        </mc:AlternateContent>
      </w:r>
      <w:r>
        <w:rPr>
          <w:color w:val="auto"/>
          <w:sz w:val="21"/>
        </w:rPr>
        <mc:AlternateContent>
          <mc:Choice Requires="wps">
            <w:drawing>
              <wp:anchor distT="0" distB="0" distL="114300" distR="114300" simplePos="0" relativeHeight="251707392" behindDoc="0" locked="0" layoutInCell="1" allowOverlap="1">
                <wp:simplePos x="0" y="0"/>
                <wp:positionH relativeFrom="column">
                  <wp:posOffset>6341745</wp:posOffset>
                </wp:positionH>
                <wp:positionV relativeFrom="paragraph">
                  <wp:posOffset>4676775</wp:posOffset>
                </wp:positionV>
                <wp:extent cx="134620" cy="635"/>
                <wp:effectExtent l="0" t="0" r="0" b="0"/>
                <wp:wrapNone/>
                <wp:docPr id="82" name="直接连接符 82"/>
                <wp:cNvGraphicFramePr/>
                <a:graphic xmlns:a="http://schemas.openxmlformats.org/drawingml/2006/main">
                  <a:graphicData uri="http://schemas.microsoft.com/office/word/2010/wordprocessingShape">
                    <wps:wsp>
                      <wps:cNvCnPr/>
                      <wps:spPr>
                        <a:xfrm>
                          <a:off x="0" y="0"/>
                          <a:ext cx="134620" cy="635"/>
                        </a:xfrm>
                        <a:prstGeom prst="line">
                          <a:avLst/>
                        </a:prstGeom>
                        <a:ln w="25400" cap="flat" cmpd="sng">
                          <a:solidFill>
                            <a:srgbClr val="0070C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499.35pt;margin-top:368.25pt;height:0.05pt;width:10.6pt;z-index:251707392;mso-width-relative:page;mso-height-relative:page;" filled="f" stroked="t" coordsize="21600,21600" o:gfxdata="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0+F3tsAAAAMAQAADwAAAAAAAAABACAAAAAiAAAAZHJzL2Rvd25y&#10;ZXYueG1sUEsBAhQAFAAAAAgAh07iQAXnXdL7AQAA6AMAAA4AAAAAAAAAAQAgAAAAKgEAAGRycy9l&#10;Mm9Eb2MueG1sUEsFBgAAAAAGAAYAWQEAAJcFAAAAAA==&#10;">
                <v:fill on="f" focussize="0,0"/>
                <v:stroke weight="2pt" color="#0070C0" joinstyle="round"/>
                <v:imagedata o:title=""/>
                <o:lock v:ext="edit" aspectratio="f"/>
              </v:line>
            </w:pict>
          </mc:Fallback>
        </mc:AlternateContent>
      </w: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6732270</wp:posOffset>
                </wp:positionH>
                <wp:positionV relativeFrom="paragraph">
                  <wp:posOffset>5031740</wp:posOffset>
                </wp:positionV>
                <wp:extent cx="511175" cy="25146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511175" cy="251460"/>
                        </a:xfrm>
                        <a:prstGeom prst="rect">
                          <a:avLst/>
                        </a:prstGeom>
                        <a:noFill/>
                        <a:ln>
                          <a:noFill/>
                        </a:ln>
                      </wps:spPr>
                      <wps:txbx>
                        <w:txbxContent>
                          <w:p w14:paraId="6FEE5E05">
                            <w:pPr>
                              <w:rPr>
                                <w:rFonts w:hint="default" w:eastAsia="宋体"/>
                                <w:lang w:val="en-US" w:eastAsia="zh-CN"/>
                              </w:rPr>
                            </w:pPr>
                            <w:r>
                              <w:rPr>
                                <w:rFonts w:hint="eastAsia"/>
                                <w:lang w:val="en-US" w:eastAsia="zh-CN"/>
                              </w:rPr>
                              <w:t>500m</w:t>
                            </w:r>
                          </w:p>
                        </w:txbxContent>
                      </wps:txbx>
                      <wps:bodyPr upright="1"/>
                    </wps:wsp>
                  </a:graphicData>
                </a:graphic>
              </wp:anchor>
            </w:drawing>
          </mc:Choice>
          <mc:Fallback>
            <w:pict>
              <v:shape id="_x0000_s1026" o:spid="_x0000_s1026" o:spt="202" type="#_x0000_t202" style="position:absolute;left:0pt;margin-left:530.1pt;margin-top:396.2pt;height:19.8pt;width:40.25pt;z-index:251703296;mso-width-relative:page;mso-height-relative:page;" filled="f" stroked="f" coordsize="21600,21600" o:gfxdata="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mcS&#10;ctkAAAANAQAADwAAAAAAAAABACAAAAAiAAAAZHJzL2Rvd25yZXYueG1sUEsBAhQAFAAAAAgAh07i&#10;QEy54SmvAQAATwMAAA4AAAAAAAAAAQAgAAAAKAEAAGRycy9lMm9Eb2MueG1sUEsFBgAAAAAGAAYA&#10;WQEAAEkFAAAAAA==&#10;">
                <v:fill on="f" focussize="0,0"/>
                <v:stroke on="f"/>
                <v:imagedata o:title=""/>
                <o:lock v:ext="edit" aspectratio="f"/>
                <v:textbox>
                  <w:txbxContent>
                    <w:p w14:paraId="6FEE5E05">
                      <w:pPr>
                        <w:rPr>
                          <w:rFonts w:hint="default" w:eastAsia="宋体"/>
                          <w:lang w:val="en-US" w:eastAsia="zh-CN"/>
                        </w:rPr>
                      </w:pPr>
                      <w:r>
                        <w:rPr>
                          <w:rFonts w:hint="eastAsia"/>
                          <w:lang w:val="en-US" w:eastAsia="zh-CN"/>
                        </w:rPr>
                        <w:t>500m</w:t>
                      </w:r>
                    </w:p>
                  </w:txbxContent>
                </v:textbox>
              </v:shape>
            </w:pict>
          </mc:Fallback>
        </mc:AlternateContent>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6873240</wp:posOffset>
                </wp:positionH>
                <wp:positionV relativeFrom="paragraph">
                  <wp:posOffset>5225415</wp:posOffset>
                </wp:positionV>
                <wp:extent cx="268605" cy="76200"/>
                <wp:effectExtent l="4445" t="5080" r="12700" b="13970"/>
                <wp:wrapNone/>
                <wp:docPr id="38" name="文本框 38"/>
                <wp:cNvGraphicFramePr/>
                <a:graphic xmlns:a="http://schemas.openxmlformats.org/drawingml/2006/main">
                  <a:graphicData uri="http://schemas.microsoft.com/office/word/2010/wordprocessingShape">
                    <wps:wsp>
                      <wps:cNvSpPr txBox="1"/>
                      <wps:spPr>
                        <a:xfrm>
                          <a:off x="0" y="0"/>
                          <a:ext cx="268605" cy="76200"/>
                        </a:xfrm>
                        <a:prstGeom prst="rect">
                          <a:avLst/>
                        </a:prstGeom>
                        <a:solidFill>
                          <a:srgbClr val="000000"/>
                        </a:solidFill>
                        <a:ln w="9525" cap="flat" cmpd="sng">
                          <a:solidFill>
                            <a:srgbClr val="000000"/>
                          </a:solidFill>
                          <a:prstDash val="solid"/>
                          <a:miter/>
                          <a:headEnd type="none" w="med" len="med"/>
                          <a:tailEnd type="none" w="med" len="med"/>
                        </a:ln>
                      </wps:spPr>
                      <wps:txbx>
                        <w:txbxContent>
                          <w:p w14:paraId="68FC52DC"/>
                        </w:txbxContent>
                      </wps:txbx>
                      <wps:bodyPr upright="1"/>
                    </wps:wsp>
                  </a:graphicData>
                </a:graphic>
              </wp:anchor>
            </w:drawing>
          </mc:Choice>
          <mc:Fallback>
            <w:pict>
              <v:shape id="_x0000_s1026" o:spid="_x0000_s1026" o:spt="202" type="#_x0000_t202" style="position:absolute;left:0pt;margin-left:541.2pt;margin-top:411.45pt;height:6pt;width:21.15pt;z-index:251702272;mso-width-relative:page;mso-height-relative:page;" fillcolor="#000000" filled="t" stroked="t" coordsize="21600,21600" o:gfxdata="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nX+i53QAAAA0BAAAPAAAAAAAAAAEAIAAAACIA&#10;AABkcnMvZG93bnJldi54bWxQSwECFAAUAAAACACHTuJAi1nSQgQCAAA2BAAADgAAAAAAAAABACAA&#10;AAAsAQAAZHJzL2Uyb0RvYy54bWxQSwUGAAAAAAYABgBZAQAAogUAAAAA&#10;">
                <v:fill on="t" focussize="0,0"/>
                <v:stroke color="#000000" joinstyle="miter"/>
                <v:imagedata o:title=""/>
                <o:lock v:ext="edit" aspectratio="f"/>
                <v:textbox>
                  <w:txbxContent>
                    <w:p w14:paraId="68FC52DC"/>
                  </w:txbxContent>
                </v:textbox>
              </v:shape>
            </w:pict>
          </mc:Fallback>
        </mc:AlternateContent>
      </w:r>
      <w:r>
        <w:rPr>
          <w:color w:val="auto"/>
          <w:sz w:val="21"/>
        </w:rPr>
        <mc:AlternateContent>
          <mc:Choice Requires="wps">
            <w:drawing>
              <wp:anchor distT="0" distB="0" distL="114300" distR="114300" simplePos="0" relativeHeight="251709440" behindDoc="0" locked="0" layoutInCell="1" allowOverlap="1">
                <wp:simplePos x="0" y="0"/>
                <wp:positionH relativeFrom="column">
                  <wp:posOffset>6347460</wp:posOffset>
                </wp:positionH>
                <wp:positionV relativeFrom="paragraph">
                  <wp:posOffset>4976495</wp:posOffset>
                </wp:positionV>
                <wp:extent cx="119380" cy="79375"/>
                <wp:effectExtent l="5080" t="4445" r="8890" b="11430"/>
                <wp:wrapNone/>
                <wp:docPr id="72" name="矩形 72"/>
                <wp:cNvGraphicFramePr/>
                <a:graphic xmlns:a="http://schemas.openxmlformats.org/drawingml/2006/main">
                  <a:graphicData uri="http://schemas.microsoft.com/office/word/2010/wordprocessingShape">
                    <wps:wsp>
                      <wps:cNvSpPr/>
                      <wps:spPr>
                        <a:xfrm>
                          <a:off x="0" y="0"/>
                          <a:ext cx="119380" cy="79375"/>
                        </a:xfrm>
                        <a:prstGeom prst="rect">
                          <a:avLst/>
                        </a:prstGeom>
                        <a:solidFill>
                          <a:srgbClr val="FFFFFF"/>
                        </a:solidFill>
                        <a:ln w="9525" cap="flat" cmpd="sng">
                          <a:solidFill>
                            <a:srgbClr val="E50BCE"/>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99.8pt;margin-top:391.85pt;height:6.25pt;width:9.4pt;z-index:251709440;mso-width-relative:page;mso-height-relative:page;" fillcolor="#FFFFFF" filled="t" stroked="t" coordsize="21600,21600" o:gfxdata="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4L5JdoAAAAMAQAADwAAAAAAAAABACAAAAAiAAAAZHJzL2Rv&#10;d25yZXYueG1sUEsBAhQAFAAAAAgAh07iQI+BhXf/AQAAHgQAAA4AAAAAAAAAAQAgAAAAKQEAAGRy&#10;cy9lMm9Eb2MueG1sUEsFBgAAAAAGAAYAWQEAAJoFAAAAAA==&#10;">
                <v:fill on="t" focussize="0,0"/>
                <v:stroke color="#E50BCE" joinstyle="miter"/>
                <v:imagedata o:title=""/>
                <o:lock v:ext="edit" aspectratio="f"/>
              </v:rect>
            </w:pict>
          </mc:Fallback>
        </mc:AlternateContent>
      </w:r>
      <w:r>
        <w:rPr>
          <w:color w:val="auto"/>
          <w:sz w:val="21"/>
        </w:rPr>
        <mc:AlternateContent>
          <mc:Choice Requires="wps">
            <w:drawing>
              <wp:anchor distT="0" distB="0" distL="114300" distR="114300" simplePos="0" relativeHeight="251708416" behindDoc="0" locked="0" layoutInCell="1" allowOverlap="1">
                <wp:simplePos x="0" y="0"/>
                <wp:positionH relativeFrom="column">
                  <wp:posOffset>6332855</wp:posOffset>
                </wp:positionH>
                <wp:positionV relativeFrom="paragraph">
                  <wp:posOffset>4808855</wp:posOffset>
                </wp:positionV>
                <wp:extent cx="119380" cy="79375"/>
                <wp:effectExtent l="5080" t="4445" r="8890" b="11430"/>
                <wp:wrapNone/>
                <wp:docPr id="56" name="矩形 56"/>
                <wp:cNvGraphicFramePr/>
                <a:graphic xmlns:a="http://schemas.openxmlformats.org/drawingml/2006/main">
                  <a:graphicData uri="http://schemas.microsoft.com/office/word/2010/wordprocessingShape">
                    <wps:wsp>
                      <wps:cNvSpPr/>
                      <wps:spPr>
                        <a:xfrm>
                          <a:off x="0" y="0"/>
                          <a:ext cx="119380" cy="79375"/>
                        </a:xfrm>
                        <a:prstGeom prst="rect">
                          <a:avLst/>
                        </a:prstGeom>
                        <a:solidFill>
                          <a:srgbClr val="FFFFFF"/>
                        </a:solidFill>
                        <a:ln w="9525" cap="flat" cmpd="sng">
                          <a:solidFill>
                            <a:srgbClr val="08E8DB"/>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98.65pt;margin-top:378.65pt;height:6.25pt;width:9.4pt;z-index:251708416;mso-width-relative:page;mso-height-relative:page;" fillcolor="#FFFFFF" filled="t" stroked="t" coordsize="21600,21600" o:gfxdata="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HJ2GdoAAAAMAQAADwAAAAAAAAABACAAAAAiAAAAZHJzL2Rv&#10;d25yZXYueG1sUEsBAhQAFAAAAAgAh07iQN0nOZj/AQAAHgQAAA4AAAAAAAAAAQAgAAAAKQEAAGRy&#10;cy9lMm9Eb2MueG1sUEsFBgAAAAAGAAYAWQEAAJoFAAAAAA==&#10;">
                <v:fill on="t" focussize="0,0"/>
                <v:stroke color="#08E8DB" joinstyle="miter"/>
                <v:imagedata o:title=""/>
                <o:lock v:ext="edit" aspectratio="f"/>
              </v:rect>
            </w:pict>
          </mc:Fallback>
        </mc:AlternateContent>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6319520</wp:posOffset>
                </wp:positionH>
                <wp:positionV relativeFrom="paragraph">
                  <wp:posOffset>4453890</wp:posOffset>
                </wp:positionV>
                <wp:extent cx="147320" cy="104140"/>
                <wp:effectExtent l="9525" t="9525" r="14605" b="19685"/>
                <wp:wrapNone/>
                <wp:docPr id="81" name="矩形 81"/>
                <wp:cNvGraphicFramePr/>
                <a:graphic xmlns:a="http://schemas.openxmlformats.org/drawingml/2006/main">
                  <a:graphicData uri="http://schemas.microsoft.com/office/word/2010/wordprocessingShape">
                    <wps:wsp>
                      <wps:cNvSpPr/>
                      <wps:spPr>
                        <a:xfrm>
                          <a:off x="0" y="0"/>
                          <a:ext cx="147320" cy="104140"/>
                        </a:xfrm>
                        <a:prstGeom prst="rect">
                          <a:avLst/>
                        </a:prstGeom>
                        <a:solidFill>
                          <a:srgbClr val="FFFF00">
                            <a:alpha val="29999"/>
                          </a:srgbClr>
                        </a:solidFill>
                        <a:ln w="1905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97.6pt;margin-top:350.7pt;height:8.2pt;width:11.6pt;z-index:251706368;mso-width-relative:page;mso-height-relative:page;" fillcolor="#FFFF00" filled="t" stroked="t" coordsize="21600,21600" o:gfxdata="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HDuko2gAAAAwBAAAPAAAAAAAAAAEAIAAAACIA&#10;AABkcnMvZG93bnJldi54bWxQSwECFAAUAAAACACHTuJAqWaiCwcCAABBBAAADgAAAAAAAAABACAA&#10;AAApAQAAZHJzL2Uyb0RvYy54bWxQSwUGAAAAAAYABgBZAQAAogUAAAAA&#10;">
                <v:fill on="t" opacity="19660f" focussize="0,0"/>
                <v:stroke weight="1.5pt" color="#FFFF00" joinstyle="miter"/>
                <v:imagedata o:title=""/>
                <o:lock v:ext="edit" aspectratio="f"/>
              </v:rect>
            </w:pict>
          </mc:Fallback>
        </mc:AlternateContent>
      </w: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6326505</wp:posOffset>
                </wp:positionH>
                <wp:positionV relativeFrom="paragraph">
                  <wp:posOffset>4093210</wp:posOffset>
                </wp:positionV>
                <wp:extent cx="121285" cy="112395"/>
                <wp:effectExtent l="4445" t="4445" r="7620" b="16510"/>
                <wp:wrapNone/>
                <wp:docPr id="65" name="椭圆 65"/>
                <wp:cNvGraphicFramePr/>
                <a:graphic xmlns:a="http://schemas.openxmlformats.org/drawingml/2006/main">
                  <a:graphicData uri="http://schemas.microsoft.com/office/word/2010/wordprocessingShape">
                    <wps:wsp>
                      <wps:cNvSpPr/>
                      <wps:spPr>
                        <a:xfrm>
                          <a:off x="0" y="0"/>
                          <a:ext cx="121285" cy="112395"/>
                        </a:xfrm>
                        <a:prstGeom prst="ellipse">
                          <a:avLst/>
                        </a:prstGeom>
                        <a:solidFill>
                          <a:srgbClr val="FFFFFF"/>
                        </a:solidFill>
                        <a:ln w="9525" cap="flat" cmpd="sng">
                          <a:solidFill>
                            <a:srgbClr val="FFC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98.15pt;margin-top:322.3pt;height:8.85pt;width:9.55pt;z-index:251705344;mso-width-relative:page;mso-height-relative:page;" fillcolor="#FFFFFF" filled="t" stroked="t" coordsize="21600,21600" o:gfxdata="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EPKEdkAAAAMAQAADwAAAAAAAAABACAAAAAiAAAAZHJzL2Rvd25yZXYu&#10;eG1sUEsBAhQAFAAAAAgAh07iQJOZhbr6AQAAGAQAAA4AAAAAAAAAAQAgAAAAKAEAAGRycy9lMm9E&#10;b2MueG1sUEsFBgAAAAAGAAYAWQEAAJQFAAAAAA==&#10;">
                <v:fill on="t" focussize="0,0"/>
                <v:stroke color="#FFC000" joinstyle="round"/>
                <v:imagedata o:title=""/>
                <o:lock v:ext="edit" aspectratio="f"/>
              </v:shape>
            </w:pict>
          </mc:Fallback>
        </mc:AlternateContent>
      </w: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6336665</wp:posOffset>
                </wp:positionH>
                <wp:positionV relativeFrom="paragraph">
                  <wp:posOffset>3928110</wp:posOffset>
                </wp:positionV>
                <wp:extent cx="129540" cy="86995"/>
                <wp:effectExtent l="5080" t="4445" r="17780" b="22860"/>
                <wp:wrapNone/>
                <wp:docPr id="58" name="矩形 58"/>
                <wp:cNvGraphicFramePr/>
                <a:graphic xmlns:a="http://schemas.openxmlformats.org/drawingml/2006/main">
                  <a:graphicData uri="http://schemas.microsoft.com/office/word/2010/wordprocessingShape">
                    <wps:wsp>
                      <wps:cNvSpPr/>
                      <wps:spPr>
                        <a:xfrm>
                          <a:off x="0" y="0"/>
                          <a:ext cx="129540" cy="86995"/>
                        </a:xfrm>
                        <a:prstGeom prst="rect">
                          <a:avLst/>
                        </a:prstGeom>
                        <a:solidFill>
                          <a:srgbClr val="FFFFFF"/>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98.95pt;margin-top:309.3pt;height:6.85pt;width:10.2pt;z-index:251704320;mso-width-relative:page;mso-height-relative:page;" fillcolor="#FFFFFF" filled="t" stroked="t" coordsize="21600,21600" o:gfxdata="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UcdAQ2QAAAAwBAAAPAAAAAAAAAAEAIAAAACIAAABkcnMvZG93bnJldi54&#10;bWxQSwECFAAUAAAACACHTuJALBAI6/kBAAAeBAAADgAAAAAAAAABACAAAAAoAQAAZHJzL2Uyb0Rv&#10;Yy54bWxQSwUGAAAAAAYABgBZAQAAkwUAAAAA&#10;">
                <v:fill on="t" focussize="0,0"/>
                <v:stroke color="#FF0000" joinstyle="miter"/>
                <v:imagedata o:title=""/>
                <o:lock v:ext="edit" aspectratio="f"/>
              </v:rect>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6259195</wp:posOffset>
                </wp:positionH>
                <wp:positionV relativeFrom="paragraph">
                  <wp:posOffset>3673475</wp:posOffset>
                </wp:positionV>
                <wp:extent cx="1548765" cy="1696720"/>
                <wp:effectExtent l="4445" t="4445" r="8890" b="13335"/>
                <wp:wrapNone/>
                <wp:docPr id="37" name="文本框 37"/>
                <wp:cNvGraphicFramePr/>
                <a:graphic xmlns:a="http://schemas.openxmlformats.org/drawingml/2006/main">
                  <a:graphicData uri="http://schemas.microsoft.com/office/word/2010/wordprocessingShape">
                    <wps:wsp>
                      <wps:cNvSpPr txBox="1"/>
                      <wps:spPr>
                        <a:xfrm>
                          <a:off x="0" y="0"/>
                          <a:ext cx="1548765" cy="16967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4B8FCB4">
                            <w:pPr>
                              <w:rPr>
                                <w:rFonts w:hint="eastAsia"/>
                                <w:lang w:val="en-US" w:eastAsia="zh-CN"/>
                              </w:rPr>
                            </w:pPr>
                            <w:r>
                              <w:rPr>
                                <w:rFonts w:hint="eastAsia"/>
                                <w:lang w:val="en-US" w:eastAsia="zh-CN"/>
                              </w:rPr>
                              <w:t>图例：</w:t>
                            </w:r>
                          </w:p>
                          <w:p w14:paraId="529F95BB">
                            <w:pPr>
                              <w:ind w:firstLine="210" w:firstLineChars="100"/>
                              <w:rPr>
                                <w:rFonts w:hint="eastAsia"/>
                                <w:lang w:val="en-US" w:eastAsia="zh-CN"/>
                              </w:rPr>
                            </w:pPr>
                            <w:r>
                              <w:rPr>
                                <w:rFonts w:hint="eastAsia"/>
                                <w:lang w:val="en-US" w:eastAsia="zh-CN"/>
                              </w:rPr>
                              <w:t>本项目</w:t>
                            </w:r>
                          </w:p>
                          <w:p w14:paraId="40B0F3B6">
                            <w:pPr>
                              <w:ind w:firstLine="210" w:firstLineChars="100"/>
                              <w:rPr>
                                <w:rFonts w:hint="default"/>
                                <w:lang w:val="en-US" w:eastAsia="zh-CN"/>
                              </w:rPr>
                            </w:pPr>
                            <w:r>
                              <w:rPr>
                                <w:rFonts w:hint="eastAsia"/>
                                <w:lang w:val="en-US" w:eastAsia="zh-CN"/>
                              </w:rPr>
                              <w:t>大气环境风险评价范围（半径5000m）</w:t>
                            </w:r>
                          </w:p>
                          <w:p w14:paraId="779C69B0">
                            <w:pPr>
                              <w:ind w:firstLine="210" w:firstLineChars="100"/>
                              <w:rPr>
                                <w:rFonts w:hint="eastAsia"/>
                                <w:lang w:val="en-US" w:eastAsia="zh-CN"/>
                              </w:rPr>
                            </w:pPr>
                            <w:r>
                              <w:rPr>
                                <w:rFonts w:hint="eastAsia"/>
                                <w:lang w:val="en-US" w:eastAsia="zh-CN"/>
                              </w:rPr>
                              <w:t>大气环境保护目标</w:t>
                            </w:r>
                          </w:p>
                          <w:p w14:paraId="2445548F">
                            <w:pPr>
                              <w:ind w:firstLine="210" w:firstLineChars="100"/>
                              <w:rPr>
                                <w:rFonts w:hint="eastAsia"/>
                                <w:lang w:val="en-US" w:eastAsia="zh-CN"/>
                              </w:rPr>
                            </w:pPr>
                            <w:r>
                              <w:rPr>
                                <w:rFonts w:hint="eastAsia"/>
                                <w:lang w:val="en-US" w:eastAsia="zh-CN"/>
                              </w:rPr>
                              <w:t>大凌河西支</w:t>
                            </w:r>
                          </w:p>
                          <w:p w14:paraId="1CC4B398">
                            <w:pPr>
                              <w:ind w:firstLine="210" w:firstLineChars="100"/>
                              <w:rPr>
                                <w:rFonts w:hint="eastAsia"/>
                                <w:lang w:val="en-US" w:eastAsia="zh-CN"/>
                              </w:rPr>
                            </w:pPr>
                            <w:r>
                              <w:rPr>
                                <w:rFonts w:hint="eastAsia"/>
                                <w:lang w:val="en-US" w:eastAsia="zh-CN"/>
                              </w:rPr>
                              <w:t>饮用水源一级保护区</w:t>
                            </w:r>
                          </w:p>
                          <w:p w14:paraId="369F66D6">
                            <w:pPr>
                              <w:ind w:firstLine="210" w:firstLineChars="100"/>
                              <w:rPr>
                                <w:rFonts w:hint="default"/>
                                <w:lang w:val="en-US" w:eastAsia="zh-CN"/>
                              </w:rPr>
                            </w:pPr>
                            <w:r>
                              <w:rPr>
                                <w:rFonts w:hint="eastAsia"/>
                                <w:lang w:val="en-US" w:eastAsia="zh-CN"/>
                              </w:rPr>
                              <w:t>饮用水源二级保护区</w:t>
                            </w:r>
                          </w:p>
                          <w:p w14:paraId="00B25D38">
                            <w:pPr>
                              <w:rPr>
                                <w:rFonts w:hint="default"/>
                                <w:lang w:val="en-US" w:eastAsia="zh-CN"/>
                              </w:rPr>
                            </w:pPr>
                          </w:p>
                        </w:txbxContent>
                      </wps:txbx>
                      <wps:bodyPr upright="1"/>
                    </wps:wsp>
                  </a:graphicData>
                </a:graphic>
              </wp:anchor>
            </w:drawing>
          </mc:Choice>
          <mc:Fallback>
            <w:pict>
              <v:shape id="_x0000_s1026" o:spid="_x0000_s1026" o:spt="202" type="#_x0000_t202" style="position:absolute;left:0pt;margin-left:492.85pt;margin-top:289.25pt;height:133.6pt;width:121.95pt;z-index:251701248;mso-width-relative:page;mso-height-relative:page;" fillcolor="#FFFFFF" filled="t" stroked="t" coordsize="21600,21600" o:gfxdata="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xIZydkAAAAMAQAADwAAAAAAAAAB&#10;ACAAAAAiAAAAZHJzL2Rvd25yZXYueG1sUEsBAhQAFAAAAAgAh07iQPT2/TMPAgAAOQQAAA4AAAAA&#10;AAAAAQAgAAAAKAEAAGRycy9lMm9Eb2MueG1sUEsFBgAAAAAGAAYAWQEAAKkFAAAAAA==&#10;">
                <v:fill on="t" focussize="0,0"/>
                <v:stroke color="#000000" joinstyle="miter"/>
                <v:imagedata o:title=""/>
                <o:lock v:ext="edit" aspectratio="f"/>
                <v:textbox>
                  <w:txbxContent>
                    <w:p w14:paraId="44B8FCB4">
                      <w:pPr>
                        <w:rPr>
                          <w:rFonts w:hint="eastAsia"/>
                          <w:lang w:val="en-US" w:eastAsia="zh-CN"/>
                        </w:rPr>
                      </w:pPr>
                      <w:r>
                        <w:rPr>
                          <w:rFonts w:hint="eastAsia"/>
                          <w:lang w:val="en-US" w:eastAsia="zh-CN"/>
                        </w:rPr>
                        <w:t>图例：</w:t>
                      </w:r>
                    </w:p>
                    <w:p w14:paraId="529F95BB">
                      <w:pPr>
                        <w:ind w:firstLine="210" w:firstLineChars="100"/>
                        <w:rPr>
                          <w:rFonts w:hint="eastAsia"/>
                          <w:lang w:val="en-US" w:eastAsia="zh-CN"/>
                        </w:rPr>
                      </w:pPr>
                      <w:r>
                        <w:rPr>
                          <w:rFonts w:hint="eastAsia"/>
                          <w:lang w:val="en-US" w:eastAsia="zh-CN"/>
                        </w:rPr>
                        <w:t>本项目</w:t>
                      </w:r>
                    </w:p>
                    <w:p w14:paraId="40B0F3B6">
                      <w:pPr>
                        <w:ind w:firstLine="210" w:firstLineChars="100"/>
                        <w:rPr>
                          <w:rFonts w:hint="default"/>
                          <w:lang w:val="en-US" w:eastAsia="zh-CN"/>
                        </w:rPr>
                      </w:pPr>
                      <w:r>
                        <w:rPr>
                          <w:rFonts w:hint="eastAsia"/>
                          <w:lang w:val="en-US" w:eastAsia="zh-CN"/>
                        </w:rPr>
                        <w:t>大气环境风险评价范围（半径5000m）</w:t>
                      </w:r>
                    </w:p>
                    <w:p w14:paraId="779C69B0">
                      <w:pPr>
                        <w:ind w:firstLine="210" w:firstLineChars="100"/>
                        <w:rPr>
                          <w:rFonts w:hint="eastAsia"/>
                          <w:lang w:val="en-US" w:eastAsia="zh-CN"/>
                        </w:rPr>
                      </w:pPr>
                      <w:r>
                        <w:rPr>
                          <w:rFonts w:hint="eastAsia"/>
                          <w:lang w:val="en-US" w:eastAsia="zh-CN"/>
                        </w:rPr>
                        <w:t>大气环境保护目标</w:t>
                      </w:r>
                    </w:p>
                    <w:p w14:paraId="2445548F">
                      <w:pPr>
                        <w:ind w:firstLine="210" w:firstLineChars="100"/>
                        <w:rPr>
                          <w:rFonts w:hint="eastAsia"/>
                          <w:lang w:val="en-US" w:eastAsia="zh-CN"/>
                        </w:rPr>
                      </w:pPr>
                      <w:r>
                        <w:rPr>
                          <w:rFonts w:hint="eastAsia"/>
                          <w:lang w:val="en-US" w:eastAsia="zh-CN"/>
                        </w:rPr>
                        <w:t>大凌河西支</w:t>
                      </w:r>
                    </w:p>
                    <w:p w14:paraId="1CC4B398">
                      <w:pPr>
                        <w:ind w:firstLine="210" w:firstLineChars="100"/>
                        <w:rPr>
                          <w:rFonts w:hint="eastAsia"/>
                          <w:lang w:val="en-US" w:eastAsia="zh-CN"/>
                        </w:rPr>
                      </w:pPr>
                      <w:r>
                        <w:rPr>
                          <w:rFonts w:hint="eastAsia"/>
                          <w:lang w:val="en-US" w:eastAsia="zh-CN"/>
                        </w:rPr>
                        <w:t>饮用水源一级保护区</w:t>
                      </w:r>
                    </w:p>
                    <w:p w14:paraId="369F66D6">
                      <w:pPr>
                        <w:ind w:firstLine="210" w:firstLineChars="100"/>
                        <w:rPr>
                          <w:rFonts w:hint="default"/>
                          <w:lang w:val="en-US" w:eastAsia="zh-CN"/>
                        </w:rPr>
                      </w:pPr>
                      <w:r>
                        <w:rPr>
                          <w:rFonts w:hint="eastAsia"/>
                          <w:lang w:val="en-US" w:eastAsia="zh-CN"/>
                        </w:rPr>
                        <w:t>饮用水源二级保护区</w:t>
                      </w:r>
                    </w:p>
                    <w:p w14:paraId="00B25D38">
                      <w:pPr>
                        <w:rPr>
                          <w:rFonts w:hint="default"/>
                          <w:lang w:val="en-US" w:eastAsia="zh-CN"/>
                        </w:rPr>
                      </w:pPr>
                    </w:p>
                  </w:txbxContent>
                </v:textbox>
              </v:shape>
            </w:pict>
          </mc:Fallback>
        </mc:AlternateContent>
      </w:r>
      <w:r>
        <w:rPr>
          <w:color w:val="auto"/>
        </w:rPr>
        <w:drawing>
          <wp:inline distT="0" distB="0" distL="114300" distR="114300">
            <wp:extent cx="7219315" cy="5375910"/>
            <wp:effectExtent l="0" t="0" r="635" b="15240"/>
            <wp:docPr id="1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6"/>
                    <pic:cNvPicPr>
                      <a:picLocks noChangeAspect="1"/>
                    </pic:cNvPicPr>
                  </pic:nvPicPr>
                  <pic:blipFill>
                    <a:blip r:embed="rId233"/>
                    <a:stretch>
                      <a:fillRect/>
                    </a:stretch>
                  </pic:blipFill>
                  <pic:spPr>
                    <a:xfrm>
                      <a:off x="0" y="0"/>
                      <a:ext cx="7219315" cy="5375910"/>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758592" behindDoc="0" locked="0" layoutInCell="1" allowOverlap="1">
                <wp:simplePos x="0" y="0"/>
                <wp:positionH relativeFrom="column">
                  <wp:posOffset>3087370</wp:posOffset>
                </wp:positionH>
                <wp:positionV relativeFrom="paragraph">
                  <wp:posOffset>2208530</wp:posOffset>
                </wp:positionV>
                <wp:extent cx="596265" cy="241300"/>
                <wp:effectExtent l="0" t="0" r="0" b="0"/>
                <wp:wrapNone/>
                <wp:docPr id="174" name="文本框 174"/>
                <wp:cNvGraphicFramePr/>
                <a:graphic xmlns:a="http://schemas.openxmlformats.org/drawingml/2006/main">
                  <a:graphicData uri="http://schemas.microsoft.com/office/word/2010/wordprocessingShape">
                    <wps:wsp>
                      <wps:cNvSpPr txBox="1"/>
                      <wps:spPr>
                        <a:xfrm rot="300000">
                          <a:off x="0" y="0"/>
                          <a:ext cx="596265"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D64261">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2816m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1pt;margin-top:173.9pt;height:19pt;width:46.95pt;rotation:327680f;z-index:251758592;mso-width-relative:page;mso-height-relative:page;" filled="f" stroked="f" coordsize="21600,21600" o:gfxdata="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1211dkAAAALAQAADwAAAAAAAAABACAAAAAi&#10;AAAAZHJzL2Rvd25yZXYueG1sUEsBAhQAFAAAAAgAh07iQCxaGdxCAgAAdgQAAA4AAAAAAAAAAQAg&#10;AAAAKAEAAGRycy9lMm9Eb2MueG1sUEsFBgAAAAAGAAYAWQEAANwFAAAAAA==&#10;">
                <v:fill on="f" focussize="0,0"/>
                <v:stroke on="f" weight="0.5pt"/>
                <v:imagedata o:title=""/>
                <o:lock v:ext="edit" aspectratio="f"/>
                <v:textbox>
                  <w:txbxContent>
                    <w:p w14:paraId="52D64261">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2816m</w:t>
                      </w:r>
                    </w:p>
                  </w:txbxContent>
                </v:textbox>
              </v:shape>
            </w:pict>
          </mc:Fallback>
        </mc:AlternateContent>
      </w:r>
      <w:r>
        <w:rPr>
          <w:color w:val="auto"/>
          <w:sz w:val="21"/>
        </w:rPr>
        <mc:AlternateContent>
          <mc:Choice Requires="wps">
            <w:drawing>
              <wp:anchor distT="0" distB="0" distL="114300" distR="114300" simplePos="0" relativeHeight="251757568" behindDoc="0" locked="0" layoutInCell="1" allowOverlap="1">
                <wp:simplePos x="0" y="0"/>
                <wp:positionH relativeFrom="column">
                  <wp:posOffset>3732530</wp:posOffset>
                </wp:positionH>
                <wp:positionV relativeFrom="paragraph">
                  <wp:posOffset>2849880</wp:posOffset>
                </wp:positionV>
                <wp:extent cx="596265" cy="241300"/>
                <wp:effectExtent l="177800" t="0" r="0" b="0"/>
                <wp:wrapNone/>
                <wp:docPr id="165" name="文本框 165"/>
                <wp:cNvGraphicFramePr/>
                <a:graphic xmlns:a="http://schemas.openxmlformats.org/drawingml/2006/main">
                  <a:graphicData uri="http://schemas.microsoft.com/office/word/2010/wordprocessingShape">
                    <wps:wsp>
                      <wps:cNvSpPr txBox="1"/>
                      <wps:spPr>
                        <a:xfrm rot="18720000">
                          <a:off x="0" y="0"/>
                          <a:ext cx="596265" cy="24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36451F">
                            <w:pPr>
                              <w:rPr>
                                <w:rFonts w:hint="default" w:eastAsia="宋体"/>
                                <w:b/>
                                <w:bCs/>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w:t>
                            </w:r>
                            <w:r>
                              <w:rPr>
                                <w:rFonts w:hint="eastAsia"/>
                                <w:b/>
                                <w:bCs/>
                                <w:color w:val="FFFFFF" w:themeColor="background1"/>
                                <w:lang w:val="en-US" w:eastAsia="zh-CN"/>
                                <w14:textFill>
                                  <w14:solidFill>
                                    <w14:schemeClr w14:val="bg1"/>
                                  </w14:solidFill>
                                </w14:textFill>
                              </w:rPr>
                              <w:t>760m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9pt;margin-top:224.4pt;height:19pt;width:46.95pt;rotation:-3145728f;z-index:251757568;mso-width-relative:page;mso-height-relative:page;" filled="f" stroked="f" coordsize="21600,21600" o:gfxdata="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s4qtt2QAAAAsBAAAPAAAAAAAAAAEAIAAA&#10;ACIAAABkcnMvZG93bnJldi54bWxQSwECFAAUAAAACACHTuJAosfbFEQCAAB4BAAADgAAAAAAAAAB&#10;ACAAAAAoAQAAZHJzL2Uyb0RvYy54bWxQSwUGAAAAAAYABgBZAQAA3gUAAAAA&#10;">
                <v:fill on="f" focussize="0,0"/>
                <v:stroke on="f" weight="0.5pt"/>
                <v:imagedata o:title=""/>
                <o:lock v:ext="edit" aspectratio="f"/>
                <v:textbox>
                  <w:txbxContent>
                    <w:p w14:paraId="5636451F">
                      <w:pPr>
                        <w:rPr>
                          <w:rFonts w:hint="default" w:eastAsia="宋体"/>
                          <w:b/>
                          <w:bCs/>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w:t>
                      </w:r>
                      <w:r>
                        <w:rPr>
                          <w:rFonts w:hint="eastAsia"/>
                          <w:b/>
                          <w:bCs/>
                          <w:color w:val="FFFFFF" w:themeColor="background1"/>
                          <w:lang w:val="en-US" w:eastAsia="zh-CN"/>
                          <w14:textFill>
                            <w14:solidFill>
                              <w14:schemeClr w14:val="bg1"/>
                            </w14:solidFill>
                          </w14:textFill>
                        </w:rPr>
                        <w:t>760m</w:t>
                      </w:r>
                    </w:p>
                  </w:txbxContent>
                </v:textbox>
              </v:shape>
            </w:pict>
          </mc:Fallback>
        </mc:AlternateContent>
      </w:r>
      <w:r>
        <w:rPr>
          <w:color w:val="auto"/>
          <w:sz w:val="21"/>
        </w:rPr>
        <mc:AlternateContent>
          <mc:Choice Requires="wps">
            <w:drawing>
              <wp:anchor distT="0" distB="0" distL="114300" distR="114300" simplePos="0" relativeHeight="251752448" behindDoc="0" locked="0" layoutInCell="1" allowOverlap="1">
                <wp:simplePos x="0" y="0"/>
                <wp:positionH relativeFrom="column">
                  <wp:posOffset>3196590</wp:posOffset>
                </wp:positionH>
                <wp:positionV relativeFrom="paragraph">
                  <wp:posOffset>3262630</wp:posOffset>
                </wp:positionV>
                <wp:extent cx="336550" cy="20955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33655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2AAF74">
                            <w:pPr>
                              <w:rPr>
                                <w:rFonts w:hint="default" w:eastAsia="宋体"/>
                                <w:color w:val="FF00FF"/>
                                <w:lang w:val="en-US" w:eastAsia="zh-CN"/>
                              </w:rPr>
                            </w:pPr>
                            <w:r>
                              <w:rPr>
                                <w:rFonts w:hint="eastAsia"/>
                                <w:color w:val="FF00FF"/>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7pt;margin-top:256.9pt;height:16.5pt;width:26.5pt;z-index:251752448;mso-width-relative:page;mso-height-relative:page;" filled="f" stroked="f" coordsize="21600,21600" o:gfxdata="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5nOzy2wAAAAsBAAAPAAAAAAAAAAEAIAAAACIAAABkcnMv&#10;ZG93bnJldi54bWxQSwECFAAUAAAACACHTuJAXx3U/zkCAABpBAAADgAAAAAAAAABACAAAAAqAQAA&#10;ZHJzL2Uyb0RvYy54bWxQSwUGAAAAAAYABgBZAQAA1QUAAAAA&#10;">
                <v:fill on="f" focussize="0,0"/>
                <v:stroke on="f" weight="0.5pt"/>
                <v:imagedata o:title=""/>
                <o:lock v:ext="edit" aspectratio="f"/>
                <v:textbox>
                  <w:txbxContent>
                    <w:p w14:paraId="0E2AAF74">
                      <w:pPr>
                        <w:rPr>
                          <w:rFonts w:hint="default" w:eastAsia="宋体"/>
                          <w:color w:val="FF00FF"/>
                          <w:lang w:val="en-US" w:eastAsia="zh-CN"/>
                        </w:rPr>
                      </w:pPr>
                      <w:r>
                        <w:rPr>
                          <w:rFonts w:hint="eastAsia"/>
                          <w:color w:val="FF00FF"/>
                          <w:lang w:val="en-US" w:eastAsia="zh-CN"/>
                        </w:rPr>
                        <w:t>4#</w:t>
                      </w:r>
                    </w:p>
                  </w:txbxContent>
                </v:textbox>
              </v:shape>
            </w:pict>
          </mc:Fallback>
        </mc:AlternateContent>
      </w:r>
      <w:r>
        <w:rPr>
          <w:color w:val="auto"/>
          <w:sz w:val="21"/>
        </w:rPr>
        <mc:AlternateContent>
          <mc:Choice Requires="wps">
            <w:drawing>
              <wp:anchor distT="0" distB="0" distL="114300" distR="114300" simplePos="0" relativeHeight="251754496" behindDoc="0" locked="0" layoutInCell="1" allowOverlap="1">
                <wp:simplePos x="0" y="0"/>
                <wp:positionH relativeFrom="column">
                  <wp:posOffset>3656330</wp:posOffset>
                </wp:positionH>
                <wp:positionV relativeFrom="paragraph">
                  <wp:posOffset>2736215</wp:posOffset>
                </wp:positionV>
                <wp:extent cx="471170" cy="540385"/>
                <wp:effectExtent l="0" t="3175" r="5080" b="8890"/>
                <wp:wrapNone/>
                <wp:docPr id="157" name="直接箭头连接符 157"/>
                <wp:cNvGraphicFramePr/>
                <a:graphic xmlns:a="http://schemas.openxmlformats.org/drawingml/2006/main">
                  <a:graphicData uri="http://schemas.microsoft.com/office/word/2010/wordprocessingShape">
                    <wps:wsp>
                      <wps:cNvCnPr/>
                      <wps:spPr>
                        <a:xfrm flipH="1">
                          <a:off x="4787900" y="3642995"/>
                          <a:ext cx="471170" cy="540385"/>
                        </a:xfrm>
                        <a:prstGeom prst="straightConnector1">
                          <a:avLst/>
                        </a:prstGeom>
                        <a:ln w="9525">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87.9pt;margin-top:215.45pt;height:42.55pt;width:37.1pt;z-index:251754496;mso-width-relative:page;mso-height-relative:page;" filled="f" stroked="t" coordsize="21600,21600" o:gfxdata="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SN2Ob1wAAAAsBAAAPAAAAAAAA&#10;AAEAIAAAACIAAABkcnMvZG93bnJldi54bWxQSwECFAAUAAAACACHTuJAPMAa5xMCAADlAwAADgAA&#10;AAAAAAABACAAAAAmAQAAZHJzL2Uyb0RvYy54bWxQSwUGAAAAAAYABgBZAQAAqwUAAAAA&#10;">
                <v:fill on="f" focussize="0,0"/>
                <v:stroke color="#FFFFFF [3212]"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751424" behindDoc="0" locked="0" layoutInCell="1" allowOverlap="1">
                <wp:simplePos x="0" y="0"/>
                <wp:positionH relativeFrom="column">
                  <wp:posOffset>4167505</wp:posOffset>
                </wp:positionH>
                <wp:positionV relativeFrom="paragraph">
                  <wp:posOffset>3716020</wp:posOffset>
                </wp:positionV>
                <wp:extent cx="371475" cy="209550"/>
                <wp:effectExtent l="0" t="0" r="0" b="0"/>
                <wp:wrapNone/>
                <wp:docPr id="150" name="文本框 150"/>
                <wp:cNvGraphicFramePr/>
                <a:graphic xmlns:a="http://schemas.openxmlformats.org/drawingml/2006/main">
                  <a:graphicData uri="http://schemas.microsoft.com/office/word/2010/wordprocessingShape">
                    <wps:wsp>
                      <wps:cNvSpPr txBox="1"/>
                      <wps:spPr>
                        <a:xfrm>
                          <a:off x="5327015" y="4740910"/>
                          <a:ext cx="37147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763FB7">
                            <w:pPr>
                              <w:rPr>
                                <w:rFonts w:hint="default" w:eastAsia="宋体"/>
                                <w:color w:val="FF00FF"/>
                                <w:lang w:val="en-US" w:eastAsia="zh-CN"/>
                              </w:rPr>
                            </w:pPr>
                            <w:r>
                              <w:rPr>
                                <w:rFonts w:hint="eastAsia"/>
                                <w:color w:val="FF00FF"/>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15pt;margin-top:292.6pt;height:16.5pt;width:29.25pt;z-index:251751424;mso-width-relative:page;mso-height-relative:page;" filled="f" stroked="f" coordsize="21600,21600" o:gfxdata="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QA2vvbAAAACwEAAA8AAAAAAAAA&#10;AQAgAAAAIgAAAGRycy9kb3ducmV2LnhtbFBLAQIUABQAAAAIAIdO4kDXyEcIRwIAAHUEAAAOAAAA&#10;AAAAAAEAIAAAACoBAABkcnMvZTJvRG9jLnhtbFBLBQYAAAAABgAGAFkBAADjBQAAAAA=&#10;">
                <v:fill on="f" focussize="0,0"/>
                <v:stroke on="f" weight="0.5pt"/>
                <v:imagedata o:title=""/>
                <o:lock v:ext="edit" aspectratio="f"/>
                <v:textbox>
                  <w:txbxContent>
                    <w:p w14:paraId="36763FB7">
                      <w:pPr>
                        <w:rPr>
                          <w:rFonts w:hint="default" w:eastAsia="宋体"/>
                          <w:color w:val="FF00FF"/>
                          <w:lang w:val="en-US" w:eastAsia="zh-CN"/>
                        </w:rPr>
                      </w:pPr>
                      <w:r>
                        <w:rPr>
                          <w:rFonts w:hint="eastAsia"/>
                          <w:color w:val="FF00FF"/>
                          <w:lang w:val="en-US" w:eastAsia="zh-CN"/>
                        </w:rPr>
                        <w:t>1#</w:t>
                      </w:r>
                    </w:p>
                  </w:txbxContent>
                </v:textbox>
              </v:shape>
            </w:pict>
          </mc:Fallback>
        </mc:AlternateContent>
      </w:r>
      <w:r>
        <w:rPr>
          <w:color w:val="auto"/>
          <w:sz w:val="21"/>
        </w:rPr>
        <mc:AlternateContent>
          <mc:Choice Requires="wps">
            <w:drawing>
              <wp:anchor distT="0" distB="0" distL="114300" distR="114300" simplePos="0" relativeHeight="251755520" behindDoc="0" locked="0" layoutInCell="1" allowOverlap="1">
                <wp:simplePos x="0" y="0"/>
                <wp:positionH relativeFrom="column">
                  <wp:posOffset>2682875</wp:posOffset>
                </wp:positionH>
                <wp:positionV relativeFrom="paragraph">
                  <wp:posOffset>2406650</wp:posOffset>
                </wp:positionV>
                <wp:extent cx="1315085" cy="127000"/>
                <wp:effectExtent l="0" t="40640" r="18415" b="22860"/>
                <wp:wrapNone/>
                <wp:docPr id="158" name="直接箭头连接符 158"/>
                <wp:cNvGraphicFramePr/>
                <a:graphic xmlns:a="http://schemas.openxmlformats.org/drawingml/2006/main">
                  <a:graphicData uri="http://schemas.microsoft.com/office/word/2010/wordprocessingShape">
                    <wps:wsp>
                      <wps:cNvCnPr/>
                      <wps:spPr>
                        <a:xfrm flipH="1" flipV="1">
                          <a:off x="3825875" y="3321050"/>
                          <a:ext cx="1315085" cy="127000"/>
                        </a:xfrm>
                        <a:prstGeom prst="straightConnector1">
                          <a:avLst/>
                        </a:prstGeom>
                        <a:ln w="9525">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1.25pt;margin-top:189.5pt;height:10pt;width:103.55pt;z-index:251755520;mso-width-relative:page;mso-height-relative:page;" filled="f" stroked="t" coordsize="21600,21600" o:gfxdata="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5OKbFtgAAAALAQAADwAA&#10;AAAAAAABACAAAAAiAAAAZHJzL2Rvd25yZXYueG1sUEsBAhQAFAAAAAgAh07iQKUwJHUWAgAA8AMA&#10;AA4AAAAAAAAAAQAgAAAAJwEAAGRycy9lMm9Eb2MueG1sUEsFBgAAAAAGAAYAWQEAAK8FAAAAAA==&#10;">
                <v:fill on="f" focussize="0,0"/>
                <v:stroke color="#FFFFFF [3212]"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753472" behindDoc="0" locked="0" layoutInCell="1" allowOverlap="1">
                <wp:simplePos x="0" y="0"/>
                <wp:positionH relativeFrom="column">
                  <wp:posOffset>2228215</wp:posOffset>
                </wp:positionH>
                <wp:positionV relativeFrom="paragraph">
                  <wp:posOffset>2476500</wp:posOffset>
                </wp:positionV>
                <wp:extent cx="494665" cy="23876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494665"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18F331">
                            <w:pPr>
                              <w:rPr>
                                <w:rFonts w:hint="default" w:eastAsia="宋体"/>
                                <w:color w:val="FF00FF"/>
                                <w:lang w:val="en-US" w:eastAsia="zh-CN"/>
                              </w:rPr>
                            </w:pPr>
                            <w:r>
                              <w:rPr>
                                <w:rFonts w:hint="eastAsia"/>
                                <w:color w:val="FF00FF"/>
                                <w:lang w:val="en-US" w:eastAsia="zh-CN"/>
                              </w:rPr>
                              <w:t>香磨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45pt;margin-top:195pt;height:18.8pt;width:38.95pt;z-index:251753472;mso-width-relative:page;mso-height-relative:page;" filled="f" stroked="f" coordsize="21600,21600" o:gfxdata="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MjPBG2wAAAAsBAAAPAAAAAAAAAAEAIAAAACIA&#10;AABkcnMvZG93bnJldi54bWxQSwECFAAUAAAACACHTuJA++qTyj8CAABpBAAADgAAAAAAAAABACAA&#10;AAAqAQAAZHJzL2Uyb0RvYy54bWxQSwUGAAAAAAYABgBZAQAA2wUAAAAA&#10;">
                <v:fill on="f" focussize="0,0"/>
                <v:stroke on="f" weight="0.5pt"/>
                <v:imagedata o:title=""/>
                <o:lock v:ext="edit" aspectratio="f"/>
                <v:textbox>
                  <w:txbxContent>
                    <w:p w14:paraId="3818F331">
                      <w:pPr>
                        <w:rPr>
                          <w:rFonts w:hint="default" w:eastAsia="宋体"/>
                          <w:color w:val="FF00FF"/>
                          <w:lang w:val="en-US" w:eastAsia="zh-CN"/>
                        </w:rPr>
                      </w:pPr>
                      <w:r>
                        <w:rPr>
                          <w:rFonts w:hint="eastAsia"/>
                          <w:color w:val="FF00FF"/>
                          <w:lang w:val="en-US" w:eastAsia="zh-CN"/>
                        </w:rPr>
                        <w:t>香磨</w:t>
                      </w:r>
                    </w:p>
                  </w:txbxContent>
                </v:textbox>
              </v:shape>
            </w:pict>
          </mc:Fallback>
        </mc:AlternateContent>
      </w:r>
      <w:r>
        <w:rPr>
          <w:color w:val="auto"/>
          <w:sz w:val="21"/>
        </w:rPr>
        <mc:AlternateContent>
          <mc:Choice Requires="wps">
            <w:drawing>
              <wp:anchor distT="0" distB="0" distL="114300" distR="114300" simplePos="0" relativeHeight="251750400" behindDoc="0" locked="0" layoutInCell="1" allowOverlap="1">
                <wp:simplePos x="0" y="0"/>
                <wp:positionH relativeFrom="column">
                  <wp:posOffset>4118610</wp:posOffset>
                </wp:positionH>
                <wp:positionV relativeFrom="paragraph">
                  <wp:posOffset>2730500</wp:posOffset>
                </wp:positionV>
                <wp:extent cx="77470" cy="857250"/>
                <wp:effectExtent l="4445" t="635" r="51435" b="18415"/>
                <wp:wrapNone/>
                <wp:docPr id="135" name="直接箭头连接符 135"/>
                <wp:cNvGraphicFramePr/>
                <a:graphic xmlns:a="http://schemas.openxmlformats.org/drawingml/2006/main">
                  <a:graphicData uri="http://schemas.microsoft.com/office/word/2010/wordprocessingShape">
                    <wps:wsp>
                      <wps:cNvCnPr/>
                      <wps:spPr>
                        <a:xfrm>
                          <a:off x="5261610" y="3644900"/>
                          <a:ext cx="77470" cy="857250"/>
                        </a:xfrm>
                        <a:prstGeom prst="straightConnector1">
                          <a:avLst/>
                        </a:prstGeom>
                        <a:ln w="9525">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4.3pt;margin-top:215pt;height:67.5pt;width:6.1pt;z-index:251750400;mso-width-relative:page;mso-height-relative:page;" filled="f" stroked="t" coordsize="21600,21600" o:gfxdata="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P+cjK1wAAAAsBAAAPAAAAAAAAAAEAIAAA&#10;ACIAAABkcnMvZG93bnJldi54bWxQSwECFAAUAAAACACHTuJAtiPKMA0CAADaAwAADgAAAAAAAAAB&#10;ACAAAAAmAQAAZHJzL2Uyb0RvYy54bWxQSwUGAAAAAAYABgBZAQAApQUAAAAA&#10;">
                <v:fill on="f" focussize="0,0"/>
                <v:stroke color="#FFFFFF [3212]" joinstyle="round" endarrow="open"/>
                <v:imagedata o:title=""/>
                <o:lock v:ext="edit" aspectratio="f"/>
              </v:shape>
            </w:pict>
          </mc:Fallback>
        </mc:AlternateContent>
      </w:r>
    </w:p>
    <w:p w14:paraId="310E0524">
      <w:pPr>
        <w:keepNext w:val="0"/>
        <w:keepLines w:val="0"/>
        <w:widowControl/>
        <w:suppressLineNumbers w:val="0"/>
        <w:spacing w:line="360" w:lineRule="auto"/>
        <w:jc w:val="center"/>
        <w:rPr>
          <w:rFonts w:hint="eastAsia" w:ascii="宋体" w:hAnsi="宋体" w:eastAsia="宋体" w:cs="宋体"/>
          <w:b/>
          <w:bCs/>
          <w:color w:val="auto"/>
          <w:kern w:val="0"/>
          <w:sz w:val="30"/>
          <w:szCs w:val="30"/>
          <w:lang w:val="en-US" w:eastAsia="zh-CN" w:bidi="ar"/>
        </w:rPr>
      </w:pPr>
      <w:r>
        <w:rPr>
          <w:rFonts w:hint="default" w:ascii="Times New Roman" w:hAnsi="Times New Roman" w:eastAsia="宋体" w:cs="Times New Roman"/>
          <w:b/>
          <w:bCs/>
          <w:color w:val="auto"/>
          <w:sz w:val="24"/>
          <w:szCs w:val="24"/>
          <w:lang w:val="en-US" w:eastAsia="zh-CN"/>
        </w:rPr>
        <w:t xml:space="preserve">图2-1  </w:t>
      </w:r>
      <w:r>
        <w:rPr>
          <w:rFonts w:hint="eastAsia" w:eastAsia="宋体" w:cs="Times New Roman"/>
          <w:b/>
          <w:bCs/>
          <w:color w:val="auto"/>
          <w:sz w:val="24"/>
          <w:szCs w:val="24"/>
          <w:lang w:val="en-US" w:eastAsia="zh-CN"/>
        </w:rPr>
        <w:t>环境风险评价</w:t>
      </w:r>
      <w:r>
        <w:rPr>
          <w:rFonts w:hint="default" w:ascii="Times New Roman" w:hAnsi="Times New Roman" w:eastAsia="宋体" w:cs="Times New Roman"/>
          <w:b/>
          <w:bCs/>
          <w:color w:val="auto"/>
          <w:sz w:val="24"/>
          <w:szCs w:val="24"/>
          <w:lang w:val="en-US" w:eastAsia="zh-CN"/>
        </w:rPr>
        <w:t>范</w:t>
      </w:r>
      <w:r>
        <w:rPr>
          <w:rFonts w:hint="eastAsia" w:ascii="Times New Roman" w:hAnsi="Times New Roman" w:cs="Times New Roman"/>
          <w:b/>
          <w:bCs/>
          <w:color w:val="auto"/>
          <w:sz w:val="24"/>
          <w:szCs w:val="24"/>
          <w:lang w:val="en-US" w:eastAsia="zh-CN"/>
        </w:rPr>
        <w:t>围和</w:t>
      </w:r>
      <w:r>
        <w:rPr>
          <w:rFonts w:hint="eastAsia" w:ascii="Times New Roman" w:hAnsi="Times New Roman" w:cs="Times New Roman"/>
          <w:b/>
          <w:bCs/>
          <w:color w:val="auto"/>
          <w:sz w:val="24"/>
          <w:szCs w:val="24"/>
          <w:highlight w:val="none"/>
          <w:lang w:val="en-US" w:eastAsia="zh-CN"/>
        </w:rPr>
        <w:t>保护目标</w:t>
      </w:r>
      <w:r>
        <w:rPr>
          <w:rFonts w:hint="default" w:ascii="Times New Roman" w:hAnsi="Times New Roman" w:eastAsia="宋体" w:cs="Times New Roman"/>
          <w:b/>
          <w:bCs/>
          <w:color w:val="auto"/>
          <w:sz w:val="24"/>
          <w:szCs w:val="24"/>
          <w:highlight w:val="none"/>
          <w:lang w:val="en-US" w:eastAsia="zh-CN"/>
        </w:rPr>
        <w:t>图</w:t>
      </w:r>
    </w:p>
    <w:p w14:paraId="226F15B4">
      <w:pPr>
        <w:keepNext w:val="0"/>
        <w:keepLines w:val="0"/>
        <w:widowControl/>
        <w:suppressLineNumbers w:val="0"/>
        <w:spacing w:line="360" w:lineRule="auto"/>
        <w:jc w:val="left"/>
        <w:rPr>
          <w:rFonts w:hint="eastAsia" w:ascii="宋体" w:hAnsi="宋体" w:eastAsia="宋体" w:cs="宋体"/>
          <w:b/>
          <w:bCs/>
          <w:color w:val="auto"/>
          <w:kern w:val="0"/>
          <w:sz w:val="30"/>
          <w:szCs w:val="30"/>
          <w:lang w:val="en-US" w:eastAsia="zh-CN" w:bidi="ar"/>
        </w:rPr>
        <w:sectPr>
          <w:pgSz w:w="16838" w:h="11905"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p>
    <w:p w14:paraId="4E2DD584">
      <w:pPr>
        <w:keepNext w:val="0"/>
        <w:keepLines w:val="0"/>
        <w:widowControl/>
        <w:suppressLineNumbers w:val="0"/>
        <w:spacing w:line="360" w:lineRule="auto"/>
        <w:jc w:val="left"/>
        <w:outlineLvl w:val="0"/>
        <w:rPr>
          <w:rFonts w:hint="default" w:ascii="Times New Roman" w:hAnsi="Times New Roman" w:eastAsia="宋体" w:cs="Times New Roman"/>
          <w:b/>
          <w:bCs/>
          <w:color w:val="auto"/>
          <w:kern w:val="0"/>
          <w:sz w:val="30"/>
          <w:szCs w:val="30"/>
          <w:lang w:val="en-US" w:eastAsia="zh-CN" w:bidi="ar"/>
        </w:rPr>
      </w:pPr>
      <w:bookmarkStart w:id="472" w:name="_Toc308"/>
      <w:bookmarkStart w:id="473" w:name="_Toc7280"/>
      <w:bookmarkStart w:id="474" w:name="_Toc13788"/>
      <w:bookmarkStart w:id="475" w:name="_Toc3040"/>
      <w:bookmarkStart w:id="476" w:name="_Toc1298"/>
      <w:r>
        <w:rPr>
          <w:rFonts w:hint="default" w:ascii="Times New Roman" w:hAnsi="Times New Roman" w:eastAsia="宋体" w:cs="Times New Roman"/>
          <w:b/>
          <w:bCs/>
          <w:color w:val="auto"/>
          <w:kern w:val="0"/>
          <w:sz w:val="30"/>
          <w:szCs w:val="30"/>
          <w:lang w:val="en-US" w:eastAsia="zh-CN" w:bidi="ar"/>
        </w:rPr>
        <w:t>3环境风险潜势初判</w:t>
      </w:r>
      <w:bookmarkEnd w:id="472"/>
      <w:bookmarkEnd w:id="473"/>
      <w:bookmarkEnd w:id="474"/>
      <w:bookmarkEnd w:id="475"/>
      <w:bookmarkEnd w:id="476"/>
    </w:p>
    <w:p w14:paraId="58893FE7">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根据《建设项目环境风险评价技术导则》（HJ 169－2018），危险物质及工艺系统危害性（P）应根据危险物质数量与临界量的比值（Q）和行业及生产工艺（M）确定。</w:t>
      </w:r>
    </w:p>
    <w:p w14:paraId="686C1F0D">
      <w:pPr>
        <w:autoSpaceDE w:val="0"/>
        <w:autoSpaceDN w:val="0"/>
        <w:adjustRightInd/>
        <w:snapToGrid/>
        <w:spacing w:line="360" w:lineRule="auto"/>
        <w:ind w:left="140" w:right="136" w:firstLine="482"/>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（1）危险物质及工艺系统危险性（P）的分级确定 </w:t>
      </w:r>
    </w:p>
    <w:p w14:paraId="383FA641">
      <w:pPr>
        <w:autoSpaceDE w:val="0"/>
        <w:autoSpaceDN w:val="0"/>
        <w:adjustRightInd/>
        <w:snapToGrid/>
        <w:spacing w:line="360" w:lineRule="auto"/>
        <w:ind w:left="140" w:right="136" w:firstLine="482"/>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 xml:space="preserve">① 危险物质数量与临界量的比值（Q） </w:t>
      </w:r>
    </w:p>
    <w:p w14:paraId="636F6471">
      <w:pPr>
        <w:autoSpaceDE w:val="0"/>
        <w:autoSpaceDN w:val="0"/>
        <w:adjustRightInd/>
        <w:snapToGrid/>
        <w:spacing w:line="360" w:lineRule="auto"/>
        <w:ind w:left="140" w:right="136" w:firstLine="482"/>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对照《建设项目环境风险评价技术导则》（HJ169-2018）附录 B 进行危险物质识别，确认本项目涉及的危险物质为</w:t>
      </w:r>
      <w:r>
        <w:rPr>
          <w:rFonts w:hint="default" w:ascii="Times New Roman" w:hAnsi="Times New Roman" w:eastAsia="宋体" w:cs="Times New Roman"/>
          <w:snapToGrid/>
          <w:color w:val="auto"/>
          <w:sz w:val="24"/>
          <w:szCs w:val="24"/>
          <w:highlight w:val="none"/>
        </w:rPr>
        <w:t>硝酸铵溶液、复合油相、乳化炸药、废机油</w:t>
      </w:r>
      <w:r>
        <w:rPr>
          <w:rFonts w:hint="eastAsia" w:cs="Times New Roman"/>
          <w:snapToGrid/>
          <w:color w:val="auto"/>
          <w:sz w:val="24"/>
          <w:szCs w:val="24"/>
          <w:highlight w:val="none"/>
          <w:lang w:eastAsia="zh-CN"/>
        </w:rPr>
        <w:t>、</w:t>
      </w:r>
      <w:r>
        <w:rPr>
          <w:rFonts w:hint="default" w:ascii="Times New Roman" w:hAnsi="Times New Roman" w:eastAsia="宋体" w:cs="Times New Roman"/>
          <w:i w:val="0"/>
          <w:snapToGrid w:val="0"/>
          <w:color w:val="auto"/>
          <w:kern w:val="0"/>
          <w:sz w:val="24"/>
          <w:szCs w:val="24"/>
          <w:highlight w:val="none"/>
          <w:u w:val="none"/>
          <w:lang w:val="en-US" w:eastAsia="zh-CN" w:bidi="ar"/>
        </w:rPr>
        <w:t>油墨</w:t>
      </w:r>
      <w:r>
        <w:rPr>
          <w:rFonts w:hint="eastAsia" w:ascii="Times New Roman" w:hAnsi="Times New Roman" w:eastAsia="宋体" w:cs="Times New Roman"/>
          <w:i w:val="0"/>
          <w:snapToGrid w:val="0"/>
          <w:color w:val="auto"/>
          <w:kern w:val="0"/>
          <w:sz w:val="24"/>
          <w:szCs w:val="24"/>
          <w:highlight w:val="none"/>
          <w:u w:val="none"/>
          <w:lang w:val="en-US" w:eastAsia="zh-CN" w:bidi="ar"/>
        </w:rPr>
        <w:t>、</w:t>
      </w:r>
      <w:r>
        <w:rPr>
          <w:rFonts w:hint="default" w:ascii="Times New Roman" w:hAnsi="Times New Roman" w:eastAsia="宋体" w:cs="Times New Roman"/>
          <w:i w:val="0"/>
          <w:snapToGrid w:val="0"/>
          <w:color w:val="auto"/>
          <w:kern w:val="0"/>
          <w:sz w:val="24"/>
          <w:szCs w:val="24"/>
          <w:highlight w:val="none"/>
          <w:u w:val="none"/>
          <w:lang w:val="en-US" w:eastAsia="zh-CN" w:bidi="ar"/>
        </w:rPr>
        <w:t>油墨添加剂</w:t>
      </w:r>
      <w:r>
        <w:rPr>
          <w:rFonts w:hint="default" w:ascii="Times New Roman" w:hAnsi="Times New Roman" w:cs="Times New Roman"/>
          <w:snapToGrid/>
          <w:color w:val="auto"/>
          <w:sz w:val="24"/>
          <w:szCs w:val="24"/>
          <w:highlight w:val="none"/>
          <w:lang w:val="en-US" w:eastAsia="zh-CN"/>
        </w:rPr>
        <w:t>等</w:t>
      </w:r>
      <w:r>
        <w:rPr>
          <w:rFonts w:hint="default" w:ascii="Times New Roman" w:hAnsi="Times New Roman" w:eastAsia="宋体" w:cs="Times New Roman"/>
          <w:color w:val="auto"/>
          <w:kern w:val="0"/>
          <w:sz w:val="24"/>
          <w:szCs w:val="24"/>
          <w:lang w:val="en-US" w:eastAsia="zh-CN" w:bidi="ar"/>
        </w:rPr>
        <w:t>。</w:t>
      </w:r>
    </w:p>
    <w:p w14:paraId="0BE3F40B">
      <w:pPr>
        <w:autoSpaceDE w:val="0"/>
        <w:autoSpaceDN w:val="0"/>
        <w:adjustRightInd/>
        <w:snapToGrid/>
        <w:spacing w:line="360" w:lineRule="auto"/>
        <w:ind w:left="140" w:right="136" w:firstLine="482"/>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当只涉及一种危险物质时，计算该物质的总量与其临界量比值，即为Q</w:t>
      </w:r>
      <w:r>
        <w:rPr>
          <w:rFonts w:hint="default"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当存在多种危险物质时，则按下式计算物质总量与其临界量比值（Q）：</w:t>
      </w:r>
    </w:p>
    <w:p w14:paraId="5C2D4F82">
      <w:pPr>
        <w:autoSpaceDE w:val="0"/>
        <w:autoSpaceDN w:val="0"/>
        <w:adjustRightInd/>
        <w:snapToGrid/>
        <w:spacing w:line="360" w:lineRule="auto"/>
        <w:ind w:left="140" w:right="136" w:firstLine="482"/>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933700" cy="828675"/>
            <wp:effectExtent l="0" t="0" r="0" b="952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234"/>
                    <a:stretch>
                      <a:fillRect/>
                    </a:stretch>
                  </pic:blipFill>
                  <pic:spPr>
                    <a:xfrm>
                      <a:off x="0" y="0"/>
                      <a:ext cx="2933700" cy="828675"/>
                    </a:xfrm>
                    <a:prstGeom prst="rect">
                      <a:avLst/>
                    </a:prstGeom>
                    <a:noFill/>
                    <a:ln>
                      <a:noFill/>
                    </a:ln>
                  </pic:spPr>
                </pic:pic>
              </a:graphicData>
            </a:graphic>
          </wp:inline>
        </w:drawing>
      </w:r>
    </w:p>
    <w:p w14:paraId="45A76C8F">
      <w:pPr>
        <w:autoSpaceDE w:val="0"/>
        <w:autoSpaceDN w:val="0"/>
        <w:adjustRightInd/>
        <w:snapToGrid/>
        <w:spacing w:line="360" w:lineRule="auto"/>
        <w:ind w:left="622" w:firstLine="0"/>
        <w:jc w:val="left"/>
        <w:textAlignment w:val="auto"/>
        <w:rPr>
          <w:rFonts w:hint="default" w:ascii="Times New Roman" w:hAnsi="Times New Roman" w:eastAsia="宋体" w:cs="Times New Roman"/>
          <w:snapToGrid/>
          <w:color w:val="auto"/>
          <w:sz w:val="24"/>
          <w:szCs w:val="24"/>
        </w:rPr>
      </w:pPr>
      <w:r>
        <w:rPr>
          <w:rFonts w:hint="default" w:ascii="Times New Roman" w:hAnsi="Times New Roman" w:eastAsia="宋体" w:cs="Times New Roman"/>
          <w:snapToGrid/>
          <w:color w:val="auto"/>
          <w:sz w:val="24"/>
          <w:szCs w:val="24"/>
        </w:rPr>
        <w:t>式中：q1,q2,q3,…qn—每种危险物质的最大存在总量，t；</w:t>
      </w:r>
    </w:p>
    <w:p w14:paraId="398DE85B">
      <w:pPr>
        <w:autoSpaceDE w:val="0"/>
        <w:autoSpaceDN w:val="0"/>
        <w:adjustRightInd/>
        <w:snapToGrid/>
        <w:spacing w:line="360" w:lineRule="auto"/>
        <w:ind w:left="140" w:right="136" w:firstLine="1267" w:firstLineChars="528"/>
        <w:textAlignment w:val="auto"/>
        <w:rPr>
          <w:rFonts w:hint="default" w:ascii="Times New Roman" w:hAnsi="Times New Roman" w:eastAsia="宋体" w:cs="Times New Roman"/>
          <w:snapToGrid/>
          <w:color w:val="auto"/>
          <w:sz w:val="24"/>
          <w:szCs w:val="24"/>
        </w:rPr>
      </w:pPr>
      <w:r>
        <w:rPr>
          <w:rFonts w:hint="default" w:ascii="Times New Roman" w:hAnsi="Times New Roman" w:eastAsia="宋体" w:cs="Times New Roman"/>
          <w:snapToGrid/>
          <w:color w:val="auto"/>
          <w:sz w:val="24"/>
          <w:szCs w:val="24"/>
        </w:rPr>
        <w:t>Q1,Q2,Q3,…,Qn—每种危险物质的临界量，t；</w:t>
      </w:r>
    </w:p>
    <w:p w14:paraId="556386EB">
      <w:pPr>
        <w:autoSpaceDE w:val="0"/>
        <w:autoSpaceDN w:val="0"/>
        <w:adjustRightInd/>
        <w:snapToGrid/>
        <w:spacing w:line="360" w:lineRule="auto"/>
        <w:ind w:left="140" w:right="136" w:firstLine="1267" w:firstLineChars="528"/>
        <w:textAlignment w:val="auto"/>
        <w:rPr>
          <w:rFonts w:hint="default" w:ascii="Times New Roman" w:hAnsi="Times New Roman" w:eastAsia="宋体" w:cs="Times New Roman"/>
          <w:snapToGrid/>
          <w:color w:val="auto"/>
          <w:sz w:val="24"/>
          <w:szCs w:val="24"/>
        </w:rPr>
      </w:pPr>
      <w:r>
        <w:rPr>
          <w:rFonts w:hint="default" w:ascii="Times New Roman" w:hAnsi="Times New Roman" w:eastAsia="宋体" w:cs="Times New Roman"/>
          <w:snapToGrid/>
          <w:color w:val="auto"/>
          <w:sz w:val="24"/>
          <w:szCs w:val="24"/>
        </w:rPr>
        <w:t>当 Q＜1 时，该项目环境风险潜势为</w:t>
      </w:r>
      <w:r>
        <w:rPr>
          <w:rFonts w:hint="default" w:ascii="Times New Roman" w:hAnsi="Times New Roman" w:cs="Times New Roman"/>
          <w:snapToGrid/>
          <w:color w:val="auto"/>
          <w:sz w:val="24"/>
          <w:szCs w:val="24"/>
        </w:rPr>
        <w:t>Ⅰ</w:t>
      </w:r>
      <w:r>
        <w:rPr>
          <w:rFonts w:hint="default" w:ascii="Times New Roman" w:hAnsi="Times New Roman" w:eastAsia="宋体" w:cs="Times New Roman"/>
          <w:snapToGrid/>
          <w:color w:val="auto"/>
          <w:sz w:val="24"/>
          <w:szCs w:val="24"/>
        </w:rPr>
        <w:t>。</w:t>
      </w:r>
    </w:p>
    <w:p w14:paraId="7F6AC397">
      <w:pPr>
        <w:autoSpaceDE w:val="0"/>
        <w:autoSpaceDN w:val="0"/>
        <w:adjustRightInd/>
        <w:snapToGrid/>
        <w:spacing w:line="360" w:lineRule="auto"/>
        <w:ind w:left="140" w:right="136" w:firstLine="1267" w:firstLineChars="528"/>
        <w:textAlignment w:val="auto"/>
        <w:rPr>
          <w:rFonts w:hint="default" w:ascii="Times New Roman" w:hAnsi="Times New Roman" w:eastAsia="宋体" w:cs="Times New Roman"/>
          <w:snapToGrid/>
          <w:color w:val="auto"/>
          <w:sz w:val="24"/>
          <w:szCs w:val="24"/>
          <w:highlight w:val="none"/>
        </w:rPr>
      </w:pPr>
      <w:r>
        <w:rPr>
          <w:rFonts w:hint="default" w:ascii="Times New Roman" w:hAnsi="Times New Roman" w:eastAsia="宋体" w:cs="Times New Roman"/>
          <w:snapToGrid/>
          <w:color w:val="auto"/>
          <w:sz w:val="24"/>
          <w:szCs w:val="24"/>
          <w:highlight w:val="none"/>
        </w:rPr>
        <w:t xml:space="preserve">当 </w:t>
      </w:r>
      <w:r>
        <w:rPr>
          <w:rFonts w:hint="default" w:ascii="Times New Roman" w:hAnsi="Times New Roman" w:eastAsia="宋体" w:cs="Times New Roman"/>
          <w:snapToGrid/>
          <w:color w:val="auto"/>
          <w:spacing w:val="-1"/>
          <w:w w:val="99"/>
          <w:sz w:val="24"/>
          <w:szCs w:val="24"/>
          <w:highlight w:val="none"/>
        </w:rPr>
        <w:t>Q</w:t>
      </w:r>
      <w:r>
        <w:rPr>
          <w:rFonts w:hint="default" w:ascii="Times New Roman" w:hAnsi="Times New Roman" w:eastAsia="宋体" w:cs="Times New Roman"/>
          <w:snapToGrid/>
          <w:color w:val="auto"/>
          <w:sz w:val="24"/>
          <w:szCs w:val="24"/>
          <w:highlight w:val="none"/>
        </w:rPr>
        <w:t>≥1时，将</w:t>
      </w:r>
      <w:r>
        <w:rPr>
          <w:rFonts w:hint="default" w:ascii="Times New Roman" w:hAnsi="Times New Roman" w:eastAsia="宋体" w:cs="Times New Roman"/>
          <w:snapToGrid/>
          <w:color w:val="auto"/>
          <w:w w:val="99"/>
          <w:sz w:val="24"/>
          <w:szCs w:val="24"/>
          <w:highlight w:val="none"/>
        </w:rPr>
        <w:t>Q</w:t>
      </w:r>
      <w:r>
        <w:rPr>
          <w:rFonts w:hint="default" w:ascii="Times New Roman" w:hAnsi="Times New Roman" w:eastAsia="宋体" w:cs="Times New Roman"/>
          <w:snapToGrid/>
          <w:color w:val="auto"/>
          <w:sz w:val="24"/>
          <w:szCs w:val="24"/>
          <w:highlight w:val="none"/>
        </w:rPr>
        <w:t>值划分为：1≤</w:t>
      </w:r>
      <w:r>
        <w:rPr>
          <w:rFonts w:hint="default" w:ascii="Times New Roman" w:hAnsi="Times New Roman" w:eastAsia="宋体" w:cs="Times New Roman"/>
          <w:snapToGrid/>
          <w:color w:val="auto"/>
          <w:spacing w:val="-1"/>
          <w:w w:val="99"/>
          <w:sz w:val="24"/>
          <w:szCs w:val="24"/>
          <w:highlight w:val="none"/>
        </w:rPr>
        <w:t>Q</w:t>
      </w:r>
      <w:r>
        <w:rPr>
          <w:rFonts w:hint="default" w:ascii="Times New Roman" w:hAnsi="Times New Roman" w:eastAsia="宋体" w:cs="Times New Roman"/>
          <w:snapToGrid/>
          <w:color w:val="auto"/>
          <w:sz w:val="24"/>
          <w:szCs w:val="24"/>
          <w:highlight w:val="none"/>
        </w:rPr>
        <w:t>＜10，</w:t>
      </w:r>
      <w:bookmarkStart w:id="477" w:name="OLE_LINK111"/>
      <w:r>
        <w:rPr>
          <w:rFonts w:hint="default" w:ascii="Times New Roman" w:hAnsi="Times New Roman" w:eastAsia="宋体" w:cs="Times New Roman"/>
          <w:snapToGrid/>
          <w:color w:val="auto"/>
          <w:sz w:val="24"/>
          <w:szCs w:val="24"/>
          <w:highlight w:val="none"/>
        </w:rPr>
        <w:t>10≤</w:t>
      </w:r>
      <w:r>
        <w:rPr>
          <w:rFonts w:hint="default" w:ascii="Times New Roman" w:hAnsi="Times New Roman" w:eastAsia="宋体" w:cs="Times New Roman"/>
          <w:snapToGrid/>
          <w:color w:val="auto"/>
          <w:spacing w:val="-1"/>
          <w:w w:val="99"/>
          <w:sz w:val="24"/>
          <w:szCs w:val="24"/>
          <w:highlight w:val="none"/>
        </w:rPr>
        <w:t>Q</w:t>
      </w:r>
      <w:r>
        <w:rPr>
          <w:rFonts w:hint="default" w:ascii="Times New Roman" w:hAnsi="Times New Roman" w:eastAsia="宋体" w:cs="Times New Roman"/>
          <w:snapToGrid/>
          <w:color w:val="auto"/>
          <w:sz w:val="24"/>
          <w:szCs w:val="24"/>
          <w:highlight w:val="none"/>
        </w:rPr>
        <w:t>＜100</w:t>
      </w:r>
      <w:bookmarkEnd w:id="477"/>
      <w:r>
        <w:rPr>
          <w:rFonts w:hint="default" w:ascii="Times New Roman" w:hAnsi="Times New Roman" w:eastAsia="宋体" w:cs="Times New Roman"/>
          <w:snapToGrid/>
          <w:color w:val="auto"/>
          <w:sz w:val="24"/>
          <w:szCs w:val="24"/>
          <w:highlight w:val="none"/>
        </w:rPr>
        <w:t>，</w:t>
      </w:r>
      <w:r>
        <w:rPr>
          <w:rFonts w:hint="default" w:ascii="Times New Roman" w:hAnsi="Times New Roman" w:eastAsia="宋体" w:cs="Times New Roman"/>
          <w:snapToGrid/>
          <w:color w:val="auto"/>
          <w:spacing w:val="-1"/>
          <w:w w:val="99"/>
          <w:sz w:val="24"/>
          <w:szCs w:val="24"/>
          <w:highlight w:val="none"/>
        </w:rPr>
        <w:t>Q</w:t>
      </w:r>
      <w:r>
        <w:rPr>
          <w:rFonts w:hint="default" w:ascii="Times New Roman" w:hAnsi="Times New Roman" w:eastAsia="宋体" w:cs="Times New Roman"/>
          <w:snapToGrid/>
          <w:color w:val="auto"/>
          <w:sz w:val="24"/>
          <w:szCs w:val="24"/>
          <w:highlight w:val="none"/>
        </w:rPr>
        <w:t>≥100。</w:t>
      </w:r>
    </w:p>
    <w:p w14:paraId="6A199A1C">
      <w:pPr>
        <w:autoSpaceDE w:val="0"/>
        <w:autoSpaceDN w:val="0"/>
        <w:adjustRightInd/>
        <w:snapToGrid/>
        <w:spacing w:line="360" w:lineRule="auto"/>
        <w:ind w:left="140" w:right="136" w:firstLine="482"/>
        <w:textAlignment w:val="auto"/>
        <w:rPr>
          <w:rFonts w:hint="default" w:ascii="Times New Roman" w:hAnsi="Times New Roman" w:eastAsia="宋体" w:cs="Times New Roman"/>
          <w:snapToGrid/>
          <w:color w:val="auto"/>
          <w:sz w:val="24"/>
          <w:szCs w:val="24"/>
          <w:highlight w:val="none"/>
        </w:rPr>
      </w:pPr>
      <w:r>
        <w:rPr>
          <w:rFonts w:hint="default" w:ascii="Times New Roman" w:hAnsi="Times New Roman" w:eastAsia="宋体" w:cs="Times New Roman"/>
          <w:snapToGrid/>
          <w:color w:val="auto"/>
          <w:w w:val="102"/>
          <w:sz w:val="24"/>
          <w:szCs w:val="24"/>
          <w:highlight w:val="none"/>
        </w:rPr>
        <w:t>危险物质数量与临界量的比值见</w:t>
      </w:r>
      <w:r>
        <w:rPr>
          <w:rFonts w:hint="default" w:ascii="Times New Roman" w:hAnsi="Times New Roman" w:eastAsia="宋体" w:cs="Times New Roman"/>
          <w:snapToGrid/>
          <w:color w:val="auto"/>
          <w:sz w:val="24"/>
          <w:szCs w:val="24"/>
          <w:highlight w:val="none"/>
        </w:rPr>
        <w:t>表</w:t>
      </w:r>
      <w:r>
        <w:rPr>
          <w:rFonts w:hint="default" w:ascii="Times New Roman" w:hAnsi="Times New Roman" w:cs="Times New Roman"/>
          <w:snapToGrid/>
          <w:color w:val="auto"/>
          <w:sz w:val="24"/>
          <w:szCs w:val="24"/>
          <w:highlight w:val="none"/>
          <w:lang w:val="en-US" w:eastAsia="zh-CN"/>
        </w:rPr>
        <w:t>3-1</w:t>
      </w:r>
      <w:r>
        <w:rPr>
          <w:rFonts w:hint="default" w:ascii="Times New Roman" w:hAnsi="Times New Roman" w:eastAsia="宋体" w:cs="Times New Roman"/>
          <w:snapToGrid/>
          <w:color w:val="auto"/>
          <w:sz w:val="24"/>
          <w:szCs w:val="24"/>
          <w:highlight w:val="none"/>
        </w:rPr>
        <w:t>。</w:t>
      </w:r>
    </w:p>
    <w:p w14:paraId="4D8C76D7">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表3-1  危险物质一览表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1923"/>
        <w:gridCol w:w="1575"/>
        <w:gridCol w:w="1306"/>
        <w:gridCol w:w="1009"/>
        <w:gridCol w:w="1059"/>
      </w:tblGrid>
      <w:tr w14:paraId="273AD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64" w:type="pct"/>
            <w:noWrap w:val="0"/>
            <w:vAlign w:val="center"/>
          </w:tcPr>
          <w:p w14:paraId="74249391">
            <w:pPr>
              <w:widowControl/>
              <w:adjustRightInd/>
              <w:snapToGrid/>
              <w:spacing w:line="240" w:lineRule="auto"/>
              <w:ind w:firstLine="0" w:firstLineChars="0"/>
              <w:jc w:val="center"/>
              <w:textAlignment w:val="auto"/>
              <w:rPr>
                <w:rFonts w:hint="default" w:ascii="Times New Roman" w:hAnsi="Times New Roman" w:eastAsia="宋体" w:cs="Times New Roman"/>
                <w:b/>
                <w:bCs/>
                <w:snapToGrid/>
                <w:color w:val="auto"/>
                <w:sz w:val="21"/>
                <w:szCs w:val="21"/>
                <w:highlight w:val="none"/>
                <w:lang w:val="en-US" w:eastAsia="zh-CN" w:bidi="ar-SA"/>
              </w:rPr>
            </w:pPr>
            <w:r>
              <w:rPr>
                <w:rFonts w:hint="default" w:ascii="Times New Roman" w:hAnsi="Times New Roman" w:eastAsia="宋体" w:cs="Times New Roman"/>
                <w:b/>
                <w:bCs/>
                <w:snapToGrid/>
                <w:color w:val="auto"/>
                <w:sz w:val="21"/>
                <w:szCs w:val="21"/>
                <w:highlight w:val="none"/>
                <w:lang w:val="en-US" w:eastAsia="zh-CN" w:bidi="ar-SA"/>
              </w:rPr>
              <w:t>分类</w:t>
            </w:r>
          </w:p>
        </w:tc>
        <w:tc>
          <w:tcPr>
            <w:tcW w:w="1129" w:type="pct"/>
            <w:noWrap w:val="0"/>
            <w:vAlign w:val="center"/>
          </w:tcPr>
          <w:p w14:paraId="0A5F257C">
            <w:pPr>
              <w:widowControl/>
              <w:adjustRightInd/>
              <w:snapToGrid/>
              <w:spacing w:line="240" w:lineRule="auto"/>
              <w:ind w:firstLine="0" w:firstLineChars="0"/>
              <w:jc w:val="center"/>
              <w:textAlignment w:val="auto"/>
              <w:rPr>
                <w:rFonts w:hint="default" w:ascii="Times New Roman" w:hAnsi="Times New Roman" w:eastAsia="宋体" w:cs="Times New Roman"/>
                <w:b/>
                <w:bCs/>
                <w:snapToGrid/>
                <w:color w:val="auto"/>
                <w:sz w:val="21"/>
                <w:szCs w:val="21"/>
                <w:highlight w:val="none"/>
              </w:rPr>
            </w:pPr>
            <w:r>
              <w:rPr>
                <w:rFonts w:hint="default" w:ascii="Times New Roman" w:hAnsi="Times New Roman" w:eastAsia="宋体" w:cs="Times New Roman"/>
                <w:b/>
                <w:bCs/>
                <w:snapToGrid/>
                <w:color w:val="auto"/>
                <w:sz w:val="21"/>
                <w:szCs w:val="21"/>
                <w:highlight w:val="none"/>
              </w:rPr>
              <w:t>名称</w:t>
            </w:r>
          </w:p>
        </w:tc>
        <w:tc>
          <w:tcPr>
            <w:tcW w:w="924" w:type="pct"/>
            <w:noWrap w:val="0"/>
            <w:vAlign w:val="center"/>
          </w:tcPr>
          <w:p w14:paraId="55588246">
            <w:pPr>
              <w:widowControl/>
              <w:adjustRightInd/>
              <w:snapToGrid/>
              <w:spacing w:line="240" w:lineRule="auto"/>
              <w:ind w:firstLine="0" w:firstLineChars="0"/>
              <w:jc w:val="center"/>
              <w:textAlignment w:val="auto"/>
              <w:rPr>
                <w:rFonts w:hint="default" w:ascii="Times New Roman" w:hAnsi="Times New Roman" w:eastAsia="宋体" w:cs="Times New Roman"/>
                <w:b/>
                <w:bCs/>
                <w:snapToGrid/>
                <w:color w:val="auto"/>
                <w:sz w:val="21"/>
                <w:szCs w:val="21"/>
                <w:highlight w:val="none"/>
                <w:lang w:val="en-US" w:eastAsia="zh-CN" w:bidi="ar-SA"/>
              </w:rPr>
            </w:pPr>
            <w:r>
              <w:rPr>
                <w:rFonts w:hint="default" w:ascii="Times New Roman" w:hAnsi="Times New Roman" w:eastAsia="宋体" w:cs="Times New Roman"/>
                <w:b/>
                <w:bCs/>
                <w:snapToGrid/>
                <w:color w:val="auto"/>
                <w:sz w:val="21"/>
                <w:szCs w:val="21"/>
                <w:highlight w:val="none"/>
                <w:lang w:val="en-US" w:eastAsia="zh-CN"/>
              </w:rPr>
              <w:t>CAS号</w:t>
            </w:r>
          </w:p>
        </w:tc>
        <w:tc>
          <w:tcPr>
            <w:tcW w:w="766" w:type="pct"/>
            <w:noWrap w:val="0"/>
            <w:vAlign w:val="center"/>
          </w:tcPr>
          <w:p w14:paraId="72B770DD">
            <w:pPr>
              <w:widowControl/>
              <w:adjustRightInd/>
              <w:snapToGrid/>
              <w:spacing w:line="240" w:lineRule="auto"/>
              <w:ind w:firstLine="0"/>
              <w:jc w:val="center"/>
              <w:textAlignment w:val="auto"/>
              <w:rPr>
                <w:rFonts w:hint="default" w:ascii="Times New Roman" w:hAnsi="Times New Roman" w:eastAsia="宋体" w:cs="Times New Roman"/>
                <w:b/>
                <w:bCs/>
                <w:snapToGrid/>
                <w:color w:val="auto"/>
                <w:sz w:val="21"/>
                <w:szCs w:val="21"/>
                <w:highlight w:val="none"/>
              </w:rPr>
            </w:pPr>
            <w:r>
              <w:rPr>
                <w:rFonts w:hint="default" w:ascii="Times New Roman" w:hAnsi="Times New Roman" w:eastAsia="宋体" w:cs="Times New Roman"/>
                <w:b/>
                <w:bCs/>
                <w:snapToGrid/>
                <w:color w:val="auto"/>
                <w:sz w:val="21"/>
                <w:szCs w:val="21"/>
                <w:highlight w:val="none"/>
              </w:rPr>
              <w:t>最大储存量（t）</w:t>
            </w:r>
          </w:p>
        </w:tc>
        <w:tc>
          <w:tcPr>
            <w:tcW w:w="592" w:type="pct"/>
            <w:noWrap w:val="0"/>
            <w:vAlign w:val="center"/>
          </w:tcPr>
          <w:p w14:paraId="59F93D74">
            <w:pPr>
              <w:widowControl/>
              <w:adjustRightInd/>
              <w:snapToGrid/>
              <w:spacing w:line="240" w:lineRule="auto"/>
              <w:ind w:firstLine="0"/>
              <w:jc w:val="center"/>
              <w:textAlignment w:val="auto"/>
              <w:rPr>
                <w:rFonts w:hint="default" w:ascii="Times New Roman" w:hAnsi="Times New Roman" w:eastAsia="宋体" w:cs="Times New Roman"/>
                <w:b/>
                <w:bCs/>
                <w:snapToGrid/>
                <w:color w:val="auto"/>
                <w:sz w:val="21"/>
                <w:szCs w:val="21"/>
                <w:highlight w:val="none"/>
              </w:rPr>
            </w:pPr>
            <w:r>
              <w:rPr>
                <w:rFonts w:hint="default" w:ascii="Times New Roman" w:hAnsi="Times New Roman" w:eastAsia="宋体" w:cs="Times New Roman"/>
                <w:b/>
                <w:bCs/>
                <w:snapToGrid/>
                <w:color w:val="auto"/>
                <w:sz w:val="21"/>
                <w:szCs w:val="21"/>
                <w:highlight w:val="none"/>
              </w:rPr>
              <w:t>临界量（t）</w:t>
            </w:r>
          </w:p>
        </w:tc>
        <w:tc>
          <w:tcPr>
            <w:tcW w:w="621" w:type="pct"/>
            <w:noWrap w:val="0"/>
            <w:vAlign w:val="center"/>
          </w:tcPr>
          <w:p w14:paraId="3A00320B">
            <w:pPr>
              <w:widowControl/>
              <w:adjustRightInd/>
              <w:snapToGrid/>
              <w:spacing w:line="240" w:lineRule="auto"/>
              <w:ind w:firstLine="0"/>
              <w:jc w:val="center"/>
              <w:textAlignment w:val="auto"/>
              <w:rPr>
                <w:rFonts w:hint="default" w:ascii="Times New Roman" w:hAnsi="Times New Roman" w:eastAsia="宋体" w:cs="Times New Roman"/>
                <w:b/>
                <w:bCs/>
                <w:snapToGrid/>
                <w:color w:val="auto"/>
                <w:sz w:val="21"/>
                <w:szCs w:val="21"/>
                <w:highlight w:val="none"/>
              </w:rPr>
            </w:pPr>
            <w:r>
              <w:rPr>
                <w:rFonts w:hint="default" w:ascii="Times New Roman" w:hAnsi="Times New Roman" w:eastAsia="宋体" w:cs="Times New Roman"/>
                <w:b/>
                <w:bCs/>
                <w:snapToGrid/>
                <w:color w:val="auto"/>
                <w:sz w:val="21"/>
                <w:szCs w:val="21"/>
                <w:highlight w:val="none"/>
              </w:rPr>
              <w:t>Q</w:t>
            </w:r>
          </w:p>
        </w:tc>
      </w:tr>
      <w:tr w14:paraId="142EF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64" w:type="pct"/>
            <w:vMerge w:val="restart"/>
            <w:noWrap w:val="0"/>
            <w:vAlign w:val="center"/>
          </w:tcPr>
          <w:p w14:paraId="0E277C1F">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bookmarkStart w:id="478" w:name="OLE_LINK208" w:colFirst="1" w:colLast="1"/>
            <w:r>
              <w:rPr>
                <w:rFonts w:hint="default" w:ascii="Times New Roman" w:hAnsi="Times New Roman" w:eastAsia="宋体" w:cs="Times New Roman"/>
                <w:i w:val="0"/>
                <w:snapToGrid w:val="0"/>
                <w:color w:val="auto"/>
                <w:kern w:val="0"/>
                <w:sz w:val="21"/>
                <w:szCs w:val="21"/>
                <w:highlight w:val="none"/>
                <w:u w:val="none"/>
                <w:lang w:val="en-US" w:eastAsia="zh-CN" w:bidi="ar"/>
              </w:rPr>
              <w:t>本项目</w:t>
            </w:r>
          </w:p>
        </w:tc>
        <w:tc>
          <w:tcPr>
            <w:tcW w:w="1129" w:type="pct"/>
            <w:noWrap w:val="0"/>
            <w:vAlign w:val="center"/>
          </w:tcPr>
          <w:p w14:paraId="2A0E26DC">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bidi="ar-SA"/>
              </w:rPr>
              <w:t>硝酸铵溶液92%</w:t>
            </w:r>
          </w:p>
        </w:tc>
        <w:tc>
          <w:tcPr>
            <w:tcW w:w="924" w:type="pct"/>
            <w:noWrap/>
            <w:vAlign w:val="center"/>
          </w:tcPr>
          <w:p w14:paraId="6ECA4B9B">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bidi="ar-SA"/>
              </w:rPr>
              <w:t>6484-52-2</w:t>
            </w:r>
          </w:p>
        </w:tc>
        <w:tc>
          <w:tcPr>
            <w:tcW w:w="766" w:type="pct"/>
            <w:noWrap/>
            <w:vAlign w:val="center"/>
          </w:tcPr>
          <w:p w14:paraId="7574D880">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118</w:t>
            </w:r>
            <w:r>
              <w:rPr>
                <w:rFonts w:hint="default" w:ascii="Times New Roman" w:hAnsi="Times New Roman" w:eastAsia="宋体" w:cs="Times New Roman"/>
                <w:snapToGrid/>
                <w:color w:val="auto"/>
                <w:sz w:val="21"/>
                <w:szCs w:val="21"/>
                <w:highlight w:val="none"/>
                <w:lang w:val="en-US" w:eastAsia="zh-CN" w:bidi="ar-SA"/>
              </w:rPr>
              <w:t>（折纯量）</w:t>
            </w:r>
          </w:p>
        </w:tc>
        <w:tc>
          <w:tcPr>
            <w:tcW w:w="592" w:type="pct"/>
            <w:noWrap/>
            <w:vAlign w:val="center"/>
          </w:tcPr>
          <w:p w14:paraId="4D42BE0F">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50</w:t>
            </w:r>
          </w:p>
        </w:tc>
        <w:tc>
          <w:tcPr>
            <w:tcW w:w="621" w:type="pct"/>
            <w:noWrap/>
            <w:vAlign w:val="center"/>
          </w:tcPr>
          <w:p w14:paraId="0DC84606">
            <w:pPr>
              <w:keepNext w:val="0"/>
              <w:keepLines w:val="0"/>
              <w:widowControl/>
              <w:suppressLineNumbers w:val="0"/>
              <w:jc w:val="center"/>
              <w:textAlignment w:val="center"/>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2.36</w:t>
            </w:r>
          </w:p>
        </w:tc>
      </w:tr>
      <w:tr w14:paraId="17FA8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64" w:type="pct"/>
            <w:vMerge w:val="continue"/>
            <w:noWrap w:val="0"/>
            <w:vAlign w:val="center"/>
          </w:tcPr>
          <w:p w14:paraId="5817D8A8">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p>
        </w:tc>
        <w:tc>
          <w:tcPr>
            <w:tcW w:w="1129" w:type="pct"/>
            <w:noWrap w:val="0"/>
            <w:vAlign w:val="center"/>
          </w:tcPr>
          <w:p w14:paraId="70EDE7D8">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snapToGrid/>
                <w:color w:val="auto"/>
                <w:sz w:val="21"/>
                <w:szCs w:val="21"/>
                <w:highlight w:val="none"/>
                <w:lang w:val="en-US" w:eastAsia="zh-CN" w:bidi="ar-SA"/>
              </w:rPr>
              <w:t>复合油相（在线量以4m</w:t>
            </w:r>
            <w:r>
              <w:rPr>
                <w:rFonts w:hint="default" w:ascii="Times New Roman" w:hAnsi="Times New Roman" w:eastAsia="宋体" w:cs="Times New Roman"/>
                <w:snapToGrid/>
                <w:color w:val="auto"/>
                <w:sz w:val="21"/>
                <w:szCs w:val="21"/>
                <w:highlight w:val="none"/>
                <w:vertAlign w:val="superscript"/>
                <w:lang w:val="en-US" w:eastAsia="zh-CN" w:bidi="ar-SA"/>
              </w:rPr>
              <w:t>3</w:t>
            </w:r>
            <w:r>
              <w:rPr>
                <w:rFonts w:hint="default" w:ascii="Times New Roman" w:hAnsi="Times New Roman" w:eastAsia="宋体" w:cs="Times New Roman"/>
                <w:snapToGrid/>
                <w:color w:val="auto"/>
                <w:sz w:val="21"/>
                <w:szCs w:val="21"/>
                <w:highlight w:val="none"/>
                <w:lang w:val="en-US" w:eastAsia="zh-CN" w:bidi="ar-SA"/>
              </w:rPr>
              <w:t>计）</w:t>
            </w:r>
          </w:p>
        </w:tc>
        <w:tc>
          <w:tcPr>
            <w:tcW w:w="924" w:type="pct"/>
            <w:noWrap/>
            <w:vAlign w:val="center"/>
          </w:tcPr>
          <w:p w14:paraId="0F057818">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bidi="ar-SA"/>
              </w:rPr>
              <w:t>/</w:t>
            </w:r>
          </w:p>
        </w:tc>
        <w:tc>
          <w:tcPr>
            <w:tcW w:w="766" w:type="pct"/>
            <w:noWrap/>
            <w:vAlign w:val="center"/>
          </w:tcPr>
          <w:p w14:paraId="0BD0B090">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3.4（在线量）</w:t>
            </w:r>
          </w:p>
        </w:tc>
        <w:tc>
          <w:tcPr>
            <w:tcW w:w="592" w:type="pct"/>
            <w:noWrap/>
            <w:vAlign w:val="center"/>
          </w:tcPr>
          <w:p w14:paraId="0ECD4A93">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2500</w:t>
            </w:r>
          </w:p>
        </w:tc>
        <w:tc>
          <w:tcPr>
            <w:tcW w:w="621" w:type="pct"/>
            <w:noWrap/>
            <w:vAlign w:val="center"/>
          </w:tcPr>
          <w:p w14:paraId="34547A1D">
            <w:pPr>
              <w:keepNext w:val="0"/>
              <w:keepLines w:val="0"/>
              <w:widowControl/>
              <w:suppressLineNumbers w:val="0"/>
              <w:jc w:val="center"/>
              <w:textAlignment w:val="center"/>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0.00136</w:t>
            </w:r>
          </w:p>
        </w:tc>
      </w:tr>
      <w:tr w14:paraId="51967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64" w:type="pct"/>
            <w:vMerge w:val="continue"/>
            <w:noWrap w:val="0"/>
            <w:vAlign w:val="center"/>
          </w:tcPr>
          <w:p w14:paraId="513BFEF6">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p>
        </w:tc>
        <w:tc>
          <w:tcPr>
            <w:tcW w:w="1129" w:type="pct"/>
            <w:noWrap w:val="0"/>
            <w:vAlign w:val="center"/>
          </w:tcPr>
          <w:p w14:paraId="22625618">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snapToGrid/>
                <w:color w:val="auto"/>
                <w:sz w:val="21"/>
                <w:szCs w:val="21"/>
                <w:highlight w:val="none"/>
                <w:lang w:val="en-US" w:eastAsia="zh-CN" w:bidi="ar-SA"/>
              </w:rPr>
              <w:t>废机油</w:t>
            </w:r>
          </w:p>
        </w:tc>
        <w:tc>
          <w:tcPr>
            <w:tcW w:w="924" w:type="pct"/>
            <w:noWrap/>
            <w:vAlign w:val="center"/>
          </w:tcPr>
          <w:p w14:paraId="61E09BC5">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rPr>
              <w:t>/</w:t>
            </w:r>
          </w:p>
        </w:tc>
        <w:tc>
          <w:tcPr>
            <w:tcW w:w="766" w:type="pct"/>
            <w:noWrap/>
            <w:vAlign w:val="center"/>
          </w:tcPr>
          <w:p w14:paraId="450F9CD9">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0.2</w:t>
            </w:r>
          </w:p>
        </w:tc>
        <w:tc>
          <w:tcPr>
            <w:tcW w:w="592" w:type="pct"/>
            <w:noWrap/>
            <w:vAlign w:val="center"/>
          </w:tcPr>
          <w:p w14:paraId="69F0C5E7">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2500</w:t>
            </w:r>
          </w:p>
        </w:tc>
        <w:tc>
          <w:tcPr>
            <w:tcW w:w="621" w:type="pct"/>
            <w:noWrap/>
            <w:vAlign w:val="center"/>
          </w:tcPr>
          <w:p w14:paraId="14CCE77C">
            <w:pPr>
              <w:keepNext w:val="0"/>
              <w:keepLines w:val="0"/>
              <w:widowControl/>
              <w:suppressLineNumbers w:val="0"/>
              <w:jc w:val="center"/>
              <w:textAlignment w:val="center"/>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0.00008</w:t>
            </w:r>
          </w:p>
        </w:tc>
      </w:tr>
      <w:tr w14:paraId="0BE94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64" w:type="pct"/>
            <w:vMerge w:val="continue"/>
            <w:noWrap w:val="0"/>
            <w:vAlign w:val="center"/>
          </w:tcPr>
          <w:p w14:paraId="5D1A7068">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p>
        </w:tc>
        <w:tc>
          <w:tcPr>
            <w:tcW w:w="1129" w:type="pct"/>
            <w:noWrap w:val="0"/>
            <w:vAlign w:val="center"/>
          </w:tcPr>
          <w:p w14:paraId="68164AE1">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i w:val="0"/>
                <w:snapToGrid w:val="0"/>
                <w:color w:val="auto"/>
                <w:kern w:val="0"/>
                <w:sz w:val="21"/>
                <w:szCs w:val="21"/>
                <w:highlight w:val="none"/>
                <w:u w:val="none"/>
                <w:lang w:val="en-US" w:eastAsia="zh-CN" w:bidi="ar"/>
              </w:rPr>
              <w:t>炸药总库（铵油炸药以硝酸铵含量85%计，乳化炸药以硝酸铵含量70%计，乳化炸药震源药柱以硝酸铵含量74%计）</w:t>
            </w:r>
          </w:p>
        </w:tc>
        <w:tc>
          <w:tcPr>
            <w:tcW w:w="924" w:type="pct"/>
            <w:noWrap/>
            <w:vAlign w:val="center"/>
          </w:tcPr>
          <w:p w14:paraId="7F718737">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bidi="ar-SA"/>
              </w:rPr>
              <w:t>6484-52-2</w:t>
            </w:r>
          </w:p>
        </w:tc>
        <w:tc>
          <w:tcPr>
            <w:tcW w:w="766" w:type="pct"/>
            <w:noWrap/>
            <w:vAlign w:val="center"/>
          </w:tcPr>
          <w:p w14:paraId="7F1BBCF5">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443.50</w:t>
            </w:r>
          </w:p>
        </w:tc>
        <w:tc>
          <w:tcPr>
            <w:tcW w:w="592" w:type="pct"/>
            <w:noWrap/>
            <w:vAlign w:val="center"/>
          </w:tcPr>
          <w:p w14:paraId="6C829C0C">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50</w:t>
            </w:r>
          </w:p>
        </w:tc>
        <w:tc>
          <w:tcPr>
            <w:tcW w:w="621" w:type="pct"/>
            <w:noWrap/>
            <w:vAlign w:val="center"/>
          </w:tcPr>
          <w:p w14:paraId="1559002E">
            <w:pPr>
              <w:keepNext w:val="0"/>
              <w:keepLines w:val="0"/>
              <w:widowControl/>
              <w:suppressLineNumbers w:val="0"/>
              <w:jc w:val="center"/>
              <w:textAlignment w:val="center"/>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8.87</w:t>
            </w:r>
          </w:p>
        </w:tc>
      </w:tr>
      <w:tr w14:paraId="6A7C4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64" w:type="pct"/>
            <w:vMerge w:val="continue"/>
            <w:noWrap w:val="0"/>
            <w:vAlign w:val="center"/>
          </w:tcPr>
          <w:p w14:paraId="6196A16C">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p>
        </w:tc>
        <w:tc>
          <w:tcPr>
            <w:tcW w:w="1129" w:type="pct"/>
            <w:noWrap w:val="0"/>
            <w:vAlign w:val="center"/>
          </w:tcPr>
          <w:p w14:paraId="7FE3B340">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i w:val="0"/>
                <w:snapToGrid w:val="0"/>
                <w:color w:val="auto"/>
                <w:kern w:val="0"/>
                <w:sz w:val="21"/>
                <w:szCs w:val="21"/>
                <w:highlight w:val="none"/>
                <w:u w:val="none"/>
                <w:lang w:val="en-US" w:eastAsia="zh-CN" w:bidi="ar"/>
              </w:rPr>
              <w:t>中转站台（以硝酸铵含量74%计）</w:t>
            </w:r>
          </w:p>
        </w:tc>
        <w:tc>
          <w:tcPr>
            <w:tcW w:w="924" w:type="pct"/>
            <w:noWrap/>
            <w:vAlign w:val="center"/>
          </w:tcPr>
          <w:p w14:paraId="50DB82ED">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bidi="ar-SA"/>
              </w:rPr>
            </w:pPr>
            <w:r>
              <w:rPr>
                <w:rFonts w:hint="default" w:ascii="Times New Roman" w:hAnsi="Times New Roman" w:eastAsia="宋体" w:cs="Times New Roman"/>
                <w:snapToGrid/>
                <w:color w:val="auto"/>
                <w:sz w:val="21"/>
                <w:szCs w:val="21"/>
                <w:highlight w:val="none"/>
                <w:lang w:val="en-US" w:eastAsia="zh-CN" w:bidi="ar-SA"/>
              </w:rPr>
              <w:t>6484-52-2</w:t>
            </w:r>
          </w:p>
        </w:tc>
        <w:tc>
          <w:tcPr>
            <w:tcW w:w="766" w:type="pct"/>
            <w:noWrap/>
            <w:vAlign w:val="center"/>
          </w:tcPr>
          <w:p w14:paraId="74E5014E">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3.7（在线量）</w:t>
            </w:r>
          </w:p>
        </w:tc>
        <w:tc>
          <w:tcPr>
            <w:tcW w:w="592" w:type="pct"/>
            <w:noWrap/>
            <w:vAlign w:val="center"/>
          </w:tcPr>
          <w:p w14:paraId="17F592C0">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50</w:t>
            </w:r>
          </w:p>
        </w:tc>
        <w:tc>
          <w:tcPr>
            <w:tcW w:w="621" w:type="pct"/>
            <w:noWrap/>
            <w:vAlign w:val="center"/>
          </w:tcPr>
          <w:p w14:paraId="49B98900">
            <w:pPr>
              <w:keepNext w:val="0"/>
              <w:keepLines w:val="0"/>
              <w:widowControl/>
              <w:suppressLineNumbers w:val="0"/>
              <w:jc w:val="center"/>
              <w:textAlignment w:val="center"/>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0.074</w:t>
            </w:r>
          </w:p>
        </w:tc>
      </w:tr>
      <w:tr w14:paraId="30876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4" w:type="pct"/>
            <w:vMerge w:val="continue"/>
            <w:noWrap w:val="0"/>
            <w:vAlign w:val="center"/>
          </w:tcPr>
          <w:p w14:paraId="375DA7D5">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p>
        </w:tc>
        <w:tc>
          <w:tcPr>
            <w:tcW w:w="1129" w:type="pct"/>
            <w:noWrap w:val="0"/>
            <w:vAlign w:val="center"/>
          </w:tcPr>
          <w:p w14:paraId="70D2BC25">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i w:val="0"/>
                <w:snapToGrid w:val="0"/>
                <w:color w:val="auto"/>
                <w:kern w:val="0"/>
                <w:sz w:val="21"/>
                <w:szCs w:val="21"/>
                <w:highlight w:val="none"/>
                <w:u w:val="none"/>
                <w:lang w:val="en-US" w:eastAsia="zh-CN" w:bidi="ar"/>
              </w:rPr>
              <w:t>油墨</w:t>
            </w:r>
            <w:bookmarkStart w:id="479" w:name="OLE_LINK10"/>
            <w:r>
              <w:rPr>
                <w:rFonts w:hint="default" w:ascii="Times New Roman" w:hAnsi="Times New Roman" w:eastAsia="宋体" w:cs="Times New Roman"/>
                <w:i w:val="0"/>
                <w:snapToGrid w:val="0"/>
                <w:color w:val="auto"/>
                <w:kern w:val="0"/>
                <w:sz w:val="21"/>
                <w:szCs w:val="21"/>
                <w:highlight w:val="none"/>
                <w:u w:val="none"/>
                <w:lang w:val="en-US" w:eastAsia="zh-CN" w:bidi="ar"/>
              </w:rPr>
              <w:t>（2-丁酮）</w:t>
            </w:r>
            <w:bookmarkEnd w:id="479"/>
          </w:p>
        </w:tc>
        <w:tc>
          <w:tcPr>
            <w:tcW w:w="924" w:type="pct"/>
            <w:noWrap/>
            <w:vAlign w:val="center"/>
          </w:tcPr>
          <w:p w14:paraId="3C7544E8">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bidi="ar-SA"/>
              </w:rPr>
            </w:pPr>
            <w:r>
              <w:rPr>
                <w:rFonts w:hint="default" w:ascii="Times New Roman" w:hAnsi="Times New Roman" w:eastAsia="宋体" w:cs="Times New Roman"/>
                <w:color w:val="auto"/>
                <w:sz w:val="21"/>
                <w:szCs w:val="21"/>
              </w:rPr>
              <w:t>78-93-3</w:t>
            </w:r>
          </w:p>
        </w:tc>
        <w:tc>
          <w:tcPr>
            <w:tcW w:w="766" w:type="pct"/>
            <w:noWrap/>
            <w:vAlign w:val="center"/>
          </w:tcPr>
          <w:p w14:paraId="533CA6DF">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color w:val="auto"/>
                <w:spacing w:val="-4"/>
                <w:sz w:val="21"/>
                <w:szCs w:val="21"/>
                <w:lang w:val="en-US" w:eastAsia="zh-CN"/>
              </w:rPr>
              <w:t>0.001</w:t>
            </w:r>
          </w:p>
        </w:tc>
        <w:tc>
          <w:tcPr>
            <w:tcW w:w="592" w:type="pct"/>
            <w:noWrap/>
            <w:vAlign w:val="center"/>
          </w:tcPr>
          <w:p w14:paraId="5FC63E5C">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10</w:t>
            </w:r>
          </w:p>
        </w:tc>
        <w:tc>
          <w:tcPr>
            <w:tcW w:w="621" w:type="pct"/>
            <w:noWrap/>
            <w:vAlign w:val="center"/>
          </w:tcPr>
          <w:p w14:paraId="51176B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0.0001</w:t>
            </w:r>
          </w:p>
        </w:tc>
      </w:tr>
      <w:tr w14:paraId="1FF96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64" w:type="pct"/>
            <w:vMerge w:val="continue"/>
            <w:noWrap w:val="0"/>
            <w:vAlign w:val="center"/>
          </w:tcPr>
          <w:p w14:paraId="244CD40A">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p>
        </w:tc>
        <w:tc>
          <w:tcPr>
            <w:tcW w:w="1129" w:type="pct"/>
            <w:noWrap w:val="0"/>
            <w:vAlign w:val="center"/>
          </w:tcPr>
          <w:p w14:paraId="6C17F88E">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eastAsia="宋体" w:cs="Times New Roman"/>
                <w:i w:val="0"/>
                <w:snapToGrid w:val="0"/>
                <w:color w:val="auto"/>
                <w:kern w:val="0"/>
                <w:sz w:val="21"/>
                <w:szCs w:val="21"/>
                <w:highlight w:val="none"/>
                <w:u w:val="none"/>
                <w:lang w:val="en-US" w:eastAsia="zh-CN" w:bidi="ar"/>
              </w:rPr>
              <w:t>油墨添加剂（2-丁酮、乙酸乙酯）</w:t>
            </w:r>
          </w:p>
        </w:tc>
        <w:tc>
          <w:tcPr>
            <w:tcW w:w="924" w:type="pct"/>
            <w:noWrap/>
            <w:vAlign w:val="center"/>
          </w:tcPr>
          <w:p w14:paraId="34ADD927">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bidi="ar-SA"/>
              </w:rPr>
            </w:pPr>
            <w:r>
              <w:rPr>
                <w:rFonts w:hint="default" w:ascii="Times New Roman" w:hAnsi="Times New Roman" w:eastAsia="宋体" w:cs="Times New Roman"/>
                <w:color w:val="auto"/>
                <w:sz w:val="21"/>
                <w:szCs w:val="21"/>
              </w:rPr>
              <w:t>78-93-3、 141-78-6</w:t>
            </w:r>
          </w:p>
        </w:tc>
        <w:tc>
          <w:tcPr>
            <w:tcW w:w="766" w:type="pct"/>
            <w:noWrap/>
            <w:vAlign w:val="center"/>
          </w:tcPr>
          <w:p w14:paraId="115B43F3">
            <w:pPr>
              <w:keepNext/>
              <w:keepLines w:val="0"/>
              <w:pageBreakBefore w:val="0"/>
              <w:kinsoku/>
              <w:wordWrap/>
              <w:overflowPunct/>
              <w:topLinePunct w:val="0"/>
              <w:autoSpaceDE w:val="0"/>
              <w:autoSpaceDN w:val="0"/>
              <w:bidi w:val="0"/>
              <w:spacing w:line="240" w:lineRule="auto"/>
              <w:ind w:left="0" w:leftChars="0"/>
              <w:jc w:val="center"/>
              <w:outlineLvl w:val="9"/>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color w:val="auto"/>
                <w:spacing w:val="-4"/>
                <w:sz w:val="21"/>
                <w:szCs w:val="21"/>
                <w:lang w:val="en-US" w:eastAsia="zh-CN"/>
              </w:rPr>
              <w:t>0.002</w:t>
            </w:r>
          </w:p>
        </w:tc>
        <w:tc>
          <w:tcPr>
            <w:tcW w:w="592" w:type="pct"/>
            <w:noWrap/>
            <w:vAlign w:val="center"/>
          </w:tcPr>
          <w:p w14:paraId="33943AC7">
            <w:pPr>
              <w:widowControl/>
              <w:adjustRightInd/>
              <w:snapToGrid/>
              <w:spacing w:line="240" w:lineRule="auto"/>
              <w:ind w:firstLine="0"/>
              <w:jc w:val="center"/>
              <w:textAlignment w:val="auto"/>
              <w:rPr>
                <w:rFonts w:hint="default" w:ascii="Times New Roman" w:hAnsi="Times New Roman" w:eastAsia="宋体" w:cs="Times New Roman"/>
                <w:snapToGrid/>
                <w:color w:val="auto"/>
                <w:sz w:val="21"/>
                <w:szCs w:val="21"/>
                <w:highlight w:val="none"/>
                <w:lang w:val="en-US" w:eastAsia="zh-CN"/>
              </w:rPr>
            </w:pPr>
            <w:r>
              <w:rPr>
                <w:rFonts w:hint="default" w:ascii="Times New Roman" w:hAnsi="Times New Roman" w:eastAsia="宋体" w:cs="Times New Roman"/>
                <w:snapToGrid/>
                <w:color w:val="auto"/>
                <w:sz w:val="21"/>
                <w:szCs w:val="21"/>
                <w:highlight w:val="none"/>
                <w:lang w:val="en-US" w:eastAsia="zh-CN"/>
              </w:rPr>
              <w:t>10</w:t>
            </w:r>
          </w:p>
        </w:tc>
        <w:tc>
          <w:tcPr>
            <w:tcW w:w="621" w:type="pct"/>
            <w:noWrap/>
            <w:vAlign w:val="center"/>
          </w:tcPr>
          <w:p w14:paraId="4E8640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0.0002</w:t>
            </w:r>
          </w:p>
        </w:tc>
      </w:tr>
      <w:bookmarkEnd w:id="478"/>
      <w:tr w14:paraId="42319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78" w:type="pct"/>
            <w:gridSpan w:val="5"/>
            <w:noWrap w:val="0"/>
            <w:vAlign w:val="center"/>
          </w:tcPr>
          <w:p w14:paraId="00ED8633">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sz w:val="21"/>
                <w:szCs w:val="21"/>
                <w:highlight w:val="none"/>
              </w:rPr>
            </w:pPr>
            <w:r>
              <w:rPr>
                <w:rFonts w:hint="default" w:ascii="Times New Roman" w:hAnsi="Times New Roman" w:eastAsia="宋体" w:cs="Times New Roman"/>
                <w:snapToGrid/>
                <w:color w:val="auto"/>
                <w:sz w:val="21"/>
                <w:szCs w:val="21"/>
                <w:highlight w:val="none"/>
              </w:rPr>
              <w:t>∑</w:t>
            </w:r>
            <w:r>
              <w:rPr>
                <w:rFonts w:hint="default" w:ascii="Times New Roman" w:hAnsi="Times New Roman" w:eastAsia="宋体" w:cs="Times New Roman"/>
                <w:snapToGrid/>
                <w:color w:val="auto"/>
                <w:sz w:val="21"/>
                <w:szCs w:val="21"/>
                <w:highlight w:val="none"/>
                <w:lang w:eastAsia="zh-CN"/>
              </w:rPr>
              <w:t>(</w:t>
            </w:r>
            <w:r>
              <w:rPr>
                <w:rFonts w:hint="default" w:ascii="Times New Roman" w:hAnsi="Times New Roman" w:eastAsia="宋体" w:cs="Times New Roman"/>
                <w:snapToGrid/>
                <w:color w:val="auto"/>
                <w:sz w:val="21"/>
                <w:szCs w:val="21"/>
                <w:highlight w:val="none"/>
              </w:rPr>
              <w:t>q</w:t>
            </w:r>
            <w:r>
              <w:rPr>
                <w:rFonts w:hint="default" w:ascii="Times New Roman" w:hAnsi="Times New Roman" w:eastAsia="宋体" w:cs="Times New Roman"/>
                <w:snapToGrid/>
                <w:color w:val="auto"/>
                <w:sz w:val="21"/>
                <w:szCs w:val="21"/>
                <w:highlight w:val="none"/>
                <w:vertAlign w:val="subscript"/>
              </w:rPr>
              <w:t>n</w:t>
            </w:r>
            <w:r>
              <w:rPr>
                <w:rFonts w:hint="default" w:ascii="Times New Roman" w:hAnsi="Times New Roman" w:eastAsia="宋体" w:cs="Times New Roman"/>
                <w:snapToGrid/>
                <w:color w:val="auto"/>
                <w:sz w:val="21"/>
                <w:szCs w:val="21"/>
                <w:highlight w:val="none"/>
              </w:rPr>
              <w:t>/Q</w:t>
            </w:r>
            <w:r>
              <w:rPr>
                <w:rFonts w:hint="default" w:ascii="Times New Roman" w:hAnsi="Times New Roman" w:eastAsia="宋体" w:cs="Times New Roman"/>
                <w:snapToGrid/>
                <w:color w:val="auto"/>
                <w:sz w:val="21"/>
                <w:szCs w:val="21"/>
                <w:highlight w:val="none"/>
                <w:vertAlign w:val="subscript"/>
              </w:rPr>
              <w:t>n</w:t>
            </w:r>
            <w:r>
              <w:rPr>
                <w:rFonts w:hint="default" w:ascii="Times New Roman" w:hAnsi="Times New Roman" w:eastAsia="宋体" w:cs="Times New Roman"/>
                <w:snapToGrid/>
                <w:color w:val="auto"/>
                <w:sz w:val="21"/>
                <w:szCs w:val="21"/>
                <w:highlight w:val="none"/>
                <w:vertAlign w:val="subscript"/>
                <w:lang w:eastAsia="zh-CN"/>
              </w:rPr>
              <w:t>)</w:t>
            </w:r>
          </w:p>
        </w:tc>
        <w:tc>
          <w:tcPr>
            <w:tcW w:w="621" w:type="pct"/>
            <w:shd w:val="clear" w:color="auto" w:fill="auto"/>
            <w:noWrap/>
            <w:vAlign w:val="center"/>
          </w:tcPr>
          <w:p w14:paraId="7AD61B8A">
            <w:pPr>
              <w:keepNext w:val="0"/>
              <w:keepLines w:val="0"/>
              <w:widowControl/>
              <w:suppressLineNumbers w:val="0"/>
              <w:jc w:val="righ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11.30574</w:t>
            </w:r>
          </w:p>
        </w:tc>
      </w:tr>
    </w:tbl>
    <w:p w14:paraId="55A1A61A">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snapToGrid/>
          <w:color w:val="auto"/>
          <w:sz w:val="24"/>
          <w:szCs w:val="24"/>
          <w:highlight w:val="none"/>
          <w:lang w:val="en-US" w:eastAsia="zh-CN"/>
        </w:rPr>
      </w:pPr>
      <w:r>
        <w:rPr>
          <w:rFonts w:hint="default" w:ascii="Times New Roman" w:hAnsi="Times New Roman" w:cs="Times New Roman"/>
          <w:b w:val="0"/>
          <w:bCs/>
          <w:color w:val="auto"/>
          <w:kern w:val="2"/>
          <w:sz w:val="24"/>
          <w:szCs w:val="24"/>
          <w:highlight w:val="none"/>
          <w:lang w:val="en-US" w:eastAsia="zh-CN"/>
        </w:rPr>
        <w:t>经计算，得出</w:t>
      </w:r>
      <w:r>
        <w:rPr>
          <w:rFonts w:hint="default" w:ascii="Times New Roman" w:hAnsi="Times New Roman" w:eastAsia="宋体" w:cs="Times New Roman"/>
          <w:snapToGrid/>
          <w:color w:val="auto"/>
          <w:sz w:val="24"/>
          <w:szCs w:val="24"/>
          <w:highlight w:val="none"/>
        </w:rPr>
        <w:t>10≤Q＜100</w:t>
      </w:r>
      <w:r>
        <w:rPr>
          <w:rFonts w:hint="default" w:ascii="Times New Roman" w:hAnsi="Times New Roman" w:eastAsia="宋体" w:cs="Times New Roman"/>
          <w:snapToGrid/>
          <w:color w:val="auto"/>
          <w:sz w:val="24"/>
          <w:szCs w:val="24"/>
          <w:highlight w:val="none"/>
          <w:lang w:val="en-US" w:eastAsia="zh-CN"/>
        </w:rPr>
        <w:t>。</w:t>
      </w:r>
    </w:p>
    <w:p w14:paraId="4C0126E6">
      <w:pPr>
        <w:keepNext/>
        <w:keepLines/>
        <w:spacing w:line="360" w:lineRule="auto"/>
        <w:ind w:firstLine="480" w:firstLineChars="200"/>
        <w:outlineLvl w:val="9"/>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lang w:val="en-US" w:eastAsia="zh-CN"/>
        </w:rPr>
        <w:t>②</w:t>
      </w:r>
      <w:r>
        <w:rPr>
          <w:rFonts w:hint="default" w:ascii="Times New Roman" w:hAnsi="Times New Roman" w:cs="Times New Roman"/>
          <w:b w:val="0"/>
          <w:bCs w:val="0"/>
          <w:color w:val="auto"/>
          <w:sz w:val="24"/>
          <w:szCs w:val="24"/>
          <w:highlight w:val="none"/>
        </w:rPr>
        <w:t>M值的确定</w:t>
      </w:r>
    </w:p>
    <w:p w14:paraId="6D12C2BA">
      <w:pPr>
        <w:adjustRightInd/>
        <w:snapToGrid/>
        <w:spacing w:line="360" w:lineRule="auto"/>
        <w:ind w:firstLine="480"/>
        <w:textAlignment w:val="auto"/>
        <w:rPr>
          <w:rFonts w:hint="default" w:ascii="Times New Roman" w:hAnsi="Times New Roman" w:cs="Times New Roman"/>
          <w:snapToGrid/>
          <w:color w:val="auto"/>
          <w:kern w:val="2"/>
          <w:sz w:val="24"/>
          <w:szCs w:val="24"/>
          <w:highlight w:val="none"/>
        </w:rPr>
      </w:pPr>
      <w:r>
        <w:rPr>
          <w:rFonts w:hint="default" w:ascii="Times New Roman" w:hAnsi="Times New Roman" w:cs="Times New Roman"/>
          <w:snapToGrid/>
          <w:color w:val="auto"/>
          <w:kern w:val="2"/>
          <w:sz w:val="24"/>
          <w:szCs w:val="24"/>
          <w:highlight w:val="none"/>
        </w:rPr>
        <w:t>根据项目所属行业及生产工艺特点，按照下表评估生产工艺情况，具有多套工艺单元的项目，对每套生产工艺分别评分并求和。将M划分为（1）M＞20；（2）10＜M≤20；（3）5＜M≤10；（4）M=5，分别以M1、M2、M3和M4表示。</w:t>
      </w:r>
    </w:p>
    <w:p w14:paraId="4671897C">
      <w:pPr>
        <w:adjustRightInd/>
        <w:snapToGrid/>
        <w:spacing w:line="360" w:lineRule="auto"/>
        <w:ind w:firstLine="480"/>
        <w:textAlignment w:val="auto"/>
        <w:rPr>
          <w:rFonts w:hint="default" w:ascii="Times New Roman" w:hAnsi="Times New Roman" w:cs="Times New Roman"/>
          <w:snapToGrid/>
          <w:color w:val="auto"/>
          <w:kern w:val="2"/>
          <w:sz w:val="24"/>
          <w:szCs w:val="24"/>
          <w:highlight w:val="none"/>
        </w:rPr>
      </w:pPr>
      <w:r>
        <w:rPr>
          <w:rFonts w:hint="default" w:ascii="Times New Roman" w:hAnsi="Times New Roman" w:cs="Times New Roman"/>
          <w:snapToGrid/>
          <w:color w:val="auto"/>
          <w:kern w:val="2"/>
          <w:sz w:val="24"/>
          <w:szCs w:val="24"/>
          <w:highlight w:val="none"/>
          <w:lang w:eastAsia="zh-CN"/>
        </w:rPr>
        <w:t>对照《建设项目环境风险评价技术导则》（HJ169-2018）附录C表C.1，</w:t>
      </w:r>
      <w:r>
        <w:rPr>
          <w:rFonts w:hint="default" w:ascii="Times New Roman" w:hAnsi="Times New Roman" w:cs="Times New Roman"/>
          <w:snapToGrid/>
          <w:color w:val="auto"/>
          <w:kern w:val="2"/>
          <w:sz w:val="24"/>
          <w:szCs w:val="24"/>
          <w:highlight w:val="none"/>
          <w:lang w:val="en-US" w:eastAsia="zh-CN"/>
        </w:rPr>
        <w:t>本</w:t>
      </w:r>
      <w:r>
        <w:rPr>
          <w:rFonts w:hint="default" w:ascii="Times New Roman" w:hAnsi="Times New Roman" w:cs="Times New Roman"/>
          <w:snapToGrid/>
          <w:color w:val="auto"/>
          <w:kern w:val="2"/>
          <w:sz w:val="24"/>
          <w:szCs w:val="24"/>
          <w:highlight w:val="none"/>
          <w:lang w:eastAsia="zh-CN"/>
        </w:rPr>
        <w:t>项目属于化工行业，</w:t>
      </w:r>
      <w:r>
        <w:rPr>
          <w:rFonts w:hint="default" w:ascii="Times New Roman" w:hAnsi="Times New Roman" w:cs="Times New Roman"/>
          <w:snapToGrid/>
          <w:color w:val="auto"/>
          <w:kern w:val="2"/>
          <w:sz w:val="24"/>
          <w:szCs w:val="24"/>
          <w:highlight w:val="none"/>
          <w:lang w:val="en-US" w:eastAsia="zh-CN"/>
        </w:rPr>
        <w:t>本项目新建硝酸铵溶液罐区，</w:t>
      </w:r>
      <w:r>
        <w:rPr>
          <w:rFonts w:hint="default" w:ascii="Times New Roman" w:hAnsi="Times New Roman" w:cs="Times New Roman"/>
          <w:snapToGrid/>
          <w:color w:val="auto"/>
          <w:kern w:val="2"/>
          <w:sz w:val="24"/>
          <w:szCs w:val="24"/>
          <w:highlight w:val="none"/>
        </w:rPr>
        <w:t>故项目M=</w:t>
      </w:r>
      <w:r>
        <w:rPr>
          <w:rFonts w:hint="default" w:ascii="Times New Roman" w:hAnsi="Times New Roman" w:cs="Times New Roman"/>
          <w:snapToGrid/>
          <w:color w:val="auto"/>
          <w:kern w:val="2"/>
          <w:sz w:val="24"/>
          <w:szCs w:val="24"/>
          <w:highlight w:val="none"/>
          <w:lang w:val="en-US" w:eastAsia="zh-CN"/>
        </w:rPr>
        <w:t>5</w:t>
      </w:r>
      <w:r>
        <w:rPr>
          <w:rFonts w:hint="default" w:ascii="Times New Roman" w:hAnsi="Times New Roman" w:cs="Times New Roman"/>
          <w:snapToGrid/>
          <w:color w:val="auto"/>
          <w:kern w:val="2"/>
          <w:sz w:val="24"/>
          <w:szCs w:val="24"/>
          <w:highlight w:val="none"/>
        </w:rPr>
        <w:t>，根据划分依据，属于划分的M</w:t>
      </w:r>
      <w:r>
        <w:rPr>
          <w:rFonts w:hint="default" w:ascii="Times New Roman" w:hAnsi="Times New Roman" w:cs="Times New Roman"/>
          <w:snapToGrid/>
          <w:color w:val="auto"/>
          <w:kern w:val="2"/>
          <w:sz w:val="24"/>
          <w:szCs w:val="24"/>
          <w:highlight w:val="none"/>
          <w:lang w:val="en-US" w:eastAsia="zh-CN"/>
        </w:rPr>
        <w:t>4</w:t>
      </w:r>
      <w:r>
        <w:rPr>
          <w:rFonts w:hint="default" w:ascii="Times New Roman" w:hAnsi="Times New Roman" w:cs="Times New Roman"/>
          <w:snapToGrid/>
          <w:color w:val="auto"/>
          <w:kern w:val="2"/>
          <w:sz w:val="24"/>
          <w:szCs w:val="24"/>
          <w:highlight w:val="none"/>
        </w:rPr>
        <w:t>，具体见下表。</w:t>
      </w:r>
    </w:p>
    <w:p w14:paraId="727A10FD">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表3-2  M值判定一览表</w:t>
      </w:r>
    </w:p>
    <w:tbl>
      <w:tblPr>
        <w:tblStyle w:val="85"/>
        <w:tblW w:w="4999" w:type="pct"/>
        <w:tblInd w:w="0" w:type="dxa"/>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Layout w:type="autofit"/>
        <w:tblCellMar>
          <w:top w:w="0" w:type="dxa"/>
          <w:left w:w="0" w:type="dxa"/>
          <w:bottom w:w="0" w:type="dxa"/>
          <w:right w:w="0" w:type="dxa"/>
        </w:tblCellMar>
      </w:tblPr>
      <w:tblGrid>
        <w:gridCol w:w="954"/>
        <w:gridCol w:w="5193"/>
        <w:gridCol w:w="1122"/>
        <w:gridCol w:w="1039"/>
      </w:tblGrid>
      <w:tr w14:paraId="5C8F62E7">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454" w:hRule="atLeast"/>
        </w:trPr>
        <w:tc>
          <w:tcPr>
            <w:tcW w:w="575" w:type="pct"/>
            <w:tcBorders>
              <w:tl2br w:val="nil"/>
              <w:tr2bl w:val="nil"/>
            </w:tcBorders>
            <w:noWrap w:val="0"/>
            <w:vAlign w:val="center"/>
          </w:tcPr>
          <w:p w14:paraId="5D080D5C">
            <w:pPr>
              <w:pStyle w:val="115"/>
              <w:autoSpaceDE w:val="0"/>
              <w:autoSpaceDN w:val="0"/>
              <w:spacing w:line="240" w:lineRule="auto"/>
              <w:ind w:left="0"/>
              <w:jc w:val="center"/>
              <w:rPr>
                <w:rFonts w:hint="default" w:ascii="Times New Roman" w:hAnsi="Times New Roman" w:cs="Times New Roman"/>
                <w:color w:val="auto"/>
                <w:sz w:val="21"/>
                <w:szCs w:val="21"/>
              </w:rPr>
            </w:pPr>
            <w:r>
              <w:rPr>
                <w:rFonts w:hint="default" w:ascii="Times New Roman" w:hAnsi="Times New Roman" w:cs="Times New Roman"/>
                <w:b/>
                <w:bCs/>
                <w:color w:val="auto"/>
                <w:spacing w:val="-10"/>
                <w:sz w:val="21"/>
                <w:szCs w:val="21"/>
              </w:rPr>
              <w:t>行业</w:t>
            </w:r>
          </w:p>
        </w:tc>
        <w:tc>
          <w:tcPr>
            <w:tcW w:w="3125" w:type="pct"/>
            <w:tcBorders>
              <w:tl2br w:val="nil"/>
              <w:tr2bl w:val="nil"/>
            </w:tcBorders>
            <w:noWrap w:val="0"/>
            <w:vAlign w:val="center"/>
          </w:tcPr>
          <w:p w14:paraId="74908B6B">
            <w:pPr>
              <w:pStyle w:val="115"/>
              <w:autoSpaceDE w:val="0"/>
              <w:autoSpaceDN w:val="0"/>
              <w:spacing w:line="240" w:lineRule="auto"/>
              <w:ind w:left="0"/>
              <w:jc w:val="center"/>
              <w:rPr>
                <w:rFonts w:hint="default" w:ascii="Times New Roman" w:hAnsi="Times New Roman" w:cs="Times New Roman"/>
                <w:color w:val="auto"/>
                <w:sz w:val="21"/>
                <w:szCs w:val="21"/>
              </w:rPr>
            </w:pPr>
            <w:r>
              <w:rPr>
                <w:rFonts w:hint="default" w:ascii="Times New Roman" w:hAnsi="Times New Roman" w:cs="Times New Roman"/>
                <w:b/>
                <w:bCs/>
                <w:color w:val="auto"/>
                <w:spacing w:val="-5"/>
                <w:sz w:val="21"/>
                <w:szCs w:val="21"/>
              </w:rPr>
              <w:t>评估依据</w:t>
            </w:r>
          </w:p>
        </w:tc>
        <w:tc>
          <w:tcPr>
            <w:tcW w:w="674" w:type="pct"/>
            <w:tcBorders>
              <w:tl2br w:val="nil"/>
              <w:tr2bl w:val="nil"/>
            </w:tcBorders>
            <w:noWrap w:val="0"/>
            <w:vAlign w:val="center"/>
          </w:tcPr>
          <w:p w14:paraId="5AFCEC18">
            <w:pPr>
              <w:pStyle w:val="115"/>
              <w:autoSpaceDE w:val="0"/>
              <w:autoSpaceDN w:val="0"/>
              <w:spacing w:line="240" w:lineRule="auto"/>
              <w:ind w:left="0"/>
              <w:jc w:val="center"/>
              <w:rPr>
                <w:rFonts w:hint="default" w:ascii="Times New Roman" w:hAnsi="Times New Roman" w:cs="Times New Roman"/>
                <w:color w:val="auto"/>
                <w:sz w:val="21"/>
                <w:szCs w:val="21"/>
              </w:rPr>
            </w:pPr>
            <w:r>
              <w:rPr>
                <w:rFonts w:hint="default" w:ascii="Times New Roman" w:hAnsi="Times New Roman" w:cs="Times New Roman"/>
                <w:b/>
                <w:bCs/>
                <w:color w:val="auto"/>
                <w:spacing w:val="-9"/>
                <w:sz w:val="21"/>
                <w:szCs w:val="21"/>
              </w:rPr>
              <w:t>分值</w:t>
            </w:r>
          </w:p>
        </w:tc>
        <w:tc>
          <w:tcPr>
            <w:tcW w:w="625" w:type="pct"/>
            <w:tcBorders>
              <w:tl2br w:val="nil"/>
              <w:tr2bl w:val="nil"/>
            </w:tcBorders>
            <w:noWrap w:val="0"/>
            <w:vAlign w:val="center"/>
          </w:tcPr>
          <w:p w14:paraId="1144486F">
            <w:pPr>
              <w:pStyle w:val="115"/>
              <w:autoSpaceDE w:val="0"/>
              <w:autoSpaceDN w:val="0"/>
              <w:spacing w:line="240" w:lineRule="auto"/>
              <w:ind w:left="0"/>
              <w:jc w:val="center"/>
              <w:rPr>
                <w:rFonts w:hint="default" w:ascii="Times New Roman" w:hAnsi="Times New Roman" w:eastAsia="宋体" w:cs="Times New Roman"/>
                <w:b/>
                <w:bCs/>
                <w:color w:val="auto"/>
                <w:spacing w:val="-9"/>
                <w:sz w:val="21"/>
                <w:szCs w:val="21"/>
                <w:lang w:val="en-US" w:eastAsia="zh-CN"/>
              </w:rPr>
            </w:pPr>
            <w:r>
              <w:rPr>
                <w:rFonts w:hint="default" w:ascii="Times New Roman" w:hAnsi="Times New Roman" w:cs="Times New Roman"/>
                <w:b/>
                <w:bCs/>
                <w:color w:val="auto"/>
                <w:spacing w:val="-9"/>
                <w:sz w:val="21"/>
                <w:szCs w:val="21"/>
                <w:lang w:val="en-US" w:eastAsia="zh-CN"/>
              </w:rPr>
              <w:t>本项目</w:t>
            </w:r>
          </w:p>
        </w:tc>
      </w:tr>
      <w:tr w14:paraId="6B702327">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1252" w:hRule="atLeast"/>
        </w:trPr>
        <w:tc>
          <w:tcPr>
            <w:tcW w:w="575" w:type="pct"/>
            <w:vMerge w:val="restart"/>
            <w:tcBorders>
              <w:tl2br w:val="nil"/>
              <w:tr2bl w:val="nil"/>
            </w:tcBorders>
            <w:noWrap w:val="0"/>
            <w:vAlign w:val="center"/>
          </w:tcPr>
          <w:p w14:paraId="445ED09E">
            <w:pPr>
              <w:pStyle w:val="115"/>
              <w:autoSpaceDE w:val="0"/>
              <w:autoSpaceDN w:val="0"/>
              <w:spacing w:line="240" w:lineRule="auto"/>
              <w:ind w:left="0"/>
              <w:jc w:val="center"/>
              <w:rPr>
                <w:rFonts w:hint="default" w:ascii="Times New Roman" w:hAnsi="Times New Roman" w:cs="Times New Roman"/>
                <w:color w:val="auto"/>
                <w:spacing w:val="-14"/>
                <w:sz w:val="21"/>
                <w:szCs w:val="21"/>
              </w:rPr>
            </w:pPr>
            <w:r>
              <w:rPr>
                <w:rFonts w:hint="default" w:ascii="Times New Roman" w:hAnsi="Times New Roman" w:cs="Times New Roman"/>
                <w:color w:val="auto"/>
                <w:spacing w:val="-14"/>
                <w:sz w:val="21"/>
                <w:szCs w:val="21"/>
              </w:rPr>
              <w:t>石化、化工、医药、轻工、</w:t>
            </w:r>
          </w:p>
          <w:p w14:paraId="02EC6B58">
            <w:pPr>
              <w:pStyle w:val="115"/>
              <w:autoSpaceDE w:val="0"/>
              <w:autoSpaceDN w:val="0"/>
              <w:spacing w:line="240" w:lineRule="auto"/>
              <w:ind w:left="0"/>
              <w:jc w:val="center"/>
              <w:rPr>
                <w:rFonts w:hint="default" w:ascii="Times New Roman" w:hAnsi="Times New Roman" w:cs="Times New Roman"/>
                <w:color w:val="auto"/>
                <w:spacing w:val="-14"/>
                <w:sz w:val="21"/>
                <w:szCs w:val="21"/>
              </w:rPr>
            </w:pPr>
            <w:r>
              <w:rPr>
                <w:rFonts w:hint="default" w:ascii="Times New Roman" w:hAnsi="Times New Roman" w:cs="Times New Roman"/>
                <w:color w:val="auto"/>
                <w:spacing w:val="-14"/>
                <w:sz w:val="21"/>
                <w:szCs w:val="21"/>
              </w:rPr>
              <w:t>化纤、有色冶炼等</w:t>
            </w:r>
          </w:p>
        </w:tc>
        <w:tc>
          <w:tcPr>
            <w:tcW w:w="3125" w:type="pct"/>
            <w:tcBorders>
              <w:tl2br w:val="nil"/>
              <w:tr2bl w:val="nil"/>
            </w:tcBorders>
            <w:noWrap w:val="0"/>
            <w:vAlign w:val="center"/>
          </w:tcPr>
          <w:p w14:paraId="50EE3B93">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涉及光气及光气化工艺、电解工艺（氯碱）、氯化工艺、硝化工艺、</w:t>
            </w:r>
            <w:r>
              <w:rPr>
                <w:rFonts w:hint="default" w:ascii="Times New Roman" w:hAnsi="Times New Roman" w:cs="Times New Roman"/>
                <w:color w:val="auto"/>
                <w:sz w:val="21"/>
                <w:szCs w:val="21"/>
              </w:rPr>
              <w:t>合成氨工艺、裂解（裂化）工艺、氟化工艺、加氢工艺、重氮化工</w:t>
            </w:r>
            <w:r>
              <w:rPr>
                <w:rFonts w:hint="default" w:ascii="Times New Roman" w:hAnsi="Times New Roman" w:cs="Times New Roman"/>
                <w:color w:val="auto"/>
                <w:spacing w:val="1"/>
                <w:sz w:val="21"/>
                <w:szCs w:val="21"/>
              </w:rPr>
              <w:t>艺、氧化工艺、过氧化工艺、胺基化工艺、磺化工艺、聚合工艺、</w:t>
            </w:r>
            <w:r>
              <w:rPr>
                <w:rFonts w:hint="default" w:ascii="Times New Roman" w:hAnsi="Times New Roman" w:cs="Times New Roman"/>
                <w:color w:val="auto"/>
                <w:spacing w:val="-3"/>
                <w:sz w:val="21"/>
                <w:szCs w:val="21"/>
              </w:rPr>
              <w:t>烷基化工艺、新型煤化工工艺、电石生产工艺、偶氮化工艺</w:t>
            </w:r>
          </w:p>
        </w:tc>
        <w:tc>
          <w:tcPr>
            <w:tcW w:w="674" w:type="pct"/>
            <w:tcBorders>
              <w:tl2br w:val="nil"/>
              <w:tr2bl w:val="nil"/>
            </w:tcBorders>
            <w:noWrap w:val="0"/>
            <w:vAlign w:val="center"/>
          </w:tcPr>
          <w:p w14:paraId="642F5FD3">
            <w:pPr>
              <w:pStyle w:val="115"/>
              <w:autoSpaceDE w:val="0"/>
              <w:autoSpaceDN w:val="0"/>
              <w:spacing w:line="240" w:lineRule="auto"/>
              <w:ind w:left="0"/>
              <w:jc w:val="center"/>
              <w:rPr>
                <w:rFonts w:hint="default" w:ascii="Times New Roman" w:hAnsi="Times New Roman" w:cs="Times New Roman"/>
                <w:color w:val="auto"/>
                <w:sz w:val="21"/>
                <w:szCs w:val="21"/>
              </w:rPr>
            </w:pPr>
            <w:r>
              <w:rPr>
                <w:rFonts w:hint="default" w:ascii="Times New Roman" w:hAnsi="Times New Roman" w:eastAsia="Times New Roman" w:cs="Times New Roman"/>
                <w:color w:val="auto"/>
                <w:spacing w:val="-7"/>
                <w:sz w:val="21"/>
                <w:szCs w:val="21"/>
              </w:rPr>
              <w:t>10/</w:t>
            </w:r>
            <w:r>
              <w:rPr>
                <w:rFonts w:hint="default" w:ascii="Times New Roman" w:hAnsi="Times New Roman" w:cs="Times New Roman"/>
                <w:color w:val="auto"/>
                <w:spacing w:val="-7"/>
                <w:sz w:val="21"/>
                <w:szCs w:val="21"/>
              </w:rPr>
              <w:t>套</w:t>
            </w:r>
          </w:p>
        </w:tc>
        <w:tc>
          <w:tcPr>
            <w:tcW w:w="625" w:type="pct"/>
            <w:tcBorders>
              <w:tl2br w:val="nil"/>
              <w:tr2bl w:val="nil"/>
            </w:tcBorders>
            <w:noWrap w:val="0"/>
            <w:vAlign w:val="center"/>
          </w:tcPr>
          <w:p w14:paraId="325AEC52">
            <w:pPr>
              <w:pStyle w:val="115"/>
              <w:autoSpaceDE w:val="0"/>
              <w:autoSpaceDN w:val="0"/>
              <w:spacing w:line="240" w:lineRule="auto"/>
              <w:ind w:left="0"/>
              <w:jc w:val="center"/>
              <w:rPr>
                <w:rFonts w:hint="default" w:ascii="Times New Roman" w:hAnsi="Times New Roman" w:eastAsia="宋体" w:cs="Times New Roman"/>
                <w:color w:val="auto"/>
                <w:spacing w:val="-7"/>
                <w:sz w:val="21"/>
                <w:szCs w:val="21"/>
                <w:lang w:val="en-US" w:eastAsia="zh-CN"/>
              </w:rPr>
            </w:pPr>
            <w:r>
              <w:rPr>
                <w:rFonts w:hint="default" w:ascii="Times New Roman" w:hAnsi="Times New Roman" w:eastAsia="宋体" w:cs="Times New Roman"/>
                <w:color w:val="auto"/>
                <w:spacing w:val="-7"/>
                <w:sz w:val="21"/>
                <w:szCs w:val="21"/>
                <w:lang w:val="en-US" w:eastAsia="zh-CN"/>
              </w:rPr>
              <w:t>/</w:t>
            </w:r>
          </w:p>
        </w:tc>
      </w:tr>
      <w:tr w14:paraId="5331A856">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430" w:hRule="atLeast"/>
        </w:trPr>
        <w:tc>
          <w:tcPr>
            <w:tcW w:w="575" w:type="pct"/>
            <w:vMerge w:val="continue"/>
            <w:tcBorders>
              <w:tl2br w:val="nil"/>
              <w:tr2bl w:val="nil"/>
            </w:tcBorders>
            <w:noWrap w:val="0"/>
            <w:vAlign w:val="center"/>
          </w:tcPr>
          <w:p w14:paraId="551F551B">
            <w:pPr>
              <w:pStyle w:val="115"/>
              <w:autoSpaceDE w:val="0"/>
              <w:autoSpaceDN w:val="0"/>
              <w:spacing w:line="240" w:lineRule="auto"/>
              <w:ind w:left="0"/>
              <w:jc w:val="center"/>
              <w:rPr>
                <w:rFonts w:hint="default" w:ascii="Times New Roman" w:hAnsi="Times New Roman" w:cs="Times New Roman"/>
                <w:color w:val="auto"/>
                <w:spacing w:val="-14"/>
                <w:sz w:val="21"/>
                <w:szCs w:val="21"/>
              </w:rPr>
            </w:pPr>
          </w:p>
        </w:tc>
        <w:tc>
          <w:tcPr>
            <w:tcW w:w="3125" w:type="pct"/>
            <w:tcBorders>
              <w:tl2br w:val="nil"/>
              <w:tr2bl w:val="nil"/>
            </w:tcBorders>
            <w:noWrap w:val="0"/>
            <w:vAlign w:val="center"/>
          </w:tcPr>
          <w:p w14:paraId="0A6701CB">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lang w:eastAsia="zh-CN"/>
              </w:rPr>
              <w:t>无机酸</w:t>
            </w:r>
            <w:r>
              <w:rPr>
                <w:rFonts w:hint="default" w:ascii="Times New Roman" w:hAnsi="Times New Roman" w:cs="Times New Roman"/>
                <w:color w:val="auto"/>
                <w:spacing w:val="-1"/>
                <w:sz w:val="21"/>
                <w:szCs w:val="21"/>
              </w:rPr>
              <w:t>制酸工艺、焦化工艺</w:t>
            </w:r>
          </w:p>
        </w:tc>
        <w:tc>
          <w:tcPr>
            <w:tcW w:w="674" w:type="pct"/>
            <w:tcBorders>
              <w:tl2br w:val="nil"/>
              <w:tr2bl w:val="nil"/>
            </w:tcBorders>
            <w:noWrap w:val="0"/>
            <w:vAlign w:val="center"/>
          </w:tcPr>
          <w:p w14:paraId="13E3B746">
            <w:pPr>
              <w:pStyle w:val="115"/>
              <w:autoSpaceDE w:val="0"/>
              <w:autoSpaceDN w:val="0"/>
              <w:spacing w:line="240" w:lineRule="auto"/>
              <w:ind w:left="0"/>
              <w:jc w:val="center"/>
              <w:rPr>
                <w:rFonts w:hint="default" w:ascii="Times New Roman" w:hAnsi="Times New Roman" w:cs="Times New Roman"/>
                <w:color w:val="auto"/>
                <w:sz w:val="21"/>
                <w:szCs w:val="21"/>
              </w:rPr>
            </w:pPr>
            <w:r>
              <w:rPr>
                <w:rFonts w:hint="default" w:ascii="Times New Roman" w:hAnsi="Times New Roman" w:eastAsia="Times New Roman" w:cs="Times New Roman"/>
                <w:color w:val="auto"/>
                <w:spacing w:val="-4"/>
                <w:sz w:val="21"/>
                <w:szCs w:val="21"/>
              </w:rPr>
              <w:t>5/</w:t>
            </w:r>
            <w:r>
              <w:rPr>
                <w:rFonts w:hint="default" w:ascii="Times New Roman" w:hAnsi="Times New Roman" w:cs="Times New Roman"/>
                <w:color w:val="auto"/>
                <w:spacing w:val="-4"/>
                <w:sz w:val="21"/>
                <w:szCs w:val="21"/>
              </w:rPr>
              <w:t>套</w:t>
            </w:r>
          </w:p>
        </w:tc>
        <w:tc>
          <w:tcPr>
            <w:tcW w:w="625" w:type="pct"/>
            <w:tcBorders>
              <w:tl2br w:val="nil"/>
              <w:tr2bl w:val="nil"/>
            </w:tcBorders>
            <w:noWrap w:val="0"/>
            <w:vAlign w:val="center"/>
          </w:tcPr>
          <w:p w14:paraId="344E103B">
            <w:pPr>
              <w:pStyle w:val="115"/>
              <w:autoSpaceDE w:val="0"/>
              <w:autoSpaceDN w:val="0"/>
              <w:spacing w:line="240" w:lineRule="auto"/>
              <w:ind w:left="0"/>
              <w:jc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color w:val="auto"/>
                <w:spacing w:val="-4"/>
                <w:sz w:val="21"/>
                <w:szCs w:val="21"/>
                <w:lang w:val="en-US" w:eastAsia="zh-CN"/>
              </w:rPr>
              <w:t>/</w:t>
            </w:r>
          </w:p>
        </w:tc>
      </w:tr>
      <w:tr w14:paraId="7B4F0E2C">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628" w:hRule="atLeast"/>
        </w:trPr>
        <w:tc>
          <w:tcPr>
            <w:tcW w:w="575" w:type="pct"/>
            <w:vMerge w:val="continue"/>
            <w:tcBorders>
              <w:tl2br w:val="nil"/>
              <w:tr2bl w:val="nil"/>
            </w:tcBorders>
            <w:noWrap w:val="0"/>
            <w:vAlign w:val="center"/>
          </w:tcPr>
          <w:p w14:paraId="7AE92AB0">
            <w:pPr>
              <w:pStyle w:val="115"/>
              <w:autoSpaceDE w:val="0"/>
              <w:autoSpaceDN w:val="0"/>
              <w:spacing w:line="240" w:lineRule="auto"/>
              <w:ind w:left="0"/>
              <w:jc w:val="center"/>
              <w:rPr>
                <w:rFonts w:hint="default" w:ascii="Times New Roman" w:hAnsi="Times New Roman" w:cs="Times New Roman"/>
                <w:color w:val="auto"/>
                <w:spacing w:val="-14"/>
                <w:sz w:val="21"/>
                <w:szCs w:val="21"/>
              </w:rPr>
            </w:pPr>
          </w:p>
        </w:tc>
        <w:tc>
          <w:tcPr>
            <w:tcW w:w="3125" w:type="pct"/>
            <w:tcBorders>
              <w:tl2br w:val="nil"/>
              <w:tr2bl w:val="nil"/>
            </w:tcBorders>
            <w:noWrap w:val="0"/>
            <w:vAlign w:val="center"/>
          </w:tcPr>
          <w:p w14:paraId="1BE7F295">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其他高温或高压、涉及易燃易爆其他高温或高压</w:t>
            </w:r>
            <w:r>
              <w:rPr>
                <w:rFonts w:hint="eastAsia" w:ascii="Times New Roman" w:hAnsi="Times New Roman" w:cs="Times New Roman"/>
                <w:color w:val="auto"/>
                <w:spacing w:val="-2"/>
                <w:sz w:val="21"/>
                <w:szCs w:val="21"/>
                <w:lang w:eastAsia="zh-CN"/>
              </w:rPr>
              <w:t>且</w:t>
            </w:r>
            <w:r>
              <w:rPr>
                <w:rFonts w:hint="default" w:ascii="Times New Roman" w:hAnsi="Times New Roman" w:cs="Times New Roman"/>
                <w:color w:val="auto"/>
                <w:spacing w:val="-2"/>
                <w:sz w:val="21"/>
                <w:szCs w:val="21"/>
              </w:rPr>
              <w:t>涉及易燃易爆等物质的工艺过程a、危险物质贮存罐区</w:t>
            </w:r>
          </w:p>
          <w:p w14:paraId="28FD0B0D">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、危险物质贮存罐区</w:t>
            </w:r>
          </w:p>
        </w:tc>
        <w:tc>
          <w:tcPr>
            <w:tcW w:w="674" w:type="pct"/>
            <w:tcBorders>
              <w:tl2br w:val="nil"/>
              <w:tr2bl w:val="nil"/>
            </w:tcBorders>
            <w:noWrap w:val="0"/>
            <w:vAlign w:val="center"/>
          </w:tcPr>
          <w:p w14:paraId="304EBC0E">
            <w:pPr>
              <w:pStyle w:val="115"/>
              <w:autoSpaceDE w:val="0"/>
              <w:autoSpaceDN w:val="0"/>
              <w:spacing w:line="240" w:lineRule="auto"/>
              <w:ind w:left="0" w:right="114" w:firstLine="257"/>
              <w:jc w:val="center"/>
              <w:rPr>
                <w:rFonts w:hint="default" w:ascii="Times New Roman" w:hAnsi="Times New Roman" w:cs="Times New Roman"/>
                <w:color w:val="auto"/>
                <w:sz w:val="21"/>
                <w:szCs w:val="21"/>
              </w:rPr>
            </w:pPr>
            <w:r>
              <w:rPr>
                <w:rFonts w:hint="default" w:ascii="Times New Roman" w:hAnsi="Times New Roman" w:eastAsia="Times New Roman" w:cs="Times New Roman"/>
                <w:color w:val="auto"/>
                <w:spacing w:val="-5"/>
                <w:sz w:val="21"/>
                <w:szCs w:val="21"/>
              </w:rPr>
              <w:t>5/</w:t>
            </w:r>
            <w:r>
              <w:rPr>
                <w:rFonts w:hint="default" w:ascii="Times New Roman" w:hAnsi="Times New Roman" w:cs="Times New Roman"/>
                <w:color w:val="auto"/>
                <w:spacing w:val="-5"/>
                <w:sz w:val="21"/>
                <w:szCs w:val="21"/>
              </w:rPr>
              <w:t>套</w:t>
            </w:r>
            <w:r>
              <w:rPr>
                <w:rFonts w:hint="default" w:ascii="Times New Roman" w:hAnsi="Times New Roman" w:cs="Times New Roman"/>
                <w:color w:val="auto"/>
                <w:spacing w:val="-11"/>
                <w:sz w:val="21"/>
                <w:szCs w:val="21"/>
              </w:rPr>
              <w:t>（罐区）</w:t>
            </w:r>
          </w:p>
        </w:tc>
        <w:tc>
          <w:tcPr>
            <w:tcW w:w="625" w:type="pct"/>
            <w:tcBorders>
              <w:tl2br w:val="nil"/>
              <w:tr2bl w:val="nil"/>
            </w:tcBorders>
            <w:noWrap w:val="0"/>
            <w:vAlign w:val="center"/>
          </w:tcPr>
          <w:p w14:paraId="512AF7F8">
            <w:pPr>
              <w:pStyle w:val="115"/>
              <w:autoSpaceDE w:val="0"/>
              <w:autoSpaceDN w:val="0"/>
              <w:spacing w:line="240" w:lineRule="auto"/>
              <w:ind w:left="0" w:right="0" w:firstLine="0"/>
              <w:jc w:val="center"/>
              <w:rPr>
                <w:rFonts w:hint="default" w:ascii="Times New Roman" w:hAnsi="Times New Roman" w:eastAsia="宋体" w:cs="Times New Roman"/>
                <w:color w:val="auto"/>
                <w:spacing w:val="-5"/>
                <w:sz w:val="21"/>
                <w:szCs w:val="21"/>
                <w:lang w:val="en-US" w:eastAsia="zh-CN"/>
              </w:rPr>
            </w:pPr>
            <w:r>
              <w:rPr>
                <w:rFonts w:hint="default" w:ascii="Times New Roman" w:hAnsi="Times New Roman" w:cs="Times New Roman"/>
                <w:color w:val="auto"/>
                <w:spacing w:val="-5"/>
                <w:sz w:val="21"/>
                <w:szCs w:val="21"/>
                <w:lang w:val="en-US" w:eastAsia="zh-CN"/>
              </w:rPr>
              <w:t>5</w:t>
            </w:r>
          </w:p>
        </w:tc>
      </w:tr>
      <w:tr w14:paraId="58581883">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628" w:hRule="atLeast"/>
        </w:trPr>
        <w:tc>
          <w:tcPr>
            <w:tcW w:w="575" w:type="pct"/>
            <w:tcBorders>
              <w:tl2br w:val="nil"/>
              <w:tr2bl w:val="nil"/>
            </w:tcBorders>
            <w:noWrap w:val="0"/>
            <w:vAlign w:val="center"/>
          </w:tcPr>
          <w:p w14:paraId="09930A41">
            <w:pPr>
              <w:pStyle w:val="115"/>
              <w:autoSpaceDE w:val="0"/>
              <w:autoSpaceDN w:val="0"/>
              <w:spacing w:line="240" w:lineRule="auto"/>
              <w:ind w:left="0"/>
              <w:jc w:val="center"/>
              <w:rPr>
                <w:rFonts w:hint="default" w:ascii="Times New Roman" w:hAnsi="Times New Roman" w:cs="Times New Roman"/>
                <w:color w:val="auto"/>
                <w:spacing w:val="-14"/>
                <w:sz w:val="21"/>
                <w:szCs w:val="21"/>
              </w:rPr>
            </w:pPr>
            <w:r>
              <w:rPr>
                <w:rFonts w:hint="default" w:ascii="Times New Roman" w:hAnsi="Times New Roman" w:cs="Times New Roman"/>
                <w:color w:val="auto"/>
                <w:spacing w:val="-14"/>
                <w:sz w:val="21"/>
                <w:szCs w:val="21"/>
              </w:rPr>
              <w:t>管道、港口/ 码头等</w:t>
            </w:r>
          </w:p>
        </w:tc>
        <w:tc>
          <w:tcPr>
            <w:tcW w:w="3125" w:type="pct"/>
            <w:tcBorders>
              <w:tl2br w:val="nil"/>
              <w:tr2bl w:val="nil"/>
            </w:tcBorders>
            <w:noWrap w:val="0"/>
            <w:vAlign w:val="center"/>
          </w:tcPr>
          <w:p w14:paraId="220EF6B9">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设计危险物质管道运输项目、港口</w:t>
            </w:r>
            <w:r>
              <w:rPr>
                <w:rFonts w:hint="default" w:ascii="Times New Roman" w:hAnsi="Times New Roman" w:eastAsia="Times New Roman" w:cs="Times New Roman"/>
                <w:color w:val="auto"/>
                <w:spacing w:val="-1"/>
                <w:sz w:val="21"/>
                <w:szCs w:val="21"/>
              </w:rPr>
              <w:t>/</w:t>
            </w:r>
            <w:r>
              <w:rPr>
                <w:rFonts w:hint="default" w:ascii="Times New Roman" w:hAnsi="Times New Roman" w:cs="Times New Roman"/>
                <w:color w:val="auto"/>
                <w:spacing w:val="-1"/>
                <w:sz w:val="21"/>
                <w:szCs w:val="21"/>
              </w:rPr>
              <w:t>码头等</w:t>
            </w:r>
          </w:p>
        </w:tc>
        <w:tc>
          <w:tcPr>
            <w:tcW w:w="674" w:type="pct"/>
            <w:tcBorders>
              <w:tl2br w:val="nil"/>
              <w:tr2bl w:val="nil"/>
            </w:tcBorders>
            <w:noWrap w:val="0"/>
            <w:vAlign w:val="center"/>
          </w:tcPr>
          <w:p w14:paraId="1F467E79">
            <w:pPr>
              <w:autoSpaceDE w:val="0"/>
              <w:autoSpaceDN w:val="0"/>
              <w:spacing w:line="240" w:lineRule="auto"/>
              <w:ind w:left="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5"/>
                <w:sz w:val="21"/>
                <w:szCs w:val="21"/>
              </w:rPr>
              <w:t>10</w:t>
            </w:r>
          </w:p>
        </w:tc>
        <w:tc>
          <w:tcPr>
            <w:tcW w:w="625" w:type="pct"/>
            <w:tcBorders>
              <w:tl2br w:val="nil"/>
              <w:tr2bl w:val="nil"/>
            </w:tcBorders>
            <w:noWrap w:val="0"/>
            <w:vAlign w:val="center"/>
          </w:tcPr>
          <w:p w14:paraId="417D1E93">
            <w:pPr>
              <w:autoSpaceDE w:val="0"/>
              <w:autoSpaceDN w:val="0"/>
              <w:spacing w:line="240" w:lineRule="auto"/>
              <w:ind w:left="0"/>
              <w:jc w:val="center"/>
              <w:rPr>
                <w:rFonts w:hint="default" w:ascii="Times New Roman" w:hAnsi="Times New Roman" w:eastAsia="宋体" w:cs="Times New Roman"/>
                <w:color w:val="auto"/>
                <w:spacing w:val="-15"/>
                <w:sz w:val="21"/>
                <w:szCs w:val="21"/>
                <w:lang w:val="en-US" w:eastAsia="zh-CN"/>
              </w:rPr>
            </w:pPr>
            <w:r>
              <w:rPr>
                <w:rFonts w:hint="default" w:ascii="Times New Roman" w:hAnsi="Times New Roman" w:eastAsia="宋体" w:cs="Times New Roman"/>
                <w:color w:val="auto"/>
                <w:spacing w:val="-15"/>
                <w:sz w:val="21"/>
                <w:szCs w:val="21"/>
                <w:lang w:val="en-US" w:eastAsia="zh-CN"/>
              </w:rPr>
              <w:t>/</w:t>
            </w:r>
          </w:p>
        </w:tc>
      </w:tr>
      <w:tr w14:paraId="6B71199A">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628" w:hRule="atLeast"/>
        </w:trPr>
        <w:tc>
          <w:tcPr>
            <w:tcW w:w="575" w:type="pct"/>
            <w:tcBorders>
              <w:tl2br w:val="nil"/>
              <w:tr2bl w:val="nil"/>
            </w:tcBorders>
            <w:noWrap w:val="0"/>
            <w:vAlign w:val="center"/>
          </w:tcPr>
          <w:p w14:paraId="2B0B9611">
            <w:pPr>
              <w:pStyle w:val="115"/>
              <w:autoSpaceDE w:val="0"/>
              <w:autoSpaceDN w:val="0"/>
              <w:spacing w:line="240" w:lineRule="auto"/>
              <w:ind w:left="0"/>
              <w:jc w:val="center"/>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石油天然气</w:t>
            </w:r>
          </w:p>
        </w:tc>
        <w:tc>
          <w:tcPr>
            <w:tcW w:w="3125" w:type="pct"/>
            <w:tcBorders>
              <w:tl2br w:val="nil"/>
              <w:tr2bl w:val="nil"/>
            </w:tcBorders>
            <w:noWrap w:val="0"/>
            <w:vAlign w:val="center"/>
          </w:tcPr>
          <w:p w14:paraId="3382EC2E">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石油、天然气、页岩气开采（含净化</w:t>
            </w:r>
            <w:r>
              <w:rPr>
                <w:rFonts w:hint="default" w:ascii="Times New Roman" w:hAnsi="Times New Roman" w:cs="Times New Roman"/>
                <w:color w:val="auto"/>
                <w:spacing w:val="-55"/>
                <w:sz w:val="21"/>
                <w:szCs w:val="21"/>
              </w:rPr>
              <w:t>），</w:t>
            </w:r>
            <w:r>
              <w:rPr>
                <w:rFonts w:hint="default" w:ascii="Times New Roman" w:hAnsi="Times New Roman" w:cs="Times New Roman"/>
                <w:color w:val="auto"/>
                <w:spacing w:val="-6"/>
                <w:sz w:val="21"/>
                <w:szCs w:val="21"/>
              </w:rPr>
              <w:t>气库（不含加气站</w:t>
            </w:r>
            <w:r>
              <w:rPr>
                <w:rFonts w:hint="default" w:ascii="Times New Roman" w:hAnsi="Times New Roman" w:cs="Times New Roman"/>
                <w:color w:val="auto"/>
                <w:spacing w:val="-7"/>
                <w:sz w:val="21"/>
                <w:szCs w:val="21"/>
              </w:rPr>
              <w:t>的气库</w:t>
            </w:r>
            <w:r>
              <w:rPr>
                <w:rFonts w:hint="default" w:ascii="Times New Roman" w:hAnsi="Times New Roman" w:cs="Times New Roman"/>
                <w:color w:val="auto"/>
                <w:spacing w:val="-55"/>
                <w:sz w:val="21"/>
                <w:szCs w:val="21"/>
              </w:rPr>
              <w:t>），</w:t>
            </w:r>
            <w:r>
              <w:rPr>
                <w:rFonts w:hint="default" w:ascii="Times New Roman" w:hAnsi="Times New Roman" w:cs="Times New Roman"/>
                <w:color w:val="auto"/>
                <w:sz w:val="21"/>
                <w:szCs w:val="21"/>
              </w:rPr>
              <w:t xml:space="preserve"> </w:t>
            </w:r>
            <w:r>
              <w:rPr>
                <w:rFonts w:hint="default" w:ascii="Times New Roman" w:hAnsi="Times New Roman" w:cs="Times New Roman"/>
                <w:color w:val="auto"/>
                <w:spacing w:val="-3"/>
                <w:sz w:val="21"/>
                <w:szCs w:val="21"/>
              </w:rPr>
              <w:t>油库（不含加气站的油库）、油气管线</w:t>
            </w:r>
            <w:r>
              <w:rPr>
                <w:rFonts w:hint="default" w:ascii="Times New Roman" w:hAnsi="Times New Roman" w:cs="Times New Roman"/>
                <w:color w:val="auto"/>
                <w:spacing w:val="-43"/>
                <w:sz w:val="21"/>
                <w:szCs w:val="21"/>
              </w:rPr>
              <w:t xml:space="preserve"> </w:t>
            </w:r>
            <w:r>
              <w:rPr>
                <w:rFonts w:hint="default" w:ascii="Times New Roman" w:hAnsi="Times New Roman" w:eastAsia="Times New Roman" w:cs="Times New Roman"/>
                <w:color w:val="auto"/>
                <w:spacing w:val="-3"/>
                <w:sz w:val="21"/>
                <w:szCs w:val="21"/>
              </w:rPr>
              <w:t>b</w:t>
            </w:r>
            <w:r>
              <w:rPr>
                <w:rFonts w:hint="default" w:ascii="Times New Roman" w:hAnsi="Times New Roman" w:cs="Times New Roman"/>
                <w:color w:val="auto"/>
                <w:spacing w:val="-3"/>
                <w:sz w:val="21"/>
                <w:szCs w:val="21"/>
              </w:rPr>
              <w:t>（不含城镇燃气管线）</w:t>
            </w:r>
          </w:p>
        </w:tc>
        <w:tc>
          <w:tcPr>
            <w:tcW w:w="674" w:type="pct"/>
            <w:tcBorders>
              <w:tl2br w:val="nil"/>
              <w:tr2bl w:val="nil"/>
            </w:tcBorders>
            <w:noWrap w:val="0"/>
            <w:vAlign w:val="center"/>
          </w:tcPr>
          <w:p w14:paraId="7C4AAF30">
            <w:pPr>
              <w:autoSpaceDE w:val="0"/>
              <w:autoSpaceDN w:val="0"/>
              <w:spacing w:line="240" w:lineRule="auto"/>
              <w:ind w:left="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5"/>
                <w:sz w:val="21"/>
                <w:szCs w:val="21"/>
              </w:rPr>
              <w:t>10</w:t>
            </w:r>
          </w:p>
        </w:tc>
        <w:tc>
          <w:tcPr>
            <w:tcW w:w="625" w:type="pct"/>
            <w:tcBorders>
              <w:tl2br w:val="nil"/>
              <w:tr2bl w:val="nil"/>
            </w:tcBorders>
            <w:noWrap w:val="0"/>
            <w:vAlign w:val="center"/>
          </w:tcPr>
          <w:p w14:paraId="5B872607">
            <w:pPr>
              <w:autoSpaceDE w:val="0"/>
              <w:autoSpaceDN w:val="0"/>
              <w:spacing w:line="240" w:lineRule="auto"/>
              <w:ind w:left="0"/>
              <w:jc w:val="center"/>
              <w:rPr>
                <w:rFonts w:hint="default" w:ascii="Times New Roman" w:hAnsi="Times New Roman" w:eastAsia="宋体" w:cs="Times New Roman"/>
                <w:color w:val="auto"/>
                <w:spacing w:val="-15"/>
                <w:sz w:val="21"/>
                <w:szCs w:val="21"/>
                <w:lang w:val="en-US" w:eastAsia="zh-CN"/>
              </w:rPr>
            </w:pPr>
            <w:r>
              <w:rPr>
                <w:rFonts w:hint="default" w:ascii="Times New Roman" w:hAnsi="Times New Roman" w:eastAsia="宋体" w:cs="Times New Roman"/>
                <w:color w:val="auto"/>
                <w:spacing w:val="-15"/>
                <w:sz w:val="21"/>
                <w:szCs w:val="21"/>
                <w:lang w:val="en-US" w:eastAsia="zh-CN"/>
              </w:rPr>
              <w:t>/</w:t>
            </w:r>
          </w:p>
        </w:tc>
      </w:tr>
      <w:tr w14:paraId="7696B81F">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434" w:hRule="atLeast"/>
        </w:trPr>
        <w:tc>
          <w:tcPr>
            <w:tcW w:w="575" w:type="pct"/>
            <w:tcBorders>
              <w:tl2br w:val="nil"/>
              <w:tr2bl w:val="nil"/>
            </w:tcBorders>
            <w:noWrap w:val="0"/>
            <w:vAlign w:val="center"/>
          </w:tcPr>
          <w:p w14:paraId="15B4BA0A">
            <w:pPr>
              <w:pStyle w:val="115"/>
              <w:autoSpaceDE w:val="0"/>
              <w:autoSpaceDN w:val="0"/>
              <w:spacing w:line="240" w:lineRule="auto"/>
              <w:ind w:left="0"/>
              <w:jc w:val="center"/>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其他</w:t>
            </w:r>
          </w:p>
        </w:tc>
        <w:tc>
          <w:tcPr>
            <w:tcW w:w="3125" w:type="pct"/>
            <w:tcBorders>
              <w:tl2br w:val="nil"/>
              <w:tr2bl w:val="nil"/>
            </w:tcBorders>
            <w:noWrap w:val="0"/>
            <w:vAlign w:val="center"/>
          </w:tcPr>
          <w:p w14:paraId="5F81EDCF">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lang w:val="en-US" w:eastAsia="zh-CN"/>
              </w:rPr>
              <w:t>涉及</w:t>
            </w:r>
            <w:r>
              <w:rPr>
                <w:rFonts w:hint="default" w:ascii="Times New Roman" w:hAnsi="Times New Roman" w:cs="Times New Roman"/>
                <w:color w:val="auto"/>
                <w:spacing w:val="-1"/>
                <w:sz w:val="21"/>
                <w:szCs w:val="21"/>
              </w:rPr>
              <w:t>危险物质使用、贮存的项目</w:t>
            </w:r>
          </w:p>
        </w:tc>
        <w:tc>
          <w:tcPr>
            <w:tcW w:w="674" w:type="pct"/>
            <w:tcBorders>
              <w:tl2br w:val="nil"/>
              <w:tr2bl w:val="nil"/>
            </w:tcBorders>
            <w:noWrap w:val="0"/>
            <w:vAlign w:val="center"/>
          </w:tcPr>
          <w:p w14:paraId="42A7496B">
            <w:pPr>
              <w:autoSpaceDE w:val="0"/>
              <w:autoSpaceDN w:val="0"/>
              <w:spacing w:line="240" w:lineRule="auto"/>
              <w:ind w:left="0"/>
              <w:jc w:val="center"/>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5</w:t>
            </w:r>
          </w:p>
        </w:tc>
        <w:tc>
          <w:tcPr>
            <w:tcW w:w="625" w:type="pct"/>
            <w:tcBorders>
              <w:tl2br w:val="nil"/>
              <w:tr2bl w:val="nil"/>
            </w:tcBorders>
            <w:noWrap w:val="0"/>
            <w:vAlign w:val="center"/>
          </w:tcPr>
          <w:p w14:paraId="52D4427C">
            <w:pPr>
              <w:autoSpaceDE w:val="0"/>
              <w:autoSpaceDN w:val="0"/>
              <w:spacing w:line="240" w:lineRule="auto"/>
              <w:ind w:lef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091B3492">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434" w:hRule="atLeast"/>
        </w:trPr>
        <w:tc>
          <w:tcPr>
            <w:tcW w:w="4375" w:type="pct"/>
            <w:gridSpan w:val="3"/>
            <w:tcBorders>
              <w:tl2br w:val="nil"/>
              <w:tr2bl w:val="nil"/>
            </w:tcBorders>
            <w:noWrap w:val="0"/>
            <w:vAlign w:val="center"/>
          </w:tcPr>
          <w:p w14:paraId="33D345ED">
            <w:pPr>
              <w:autoSpaceDE w:val="0"/>
              <w:autoSpaceDN w:val="0"/>
              <w:spacing w:line="240" w:lineRule="auto"/>
              <w:ind w:lef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合计</w:t>
            </w:r>
          </w:p>
        </w:tc>
        <w:tc>
          <w:tcPr>
            <w:tcW w:w="625" w:type="pct"/>
            <w:tcBorders>
              <w:tl2br w:val="nil"/>
              <w:tr2bl w:val="nil"/>
            </w:tcBorders>
            <w:noWrap w:val="0"/>
            <w:vAlign w:val="center"/>
          </w:tcPr>
          <w:p w14:paraId="5D1E61D0">
            <w:pPr>
              <w:autoSpaceDE w:val="0"/>
              <w:autoSpaceDN w:val="0"/>
              <w:spacing w:line="240" w:lineRule="auto"/>
              <w:ind w:lef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5"/>
                <w:sz w:val="21"/>
                <w:szCs w:val="21"/>
                <w:lang w:val="en-US" w:eastAsia="zh-CN"/>
              </w:rPr>
              <w:t>5</w:t>
            </w:r>
          </w:p>
        </w:tc>
      </w:tr>
      <w:tr w14:paraId="324EFE69">
        <w:tblPrEx>
          <w:tblBorders>
            <w:top w:val="single" w:color="000000" w:sz="2" w:space="0"/>
            <w:left w:val="single" w:color="000000" w:sz="4" w:space="0"/>
            <w:bottom w:val="single" w:color="000000" w:sz="2"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434" w:hRule="atLeast"/>
        </w:trPr>
        <w:tc>
          <w:tcPr>
            <w:tcW w:w="5000" w:type="pct"/>
            <w:gridSpan w:val="4"/>
            <w:tcBorders>
              <w:tl2br w:val="nil"/>
              <w:tr2bl w:val="nil"/>
            </w:tcBorders>
            <w:noWrap w:val="0"/>
            <w:vAlign w:val="top"/>
          </w:tcPr>
          <w:p w14:paraId="48077F90">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left"/>
              <w:textAlignment w:val="auto"/>
              <w:rPr>
                <w:rFonts w:hint="default" w:ascii="Times New Roman" w:hAnsi="Times New Roman" w:cs="Times New Roman"/>
                <w:color w:val="auto"/>
                <w:spacing w:val="-5"/>
                <w:sz w:val="21"/>
                <w:szCs w:val="21"/>
              </w:rPr>
            </w:pPr>
            <w:r>
              <w:rPr>
                <w:rFonts w:hint="default" w:ascii="Times New Roman" w:hAnsi="Times New Roman" w:cs="Times New Roman"/>
                <w:color w:val="auto"/>
                <w:spacing w:val="-5"/>
                <w:sz w:val="21"/>
                <w:szCs w:val="21"/>
              </w:rPr>
              <w:t>注：</w:t>
            </w:r>
            <w:r>
              <w:rPr>
                <w:rFonts w:hint="default" w:ascii="Times New Roman" w:hAnsi="Times New Roman" w:eastAsia="Times New Roman" w:cs="Times New Roman"/>
                <w:color w:val="auto"/>
                <w:spacing w:val="-5"/>
                <w:sz w:val="21"/>
                <w:szCs w:val="21"/>
              </w:rPr>
              <w:t>a</w:t>
            </w:r>
            <w:r>
              <w:rPr>
                <w:rFonts w:hint="default" w:ascii="Times New Roman" w:hAnsi="Times New Roman" w:eastAsia="Times New Roman" w:cs="Times New Roman"/>
                <w:color w:val="auto"/>
                <w:spacing w:val="29"/>
                <w:w w:val="101"/>
                <w:sz w:val="21"/>
                <w:szCs w:val="21"/>
              </w:rPr>
              <w:t xml:space="preserve"> </w:t>
            </w:r>
            <w:r>
              <w:rPr>
                <w:rFonts w:hint="default" w:ascii="Times New Roman" w:hAnsi="Times New Roman" w:cs="Times New Roman"/>
                <w:color w:val="auto"/>
                <w:spacing w:val="-5"/>
                <w:sz w:val="21"/>
                <w:szCs w:val="21"/>
              </w:rPr>
              <w:t>高温指工艺温度</w:t>
            </w:r>
            <w:r>
              <w:rPr>
                <w:rFonts w:hint="default" w:ascii="Times New Roman" w:hAnsi="Times New Roman" w:eastAsia="Times New Roman" w:cs="Times New Roman"/>
                <w:color w:val="auto"/>
                <w:spacing w:val="-5"/>
                <w:sz w:val="21"/>
                <w:szCs w:val="21"/>
              </w:rPr>
              <w:t>≥300℃</w:t>
            </w:r>
            <w:r>
              <w:rPr>
                <w:rFonts w:hint="default" w:ascii="Times New Roman" w:hAnsi="Times New Roman" w:eastAsia="Times New Roman" w:cs="Times New Roman"/>
                <w:color w:val="auto"/>
                <w:spacing w:val="-32"/>
                <w:sz w:val="21"/>
                <w:szCs w:val="21"/>
              </w:rPr>
              <w:t xml:space="preserve"> </w:t>
            </w:r>
            <w:r>
              <w:rPr>
                <w:rFonts w:hint="default" w:ascii="Times New Roman" w:hAnsi="Times New Roman" w:eastAsia="宋体" w:cs="Times New Roman"/>
                <w:color w:val="auto"/>
                <w:spacing w:val="-32"/>
                <w:sz w:val="21"/>
                <w:szCs w:val="21"/>
                <w:lang w:eastAsia="zh-CN"/>
              </w:rPr>
              <w:t>，</w:t>
            </w:r>
            <w:r>
              <w:rPr>
                <w:rFonts w:hint="default" w:ascii="Times New Roman" w:hAnsi="Times New Roman" w:cs="Times New Roman"/>
                <w:color w:val="auto"/>
                <w:spacing w:val="-5"/>
                <w:sz w:val="21"/>
                <w:szCs w:val="21"/>
              </w:rPr>
              <w:t>高压指压力容器的设计压力（</w:t>
            </w:r>
            <w:r>
              <w:rPr>
                <w:rFonts w:hint="default" w:ascii="Times New Roman" w:hAnsi="Times New Roman" w:eastAsia="Times New Roman" w:cs="Times New Roman"/>
                <w:color w:val="auto"/>
                <w:spacing w:val="-5"/>
                <w:sz w:val="21"/>
                <w:szCs w:val="21"/>
              </w:rPr>
              <w:t>p</w:t>
            </w:r>
            <w:r>
              <w:rPr>
                <w:rFonts w:hint="default" w:ascii="Times New Roman" w:hAnsi="Times New Roman" w:cs="Times New Roman"/>
                <w:color w:val="auto"/>
                <w:spacing w:val="-5"/>
                <w:sz w:val="21"/>
                <w:szCs w:val="21"/>
              </w:rPr>
              <w:t>）</w:t>
            </w:r>
            <w:r>
              <w:rPr>
                <w:rFonts w:hint="default" w:ascii="Times New Roman" w:hAnsi="Times New Roman" w:eastAsia="Times New Roman" w:cs="Times New Roman"/>
                <w:color w:val="auto"/>
                <w:spacing w:val="-5"/>
                <w:sz w:val="21"/>
                <w:szCs w:val="21"/>
              </w:rPr>
              <w:t>≥10.0MPa</w:t>
            </w:r>
            <w:r>
              <w:rPr>
                <w:rFonts w:hint="default" w:ascii="Times New Roman" w:hAnsi="Times New Roman" w:cs="Times New Roman"/>
                <w:color w:val="auto"/>
                <w:spacing w:val="-5"/>
                <w:sz w:val="21"/>
                <w:szCs w:val="21"/>
              </w:rPr>
              <w:t>；</w:t>
            </w:r>
          </w:p>
          <w:p w14:paraId="4BF47417">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firstLine="0" w:firstLineChars="0"/>
              <w:jc w:val="left"/>
              <w:textAlignment w:val="auto"/>
              <w:rPr>
                <w:rFonts w:hint="default" w:ascii="Times New Roman" w:hAnsi="Times New Roman" w:eastAsia="宋体" w:cs="Times New Roman"/>
                <w:color w:val="auto"/>
                <w:spacing w:val="-5"/>
                <w:sz w:val="21"/>
                <w:szCs w:val="21"/>
                <w:lang w:val="en-US" w:eastAsia="zh-CN"/>
              </w:rPr>
            </w:pPr>
            <w:r>
              <w:rPr>
                <w:rFonts w:hint="default" w:ascii="Times New Roman" w:hAnsi="Times New Roman" w:eastAsia="Times New Roman" w:cs="Times New Roman"/>
                <w:color w:val="auto"/>
                <w:sz w:val="21"/>
                <w:szCs w:val="21"/>
              </w:rPr>
              <w:t>b</w:t>
            </w:r>
            <w:r>
              <w:rPr>
                <w:rFonts w:hint="default" w:ascii="Times New Roman" w:hAnsi="Times New Roman" w:cs="Times New Roman"/>
                <w:color w:val="auto"/>
                <w:sz w:val="21"/>
                <w:szCs w:val="21"/>
              </w:rPr>
              <w:t>长输管道运输项目应按站场、管线分段进行评价。</w:t>
            </w:r>
          </w:p>
        </w:tc>
      </w:tr>
    </w:tbl>
    <w:p w14:paraId="6FA4893E">
      <w:pPr>
        <w:keepNext/>
        <w:keepLines/>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b w:val="0"/>
          <w:bCs/>
          <w:color w:val="auto"/>
          <w:kern w:val="2"/>
          <w:sz w:val="24"/>
          <w:szCs w:val="24"/>
          <w:highlight w:val="none"/>
          <w:lang w:val="en-US" w:eastAsia="zh-CN"/>
        </w:rPr>
      </w:pPr>
      <w:r>
        <w:rPr>
          <w:rFonts w:hint="default" w:ascii="Times New Roman" w:hAnsi="Times New Roman" w:cs="Times New Roman"/>
          <w:b w:val="0"/>
          <w:bCs/>
          <w:color w:val="auto"/>
          <w:kern w:val="2"/>
          <w:sz w:val="24"/>
          <w:szCs w:val="24"/>
          <w:highlight w:val="none"/>
          <w:lang w:val="en-US" w:eastAsia="zh-CN"/>
        </w:rPr>
        <w:t>根据上述分析，本项目行业及生产工艺 M=5，属于 M4。</w:t>
      </w:r>
    </w:p>
    <w:p w14:paraId="186E229C">
      <w:pPr>
        <w:adjustRightInd/>
        <w:snapToGrid/>
        <w:spacing w:line="360" w:lineRule="auto"/>
        <w:ind w:firstLine="480"/>
        <w:textAlignment w:val="auto"/>
        <w:rPr>
          <w:rFonts w:hint="default" w:ascii="Times New Roman" w:hAnsi="Times New Roman" w:cs="Times New Roman"/>
          <w:snapToGrid/>
          <w:color w:val="auto"/>
          <w:kern w:val="2"/>
          <w:sz w:val="24"/>
          <w:szCs w:val="24"/>
          <w:highlight w:val="none"/>
        </w:rPr>
      </w:pPr>
      <w:r>
        <w:rPr>
          <w:rFonts w:hint="default" w:ascii="Times New Roman" w:hAnsi="Times New Roman" w:cs="Times New Roman"/>
          <w:snapToGrid/>
          <w:color w:val="auto"/>
          <w:kern w:val="2"/>
          <w:sz w:val="24"/>
          <w:szCs w:val="24"/>
          <w:highlight w:val="none"/>
          <w:lang w:eastAsia="zh-CN"/>
        </w:rPr>
        <w:t>③</w:t>
      </w:r>
      <w:r>
        <w:rPr>
          <w:rFonts w:hint="default" w:ascii="Times New Roman" w:hAnsi="Times New Roman" w:cs="Times New Roman"/>
          <w:snapToGrid/>
          <w:color w:val="auto"/>
          <w:kern w:val="2"/>
          <w:sz w:val="24"/>
          <w:szCs w:val="24"/>
          <w:highlight w:val="none"/>
        </w:rPr>
        <w:t>P的确定</w:t>
      </w:r>
    </w:p>
    <w:p w14:paraId="35E23297">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表3-3  危险物质及工艺系统危害性等级判断（P）</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3"/>
        <w:gridCol w:w="1577"/>
        <w:gridCol w:w="1557"/>
        <w:gridCol w:w="1557"/>
        <w:gridCol w:w="1330"/>
      </w:tblGrid>
      <w:tr w14:paraId="541F9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64" w:type="pct"/>
            <w:vMerge w:val="restart"/>
            <w:noWrap w:val="0"/>
            <w:vAlign w:val="center"/>
          </w:tcPr>
          <w:p w14:paraId="602A5FE8">
            <w:pPr>
              <w:adjustRightInd/>
              <w:spacing w:line="240" w:lineRule="auto"/>
              <w:ind w:firstLine="0"/>
              <w:jc w:val="center"/>
              <w:textAlignment w:val="auto"/>
              <w:rPr>
                <w:rFonts w:hint="default" w:ascii="Times New Roman" w:hAnsi="Times New Roman" w:eastAsia="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危险物质数量与临界量的比值（</w:t>
            </w:r>
            <w:r>
              <w:rPr>
                <w:rFonts w:hint="default" w:ascii="Times New Roman" w:hAnsi="Times New Roman" w:eastAsia="Times New Roman" w:cs="Times New Roman"/>
                <w:b/>
                <w:bCs/>
                <w:snapToGrid/>
                <w:color w:val="auto"/>
                <w:kern w:val="2"/>
                <w:sz w:val="21"/>
                <w:szCs w:val="21"/>
              </w:rPr>
              <w:t>Q</w:t>
            </w:r>
            <w:r>
              <w:rPr>
                <w:rFonts w:hint="default" w:ascii="Times New Roman" w:hAnsi="Times New Roman" w:cs="Times New Roman"/>
                <w:b/>
                <w:bCs/>
                <w:snapToGrid/>
                <w:color w:val="auto"/>
                <w:kern w:val="2"/>
                <w:sz w:val="21"/>
                <w:szCs w:val="21"/>
              </w:rPr>
              <w:t>）</w:t>
            </w:r>
          </w:p>
        </w:tc>
        <w:tc>
          <w:tcPr>
            <w:tcW w:w="3535" w:type="pct"/>
            <w:gridSpan w:val="4"/>
            <w:noWrap w:val="0"/>
            <w:vAlign w:val="center"/>
          </w:tcPr>
          <w:p w14:paraId="1F433D9A">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行业及生产工艺（M）</w:t>
            </w:r>
          </w:p>
        </w:tc>
      </w:tr>
      <w:tr w14:paraId="0756C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64" w:type="pct"/>
            <w:vMerge w:val="continue"/>
            <w:noWrap w:val="0"/>
            <w:vAlign w:val="center"/>
          </w:tcPr>
          <w:p w14:paraId="216D337F">
            <w:pPr>
              <w:adjustRightInd/>
              <w:spacing w:line="240" w:lineRule="auto"/>
              <w:ind w:firstLine="0"/>
              <w:jc w:val="center"/>
              <w:textAlignment w:val="auto"/>
              <w:rPr>
                <w:rFonts w:hint="default" w:ascii="Times New Roman" w:hAnsi="Times New Roman" w:cs="Times New Roman"/>
                <w:snapToGrid/>
                <w:color w:val="auto"/>
                <w:kern w:val="2"/>
                <w:sz w:val="21"/>
                <w:szCs w:val="21"/>
              </w:rPr>
            </w:pPr>
          </w:p>
        </w:tc>
        <w:tc>
          <w:tcPr>
            <w:tcW w:w="926" w:type="pct"/>
            <w:noWrap w:val="0"/>
            <w:vAlign w:val="center"/>
          </w:tcPr>
          <w:p w14:paraId="38FD0F6C">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M1</w:t>
            </w:r>
          </w:p>
        </w:tc>
        <w:tc>
          <w:tcPr>
            <w:tcW w:w="914" w:type="pct"/>
            <w:noWrap w:val="0"/>
            <w:vAlign w:val="center"/>
          </w:tcPr>
          <w:p w14:paraId="6BA12786">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M2</w:t>
            </w:r>
          </w:p>
        </w:tc>
        <w:tc>
          <w:tcPr>
            <w:tcW w:w="914" w:type="pct"/>
            <w:noWrap w:val="0"/>
            <w:vAlign w:val="center"/>
          </w:tcPr>
          <w:p w14:paraId="444519F5">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M3</w:t>
            </w:r>
          </w:p>
        </w:tc>
        <w:tc>
          <w:tcPr>
            <w:tcW w:w="780" w:type="pct"/>
            <w:noWrap w:val="0"/>
            <w:vAlign w:val="center"/>
          </w:tcPr>
          <w:p w14:paraId="7DF369ED">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M4</w:t>
            </w:r>
          </w:p>
        </w:tc>
      </w:tr>
      <w:tr w14:paraId="2BA0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64" w:type="pct"/>
            <w:noWrap w:val="0"/>
            <w:vAlign w:val="center"/>
          </w:tcPr>
          <w:p w14:paraId="245745FF">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Q≥100</w:t>
            </w:r>
          </w:p>
        </w:tc>
        <w:tc>
          <w:tcPr>
            <w:tcW w:w="926" w:type="pct"/>
            <w:noWrap w:val="0"/>
            <w:vAlign w:val="center"/>
          </w:tcPr>
          <w:p w14:paraId="354561AD">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P1</w:t>
            </w:r>
          </w:p>
        </w:tc>
        <w:tc>
          <w:tcPr>
            <w:tcW w:w="914" w:type="pct"/>
            <w:noWrap w:val="0"/>
            <w:vAlign w:val="center"/>
          </w:tcPr>
          <w:p w14:paraId="535BF483">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P1</w:t>
            </w:r>
          </w:p>
        </w:tc>
        <w:tc>
          <w:tcPr>
            <w:tcW w:w="914" w:type="pct"/>
            <w:noWrap w:val="0"/>
            <w:vAlign w:val="center"/>
          </w:tcPr>
          <w:p w14:paraId="14EA48FA">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P2</w:t>
            </w:r>
          </w:p>
        </w:tc>
        <w:tc>
          <w:tcPr>
            <w:tcW w:w="780" w:type="pct"/>
            <w:noWrap w:val="0"/>
            <w:vAlign w:val="center"/>
          </w:tcPr>
          <w:p w14:paraId="653BA05D">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P3</w:t>
            </w:r>
          </w:p>
        </w:tc>
      </w:tr>
      <w:tr w14:paraId="38734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64" w:type="pct"/>
            <w:noWrap w:val="0"/>
            <w:vAlign w:val="center"/>
          </w:tcPr>
          <w:p w14:paraId="74E107A0">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10≤Q</w:t>
            </w:r>
            <w:r>
              <w:rPr>
                <w:rFonts w:hint="default" w:ascii="Times New Roman" w:hAnsi="Times New Roman" w:cs="Times New Roman"/>
                <w:snapToGrid/>
                <w:color w:val="auto"/>
                <w:kern w:val="2"/>
                <w:sz w:val="21"/>
                <w:szCs w:val="21"/>
                <w:lang w:eastAsia="zh-CN"/>
              </w:rPr>
              <w:t>&lt;</w:t>
            </w:r>
            <w:r>
              <w:rPr>
                <w:rFonts w:hint="default" w:ascii="Times New Roman" w:hAnsi="Times New Roman" w:cs="Times New Roman"/>
                <w:snapToGrid/>
                <w:color w:val="auto"/>
                <w:kern w:val="2"/>
                <w:sz w:val="21"/>
                <w:szCs w:val="21"/>
              </w:rPr>
              <w:t>100</w:t>
            </w:r>
          </w:p>
        </w:tc>
        <w:tc>
          <w:tcPr>
            <w:tcW w:w="926" w:type="pct"/>
            <w:noWrap w:val="0"/>
            <w:vAlign w:val="center"/>
          </w:tcPr>
          <w:p w14:paraId="08EB80EB">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P1</w:t>
            </w:r>
          </w:p>
        </w:tc>
        <w:tc>
          <w:tcPr>
            <w:tcW w:w="914" w:type="pct"/>
            <w:tcBorders>
              <w:bottom w:val="single" w:color="auto" w:sz="4" w:space="0"/>
            </w:tcBorders>
            <w:noWrap w:val="0"/>
            <w:vAlign w:val="center"/>
          </w:tcPr>
          <w:p w14:paraId="28237A16">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P2</w:t>
            </w:r>
          </w:p>
        </w:tc>
        <w:tc>
          <w:tcPr>
            <w:tcW w:w="914" w:type="pct"/>
            <w:tcBorders>
              <w:bottom w:val="single" w:color="auto" w:sz="4" w:space="0"/>
            </w:tcBorders>
            <w:noWrap w:val="0"/>
            <w:vAlign w:val="center"/>
          </w:tcPr>
          <w:p w14:paraId="56337390">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shd w:val="clear" w:color="auto" w:fill="auto"/>
              </w:rPr>
              <w:t>P3</w:t>
            </w:r>
          </w:p>
        </w:tc>
        <w:tc>
          <w:tcPr>
            <w:tcW w:w="780" w:type="pct"/>
            <w:noWrap w:val="0"/>
            <w:vAlign w:val="center"/>
          </w:tcPr>
          <w:p w14:paraId="254D079F">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shd w:val="clear" w:color="FFFFFF" w:fill="D9D9D9"/>
              </w:rPr>
              <w:t>P4</w:t>
            </w:r>
          </w:p>
        </w:tc>
      </w:tr>
      <w:tr w14:paraId="6CBC1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64" w:type="pct"/>
            <w:noWrap w:val="0"/>
            <w:vAlign w:val="center"/>
          </w:tcPr>
          <w:p w14:paraId="7ED19D4C">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1≤Q</w:t>
            </w:r>
            <w:r>
              <w:rPr>
                <w:rFonts w:hint="default" w:ascii="Times New Roman" w:hAnsi="Times New Roman" w:cs="Times New Roman"/>
                <w:snapToGrid/>
                <w:color w:val="auto"/>
                <w:kern w:val="2"/>
                <w:sz w:val="21"/>
                <w:szCs w:val="21"/>
                <w:lang w:eastAsia="zh-CN"/>
              </w:rPr>
              <w:t>&lt;</w:t>
            </w:r>
            <w:r>
              <w:rPr>
                <w:rFonts w:hint="default" w:ascii="Times New Roman" w:hAnsi="Times New Roman" w:cs="Times New Roman"/>
                <w:snapToGrid/>
                <w:color w:val="auto"/>
                <w:kern w:val="2"/>
                <w:sz w:val="21"/>
                <w:szCs w:val="21"/>
              </w:rPr>
              <w:t>10</w:t>
            </w:r>
          </w:p>
        </w:tc>
        <w:tc>
          <w:tcPr>
            <w:tcW w:w="926" w:type="pct"/>
            <w:noWrap w:val="0"/>
            <w:vAlign w:val="center"/>
          </w:tcPr>
          <w:p w14:paraId="2980FEE3">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P2</w:t>
            </w:r>
          </w:p>
        </w:tc>
        <w:tc>
          <w:tcPr>
            <w:tcW w:w="914" w:type="pct"/>
            <w:noWrap w:val="0"/>
            <w:vAlign w:val="center"/>
          </w:tcPr>
          <w:p w14:paraId="595B3F63">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highlight w:val="none"/>
                <w:shd w:val="clear" w:color="auto" w:fill="auto"/>
              </w:rPr>
              <w:t>P3</w:t>
            </w:r>
          </w:p>
        </w:tc>
        <w:tc>
          <w:tcPr>
            <w:tcW w:w="914" w:type="pct"/>
            <w:noWrap w:val="0"/>
            <w:vAlign w:val="center"/>
          </w:tcPr>
          <w:p w14:paraId="6168D1AD">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shd w:val="clear" w:color="auto" w:fill="auto"/>
              </w:rPr>
              <w:t>P4</w:t>
            </w:r>
          </w:p>
        </w:tc>
        <w:tc>
          <w:tcPr>
            <w:tcW w:w="780" w:type="pct"/>
            <w:noWrap w:val="0"/>
            <w:vAlign w:val="center"/>
          </w:tcPr>
          <w:p w14:paraId="1E8C5CF5">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highlight w:val="none"/>
              </w:rPr>
              <w:t>P4</w:t>
            </w:r>
          </w:p>
        </w:tc>
      </w:tr>
    </w:tbl>
    <w:p w14:paraId="3C5A6528">
      <w:pPr>
        <w:adjustRightInd/>
        <w:snapToGrid/>
        <w:spacing w:line="360" w:lineRule="auto"/>
        <w:ind w:firstLine="480"/>
        <w:textAlignment w:val="auto"/>
        <w:rPr>
          <w:rFonts w:hint="default" w:ascii="Times New Roman" w:hAnsi="Times New Roman" w:eastAsia="Times New Roman" w:cs="Times New Roman"/>
          <w:snapToGrid/>
          <w:color w:val="auto"/>
          <w:kern w:val="2"/>
          <w:sz w:val="24"/>
          <w:szCs w:val="24"/>
        </w:rPr>
      </w:pPr>
      <w:r>
        <w:rPr>
          <w:rFonts w:hint="default" w:ascii="Times New Roman" w:hAnsi="Times New Roman" w:cs="Times New Roman"/>
          <w:snapToGrid/>
          <w:color w:val="auto"/>
          <w:kern w:val="2"/>
          <w:sz w:val="24"/>
          <w:szCs w:val="24"/>
        </w:rPr>
        <w:t>根据《建设项目环境风险评价技术导则》（</w:t>
      </w:r>
      <w:r>
        <w:rPr>
          <w:rFonts w:hint="default" w:ascii="Times New Roman" w:hAnsi="Times New Roman" w:eastAsia="Times New Roman" w:cs="Times New Roman"/>
          <w:snapToGrid/>
          <w:color w:val="auto"/>
          <w:kern w:val="2"/>
          <w:sz w:val="24"/>
          <w:szCs w:val="24"/>
        </w:rPr>
        <w:t>HJ</w:t>
      </w:r>
      <w:r>
        <w:rPr>
          <w:rFonts w:hint="default" w:ascii="Times New Roman" w:hAnsi="Times New Roman" w:cs="Times New Roman"/>
          <w:snapToGrid/>
          <w:color w:val="auto"/>
          <w:kern w:val="2"/>
          <w:sz w:val="24"/>
          <w:szCs w:val="24"/>
        </w:rPr>
        <w:t xml:space="preserve"> </w:t>
      </w:r>
      <w:r>
        <w:rPr>
          <w:rFonts w:hint="default" w:ascii="Times New Roman" w:hAnsi="Times New Roman" w:eastAsia="Times New Roman" w:cs="Times New Roman"/>
          <w:snapToGrid/>
          <w:color w:val="auto"/>
          <w:kern w:val="2"/>
          <w:sz w:val="24"/>
          <w:szCs w:val="24"/>
        </w:rPr>
        <w:t>169</w:t>
      </w:r>
      <w:r>
        <w:rPr>
          <w:rFonts w:hint="default" w:ascii="Times New Roman" w:hAnsi="Times New Roman" w:cs="Times New Roman"/>
          <w:snapToGrid/>
          <w:color w:val="auto"/>
          <w:kern w:val="2"/>
          <w:sz w:val="24"/>
          <w:szCs w:val="24"/>
        </w:rPr>
        <w:t>－</w:t>
      </w:r>
      <w:r>
        <w:rPr>
          <w:rFonts w:hint="default" w:ascii="Times New Roman" w:hAnsi="Times New Roman" w:eastAsia="Times New Roman" w:cs="Times New Roman"/>
          <w:snapToGrid/>
          <w:color w:val="auto"/>
          <w:kern w:val="2"/>
          <w:sz w:val="24"/>
          <w:szCs w:val="24"/>
        </w:rPr>
        <w:t>2018</w:t>
      </w:r>
      <w:r>
        <w:rPr>
          <w:rFonts w:hint="default" w:ascii="Times New Roman" w:hAnsi="Times New Roman" w:cs="Times New Roman"/>
          <w:snapToGrid/>
          <w:color w:val="auto"/>
          <w:kern w:val="2"/>
          <w:sz w:val="24"/>
          <w:szCs w:val="24"/>
        </w:rPr>
        <w:t>）附录</w:t>
      </w:r>
      <w:r>
        <w:rPr>
          <w:rFonts w:hint="default" w:ascii="Times New Roman" w:hAnsi="Times New Roman" w:eastAsia="Times New Roman" w:cs="Times New Roman"/>
          <w:snapToGrid/>
          <w:color w:val="auto"/>
          <w:kern w:val="2"/>
          <w:sz w:val="24"/>
          <w:szCs w:val="24"/>
        </w:rPr>
        <w:t>C</w:t>
      </w:r>
      <w:r>
        <w:rPr>
          <w:rFonts w:hint="default" w:ascii="Times New Roman" w:hAnsi="Times New Roman" w:cs="Times New Roman"/>
          <w:snapToGrid/>
          <w:color w:val="auto"/>
          <w:kern w:val="2"/>
          <w:sz w:val="24"/>
          <w:szCs w:val="24"/>
        </w:rPr>
        <w:t>中</w:t>
      </w:r>
      <w:r>
        <w:rPr>
          <w:rFonts w:hint="default" w:ascii="Times New Roman" w:hAnsi="Times New Roman" w:eastAsia="Times New Roman" w:cs="Times New Roman"/>
          <w:snapToGrid/>
          <w:color w:val="auto"/>
          <w:kern w:val="2"/>
          <w:sz w:val="24"/>
          <w:szCs w:val="24"/>
        </w:rPr>
        <w:t>P</w:t>
      </w:r>
      <w:r>
        <w:rPr>
          <w:rFonts w:hint="default" w:ascii="Times New Roman" w:hAnsi="Times New Roman" w:cs="Times New Roman"/>
          <w:snapToGrid/>
          <w:color w:val="auto"/>
          <w:kern w:val="2"/>
          <w:sz w:val="24"/>
          <w:szCs w:val="24"/>
        </w:rPr>
        <w:t>的确定依据，项目危险物质及工艺系统危害性（</w:t>
      </w:r>
      <w:r>
        <w:rPr>
          <w:rFonts w:hint="default" w:ascii="Times New Roman" w:hAnsi="Times New Roman" w:eastAsia="Times New Roman" w:cs="Times New Roman"/>
          <w:snapToGrid/>
          <w:color w:val="auto"/>
          <w:kern w:val="2"/>
          <w:sz w:val="24"/>
          <w:szCs w:val="24"/>
        </w:rPr>
        <w:t>P</w:t>
      </w:r>
      <w:r>
        <w:rPr>
          <w:rFonts w:hint="default" w:ascii="Times New Roman" w:hAnsi="Times New Roman" w:cs="Times New Roman"/>
          <w:snapToGrid/>
          <w:color w:val="auto"/>
          <w:kern w:val="2"/>
          <w:sz w:val="24"/>
          <w:szCs w:val="24"/>
        </w:rPr>
        <w:t>）的等级为</w:t>
      </w:r>
      <w:r>
        <w:rPr>
          <w:rFonts w:hint="default" w:ascii="Times New Roman" w:hAnsi="Times New Roman" w:eastAsia="Times New Roman" w:cs="Times New Roman"/>
          <w:snapToGrid/>
          <w:color w:val="auto"/>
          <w:kern w:val="2"/>
          <w:sz w:val="24"/>
          <w:szCs w:val="24"/>
        </w:rPr>
        <w:t>P</w:t>
      </w:r>
      <w:r>
        <w:rPr>
          <w:rFonts w:hint="default" w:ascii="Times New Roman" w:hAnsi="Times New Roman" w:cs="Times New Roman"/>
          <w:snapToGrid/>
          <w:color w:val="auto"/>
          <w:kern w:val="2"/>
          <w:sz w:val="24"/>
          <w:szCs w:val="24"/>
          <w:lang w:val="en-US" w:eastAsia="zh-CN"/>
        </w:rPr>
        <w:t>4</w:t>
      </w:r>
      <w:r>
        <w:rPr>
          <w:rFonts w:hint="default" w:ascii="Times New Roman" w:hAnsi="Times New Roman" w:cs="Times New Roman"/>
          <w:snapToGrid/>
          <w:color w:val="auto"/>
          <w:kern w:val="2"/>
          <w:sz w:val="24"/>
          <w:szCs w:val="24"/>
        </w:rPr>
        <w:t>。</w:t>
      </w:r>
    </w:p>
    <w:p w14:paraId="29FE1D98">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rPr>
      </w:pPr>
      <w:r>
        <w:rPr>
          <w:rFonts w:hint="default" w:ascii="Times New Roman" w:hAnsi="Times New Roman" w:eastAsia="宋体" w:cs="Times New Roman"/>
          <w:b/>
          <w:bCs/>
          <w:color w:val="auto"/>
          <w:kern w:val="0"/>
          <w:sz w:val="24"/>
          <w:szCs w:val="24"/>
          <w:lang w:val="en-US" w:eastAsia="zh-CN" w:bidi="ar"/>
        </w:rPr>
        <w:t>（2）环境敏感程度（E）的分级确定</w:t>
      </w:r>
    </w:p>
    <w:p w14:paraId="1AFC9054">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①大气环境</w:t>
      </w:r>
    </w:p>
    <w:p w14:paraId="05C18B5D">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依据环境敏感目标、环境敏感性及人口密度划分环境风险受体的敏感性，共分为三种类型，E1为环境高度敏感区，E2为环境中度敏感区，E3为环境低度敏感区，分级原则见下表。</w:t>
      </w:r>
    </w:p>
    <w:p w14:paraId="4F73D3E1">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表3-4  大气环境敏感程度分级表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7593"/>
      </w:tblGrid>
      <w:tr w14:paraId="6ED03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1" w:type="pct"/>
            <w:noWrap w:val="0"/>
            <w:vAlign w:val="center"/>
          </w:tcPr>
          <w:p w14:paraId="2A9D27E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分级</w:t>
            </w:r>
          </w:p>
        </w:tc>
        <w:tc>
          <w:tcPr>
            <w:tcW w:w="4458" w:type="pct"/>
            <w:noWrap w:val="0"/>
            <w:vAlign w:val="center"/>
          </w:tcPr>
          <w:p w14:paraId="59B09D6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大气环境敏感性</w:t>
            </w:r>
          </w:p>
        </w:tc>
      </w:tr>
      <w:tr w14:paraId="17F00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1" w:type="pct"/>
            <w:noWrap w:val="0"/>
            <w:vAlign w:val="center"/>
          </w:tcPr>
          <w:p w14:paraId="4C7BD6DB">
            <w:pPr>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w:t>
            </w:r>
          </w:p>
        </w:tc>
        <w:tc>
          <w:tcPr>
            <w:tcW w:w="4458" w:type="pct"/>
            <w:noWrap w:val="0"/>
            <w:vAlign w:val="center"/>
          </w:tcPr>
          <w:p w14:paraId="399C6C7D">
            <w:pPr>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410F0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1" w:type="pct"/>
            <w:noWrap w:val="0"/>
            <w:vAlign w:val="center"/>
          </w:tcPr>
          <w:p w14:paraId="3EB3EFE3">
            <w:pPr>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E2</w:t>
            </w:r>
          </w:p>
        </w:tc>
        <w:tc>
          <w:tcPr>
            <w:tcW w:w="4458" w:type="pct"/>
            <w:noWrap w:val="0"/>
            <w:vAlign w:val="center"/>
          </w:tcPr>
          <w:p w14:paraId="0E2913CE">
            <w:pPr>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31CA4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1" w:type="pct"/>
            <w:noWrap w:val="0"/>
            <w:vAlign w:val="center"/>
          </w:tcPr>
          <w:p w14:paraId="66E35A9E">
            <w:pPr>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E3</w:t>
            </w:r>
          </w:p>
        </w:tc>
        <w:tc>
          <w:tcPr>
            <w:tcW w:w="4458" w:type="pct"/>
            <w:noWrap w:val="0"/>
            <w:vAlign w:val="center"/>
          </w:tcPr>
          <w:p w14:paraId="04393C3F">
            <w:pPr>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周边5km范围内居住区、医疗卫生、文化教育、科研、行政办公等机构人口总数小于1万人；或周边500m范围内人口总数小于500人；油气、化学品输送管线管段周边200m范围内，每千米管段人口数小于100人</w:t>
            </w:r>
          </w:p>
        </w:tc>
      </w:tr>
    </w:tbl>
    <w:p w14:paraId="708015D6">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lang w:val="en-US" w:eastAsia="zh-CN"/>
        </w:rPr>
        <w:t>根据调查，周边5km范围内</w:t>
      </w:r>
      <w:r>
        <w:rPr>
          <w:rFonts w:hint="default" w:ascii="Times New Roman" w:hAnsi="Times New Roman" w:cs="Times New Roman"/>
          <w:color w:val="auto"/>
          <w:sz w:val="24"/>
          <w:szCs w:val="24"/>
        </w:rPr>
        <w:t>居住区、医疗卫生、文化教育、科研、行政办公等机构</w:t>
      </w:r>
      <w:r>
        <w:rPr>
          <w:rFonts w:hint="default" w:ascii="Times New Roman" w:hAnsi="Times New Roman" w:cs="Times New Roman"/>
          <w:snapToGrid/>
          <w:color w:val="auto"/>
          <w:kern w:val="2"/>
          <w:sz w:val="24"/>
          <w:szCs w:val="24"/>
          <w:lang w:val="en-US" w:eastAsia="zh-CN"/>
        </w:rPr>
        <w:t>人口总数</w:t>
      </w:r>
      <w:r>
        <w:rPr>
          <w:rFonts w:hint="eastAsia" w:cs="Times New Roman"/>
          <w:snapToGrid/>
          <w:color w:val="auto"/>
          <w:kern w:val="2"/>
          <w:sz w:val="24"/>
          <w:szCs w:val="24"/>
          <w:lang w:val="en-US" w:eastAsia="zh-CN"/>
        </w:rPr>
        <w:t>为50175人，</w:t>
      </w:r>
      <w:r>
        <w:rPr>
          <w:rFonts w:hint="default" w:ascii="Times New Roman" w:hAnsi="Times New Roman" w:cs="Times New Roman"/>
          <w:snapToGrid/>
          <w:color w:val="auto"/>
          <w:kern w:val="2"/>
          <w:sz w:val="24"/>
          <w:szCs w:val="24"/>
          <w:lang w:val="en-US" w:eastAsia="zh-CN"/>
        </w:rPr>
        <w:t>大于5</w:t>
      </w:r>
      <w:r>
        <w:rPr>
          <w:rFonts w:hint="default" w:ascii="Times New Roman" w:hAnsi="Times New Roman" w:cs="Times New Roman"/>
          <w:snapToGrid/>
          <w:color w:val="auto"/>
          <w:kern w:val="2"/>
          <w:sz w:val="24"/>
          <w:szCs w:val="24"/>
        </w:rPr>
        <w:t>万人</w:t>
      </w:r>
      <w:r>
        <w:rPr>
          <w:rFonts w:hint="default" w:ascii="Times New Roman" w:hAnsi="Times New Roman" w:cs="Times New Roman"/>
          <w:snapToGrid/>
          <w:color w:val="auto"/>
          <w:kern w:val="2"/>
          <w:sz w:val="24"/>
          <w:szCs w:val="24"/>
          <w:lang w:eastAsia="zh-CN"/>
        </w:rPr>
        <w:t>，</w:t>
      </w:r>
      <w:r>
        <w:rPr>
          <w:rFonts w:hint="default" w:ascii="Times New Roman" w:hAnsi="Times New Roman" w:cs="Times New Roman"/>
          <w:snapToGrid/>
          <w:color w:val="auto"/>
          <w:kern w:val="2"/>
          <w:sz w:val="24"/>
          <w:szCs w:val="24"/>
        </w:rPr>
        <w:t>故本项目大气环境敏感程度为E</w:t>
      </w:r>
      <w:r>
        <w:rPr>
          <w:rFonts w:hint="default" w:ascii="Times New Roman" w:hAnsi="Times New Roman" w:cs="Times New Roman"/>
          <w:snapToGrid/>
          <w:color w:val="auto"/>
          <w:kern w:val="2"/>
          <w:sz w:val="24"/>
          <w:szCs w:val="24"/>
          <w:lang w:val="en-US" w:eastAsia="zh-CN"/>
        </w:rPr>
        <w:t>1</w:t>
      </w:r>
      <w:r>
        <w:rPr>
          <w:rFonts w:hint="default" w:ascii="Times New Roman" w:hAnsi="Times New Roman" w:cs="Times New Roman"/>
          <w:snapToGrid/>
          <w:color w:val="auto"/>
          <w:kern w:val="2"/>
          <w:sz w:val="24"/>
          <w:szCs w:val="24"/>
        </w:rPr>
        <w:t>。</w:t>
      </w:r>
    </w:p>
    <w:p w14:paraId="2F37ED2F">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②地表水环境</w:t>
      </w:r>
    </w:p>
    <w:p w14:paraId="7F2C1008">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依据事故情况下危险物质泄漏到水体的排放点受纳地表水体功能敏感性，与下游环境敏感目标情况，共分为三种类型，E1为环境高度敏感区，E2为环境中度敏感区，E3为环境低度敏感区，分级原则见表</w:t>
      </w:r>
      <w:r>
        <w:rPr>
          <w:rFonts w:hint="default" w:ascii="Times New Roman" w:hAnsi="Times New Roman" w:cs="Times New Roman"/>
          <w:snapToGrid/>
          <w:color w:val="auto"/>
          <w:kern w:val="2"/>
          <w:sz w:val="24"/>
          <w:szCs w:val="24"/>
          <w:lang w:val="en-US" w:eastAsia="zh-CN"/>
        </w:rPr>
        <w:t>3-5</w:t>
      </w:r>
      <w:r>
        <w:rPr>
          <w:rFonts w:hint="default" w:ascii="Times New Roman" w:hAnsi="Times New Roman" w:cs="Times New Roman"/>
          <w:snapToGrid/>
          <w:color w:val="auto"/>
          <w:kern w:val="2"/>
          <w:sz w:val="24"/>
          <w:szCs w:val="24"/>
        </w:rPr>
        <w:t>。其中地表水功能敏感性分区和环境敏感目标分级分别见表</w:t>
      </w:r>
      <w:r>
        <w:rPr>
          <w:rFonts w:hint="default" w:ascii="Times New Roman" w:hAnsi="Times New Roman" w:cs="Times New Roman"/>
          <w:snapToGrid/>
          <w:color w:val="auto"/>
          <w:kern w:val="2"/>
          <w:sz w:val="24"/>
          <w:szCs w:val="24"/>
          <w:lang w:val="en-US" w:eastAsia="zh-CN"/>
        </w:rPr>
        <w:t>3-6</w:t>
      </w:r>
      <w:r>
        <w:rPr>
          <w:rFonts w:hint="default" w:ascii="Times New Roman" w:hAnsi="Times New Roman" w:cs="Times New Roman"/>
          <w:snapToGrid/>
          <w:color w:val="auto"/>
          <w:kern w:val="2"/>
          <w:sz w:val="24"/>
          <w:szCs w:val="24"/>
        </w:rPr>
        <w:t>和表</w:t>
      </w:r>
      <w:r>
        <w:rPr>
          <w:rFonts w:hint="default" w:ascii="Times New Roman" w:hAnsi="Times New Roman" w:cs="Times New Roman"/>
          <w:snapToGrid/>
          <w:color w:val="auto"/>
          <w:kern w:val="2"/>
          <w:sz w:val="24"/>
          <w:szCs w:val="24"/>
          <w:lang w:val="en-US" w:eastAsia="zh-CN"/>
        </w:rPr>
        <w:t>3-7</w:t>
      </w:r>
      <w:r>
        <w:rPr>
          <w:rFonts w:hint="default" w:ascii="Times New Roman" w:hAnsi="Times New Roman" w:cs="Times New Roman"/>
          <w:snapToGrid/>
          <w:color w:val="auto"/>
          <w:kern w:val="2"/>
          <w:sz w:val="24"/>
          <w:szCs w:val="24"/>
        </w:rPr>
        <w:t>。</w:t>
      </w:r>
    </w:p>
    <w:p w14:paraId="186AB5AF">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表3-5  地表水环境敏感程度分级表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9"/>
        <w:gridCol w:w="1988"/>
        <w:gridCol w:w="1988"/>
        <w:gridCol w:w="1989"/>
      </w:tblGrid>
      <w:tr w14:paraId="3CFBD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vMerge w:val="restart"/>
            <w:noWrap w:val="0"/>
            <w:vAlign w:val="center"/>
          </w:tcPr>
          <w:p w14:paraId="19BA7807">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环境敏感目标</w:t>
            </w:r>
          </w:p>
        </w:tc>
        <w:tc>
          <w:tcPr>
            <w:tcW w:w="3502" w:type="pct"/>
            <w:gridSpan w:val="3"/>
            <w:noWrap w:val="0"/>
            <w:vAlign w:val="center"/>
          </w:tcPr>
          <w:p w14:paraId="71AA048B">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地表水功能敏感性</w:t>
            </w:r>
          </w:p>
        </w:tc>
      </w:tr>
      <w:tr w14:paraId="5A2F0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vMerge w:val="continue"/>
            <w:noWrap w:val="0"/>
            <w:vAlign w:val="center"/>
          </w:tcPr>
          <w:p w14:paraId="31291D18">
            <w:pPr>
              <w:jc w:val="center"/>
              <w:rPr>
                <w:rFonts w:hint="default" w:ascii="Times New Roman" w:hAnsi="Times New Roman" w:cs="Times New Roman"/>
                <w:color w:val="auto"/>
                <w:sz w:val="21"/>
                <w:szCs w:val="21"/>
              </w:rPr>
            </w:pPr>
          </w:p>
        </w:tc>
        <w:tc>
          <w:tcPr>
            <w:tcW w:w="1167" w:type="pct"/>
            <w:noWrap w:val="0"/>
            <w:vAlign w:val="center"/>
          </w:tcPr>
          <w:p w14:paraId="16C8A81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F1</w:t>
            </w:r>
          </w:p>
        </w:tc>
        <w:tc>
          <w:tcPr>
            <w:tcW w:w="1167" w:type="pct"/>
            <w:noWrap w:val="0"/>
            <w:vAlign w:val="center"/>
          </w:tcPr>
          <w:p w14:paraId="353AA130">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F2</w:t>
            </w:r>
          </w:p>
        </w:tc>
        <w:tc>
          <w:tcPr>
            <w:tcW w:w="1168" w:type="pct"/>
            <w:noWrap w:val="0"/>
            <w:vAlign w:val="center"/>
          </w:tcPr>
          <w:p w14:paraId="6BDE8CF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F3</w:t>
            </w:r>
          </w:p>
        </w:tc>
      </w:tr>
      <w:tr w14:paraId="59ABF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noWrap w:val="0"/>
            <w:vAlign w:val="center"/>
          </w:tcPr>
          <w:p w14:paraId="1C1F6F96">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S1</w:t>
            </w:r>
          </w:p>
        </w:tc>
        <w:tc>
          <w:tcPr>
            <w:tcW w:w="1167" w:type="pct"/>
            <w:noWrap w:val="0"/>
            <w:vAlign w:val="center"/>
          </w:tcPr>
          <w:p w14:paraId="22F1DAB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w:t>
            </w:r>
          </w:p>
        </w:tc>
        <w:tc>
          <w:tcPr>
            <w:tcW w:w="1167" w:type="pct"/>
            <w:noWrap w:val="0"/>
            <w:vAlign w:val="center"/>
          </w:tcPr>
          <w:p w14:paraId="42CF2796">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w:t>
            </w:r>
          </w:p>
        </w:tc>
        <w:tc>
          <w:tcPr>
            <w:tcW w:w="1168" w:type="pct"/>
            <w:noWrap w:val="0"/>
            <w:vAlign w:val="center"/>
          </w:tcPr>
          <w:p w14:paraId="1A4CEA1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E2</w:t>
            </w:r>
          </w:p>
        </w:tc>
      </w:tr>
      <w:tr w14:paraId="7EF7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noWrap w:val="0"/>
            <w:vAlign w:val="center"/>
          </w:tcPr>
          <w:p w14:paraId="497D081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S2</w:t>
            </w:r>
          </w:p>
        </w:tc>
        <w:tc>
          <w:tcPr>
            <w:tcW w:w="1167" w:type="pct"/>
            <w:noWrap w:val="0"/>
            <w:vAlign w:val="center"/>
          </w:tcPr>
          <w:p w14:paraId="21E43ED9">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w:t>
            </w:r>
          </w:p>
        </w:tc>
        <w:tc>
          <w:tcPr>
            <w:tcW w:w="1167" w:type="pct"/>
            <w:noWrap w:val="0"/>
            <w:vAlign w:val="center"/>
          </w:tcPr>
          <w:p w14:paraId="4232FC3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E2</w:t>
            </w:r>
          </w:p>
        </w:tc>
        <w:tc>
          <w:tcPr>
            <w:tcW w:w="1168" w:type="pct"/>
            <w:noWrap w:val="0"/>
            <w:vAlign w:val="center"/>
          </w:tcPr>
          <w:p w14:paraId="5FC066F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E3</w:t>
            </w:r>
          </w:p>
        </w:tc>
      </w:tr>
      <w:tr w14:paraId="020EC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noWrap w:val="0"/>
            <w:vAlign w:val="center"/>
          </w:tcPr>
          <w:p w14:paraId="4EFFAD6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S3</w:t>
            </w:r>
          </w:p>
        </w:tc>
        <w:tc>
          <w:tcPr>
            <w:tcW w:w="1167" w:type="pct"/>
            <w:noWrap w:val="0"/>
            <w:vAlign w:val="center"/>
          </w:tcPr>
          <w:p w14:paraId="728D410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w:t>
            </w:r>
          </w:p>
        </w:tc>
        <w:tc>
          <w:tcPr>
            <w:tcW w:w="1167" w:type="pct"/>
            <w:noWrap w:val="0"/>
            <w:vAlign w:val="center"/>
          </w:tcPr>
          <w:p w14:paraId="338C849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shd w:val="clear" w:color="FFFFFF" w:fill="D9D9D9"/>
              </w:rPr>
              <w:t>E2</w:t>
            </w:r>
          </w:p>
        </w:tc>
        <w:tc>
          <w:tcPr>
            <w:tcW w:w="1168" w:type="pct"/>
            <w:noWrap w:val="0"/>
            <w:vAlign w:val="center"/>
          </w:tcPr>
          <w:p w14:paraId="7A246EE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shd w:val="clear" w:color="auto" w:fill="auto"/>
              </w:rPr>
              <w:t>E3</w:t>
            </w:r>
          </w:p>
        </w:tc>
      </w:tr>
    </w:tbl>
    <w:p w14:paraId="2265CE02">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p>
    <w:p w14:paraId="07EC89DC">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表3-6  地表水功能敏感性分区表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0"/>
        <w:gridCol w:w="7004"/>
      </w:tblGrid>
      <w:tr w14:paraId="13061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87" w:type="pct"/>
            <w:noWrap w:val="0"/>
            <w:vAlign w:val="center"/>
          </w:tcPr>
          <w:p w14:paraId="68B2712D">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敏感性</w:t>
            </w:r>
          </w:p>
        </w:tc>
        <w:tc>
          <w:tcPr>
            <w:tcW w:w="4112" w:type="pct"/>
            <w:noWrap w:val="0"/>
            <w:vAlign w:val="center"/>
          </w:tcPr>
          <w:p w14:paraId="58B0F55B">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地表水环境敏感特征</w:t>
            </w:r>
          </w:p>
        </w:tc>
      </w:tr>
      <w:tr w14:paraId="1A677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87" w:type="pct"/>
            <w:noWrap w:val="0"/>
            <w:vAlign w:val="center"/>
          </w:tcPr>
          <w:p w14:paraId="2D5EE797">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敏感F1</w:t>
            </w:r>
          </w:p>
        </w:tc>
        <w:tc>
          <w:tcPr>
            <w:tcW w:w="4112" w:type="pct"/>
            <w:noWrap w:val="0"/>
            <w:vAlign w:val="center"/>
          </w:tcPr>
          <w:p w14:paraId="47F1D69B">
            <w:pPr>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排放点进入地表水水域环境功能为Ⅱ类及以上，或海水水质分类第一类；或以发生事故时，危险物质泄漏到水体的排放点算起，排放进入受纳河流最大流速时，24h流经范围内涉跨国界的</w:t>
            </w:r>
          </w:p>
        </w:tc>
      </w:tr>
      <w:tr w14:paraId="32D87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87" w:type="pct"/>
            <w:noWrap w:val="0"/>
            <w:vAlign w:val="center"/>
          </w:tcPr>
          <w:p w14:paraId="5D32ED6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较敏感F2</w:t>
            </w:r>
          </w:p>
        </w:tc>
        <w:tc>
          <w:tcPr>
            <w:tcW w:w="4112" w:type="pct"/>
            <w:noWrap w:val="0"/>
            <w:vAlign w:val="center"/>
          </w:tcPr>
          <w:p w14:paraId="3B62F715">
            <w:pPr>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排放点进入地表水水域环境功能为Ⅲ类，或海水水质分</w:t>
            </w:r>
            <w:r>
              <w:rPr>
                <w:rFonts w:hint="eastAsia" w:cs="Times New Roman"/>
                <w:color w:val="auto"/>
                <w:sz w:val="21"/>
                <w:szCs w:val="21"/>
                <w:lang w:eastAsia="zh-CN"/>
              </w:rPr>
              <w:t>类为</w:t>
            </w:r>
            <w:r>
              <w:rPr>
                <w:rFonts w:hint="default" w:ascii="Times New Roman" w:hAnsi="Times New Roman" w:cs="Times New Roman"/>
                <w:color w:val="auto"/>
                <w:sz w:val="21"/>
                <w:szCs w:val="21"/>
              </w:rPr>
              <w:t>第二类；或以发生事故时，危险物质泄漏到水体的排放点算起，排放进入受纳河流最大流速时，24h流经范围内涉跨省界的</w:t>
            </w:r>
          </w:p>
        </w:tc>
      </w:tr>
      <w:tr w14:paraId="58265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87" w:type="pct"/>
            <w:noWrap w:val="0"/>
            <w:vAlign w:val="center"/>
          </w:tcPr>
          <w:p w14:paraId="6289545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低敏感F3</w:t>
            </w:r>
          </w:p>
        </w:tc>
        <w:tc>
          <w:tcPr>
            <w:tcW w:w="4112" w:type="pct"/>
            <w:noWrap w:val="0"/>
            <w:vAlign w:val="center"/>
          </w:tcPr>
          <w:p w14:paraId="76F4B201">
            <w:pP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上述地区之外的其他地区</w:t>
            </w:r>
          </w:p>
        </w:tc>
      </w:tr>
    </w:tbl>
    <w:p w14:paraId="0CD536C4">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p>
    <w:p w14:paraId="5EE9EC2F">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表3-7  环境敏感目标分级表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5"/>
        <w:gridCol w:w="7889"/>
      </w:tblGrid>
      <w:tr w14:paraId="1D9CC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67" w:type="pct"/>
            <w:noWrap w:val="0"/>
            <w:vAlign w:val="center"/>
          </w:tcPr>
          <w:p w14:paraId="2B635676">
            <w:pPr>
              <w:spacing w:line="240" w:lineRule="auto"/>
              <w:ind w:firstLine="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分级</w:t>
            </w:r>
          </w:p>
        </w:tc>
        <w:tc>
          <w:tcPr>
            <w:tcW w:w="4632" w:type="pct"/>
            <w:noWrap w:val="0"/>
            <w:vAlign w:val="center"/>
          </w:tcPr>
          <w:p w14:paraId="5F4BFB14">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地表水环境敏感特征</w:t>
            </w:r>
          </w:p>
        </w:tc>
      </w:tr>
      <w:tr w14:paraId="1778C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67" w:type="pct"/>
            <w:noWrap w:val="0"/>
            <w:vAlign w:val="center"/>
          </w:tcPr>
          <w:p w14:paraId="2BFB8684">
            <w:pPr>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S1</w:t>
            </w:r>
          </w:p>
        </w:tc>
        <w:tc>
          <w:tcPr>
            <w:tcW w:w="4632" w:type="pct"/>
            <w:noWrap w:val="0"/>
            <w:vAlign w:val="center"/>
          </w:tcPr>
          <w:p w14:paraId="5452E699">
            <w:pPr>
              <w:spacing w:line="240" w:lineRule="auto"/>
              <w:rPr>
                <w:rFonts w:hint="default" w:ascii="Times New Roman" w:hAnsi="Times New Roman" w:cs="Times New Roman"/>
                <w:color w:val="auto"/>
                <w:sz w:val="21"/>
                <w:szCs w:val="21"/>
              </w:rPr>
            </w:pPr>
            <w:bookmarkStart w:id="480" w:name="OLE_LINK105"/>
            <w:r>
              <w:rPr>
                <w:rFonts w:hint="default" w:ascii="Times New Roman" w:hAnsi="Times New Roman" w:cs="Times New Roman"/>
                <w:color w:val="auto"/>
                <w:sz w:val="21"/>
                <w:szCs w:val="21"/>
              </w:rPr>
              <w:t>发生事故时，</w:t>
            </w:r>
            <w:r>
              <w:rPr>
                <w:rFonts w:hint="default" w:ascii="Times New Roman" w:hAnsi="Times New Roman" w:cs="Times New Roman"/>
                <w:color w:val="auto"/>
                <w:sz w:val="21"/>
                <w:szCs w:val="21"/>
                <w:highlight w:val="none"/>
              </w:rPr>
              <w:t>危险物质泄漏到内陆水体的排放点</w:t>
            </w:r>
            <w:bookmarkEnd w:id="480"/>
            <w:r>
              <w:rPr>
                <w:rFonts w:hint="default" w:ascii="Times New Roman" w:hAnsi="Times New Roman" w:cs="Times New Roman"/>
                <w:color w:val="auto"/>
                <w:sz w:val="21"/>
                <w:szCs w:val="21"/>
                <w:highlight w:val="none"/>
              </w:rPr>
              <w:t>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w:t>
            </w:r>
            <w:r>
              <w:rPr>
                <w:rFonts w:hint="default" w:ascii="Times New Roman" w:hAnsi="Times New Roman" w:cs="Times New Roman"/>
                <w:color w:val="auto"/>
                <w:sz w:val="21"/>
                <w:szCs w:val="21"/>
              </w:rPr>
              <w:t>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2BF5B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67" w:type="pct"/>
            <w:noWrap w:val="0"/>
            <w:vAlign w:val="center"/>
          </w:tcPr>
          <w:p w14:paraId="1608038A">
            <w:pPr>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S2</w:t>
            </w:r>
          </w:p>
        </w:tc>
        <w:tc>
          <w:tcPr>
            <w:tcW w:w="4632" w:type="pct"/>
            <w:noWrap w:val="0"/>
            <w:vAlign w:val="center"/>
          </w:tcPr>
          <w:p w14:paraId="5C97DB2F">
            <w:pPr>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7461B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67" w:type="pct"/>
            <w:noWrap w:val="0"/>
            <w:vAlign w:val="center"/>
          </w:tcPr>
          <w:p w14:paraId="4AAE1807">
            <w:pPr>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S3</w:t>
            </w:r>
          </w:p>
        </w:tc>
        <w:tc>
          <w:tcPr>
            <w:tcW w:w="4632" w:type="pct"/>
            <w:noWrap w:val="0"/>
            <w:vAlign w:val="center"/>
          </w:tcPr>
          <w:p w14:paraId="5EDEE8F8">
            <w:pPr>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排放点下游（顺水流向）10km范围、近岸海域一个潮周期水质点可能达到的最大水平距离的两倍范围内无上述类型1和类型2包括的敏感保护目标</w:t>
            </w:r>
          </w:p>
        </w:tc>
      </w:tr>
    </w:tbl>
    <w:p w14:paraId="7B7BBD3C">
      <w:pPr>
        <w:spacing w:line="360" w:lineRule="auto"/>
        <w:ind w:firstLine="480" w:firstLineChars="200"/>
        <w:textAlignment w:val="auto"/>
        <w:rPr>
          <w:rFonts w:hint="default" w:ascii="Times New Roman" w:hAnsi="Times New Roman" w:cs="Times New Roman"/>
          <w:snapToGrid/>
          <w:color w:val="auto"/>
          <w:kern w:val="2"/>
          <w:sz w:val="24"/>
          <w:szCs w:val="24"/>
          <w:highlight w:val="yellow"/>
        </w:rPr>
      </w:pPr>
      <w:r>
        <w:rPr>
          <w:rFonts w:hint="default" w:ascii="Times New Roman" w:hAnsi="Times New Roman" w:cs="Times New Roman"/>
          <w:snapToGrid/>
          <w:color w:val="auto"/>
          <w:kern w:val="2"/>
          <w:sz w:val="24"/>
          <w:szCs w:val="24"/>
          <w:highlight w:val="none"/>
          <w:lang w:val="en-US" w:eastAsia="zh-CN"/>
        </w:rPr>
        <w:t>根据现场勘察，</w:t>
      </w:r>
      <w:r>
        <w:rPr>
          <w:rFonts w:hint="default" w:ascii="Times New Roman" w:hAnsi="Times New Roman" w:cs="Times New Roman"/>
          <w:snapToGrid/>
          <w:color w:val="auto"/>
          <w:kern w:val="2"/>
          <w:sz w:val="24"/>
          <w:szCs w:val="24"/>
          <w:highlight w:val="none"/>
        </w:rPr>
        <w:t>本项目</w:t>
      </w:r>
      <w:r>
        <w:rPr>
          <w:rFonts w:hint="eastAsia" w:cs="Times New Roman"/>
          <w:snapToGrid/>
          <w:color w:val="auto"/>
          <w:kern w:val="2"/>
          <w:sz w:val="24"/>
          <w:szCs w:val="24"/>
          <w:highlight w:val="none"/>
          <w:lang w:val="en-US" w:eastAsia="zh-CN"/>
        </w:rPr>
        <w:t>发生事故时，排放点进入大凌河西支水域环境功能为</w:t>
      </w:r>
      <w:r>
        <w:rPr>
          <w:rFonts w:hint="default" w:ascii="Times New Roman" w:hAnsi="Times New Roman" w:cs="Times New Roman"/>
          <w:snapToGrid/>
          <w:color w:val="auto"/>
          <w:kern w:val="2"/>
          <w:sz w:val="24"/>
          <w:szCs w:val="24"/>
          <w:highlight w:val="none"/>
          <w:lang w:val="en-US" w:eastAsia="zh-CN"/>
        </w:rPr>
        <w:t>Ⅲ</w:t>
      </w:r>
      <w:r>
        <w:rPr>
          <w:rFonts w:hint="eastAsia" w:cs="Times New Roman"/>
          <w:snapToGrid/>
          <w:color w:val="auto"/>
          <w:kern w:val="2"/>
          <w:sz w:val="24"/>
          <w:szCs w:val="24"/>
          <w:highlight w:val="none"/>
          <w:lang w:val="en-US" w:eastAsia="zh-CN"/>
        </w:rPr>
        <w:t>类，则地表水功能敏感性为F2。</w:t>
      </w:r>
      <w:r>
        <w:rPr>
          <w:rFonts w:hint="eastAsia" w:ascii="宋体" w:hAnsi="宋体" w:eastAsia="宋体" w:cs="宋体"/>
          <w:color w:val="auto"/>
          <w:kern w:val="0"/>
          <w:sz w:val="24"/>
          <w:szCs w:val="24"/>
          <w:lang w:val="en-US" w:eastAsia="zh-CN" w:bidi="ar"/>
        </w:rPr>
        <w:t>本项目排放点下游</w:t>
      </w:r>
      <w:r>
        <w:rPr>
          <w:rFonts w:hint="eastAsia" w:ascii="宋体" w:hAnsi="宋体" w:cs="宋体"/>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顺水流向</w:t>
      </w:r>
      <w:r>
        <w:rPr>
          <w:rFonts w:hint="eastAsia" w:ascii="宋体" w:hAnsi="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10km</w:t>
      </w:r>
      <w:r>
        <w:rPr>
          <w:rFonts w:hint="eastAsia" w:ascii="宋体" w:hAnsi="宋体" w:eastAsia="宋体" w:cs="宋体"/>
          <w:color w:val="auto"/>
          <w:kern w:val="0"/>
          <w:sz w:val="24"/>
          <w:szCs w:val="24"/>
          <w:lang w:val="en-US" w:eastAsia="zh-CN" w:bidi="ar"/>
        </w:rPr>
        <w:t>范围内无上述类型</w:t>
      </w:r>
      <w:r>
        <w:rPr>
          <w:rFonts w:hint="default" w:ascii="Times New Roman" w:hAnsi="Times New Roman" w:eastAsia="宋体" w:cs="Times New Roman"/>
          <w:color w:val="auto"/>
          <w:kern w:val="0"/>
          <w:sz w:val="24"/>
          <w:szCs w:val="24"/>
          <w:lang w:val="en-US" w:eastAsia="zh-CN" w:bidi="ar"/>
        </w:rPr>
        <w:t>1</w:t>
      </w:r>
      <w:r>
        <w:rPr>
          <w:rFonts w:hint="eastAsia" w:ascii="宋体" w:hAnsi="宋体" w:eastAsia="宋体" w:cs="宋体"/>
          <w:color w:val="auto"/>
          <w:kern w:val="0"/>
          <w:sz w:val="24"/>
          <w:szCs w:val="24"/>
          <w:lang w:val="en-US" w:eastAsia="zh-CN" w:bidi="ar"/>
        </w:rPr>
        <w:t>和类型</w:t>
      </w:r>
      <w:r>
        <w:rPr>
          <w:rFonts w:hint="default"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包括的敏感保护目标，则环境敏感目标等级为</w:t>
      </w:r>
      <w:r>
        <w:rPr>
          <w:rFonts w:hint="default" w:ascii="Times New Roman" w:hAnsi="Times New Roman" w:eastAsia="宋体" w:cs="Times New Roman"/>
          <w:color w:val="auto"/>
          <w:kern w:val="0"/>
          <w:sz w:val="24"/>
          <w:szCs w:val="24"/>
          <w:lang w:val="en-US" w:eastAsia="zh-CN" w:bidi="ar"/>
        </w:rPr>
        <w:t>S3</w:t>
      </w:r>
      <w:r>
        <w:rPr>
          <w:rFonts w:hint="eastAsia" w:ascii="宋体" w:hAnsi="宋体" w:eastAsia="宋体" w:cs="宋体"/>
          <w:color w:val="auto"/>
          <w:kern w:val="0"/>
          <w:sz w:val="24"/>
          <w:szCs w:val="24"/>
          <w:lang w:val="en-US" w:eastAsia="zh-CN" w:bidi="ar"/>
        </w:rPr>
        <w:t>。</w:t>
      </w:r>
      <w:r>
        <w:rPr>
          <w:rFonts w:hint="default" w:ascii="Times New Roman" w:hAnsi="Times New Roman" w:cs="Times New Roman"/>
          <w:snapToGrid/>
          <w:color w:val="auto"/>
          <w:kern w:val="2"/>
          <w:sz w:val="24"/>
          <w:szCs w:val="24"/>
          <w:highlight w:val="none"/>
        </w:rPr>
        <w:t>故本项目地表水环境敏感程度分级为E</w:t>
      </w:r>
      <w:r>
        <w:rPr>
          <w:rFonts w:hint="eastAsia" w:ascii="Times New Roman" w:hAnsi="Times New Roman" w:cs="Times New Roman"/>
          <w:snapToGrid/>
          <w:color w:val="auto"/>
          <w:kern w:val="2"/>
          <w:sz w:val="24"/>
          <w:szCs w:val="24"/>
          <w:highlight w:val="none"/>
          <w:lang w:val="en-US" w:eastAsia="zh-CN"/>
        </w:rPr>
        <w:t>2</w:t>
      </w:r>
      <w:r>
        <w:rPr>
          <w:rFonts w:hint="default" w:ascii="Times New Roman" w:hAnsi="Times New Roman" w:cs="Times New Roman"/>
          <w:snapToGrid/>
          <w:color w:val="auto"/>
          <w:kern w:val="2"/>
          <w:sz w:val="24"/>
          <w:szCs w:val="24"/>
          <w:highlight w:val="none"/>
        </w:rPr>
        <w:t>。</w:t>
      </w:r>
    </w:p>
    <w:p w14:paraId="615B3A3F">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③地下水环境</w:t>
      </w:r>
    </w:p>
    <w:p w14:paraId="63F2B2D7">
      <w:pPr>
        <w:spacing w:line="360" w:lineRule="auto"/>
        <w:ind w:firstLine="480" w:firstLineChars="20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依据地下水功能敏感性与包气带防污性能，共分为三种类型，E1为环境高度敏感区，E2为环境中度敏感区，E3为环境低度敏感区，分级原则见表</w:t>
      </w:r>
      <w:r>
        <w:rPr>
          <w:rFonts w:hint="default" w:ascii="Times New Roman" w:hAnsi="Times New Roman" w:cs="Times New Roman"/>
          <w:snapToGrid/>
          <w:color w:val="auto"/>
          <w:kern w:val="2"/>
          <w:sz w:val="24"/>
          <w:szCs w:val="24"/>
          <w:lang w:val="en-US" w:eastAsia="zh-CN"/>
        </w:rPr>
        <w:t>3-8</w:t>
      </w:r>
      <w:r>
        <w:rPr>
          <w:rFonts w:hint="default" w:ascii="Times New Roman" w:hAnsi="Times New Roman" w:cs="Times New Roman"/>
          <w:snapToGrid/>
          <w:color w:val="auto"/>
          <w:kern w:val="2"/>
          <w:sz w:val="24"/>
          <w:szCs w:val="24"/>
        </w:rPr>
        <w:t>。其中地下水功能敏感性分区和包气带防污性能分级分别见表</w:t>
      </w:r>
      <w:r>
        <w:rPr>
          <w:rFonts w:hint="default" w:ascii="Times New Roman" w:hAnsi="Times New Roman" w:cs="Times New Roman"/>
          <w:snapToGrid/>
          <w:color w:val="auto"/>
          <w:kern w:val="2"/>
          <w:sz w:val="24"/>
          <w:szCs w:val="24"/>
          <w:lang w:val="en-US" w:eastAsia="zh-CN"/>
        </w:rPr>
        <w:t>3-9</w:t>
      </w:r>
      <w:r>
        <w:rPr>
          <w:rFonts w:hint="default" w:ascii="Times New Roman" w:hAnsi="Times New Roman" w:cs="Times New Roman"/>
          <w:snapToGrid/>
          <w:color w:val="auto"/>
          <w:kern w:val="2"/>
          <w:sz w:val="24"/>
          <w:szCs w:val="24"/>
        </w:rPr>
        <w:t>和表</w:t>
      </w:r>
      <w:r>
        <w:rPr>
          <w:rFonts w:hint="default" w:ascii="Times New Roman" w:hAnsi="Times New Roman" w:cs="Times New Roman"/>
          <w:snapToGrid/>
          <w:color w:val="auto"/>
          <w:kern w:val="2"/>
          <w:sz w:val="24"/>
          <w:szCs w:val="24"/>
          <w:lang w:val="en-US" w:eastAsia="zh-CN"/>
        </w:rPr>
        <w:t>3-10</w:t>
      </w:r>
      <w:r>
        <w:rPr>
          <w:rFonts w:hint="default" w:ascii="Times New Roman" w:hAnsi="Times New Roman" w:cs="Times New Roman"/>
          <w:snapToGrid/>
          <w:color w:val="auto"/>
          <w:kern w:val="2"/>
          <w:sz w:val="24"/>
          <w:szCs w:val="24"/>
        </w:rPr>
        <w:t>。当同一建设项目涉及两个G分区或D分级及以上时，取相对高值。</w:t>
      </w:r>
    </w:p>
    <w:p w14:paraId="6B7532CA">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表3-8    地下水环境敏感程度分级表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9"/>
        <w:gridCol w:w="1988"/>
        <w:gridCol w:w="1988"/>
        <w:gridCol w:w="1989"/>
      </w:tblGrid>
      <w:tr w14:paraId="3B92E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vMerge w:val="restart"/>
            <w:noWrap w:val="0"/>
            <w:vAlign w:val="center"/>
          </w:tcPr>
          <w:p w14:paraId="34698F70">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包气带防污性能</w:t>
            </w:r>
          </w:p>
        </w:tc>
        <w:tc>
          <w:tcPr>
            <w:tcW w:w="3502" w:type="pct"/>
            <w:gridSpan w:val="3"/>
            <w:noWrap w:val="0"/>
            <w:vAlign w:val="center"/>
          </w:tcPr>
          <w:p w14:paraId="6D10C03B">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地下水功能敏感性</w:t>
            </w:r>
          </w:p>
        </w:tc>
      </w:tr>
      <w:tr w14:paraId="1C7CE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vMerge w:val="continue"/>
            <w:noWrap w:val="0"/>
            <w:vAlign w:val="center"/>
          </w:tcPr>
          <w:p w14:paraId="257E9043">
            <w:pPr>
              <w:spacing w:line="240" w:lineRule="auto"/>
              <w:jc w:val="center"/>
              <w:rPr>
                <w:rFonts w:hint="default" w:ascii="Times New Roman" w:hAnsi="Times New Roman" w:cs="Times New Roman"/>
                <w:color w:val="auto"/>
                <w:sz w:val="21"/>
                <w:szCs w:val="21"/>
              </w:rPr>
            </w:pPr>
          </w:p>
        </w:tc>
        <w:tc>
          <w:tcPr>
            <w:tcW w:w="1167" w:type="pct"/>
            <w:noWrap w:val="0"/>
            <w:vAlign w:val="center"/>
          </w:tcPr>
          <w:p w14:paraId="09791AB2">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G1</w:t>
            </w:r>
          </w:p>
        </w:tc>
        <w:tc>
          <w:tcPr>
            <w:tcW w:w="1167" w:type="pct"/>
            <w:noWrap w:val="0"/>
            <w:vAlign w:val="center"/>
          </w:tcPr>
          <w:p w14:paraId="315DFD5D">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G2</w:t>
            </w:r>
          </w:p>
        </w:tc>
        <w:tc>
          <w:tcPr>
            <w:tcW w:w="1168" w:type="pct"/>
            <w:noWrap w:val="0"/>
            <w:vAlign w:val="center"/>
          </w:tcPr>
          <w:p w14:paraId="09E7A02F">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G3</w:t>
            </w:r>
          </w:p>
        </w:tc>
      </w:tr>
      <w:tr w14:paraId="4E89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noWrap w:val="0"/>
            <w:vAlign w:val="center"/>
          </w:tcPr>
          <w:p w14:paraId="29814375">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D1</w:t>
            </w:r>
          </w:p>
        </w:tc>
        <w:tc>
          <w:tcPr>
            <w:tcW w:w="1167" w:type="pct"/>
            <w:noWrap w:val="0"/>
            <w:vAlign w:val="center"/>
          </w:tcPr>
          <w:p w14:paraId="003B1B0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w:t>
            </w:r>
          </w:p>
        </w:tc>
        <w:tc>
          <w:tcPr>
            <w:tcW w:w="1167" w:type="pct"/>
            <w:noWrap w:val="0"/>
            <w:vAlign w:val="center"/>
          </w:tcPr>
          <w:p w14:paraId="6105A124">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E1</w:t>
            </w:r>
          </w:p>
        </w:tc>
        <w:tc>
          <w:tcPr>
            <w:tcW w:w="1168" w:type="pct"/>
            <w:noWrap w:val="0"/>
            <w:vAlign w:val="center"/>
          </w:tcPr>
          <w:p w14:paraId="5FAC5717">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E2</w:t>
            </w:r>
          </w:p>
        </w:tc>
      </w:tr>
      <w:tr w14:paraId="7FA47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noWrap w:val="0"/>
            <w:vAlign w:val="center"/>
          </w:tcPr>
          <w:p w14:paraId="20919442">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D2</w:t>
            </w:r>
          </w:p>
        </w:tc>
        <w:tc>
          <w:tcPr>
            <w:tcW w:w="1167" w:type="pct"/>
            <w:noWrap w:val="0"/>
            <w:vAlign w:val="center"/>
          </w:tcPr>
          <w:p w14:paraId="653CEA64">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shd w:val="clear" w:color="FFFFFF" w:fill="D9D9D9"/>
              </w:rPr>
              <w:t>E1</w:t>
            </w:r>
          </w:p>
        </w:tc>
        <w:tc>
          <w:tcPr>
            <w:tcW w:w="1167" w:type="pct"/>
            <w:noWrap w:val="0"/>
            <w:vAlign w:val="center"/>
          </w:tcPr>
          <w:p w14:paraId="39288BFE">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E2</w:t>
            </w:r>
          </w:p>
        </w:tc>
        <w:tc>
          <w:tcPr>
            <w:tcW w:w="1168" w:type="pct"/>
            <w:noWrap w:val="0"/>
            <w:vAlign w:val="center"/>
          </w:tcPr>
          <w:p w14:paraId="166D8967">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E3</w:t>
            </w:r>
          </w:p>
        </w:tc>
      </w:tr>
      <w:tr w14:paraId="007B3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97" w:type="pct"/>
            <w:noWrap w:val="0"/>
            <w:vAlign w:val="center"/>
          </w:tcPr>
          <w:p w14:paraId="49276359">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D3</w:t>
            </w:r>
          </w:p>
        </w:tc>
        <w:tc>
          <w:tcPr>
            <w:tcW w:w="1167" w:type="pct"/>
            <w:noWrap w:val="0"/>
            <w:vAlign w:val="center"/>
          </w:tcPr>
          <w:p w14:paraId="51D3BE20">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E2</w:t>
            </w:r>
          </w:p>
        </w:tc>
        <w:tc>
          <w:tcPr>
            <w:tcW w:w="1167" w:type="pct"/>
            <w:noWrap w:val="0"/>
            <w:vAlign w:val="center"/>
          </w:tcPr>
          <w:p w14:paraId="023A5A73">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E3</w:t>
            </w:r>
          </w:p>
        </w:tc>
        <w:tc>
          <w:tcPr>
            <w:tcW w:w="1168" w:type="pct"/>
            <w:noWrap w:val="0"/>
            <w:vAlign w:val="center"/>
          </w:tcPr>
          <w:p w14:paraId="2A7C416A">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E3</w:t>
            </w:r>
          </w:p>
        </w:tc>
      </w:tr>
    </w:tbl>
    <w:p w14:paraId="3568F473">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表3-9   地下水功能敏感性分区表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3"/>
        <w:gridCol w:w="7281"/>
      </w:tblGrid>
      <w:tr w14:paraId="4F78D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24" w:type="pct"/>
            <w:noWrap w:val="0"/>
            <w:vAlign w:val="center"/>
          </w:tcPr>
          <w:p w14:paraId="258569D1">
            <w:pPr>
              <w:spacing w:line="240" w:lineRule="auto"/>
              <w:ind w:firstLine="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敏感性</w:t>
            </w:r>
          </w:p>
        </w:tc>
        <w:tc>
          <w:tcPr>
            <w:tcW w:w="4275" w:type="pct"/>
            <w:noWrap w:val="0"/>
            <w:vAlign w:val="center"/>
          </w:tcPr>
          <w:p w14:paraId="5D45C2A5">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地下水环境敏感特征</w:t>
            </w:r>
          </w:p>
        </w:tc>
      </w:tr>
      <w:tr w14:paraId="7AF53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24" w:type="pct"/>
            <w:noWrap w:val="0"/>
            <w:vAlign w:val="center"/>
          </w:tcPr>
          <w:p w14:paraId="43ED68DB">
            <w:pPr>
              <w:spacing w:line="240" w:lineRule="auto"/>
              <w:ind w:firstLine="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敏感G1</w:t>
            </w:r>
          </w:p>
        </w:tc>
        <w:tc>
          <w:tcPr>
            <w:tcW w:w="4275" w:type="pct"/>
            <w:noWrap w:val="0"/>
            <w:vAlign w:val="center"/>
          </w:tcPr>
          <w:p w14:paraId="62FE2837">
            <w:pPr>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w:t>
            </w:r>
            <w:r>
              <w:rPr>
                <w:rFonts w:hint="default" w:ascii="Times New Roman" w:hAnsi="Times New Roman" w:cs="Times New Roman"/>
                <w:color w:val="auto"/>
                <w:sz w:val="21"/>
                <w:szCs w:val="21"/>
                <w:highlight w:val="none"/>
              </w:rPr>
              <w:t>式饮用水水源（</w:t>
            </w:r>
            <w:r>
              <w:rPr>
                <w:rFonts w:hint="default" w:ascii="Times New Roman" w:hAnsi="Times New Roman" w:cs="Times New Roman"/>
                <w:color w:val="auto"/>
                <w:sz w:val="21"/>
                <w:szCs w:val="21"/>
              </w:rPr>
              <w:t>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5CEC2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24" w:type="pct"/>
            <w:noWrap w:val="0"/>
            <w:vAlign w:val="center"/>
          </w:tcPr>
          <w:p w14:paraId="2454395D">
            <w:pPr>
              <w:spacing w:line="240" w:lineRule="auto"/>
              <w:ind w:firstLine="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较敏感G2</w:t>
            </w:r>
          </w:p>
        </w:tc>
        <w:tc>
          <w:tcPr>
            <w:tcW w:w="4275" w:type="pct"/>
            <w:noWrap w:val="0"/>
            <w:vAlign w:val="center"/>
          </w:tcPr>
          <w:p w14:paraId="1E721D02">
            <w:pPr>
              <w:spacing w:line="240" w:lineRule="auto"/>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ascii="Times New Roman" w:hAnsi="Times New Roman" w:cs="Times New Roman"/>
                <w:color w:val="auto"/>
                <w:sz w:val="21"/>
                <w:szCs w:val="21"/>
                <w:vertAlign w:val="superscript"/>
              </w:rPr>
              <w:t>a</w:t>
            </w:r>
          </w:p>
        </w:tc>
      </w:tr>
      <w:tr w14:paraId="253CE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24" w:type="pct"/>
            <w:noWrap w:val="0"/>
            <w:vAlign w:val="center"/>
          </w:tcPr>
          <w:p w14:paraId="196BE1C0">
            <w:pPr>
              <w:spacing w:line="240" w:lineRule="auto"/>
              <w:ind w:firstLine="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不敏感G3</w:t>
            </w:r>
          </w:p>
        </w:tc>
        <w:tc>
          <w:tcPr>
            <w:tcW w:w="4275" w:type="pct"/>
            <w:noWrap w:val="0"/>
            <w:vAlign w:val="center"/>
          </w:tcPr>
          <w:p w14:paraId="0A03ACCA">
            <w:pPr>
              <w:spacing w:line="240" w:lineRule="auto"/>
              <w:ind w:firstLine="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上述地区之外的其他地区</w:t>
            </w:r>
          </w:p>
        </w:tc>
      </w:tr>
      <w:tr w14:paraId="5311D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2"/>
            <w:noWrap w:val="0"/>
            <w:vAlign w:val="center"/>
          </w:tcPr>
          <w:p w14:paraId="4D01AF64">
            <w:pPr>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vertAlign w:val="superscript"/>
              </w:rPr>
              <w:t>a</w:t>
            </w:r>
            <w:r>
              <w:rPr>
                <w:rFonts w:hint="default" w:ascii="Times New Roman" w:hAnsi="Times New Roman" w:cs="Times New Roman"/>
                <w:color w:val="auto"/>
                <w:sz w:val="21"/>
                <w:szCs w:val="21"/>
              </w:rPr>
              <w:t>“环境敏感区”是指《建设项目环境影响评价分类管理名录》中所界定的涉及地下水的环境敏感区</w:t>
            </w:r>
          </w:p>
        </w:tc>
      </w:tr>
    </w:tbl>
    <w:p w14:paraId="58EBE938">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p>
    <w:p w14:paraId="7C1CFAB4">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表3-10  包气带防污性能分级表</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7472"/>
      </w:tblGrid>
      <w:tr w14:paraId="6B407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2" w:type="pct"/>
            <w:noWrap w:val="0"/>
            <w:vAlign w:val="center"/>
          </w:tcPr>
          <w:p w14:paraId="218AE999">
            <w:pPr>
              <w:spacing w:line="240" w:lineRule="auto"/>
              <w:ind w:firstLine="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敏感性</w:t>
            </w:r>
          </w:p>
        </w:tc>
        <w:tc>
          <w:tcPr>
            <w:tcW w:w="4387" w:type="pct"/>
            <w:noWrap w:val="0"/>
            <w:vAlign w:val="center"/>
          </w:tcPr>
          <w:p w14:paraId="7CAD4FF9">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地表水环境敏感特征</w:t>
            </w:r>
          </w:p>
        </w:tc>
      </w:tr>
      <w:tr w14:paraId="066AB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2" w:type="pct"/>
            <w:noWrap w:val="0"/>
            <w:vAlign w:val="center"/>
          </w:tcPr>
          <w:p w14:paraId="79945054">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D3</w:t>
            </w:r>
          </w:p>
        </w:tc>
        <w:tc>
          <w:tcPr>
            <w:tcW w:w="4387" w:type="pct"/>
            <w:noWrap w:val="0"/>
            <w:vAlign w:val="center"/>
          </w:tcPr>
          <w:p w14:paraId="16CEA000">
            <w:pPr>
              <w:spacing w:line="240" w:lineRule="auto"/>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Mb≥1.0m，K≤1.0×10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vertAlign w:val="superscript"/>
              </w:rPr>
              <w:t>6</w:t>
            </w:r>
            <w:r>
              <w:rPr>
                <w:rFonts w:hint="default" w:ascii="Times New Roman" w:hAnsi="Times New Roman" w:cs="Times New Roman"/>
                <w:color w:val="auto"/>
                <w:sz w:val="21"/>
                <w:szCs w:val="21"/>
              </w:rPr>
              <w:t>cm/s，且分布连续、稳定</w:t>
            </w:r>
          </w:p>
        </w:tc>
      </w:tr>
      <w:tr w14:paraId="007CD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2" w:type="pct"/>
            <w:noWrap w:val="0"/>
            <w:vAlign w:val="center"/>
          </w:tcPr>
          <w:p w14:paraId="232E5468">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D2</w:t>
            </w:r>
          </w:p>
        </w:tc>
        <w:tc>
          <w:tcPr>
            <w:tcW w:w="4387" w:type="pct"/>
            <w:noWrap w:val="0"/>
            <w:vAlign w:val="center"/>
          </w:tcPr>
          <w:p w14:paraId="2363D694">
            <w:pPr>
              <w:spacing w:line="240" w:lineRule="auto"/>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0.5m≤Mb&lt;1.0m，K≤1.0×10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vertAlign w:val="superscript"/>
              </w:rPr>
              <w:t>6</w:t>
            </w:r>
            <w:r>
              <w:rPr>
                <w:rFonts w:hint="default" w:ascii="Times New Roman" w:hAnsi="Times New Roman" w:cs="Times New Roman"/>
                <w:color w:val="auto"/>
                <w:sz w:val="21"/>
                <w:szCs w:val="21"/>
              </w:rPr>
              <w:t>cm/s，且分布连续、稳定</w:t>
            </w:r>
          </w:p>
          <w:p w14:paraId="6B584D5A">
            <w:pPr>
              <w:spacing w:line="240" w:lineRule="auto"/>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Mb≥1.0m，1.0×10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vertAlign w:val="superscript"/>
              </w:rPr>
              <w:t>6</w:t>
            </w:r>
            <w:r>
              <w:rPr>
                <w:rFonts w:hint="default" w:ascii="Times New Roman" w:hAnsi="Times New Roman" w:cs="Times New Roman"/>
                <w:color w:val="auto"/>
                <w:sz w:val="21"/>
                <w:szCs w:val="21"/>
              </w:rPr>
              <w:t>cm/s＜K≤1.0×10</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vertAlign w:val="superscript"/>
              </w:rPr>
              <w:t>4</w:t>
            </w:r>
            <w:r>
              <w:rPr>
                <w:rFonts w:hint="default" w:ascii="Times New Roman" w:hAnsi="Times New Roman" w:cs="Times New Roman"/>
                <w:color w:val="auto"/>
                <w:sz w:val="21"/>
                <w:szCs w:val="21"/>
              </w:rPr>
              <w:t>cm/s，且分布连续、稳定</w:t>
            </w:r>
          </w:p>
        </w:tc>
      </w:tr>
      <w:tr w14:paraId="28F52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12" w:type="pct"/>
            <w:noWrap w:val="0"/>
            <w:vAlign w:val="center"/>
          </w:tcPr>
          <w:p w14:paraId="5723C98D">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D1</w:t>
            </w:r>
          </w:p>
        </w:tc>
        <w:tc>
          <w:tcPr>
            <w:tcW w:w="4387" w:type="pct"/>
            <w:noWrap w:val="0"/>
            <w:vAlign w:val="center"/>
          </w:tcPr>
          <w:p w14:paraId="2F80BE09">
            <w:pPr>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岩（土）层不满足上述“D2”和“D3”条件</w:t>
            </w:r>
          </w:p>
        </w:tc>
      </w:tr>
      <w:tr w14:paraId="187F6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000" w:type="pct"/>
            <w:gridSpan w:val="2"/>
            <w:noWrap w:val="0"/>
            <w:vAlign w:val="center"/>
          </w:tcPr>
          <w:p w14:paraId="035B4425">
            <w:pPr>
              <w:spacing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Mb：岩土层单层厚度。K：渗透系数</w:t>
            </w:r>
          </w:p>
        </w:tc>
      </w:tr>
    </w:tbl>
    <w:p w14:paraId="77F22EEE">
      <w:pPr>
        <w:spacing w:line="360" w:lineRule="auto"/>
        <w:ind w:firstLine="480" w:firstLineChars="200"/>
        <w:textAlignment w:val="auto"/>
        <w:rPr>
          <w:rFonts w:hint="default" w:ascii="Times New Roman" w:hAnsi="Times New Roman" w:cs="Times New Roman"/>
          <w:snapToGrid/>
          <w:color w:val="auto"/>
          <w:kern w:val="2"/>
          <w:sz w:val="24"/>
          <w:szCs w:val="24"/>
          <w:highlight w:val="none"/>
        </w:rPr>
      </w:pPr>
      <w:r>
        <w:rPr>
          <w:rFonts w:hint="default" w:ascii="Times New Roman" w:hAnsi="Times New Roman" w:cs="Times New Roman"/>
          <w:snapToGrid/>
          <w:color w:val="auto"/>
          <w:kern w:val="2"/>
          <w:sz w:val="24"/>
          <w:szCs w:val="24"/>
        </w:rPr>
        <w:t>根据本项目所在地实际情况，对照上表可知，本项目</w:t>
      </w:r>
      <w:r>
        <w:rPr>
          <w:rFonts w:hint="default" w:ascii="Times New Roman" w:hAnsi="Times New Roman" w:cs="Times New Roman"/>
          <w:snapToGrid/>
          <w:color w:val="auto"/>
          <w:kern w:val="2"/>
          <w:sz w:val="24"/>
          <w:szCs w:val="24"/>
          <w:lang w:val="en-US" w:eastAsia="zh-CN"/>
        </w:rPr>
        <w:t>厂址西南侧1760m为</w:t>
      </w:r>
      <w:r>
        <w:rPr>
          <w:rFonts w:hint="eastAsia" w:cs="Times New Roman"/>
          <w:color w:val="auto"/>
          <w:kern w:val="2"/>
          <w:sz w:val="24"/>
          <w:szCs w:val="24"/>
          <w:highlight w:val="none"/>
          <w:lang w:val="en-US" w:eastAsia="zh-CN" w:bidi="ar-SA"/>
        </w:rPr>
        <w:t>喀左县一水源</w:t>
      </w:r>
      <w:r>
        <w:rPr>
          <w:rFonts w:hint="default" w:ascii="Times New Roman" w:hAnsi="Times New Roman" w:cs="Times New Roman"/>
          <w:snapToGrid/>
          <w:color w:val="auto"/>
          <w:kern w:val="2"/>
          <w:sz w:val="24"/>
          <w:szCs w:val="24"/>
          <w:lang w:val="en-US" w:eastAsia="zh-CN"/>
        </w:rPr>
        <w:t>饮用水源4#井</w:t>
      </w:r>
      <w:r>
        <w:rPr>
          <w:rFonts w:hint="eastAsia" w:cs="Times New Roman"/>
          <w:snapToGrid/>
          <w:color w:val="auto"/>
          <w:kern w:val="2"/>
          <w:sz w:val="24"/>
          <w:szCs w:val="24"/>
          <w:lang w:val="en-US" w:eastAsia="zh-CN"/>
        </w:rPr>
        <w:t>一级、</w:t>
      </w:r>
      <w:r>
        <w:rPr>
          <w:rFonts w:hint="default" w:ascii="Times New Roman" w:hAnsi="Times New Roman" w:cs="Times New Roman"/>
          <w:snapToGrid/>
          <w:color w:val="auto"/>
          <w:kern w:val="2"/>
          <w:sz w:val="24"/>
          <w:szCs w:val="24"/>
          <w:lang w:val="en-US" w:eastAsia="zh-CN"/>
        </w:rPr>
        <w:t>二级保护区</w:t>
      </w:r>
      <w:r>
        <w:rPr>
          <w:rFonts w:hint="eastAsia" w:ascii="Times New Roman" w:hAnsi="Times New Roman" w:cs="Times New Roman"/>
          <w:snapToGrid/>
          <w:color w:val="auto"/>
          <w:kern w:val="2"/>
          <w:sz w:val="24"/>
          <w:szCs w:val="24"/>
          <w:lang w:val="en-US" w:eastAsia="zh-CN"/>
        </w:rPr>
        <w:t>，</w:t>
      </w:r>
      <w:r>
        <w:rPr>
          <w:rFonts w:hint="default" w:ascii="Times New Roman" w:hAnsi="Times New Roman" w:cs="Times New Roman"/>
          <w:snapToGrid/>
          <w:color w:val="auto"/>
          <w:kern w:val="2"/>
          <w:sz w:val="24"/>
          <w:szCs w:val="24"/>
          <w:lang w:val="en-US" w:eastAsia="zh-CN"/>
        </w:rPr>
        <w:t>南侧2430m为</w:t>
      </w:r>
      <w:r>
        <w:rPr>
          <w:rFonts w:hint="eastAsia" w:cs="Times New Roman"/>
          <w:color w:val="auto"/>
          <w:kern w:val="2"/>
          <w:sz w:val="24"/>
          <w:szCs w:val="24"/>
          <w:highlight w:val="none"/>
          <w:lang w:val="en-US" w:eastAsia="zh-CN" w:bidi="ar-SA"/>
        </w:rPr>
        <w:t>喀左县一水源</w:t>
      </w:r>
      <w:r>
        <w:rPr>
          <w:rFonts w:hint="default" w:ascii="Times New Roman" w:hAnsi="Times New Roman" w:cs="Times New Roman"/>
          <w:snapToGrid/>
          <w:color w:val="auto"/>
          <w:kern w:val="2"/>
          <w:sz w:val="24"/>
          <w:szCs w:val="24"/>
          <w:lang w:val="en-US" w:eastAsia="zh-CN"/>
        </w:rPr>
        <w:t>饮用水源1#井</w:t>
      </w:r>
      <w:r>
        <w:rPr>
          <w:rFonts w:hint="eastAsia" w:ascii="Times New Roman" w:hAnsi="Times New Roman" w:cs="Times New Roman"/>
          <w:snapToGrid/>
          <w:color w:val="auto"/>
          <w:kern w:val="2"/>
          <w:sz w:val="24"/>
          <w:szCs w:val="24"/>
          <w:lang w:val="en-US" w:eastAsia="zh-CN"/>
        </w:rPr>
        <w:t>一</w:t>
      </w:r>
      <w:r>
        <w:rPr>
          <w:rFonts w:hint="eastAsia" w:cs="Times New Roman"/>
          <w:snapToGrid/>
          <w:color w:val="auto"/>
          <w:kern w:val="2"/>
          <w:sz w:val="24"/>
          <w:szCs w:val="24"/>
          <w:lang w:val="en-US" w:eastAsia="zh-CN"/>
        </w:rPr>
        <w:t>级、</w:t>
      </w:r>
      <w:r>
        <w:rPr>
          <w:rFonts w:hint="default" w:ascii="Times New Roman" w:hAnsi="Times New Roman" w:cs="Times New Roman"/>
          <w:snapToGrid/>
          <w:color w:val="auto"/>
          <w:kern w:val="2"/>
          <w:sz w:val="24"/>
          <w:szCs w:val="24"/>
          <w:lang w:val="en-US" w:eastAsia="zh-CN"/>
        </w:rPr>
        <w:t>二级保护区，因此，判定地</w:t>
      </w:r>
      <w:r>
        <w:rPr>
          <w:rFonts w:hint="default" w:ascii="Times New Roman" w:hAnsi="Times New Roman" w:cs="Times New Roman"/>
          <w:snapToGrid/>
          <w:color w:val="auto"/>
          <w:kern w:val="2"/>
          <w:sz w:val="24"/>
          <w:szCs w:val="24"/>
        </w:rPr>
        <w:t>下水功能敏感性分区</w:t>
      </w:r>
      <w:r>
        <w:rPr>
          <w:rFonts w:hint="default" w:ascii="Times New Roman" w:hAnsi="Times New Roman" w:cs="Times New Roman"/>
          <w:snapToGrid/>
          <w:color w:val="auto"/>
          <w:kern w:val="2"/>
          <w:sz w:val="24"/>
          <w:szCs w:val="24"/>
          <w:highlight w:val="none"/>
        </w:rPr>
        <w:t>为敏感G</w:t>
      </w:r>
      <w:r>
        <w:rPr>
          <w:rFonts w:hint="default" w:ascii="Times New Roman" w:hAnsi="Times New Roman" w:cs="Times New Roman"/>
          <w:snapToGrid/>
          <w:color w:val="auto"/>
          <w:kern w:val="2"/>
          <w:sz w:val="24"/>
          <w:szCs w:val="24"/>
          <w:highlight w:val="none"/>
          <w:lang w:val="en-US" w:eastAsia="zh-CN"/>
        </w:rPr>
        <w:t>1</w:t>
      </w:r>
      <w:r>
        <w:rPr>
          <w:rFonts w:hint="default" w:ascii="Times New Roman" w:hAnsi="Times New Roman" w:cs="Times New Roman"/>
          <w:snapToGrid/>
          <w:color w:val="auto"/>
          <w:kern w:val="2"/>
          <w:sz w:val="24"/>
          <w:szCs w:val="24"/>
          <w:highlight w:val="none"/>
        </w:rPr>
        <w:t>，</w:t>
      </w:r>
      <w:r>
        <w:rPr>
          <w:rFonts w:hint="default" w:ascii="Times New Roman" w:hAnsi="Times New Roman" w:cs="Times New Roman"/>
          <w:snapToGrid/>
          <w:color w:val="auto"/>
          <w:kern w:val="2"/>
          <w:sz w:val="24"/>
          <w:szCs w:val="24"/>
          <w:highlight w:val="none"/>
          <w:lang w:val="en-US" w:eastAsia="zh-CN"/>
        </w:rPr>
        <w:t>场地</w:t>
      </w:r>
      <w:r>
        <w:rPr>
          <w:rFonts w:hint="default" w:ascii="Times New Roman" w:hAnsi="Times New Roman" w:cs="Times New Roman"/>
          <w:snapToGrid/>
          <w:color w:val="auto"/>
          <w:kern w:val="2"/>
          <w:sz w:val="24"/>
          <w:szCs w:val="24"/>
          <w:highlight w:val="none"/>
        </w:rPr>
        <w:t>包气带防污性能分级为D2，故本项目地下水敏感程度分级为E</w:t>
      </w:r>
      <w:r>
        <w:rPr>
          <w:rFonts w:hint="default" w:ascii="Times New Roman" w:hAnsi="Times New Roman" w:cs="Times New Roman"/>
          <w:snapToGrid/>
          <w:color w:val="auto"/>
          <w:kern w:val="2"/>
          <w:sz w:val="24"/>
          <w:szCs w:val="24"/>
          <w:highlight w:val="none"/>
          <w:lang w:val="en-US" w:eastAsia="zh-CN"/>
        </w:rPr>
        <w:t>1</w:t>
      </w:r>
      <w:r>
        <w:rPr>
          <w:rFonts w:hint="default" w:ascii="Times New Roman" w:hAnsi="Times New Roman" w:cs="Times New Roman"/>
          <w:snapToGrid/>
          <w:color w:val="auto"/>
          <w:kern w:val="2"/>
          <w:sz w:val="24"/>
          <w:szCs w:val="24"/>
          <w:highlight w:val="none"/>
        </w:rPr>
        <w:t>。</w:t>
      </w:r>
    </w:p>
    <w:p w14:paraId="4C91D9C4">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（3）环境风险潜势划分结果</w:t>
      </w:r>
    </w:p>
    <w:p w14:paraId="4814B236">
      <w:pPr>
        <w:adjustRightInd/>
        <w:snapToGrid/>
        <w:spacing w:line="360" w:lineRule="auto"/>
        <w:ind w:firstLine="480"/>
        <w:textAlignment w:val="auto"/>
        <w:rPr>
          <w:rFonts w:hint="default" w:ascii="Times New Roman" w:hAnsi="Times New Roman" w:cs="Times New Roman"/>
          <w:snapToGrid/>
          <w:color w:val="auto"/>
          <w:kern w:val="2"/>
          <w:sz w:val="24"/>
          <w:szCs w:val="24"/>
          <w:highlight w:val="none"/>
          <w:lang w:eastAsia="zh-CN"/>
        </w:rPr>
      </w:pPr>
      <w:r>
        <w:rPr>
          <w:rFonts w:hint="default" w:ascii="Times New Roman" w:hAnsi="Times New Roman" w:cs="Times New Roman"/>
          <w:snapToGrid/>
          <w:color w:val="auto"/>
          <w:kern w:val="2"/>
          <w:sz w:val="24"/>
          <w:szCs w:val="24"/>
        </w:rPr>
        <w:t>根据《建</w:t>
      </w:r>
      <w:r>
        <w:rPr>
          <w:rFonts w:hint="default" w:ascii="Times New Roman" w:hAnsi="Times New Roman" w:cs="Times New Roman"/>
          <w:snapToGrid/>
          <w:color w:val="auto"/>
          <w:kern w:val="2"/>
          <w:sz w:val="24"/>
          <w:szCs w:val="24"/>
          <w:highlight w:val="none"/>
          <w:lang w:eastAsia="zh-CN"/>
        </w:rPr>
        <w:t>设项目环境风险评价技术导则》（HJ 169－2018）表2划分依据见表</w:t>
      </w:r>
      <w:r>
        <w:rPr>
          <w:rFonts w:hint="default" w:ascii="Times New Roman" w:hAnsi="Times New Roman" w:cs="Times New Roman"/>
          <w:snapToGrid/>
          <w:color w:val="auto"/>
          <w:kern w:val="2"/>
          <w:sz w:val="24"/>
          <w:szCs w:val="24"/>
          <w:highlight w:val="none"/>
          <w:lang w:val="en-US" w:eastAsia="zh-CN"/>
        </w:rPr>
        <w:t>3-11</w:t>
      </w:r>
      <w:r>
        <w:rPr>
          <w:rFonts w:hint="default" w:ascii="Times New Roman" w:hAnsi="Times New Roman" w:cs="Times New Roman"/>
          <w:snapToGrid/>
          <w:color w:val="auto"/>
          <w:kern w:val="2"/>
          <w:sz w:val="24"/>
          <w:szCs w:val="24"/>
          <w:highlight w:val="none"/>
          <w:lang w:eastAsia="zh-CN"/>
        </w:rPr>
        <w:t>，本项目环境风险潜势见表</w:t>
      </w:r>
      <w:r>
        <w:rPr>
          <w:rFonts w:hint="default" w:ascii="Times New Roman" w:hAnsi="Times New Roman" w:cs="Times New Roman"/>
          <w:snapToGrid/>
          <w:color w:val="auto"/>
          <w:kern w:val="2"/>
          <w:sz w:val="24"/>
          <w:szCs w:val="24"/>
          <w:highlight w:val="none"/>
          <w:lang w:val="en-US" w:eastAsia="zh-CN"/>
        </w:rPr>
        <w:t>3</w:t>
      </w:r>
      <w:r>
        <w:rPr>
          <w:rFonts w:hint="default" w:ascii="Times New Roman" w:hAnsi="Times New Roman" w:cs="Times New Roman"/>
          <w:snapToGrid/>
          <w:color w:val="auto"/>
          <w:kern w:val="2"/>
          <w:sz w:val="24"/>
          <w:szCs w:val="24"/>
          <w:highlight w:val="none"/>
          <w:lang w:eastAsia="zh-CN"/>
        </w:rPr>
        <w:t>-</w:t>
      </w:r>
      <w:r>
        <w:rPr>
          <w:rFonts w:hint="default" w:ascii="Times New Roman" w:hAnsi="Times New Roman" w:cs="Times New Roman"/>
          <w:snapToGrid/>
          <w:color w:val="auto"/>
          <w:kern w:val="2"/>
          <w:sz w:val="24"/>
          <w:szCs w:val="24"/>
          <w:highlight w:val="none"/>
          <w:lang w:val="en-US" w:eastAsia="zh-CN"/>
        </w:rPr>
        <w:t>12</w:t>
      </w:r>
      <w:r>
        <w:rPr>
          <w:rFonts w:hint="default" w:ascii="Times New Roman" w:hAnsi="Times New Roman" w:cs="Times New Roman"/>
          <w:snapToGrid/>
          <w:color w:val="auto"/>
          <w:kern w:val="2"/>
          <w:sz w:val="24"/>
          <w:szCs w:val="24"/>
          <w:highlight w:val="none"/>
          <w:lang w:eastAsia="zh-CN"/>
        </w:rPr>
        <w:t>。</w:t>
      </w:r>
    </w:p>
    <w:p w14:paraId="4C407CD5">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bookmarkStart w:id="481" w:name="OLE_LINK209"/>
      <w:r>
        <w:rPr>
          <w:rFonts w:hint="default" w:ascii="Times New Roman" w:hAnsi="Times New Roman" w:eastAsia="宋体" w:cs="Times New Roman"/>
          <w:b/>
          <w:bCs/>
          <w:color w:val="auto"/>
          <w:kern w:val="0"/>
          <w:sz w:val="21"/>
          <w:szCs w:val="21"/>
          <w:lang w:val="en-US" w:eastAsia="zh-CN" w:bidi="ar"/>
        </w:rPr>
        <w:t>表3-11 建设项目环境风险潜势划分依据</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5"/>
        <w:gridCol w:w="1577"/>
        <w:gridCol w:w="1556"/>
        <w:gridCol w:w="1558"/>
        <w:gridCol w:w="1328"/>
      </w:tblGrid>
      <w:tr w14:paraId="37C74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pct"/>
            <w:vMerge w:val="restart"/>
            <w:noWrap w:val="0"/>
            <w:vAlign w:val="center"/>
          </w:tcPr>
          <w:p w14:paraId="1322DEBC">
            <w:pPr>
              <w:adjustRightInd/>
              <w:spacing w:line="240" w:lineRule="auto"/>
              <w:ind w:firstLine="0"/>
              <w:jc w:val="center"/>
              <w:textAlignment w:val="auto"/>
              <w:rPr>
                <w:rFonts w:hint="default" w:ascii="Times New Roman" w:hAnsi="Times New Roman" w:eastAsia="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环境敏感程度（E）</w:t>
            </w:r>
          </w:p>
        </w:tc>
        <w:tc>
          <w:tcPr>
            <w:tcW w:w="3534" w:type="pct"/>
            <w:gridSpan w:val="4"/>
            <w:noWrap w:val="0"/>
            <w:vAlign w:val="center"/>
          </w:tcPr>
          <w:p w14:paraId="792DB28C">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危险物质及工艺系统危害性（P）</w:t>
            </w:r>
          </w:p>
        </w:tc>
      </w:tr>
      <w:tr w14:paraId="76AB6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pct"/>
            <w:vMerge w:val="continue"/>
            <w:noWrap w:val="0"/>
            <w:vAlign w:val="center"/>
          </w:tcPr>
          <w:p w14:paraId="134541E1">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p>
        </w:tc>
        <w:tc>
          <w:tcPr>
            <w:tcW w:w="926" w:type="pct"/>
            <w:noWrap w:val="0"/>
            <w:vAlign w:val="center"/>
          </w:tcPr>
          <w:p w14:paraId="3A316C9C">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极度危害（P1）</w:t>
            </w:r>
          </w:p>
        </w:tc>
        <w:tc>
          <w:tcPr>
            <w:tcW w:w="914" w:type="pct"/>
            <w:noWrap w:val="0"/>
            <w:vAlign w:val="center"/>
          </w:tcPr>
          <w:p w14:paraId="5131CB41">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高度危害（P2）</w:t>
            </w:r>
          </w:p>
        </w:tc>
        <w:tc>
          <w:tcPr>
            <w:tcW w:w="915" w:type="pct"/>
            <w:noWrap w:val="0"/>
            <w:vAlign w:val="center"/>
          </w:tcPr>
          <w:p w14:paraId="49910E09">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中度危害（P3）</w:t>
            </w:r>
          </w:p>
        </w:tc>
        <w:tc>
          <w:tcPr>
            <w:tcW w:w="778" w:type="pct"/>
            <w:noWrap w:val="0"/>
            <w:vAlign w:val="center"/>
          </w:tcPr>
          <w:p w14:paraId="6C125A6F">
            <w:pPr>
              <w:adjustRightInd/>
              <w:spacing w:line="240" w:lineRule="auto"/>
              <w:ind w:firstLine="0"/>
              <w:jc w:val="center"/>
              <w:textAlignment w:val="auto"/>
              <w:rPr>
                <w:rFonts w:hint="default" w:ascii="Times New Roman" w:hAnsi="Times New Roman" w:cs="Times New Roman"/>
                <w:b/>
                <w:bCs/>
                <w:snapToGrid/>
                <w:color w:val="auto"/>
                <w:kern w:val="2"/>
                <w:sz w:val="21"/>
                <w:szCs w:val="21"/>
              </w:rPr>
            </w:pPr>
            <w:r>
              <w:rPr>
                <w:rFonts w:hint="default" w:ascii="Times New Roman" w:hAnsi="Times New Roman" w:cs="Times New Roman"/>
                <w:b/>
                <w:bCs/>
                <w:snapToGrid/>
                <w:color w:val="auto"/>
                <w:kern w:val="2"/>
                <w:sz w:val="21"/>
                <w:szCs w:val="21"/>
              </w:rPr>
              <w:t>轻度危害（P4）</w:t>
            </w:r>
          </w:p>
        </w:tc>
      </w:tr>
      <w:tr w14:paraId="60892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pct"/>
            <w:noWrap w:val="0"/>
            <w:vAlign w:val="center"/>
          </w:tcPr>
          <w:p w14:paraId="1D45C0E6">
            <w:pPr>
              <w:adjustRightInd/>
              <w:spacing w:line="240" w:lineRule="auto"/>
              <w:ind w:firstLine="0"/>
              <w:jc w:val="center"/>
              <w:textAlignment w:val="auto"/>
              <w:rPr>
                <w:rFonts w:hint="default" w:ascii="Times New Roman" w:hAnsi="Times New Roman" w:eastAsia="Times New Roman" w:cs="Times New Roman"/>
                <w:snapToGrid/>
                <w:color w:val="auto"/>
                <w:kern w:val="2"/>
                <w:sz w:val="21"/>
                <w:szCs w:val="21"/>
              </w:rPr>
            </w:pPr>
            <w:r>
              <w:rPr>
                <w:rFonts w:hint="default" w:ascii="Times New Roman" w:hAnsi="Times New Roman" w:cs="Times New Roman"/>
                <w:snapToGrid/>
                <w:color w:val="auto"/>
                <w:kern w:val="2"/>
                <w:sz w:val="21"/>
                <w:szCs w:val="21"/>
              </w:rPr>
              <w:t>环境高度敏感区（</w:t>
            </w:r>
            <w:r>
              <w:rPr>
                <w:rFonts w:hint="default" w:ascii="Times New Roman" w:hAnsi="Times New Roman" w:eastAsia="Times New Roman" w:cs="Times New Roman"/>
                <w:snapToGrid/>
                <w:color w:val="auto"/>
                <w:kern w:val="2"/>
                <w:sz w:val="21"/>
                <w:szCs w:val="21"/>
              </w:rPr>
              <w:t>E1</w:t>
            </w:r>
            <w:r>
              <w:rPr>
                <w:rFonts w:hint="default" w:ascii="Times New Roman" w:hAnsi="Times New Roman" w:cs="Times New Roman"/>
                <w:snapToGrid/>
                <w:color w:val="auto"/>
                <w:kern w:val="2"/>
                <w:sz w:val="21"/>
                <w:szCs w:val="21"/>
              </w:rPr>
              <w:t>）</w:t>
            </w:r>
          </w:p>
        </w:tc>
        <w:tc>
          <w:tcPr>
            <w:tcW w:w="926" w:type="pct"/>
            <w:noWrap w:val="0"/>
            <w:vAlign w:val="center"/>
          </w:tcPr>
          <w:p w14:paraId="2244439D">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IV</w:t>
            </w:r>
            <w:r>
              <w:rPr>
                <w:rFonts w:hint="default" w:ascii="Times New Roman" w:hAnsi="Times New Roman" w:cs="Times New Roman"/>
                <w:snapToGrid/>
                <w:color w:val="auto"/>
                <w:kern w:val="2"/>
                <w:sz w:val="21"/>
                <w:szCs w:val="21"/>
                <w:vertAlign w:val="superscript"/>
              </w:rPr>
              <w:t>+</w:t>
            </w:r>
          </w:p>
        </w:tc>
        <w:tc>
          <w:tcPr>
            <w:tcW w:w="914" w:type="pct"/>
            <w:noWrap w:val="0"/>
            <w:vAlign w:val="center"/>
          </w:tcPr>
          <w:p w14:paraId="5C8A6C04">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IV</w:t>
            </w:r>
          </w:p>
        </w:tc>
        <w:tc>
          <w:tcPr>
            <w:tcW w:w="915" w:type="pct"/>
            <w:noWrap w:val="0"/>
            <w:vAlign w:val="center"/>
          </w:tcPr>
          <w:p w14:paraId="2B962D71">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eastAsia" w:cs="Times New Roman"/>
                <w:snapToGrid/>
                <w:color w:val="auto"/>
                <w:kern w:val="2"/>
                <w:sz w:val="21"/>
                <w:szCs w:val="21"/>
                <w:lang w:eastAsia="zh-CN"/>
              </w:rPr>
              <w:t>Ⅲ</w:t>
            </w:r>
          </w:p>
        </w:tc>
        <w:tc>
          <w:tcPr>
            <w:tcW w:w="778" w:type="pct"/>
            <w:noWrap w:val="0"/>
            <w:vAlign w:val="center"/>
          </w:tcPr>
          <w:p w14:paraId="01916173">
            <w:pPr>
              <w:adjustRightInd/>
              <w:spacing w:line="240" w:lineRule="auto"/>
              <w:ind w:firstLine="0"/>
              <w:jc w:val="center"/>
              <w:textAlignment w:val="auto"/>
              <w:rPr>
                <w:rFonts w:hint="default" w:ascii="Times New Roman" w:hAnsi="Times New Roman" w:cs="Times New Roman"/>
                <w:snapToGrid/>
                <w:color w:val="auto"/>
                <w:kern w:val="2"/>
                <w:sz w:val="21"/>
                <w:szCs w:val="21"/>
              </w:rPr>
            </w:pPr>
            <w:bookmarkStart w:id="482" w:name="OLE_LINK112"/>
            <w:r>
              <w:rPr>
                <w:rFonts w:hint="eastAsia" w:cs="Times New Roman"/>
                <w:snapToGrid/>
                <w:color w:val="auto"/>
                <w:kern w:val="2"/>
                <w:sz w:val="21"/>
                <w:szCs w:val="21"/>
                <w:lang w:eastAsia="zh-CN"/>
              </w:rPr>
              <w:t>Ⅲ</w:t>
            </w:r>
            <w:bookmarkEnd w:id="482"/>
          </w:p>
        </w:tc>
      </w:tr>
      <w:tr w14:paraId="54D74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pct"/>
            <w:noWrap w:val="0"/>
            <w:vAlign w:val="center"/>
          </w:tcPr>
          <w:p w14:paraId="4C12545C">
            <w:pPr>
              <w:adjustRightInd/>
              <w:spacing w:line="240" w:lineRule="auto"/>
              <w:ind w:firstLine="0"/>
              <w:jc w:val="center"/>
              <w:textAlignment w:val="auto"/>
              <w:rPr>
                <w:rFonts w:hint="default" w:ascii="Times New Roman" w:hAnsi="Times New Roman" w:eastAsia="Times New Roman" w:cs="Times New Roman"/>
                <w:snapToGrid/>
                <w:color w:val="auto"/>
                <w:kern w:val="2"/>
                <w:sz w:val="21"/>
                <w:szCs w:val="21"/>
              </w:rPr>
            </w:pPr>
            <w:r>
              <w:rPr>
                <w:rFonts w:hint="default" w:ascii="Times New Roman" w:hAnsi="Times New Roman" w:cs="Times New Roman"/>
                <w:snapToGrid/>
                <w:color w:val="auto"/>
                <w:kern w:val="2"/>
                <w:sz w:val="21"/>
                <w:szCs w:val="21"/>
              </w:rPr>
              <w:t>环境中度敏感区（</w:t>
            </w:r>
            <w:r>
              <w:rPr>
                <w:rFonts w:hint="default" w:ascii="Times New Roman" w:hAnsi="Times New Roman" w:eastAsia="Times New Roman" w:cs="Times New Roman"/>
                <w:snapToGrid/>
                <w:color w:val="auto"/>
                <w:kern w:val="2"/>
                <w:sz w:val="21"/>
                <w:szCs w:val="21"/>
              </w:rPr>
              <w:t>E2</w:t>
            </w:r>
            <w:r>
              <w:rPr>
                <w:rFonts w:hint="default" w:ascii="Times New Roman" w:hAnsi="Times New Roman" w:cs="Times New Roman"/>
                <w:snapToGrid/>
                <w:color w:val="auto"/>
                <w:kern w:val="2"/>
                <w:sz w:val="21"/>
                <w:szCs w:val="21"/>
              </w:rPr>
              <w:t>）</w:t>
            </w:r>
          </w:p>
        </w:tc>
        <w:tc>
          <w:tcPr>
            <w:tcW w:w="926" w:type="pct"/>
            <w:noWrap w:val="0"/>
            <w:vAlign w:val="center"/>
          </w:tcPr>
          <w:p w14:paraId="7F9730CA">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IV</w:t>
            </w:r>
          </w:p>
        </w:tc>
        <w:tc>
          <w:tcPr>
            <w:tcW w:w="914" w:type="pct"/>
            <w:noWrap w:val="0"/>
            <w:vAlign w:val="center"/>
          </w:tcPr>
          <w:p w14:paraId="39C1DD54">
            <w:pPr>
              <w:adjustRightInd/>
              <w:snapToGrid/>
              <w:spacing w:line="240" w:lineRule="auto"/>
              <w:ind w:firstLine="0"/>
              <w:jc w:val="center"/>
              <w:textAlignment w:val="auto"/>
              <w:rPr>
                <w:rFonts w:hint="default" w:ascii="Times New Roman" w:hAnsi="Times New Roman" w:eastAsia="Times New Roman" w:cs="Times New Roman"/>
                <w:snapToGrid/>
                <w:color w:val="auto"/>
                <w:kern w:val="2"/>
                <w:sz w:val="21"/>
                <w:szCs w:val="21"/>
              </w:rPr>
            </w:pPr>
            <w:r>
              <w:rPr>
                <w:rFonts w:hint="eastAsia" w:eastAsia="宋体" w:cs="Times New Roman"/>
                <w:snapToGrid/>
                <w:color w:val="auto"/>
                <w:kern w:val="2"/>
                <w:sz w:val="21"/>
                <w:szCs w:val="21"/>
                <w:lang w:eastAsia="zh-CN"/>
              </w:rPr>
              <w:t>Ⅲ</w:t>
            </w:r>
          </w:p>
        </w:tc>
        <w:tc>
          <w:tcPr>
            <w:tcW w:w="915" w:type="pct"/>
            <w:noWrap w:val="0"/>
            <w:vAlign w:val="center"/>
          </w:tcPr>
          <w:p w14:paraId="3DF6CBEE">
            <w:pPr>
              <w:adjustRightInd/>
              <w:snapToGrid/>
              <w:spacing w:line="240" w:lineRule="auto"/>
              <w:ind w:firstLine="0"/>
              <w:jc w:val="center"/>
              <w:textAlignment w:val="auto"/>
              <w:rPr>
                <w:rFonts w:hint="default" w:ascii="Times New Roman" w:hAnsi="Times New Roman" w:eastAsia="Times New Roman" w:cs="Times New Roman"/>
                <w:snapToGrid/>
                <w:color w:val="auto"/>
                <w:kern w:val="2"/>
                <w:sz w:val="21"/>
                <w:szCs w:val="21"/>
              </w:rPr>
            </w:pPr>
            <w:r>
              <w:rPr>
                <w:rFonts w:hint="eastAsia" w:eastAsia="宋体" w:cs="Times New Roman"/>
                <w:snapToGrid/>
                <w:color w:val="auto"/>
                <w:kern w:val="2"/>
                <w:sz w:val="21"/>
                <w:szCs w:val="21"/>
                <w:lang w:eastAsia="zh-CN"/>
              </w:rPr>
              <w:t>Ⅲ</w:t>
            </w:r>
          </w:p>
        </w:tc>
        <w:tc>
          <w:tcPr>
            <w:tcW w:w="778" w:type="pct"/>
            <w:noWrap w:val="0"/>
            <w:vAlign w:val="center"/>
          </w:tcPr>
          <w:p w14:paraId="74C48AD8">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16"/>
                <w:sz w:val="21"/>
                <w:szCs w:val="21"/>
              </w:rPr>
              <w:t>Ⅱ</w:t>
            </w:r>
          </w:p>
        </w:tc>
      </w:tr>
      <w:tr w14:paraId="45C14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5" w:type="pct"/>
            <w:noWrap w:val="0"/>
            <w:vAlign w:val="center"/>
          </w:tcPr>
          <w:p w14:paraId="0145EE5B">
            <w:pPr>
              <w:adjustRightInd/>
              <w:spacing w:line="240" w:lineRule="auto"/>
              <w:ind w:firstLine="0"/>
              <w:jc w:val="center"/>
              <w:textAlignment w:val="auto"/>
              <w:rPr>
                <w:rFonts w:hint="default" w:ascii="Times New Roman" w:hAnsi="Times New Roman" w:eastAsia="Times New Roman" w:cs="Times New Roman"/>
                <w:snapToGrid/>
                <w:color w:val="auto"/>
                <w:kern w:val="2"/>
                <w:sz w:val="21"/>
                <w:szCs w:val="21"/>
              </w:rPr>
            </w:pPr>
            <w:r>
              <w:rPr>
                <w:rFonts w:hint="default" w:ascii="Times New Roman" w:hAnsi="Times New Roman" w:cs="Times New Roman"/>
                <w:snapToGrid/>
                <w:color w:val="auto"/>
                <w:kern w:val="2"/>
                <w:sz w:val="21"/>
                <w:szCs w:val="21"/>
              </w:rPr>
              <w:t>环境低度敏感区（</w:t>
            </w:r>
            <w:r>
              <w:rPr>
                <w:rFonts w:hint="default" w:ascii="Times New Roman" w:hAnsi="Times New Roman" w:eastAsia="Times New Roman" w:cs="Times New Roman"/>
                <w:snapToGrid/>
                <w:color w:val="auto"/>
                <w:kern w:val="2"/>
                <w:sz w:val="21"/>
                <w:szCs w:val="21"/>
              </w:rPr>
              <w:t>E3</w:t>
            </w:r>
            <w:r>
              <w:rPr>
                <w:rFonts w:hint="default" w:ascii="Times New Roman" w:hAnsi="Times New Roman" w:cs="Times New Roman"/>
                <w:snapToGrid/>
                <w:color w:val="auto"/>
                <w:kern w:val="2"/>
                <w:sz w:val="21"/>
                <w:szCs w:val="21"/>
              </w:rPr>
              <w:t>）</w:t>
            </w:r>
          </w:p>
        </w:tc>
        <w:tc>
          <w:tcPr>
            <w:tcW w:w="926" w:type="pct"/>
            <w:noWrap w:val="0"/>
            <w:vAlign w:val="center"/>
          </w:tcPr>
          <w:p w14:paraId="0672D81B">
            <w:pPr>
              <w:adjustRightInd/>
              <w:snapToGrid/>
              <w:spacing w:line="240" w:lineRule="auto"/>
              <w:ind w:firstLine="0"/>
              <w:jc w:val="center"/>
              <w:textAlignment w:val="auto"/>
              <w:rPr>
                <w:rFonts w:hint="default" w:ascii="Times New Roman" w:hAnsi="Times New Roman" w:eastAsia="Times New Roman" w:cs="Times New Roman"/>
                <w:snapToGrid/>
                <w:color w:val="auto"/>
                <w:kern w:val="2"/>
                <w:sz w:val="21"/>
                <w:szCs w:val="21"/>
              </w:rPr>
            </w:pPr>
            <w:r>
              <w:rPr>
                <w:rFonts w:hint="eastAsia" w:eastAsia="宋体" w:cs="Times New Roman"/>
                <w:snapToGrid/>
                <w:color w:val="auto"/>
                <w:kern w:val="2"/>
                <w:sz w:val="21"/>
                <w:szCs w:val="21"/>
                <w:lang w:eastAsia="zh-CN"/>
              </w:rPr>
              <w:t>Ⅲ</w:t>
            </w:r>
          </w:p>
        </w:tc>
        <w:tc>
          <w:tcPr>
            <w:tcW w:w="914" w:type="pct"/>
            <w:noWrap w:val="0"/>
            <w:vAlign w:val="center"/>
          </w:tcPr>
          <w:p w14:paraId="66F69224">
            <w:pPr>
              <w:adjustRightInd/>
              <w:snapToGrid/>
              <w:spacing w:line="240" w:lineRule="auto"/>
              <w:ind w:firstLine="0"/>
              <w:jc w:val="center"/>
              <w:textAlignment w:val="auto"/>
              <w:rPr>
                <w:rFonts w:hint="default" w:ascii="Times New Roman" w:hAnsi="Times New Roman" w:eastAsia="Times New Roman" w:cs="Times New Roman"/>
                <w:snapToGrid/>
                <w:color w:val="auto"/>
                <w:kern w:val="2"/>
                <w:sz w:val="21"/>
                <w:szCs w:val="21"/>
              </w:rPr>
            </w:pPr>
            <w:r>
              <w:rPr>
                <w:rFonts w:hint="eastAsia" w:eastAsia="宋体" w:cs="Times New Roman"/>
                <w:snapToGrid/>
                <w:color w:val="auto"/>
                <w:kern w:val="2"/>
                <w:sz w:val="21"/>
                <w:szCs w:val="21"/>
                <w:lang w:eastAsia="zh-CN"/>
              </w:rPr>
              <w:t>Ⅲ</w:t>
            </w:r>
          </w:p>
        </w:tc>
        <w:tc>
          <w:tcPr>
            <w:tcW w:w="915" w:type="pct"/>
            <w:noWrap w:val="0"/>
            <w:vAlign w:val="center"/>
          </w:tcPr>
          <w:p w14:paraId="53D851B9">
            <w:pPr>
              <w:adjustRightInd/>
              <w:spacing w:line="240" w:lineRule="auto"/>
              <w:ind w:firstLine="0"/>
              <w:jc w:val="center"/>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16"/>
                <w:sz w:val="21"/>
                <w:szCs w:val="21"/>
              </w:rPr>
              <w:t>Ⅱ</w:t>
            </w:r>
          </w:p>
        </w:tc>
        <w:tc>
          <w:tcPr>
            <w:tcW w:w="778" w:type="pct"/>
            <w:noWrap w:val="0"/>
            <w:vAlign w:val="center"/>
          </w:tcPr>
          <w:p w14:paraId="36BF003A">
            <w:pPr>
              <w:adjustRightInd/>
              <w:spacing w:line="240" w:lineRule="auto"/>
              <w:ind w:firstLine="0"/>
              <w:jc w:val="center"/>
              <w:textAlignment w:val="auto"/>
              <w:rPr>
                <w:rFonts w:hint="default" w:ascii="Times New Roman" w:hAnsi="Times New Roman" w:cs="Times New Roman"/>
                <w:snapToGrid/>
                <w:color w:val="auto"/>
                <w:kern w:val="2"/>
                <w:sz w:val="21"/>
                <w:szCs w:val="21"/>
              </w:rPr>
            </w:pPr>
            <w:bookmarkStart w:id="483" w:name="OLE_LINK113"/>
            <w:r>
              <w:rPr>
                <w:rFonts w:hint="default" w:ascii="Times New Roman" w:hAnsi="Times New Roman" w:cs="Times New Roman"/>
                <w:snapToGrid/>
                <w:color w:val="auto"/>
                <w:kern w:val="16"/>
                <w:sz w:val="21"/>
                <w:szCs w:val="21"/>
              </w:rPr>
              <w:t>Ⅰ</w:t>
            </w:r>
            <w:bookmarkEnd w:id="483"/>
          </w:p>
        </w:tc>
      </w:tr>
      <w:tr w14:paraId="44996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noWrap w:val="0"/>
            <w:vAlign w:val="center"/>
          </w:tcPr>
          <w:p w14:paraId="00D494AD">
            <w:pPr>
              <w:adjustRightInd/>
              <w:spacing w:line="240" w:lineRule="auto"/>
              <w:ind w:firstLine="0"/>
              <w:jc w:val="left"/>
              <w:textAlignment w:val="auto"/>
              <w:rPr>
                <w:rFonts w:hint="default" w:ascii="Times New Roman" w:hAnsi="Times New Roman" w:cs="Times New Roman"/>
                <w:snapToGrid/>
                <w:color w:val="auto"/>
                <w:kern w:val="2"/>
                <w:sz w:val="21"/>
                <w:szCs w:val="21"/>
              </w:rPr>
            </w:pPr>
            <w:r>
              <w:rPr>
                <w:rFonts w:hint="default" w:ascii="Times New Roman" w:hAnsi="Times New Roman" w:cs="Times New Roman"/>
                <w:snapToGrid/>
                <w:color w:val="auto"/>
                <w:kern w:val="2"/>
                <w:sz w:val="21"/>
                <w:szCs w:val="21"/>
              </w:rPr>
              <w:t>注：</w:t>
            </w:r>
            <w:r>
              <w:rPr>
                <w:rFonts w:hint="eastAsia" w:cs="Times New Roman"/>
                <w:snapToGrid/>
                <w:color w:val="auto"/>
                <w:kern w:val="2"/>
                <w:sz w:val="21"/>
                <w:szCs w:val="21"/>
                <w:lang w:eastAsia="zh-CN"/>
              </w:rPr>
              <w:t>Ⅳ</w:t>
            </w:r>
            <w:r>
              <w:rPr>
                <w:rFonts w:hint="default" w:ascii="Times New Roman" w:hAnsi="Times New Roman" w:cs="Times New Roman"/>
                <w:snapToGrid/>
                <w:color w:val="auto"/>
                <w:kern w:val="2"/>
                <w:sz w:val="21"/>
                <w:szCs w:val="21"/>
              </w:rPr>
              <w:t xml:space="preserve"> + 为极高环境风险</w:t>
            </w:r>
          </w:p>
        </w:tc>
      </w:tr>
    </w:tbl>
    <w:p w14:paraId="183761C6">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p>
    <w:p w14:paraId="6A82D886">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表3-12 建设项目环境风险潜势划分</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12"/>
        <w:gridCol w:w="4804"/>
      </w:tblGrid>
      <w:tr w14:paraId="07665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79" w:type="pct"/>
            <w:noWrap w:val="0"/>
            <w:vAlign w:val="center"/>
          </w:tcPr>
          <w:p w14:paraId="4B184570">
            <w:pPr>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环境要素</w:t>
            </w:r>
          </w:p>
        </w:tc>
        <w:tc>
          <w:tcPr>
            <w:tcW w:w="2820" w:type="pct"/>
            <w:noWrap w:val="0"/>
            <w:vAlign w:val="center"/>
          </w:tcPr>
          <w:p w14:paraId="2C71A73F">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环境风险潜势</w:t>
            </w:r>
          </w:p>
        </w:tc>
      </w:tr>
      <w:tr w14:paraId="08E00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79" w:type="pct"/>
            <w:noWrap w:val="0"/>
            <w:vAlign w:val="center"/>
          </w:tcPr>
          <w:p w14:paraId="152FE9FD">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2820" w:type="pct"/>
            <w:noWrap w:val="0"/>
            <w:vAlign w:val="center"/>
          </w:tcPr>
          <w:p w14:paraId="4DDCD5E0">
            <w:pPr>
              <w:spacing w:line="240" w:lineRule="auto"/>
              <w:ind w:firstLine="454" w:firstLineChars="0"/>
              <w:jc w:val="center"/>
              <w:rPr>
                <w:rFonts w:hint="default" w:ascii="Times New Roman" w:hAnsi="Times New Roman" w:cs="Times New Roman"/>
                <w:color w:val="auto"/>
                <w:sz w:val="21"/>
                <w:szCs w:val="21"/>
              </w:rPr>
            </w:pPr>
            <w:bookmarkStart w:id="484" w:name="OLE_LINK114"/>
            <w:r>
              <w:rPr>
                <w:rFonts w:hint="eastAsia" w:cs="Times New Roman"/>
                <w:snapToGrid/>
                <w:color w:val="auto"/>
                <w:kern w:val="2"/>
                <w:sz w:val="21"/>
                <w:szCs w:val="21"/>
                <w:lang w:eastAsia="zh-CN"/>
              </w:rPr>
              <w:t>Ⅲ</w:t>
            </w:r>
            <w:bookmarkEnd w:id="484"/>
          </w:p>
        </w:tc>
      </w:tr>
      <w:tr w14:paraId="48B03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79" w:type="pct"/>
            <w:noWrap w:val="0"/>
            <w:vAlign w:val="center"/>
          </w:tcPr>
          <w:p w14:paraId="66FA7E41">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2820" w:type="pct"/>
            <w:noWrap w:val="0"/>
            <w:vAlign w:val="center"/>
          </w:tcPr>
          <w:p w14:paraId="672326A0">
            <w:pPr>
              <w:spacing w:line="240" w:lineRule="auto"/>
              <w:ind w:left="-105" w:leftChars="-50" w:right="-105" w:rightChars="-50" w:firstLine="454" w:firstLineChars="0"/>
              <w:jc w:val="center"/>
              <w:rPr>
                <w:rFonts w:hint="default" w:ascii="Times New Roman" w:hAnsi="Times New Roman" w:cs="Times New Roman"/>
                <w:color w:val="auto"/>
                <w:sz w:val="21"/>
                <w:szCs w:val="21"/>
              </w:rPr>
            </w:pPr>
            <w:r>
              <w:rPr>
                <w:rFonts w:hint="default" w:ascii="Times New Roman" w:hAnsi="Times New Roman" w:cs="Times New Roman"/>
                <w:snapToGrid/>
                <w:color w:val="auto"/>
                <w:kern w:val="16"/>
                <w:sz w:val="21"/>
                <w:szCs w:val="21"/>
              </w:rPr>
              <w:t>Ⅱ</w:t>
            </w:r>
          </w:p>
        </w:tc>
      </w:tr>
      <w:tr w14:paraId="5685B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179" w:type="pct"/>
            <w:noWrap w:val="0"/>
            <w:vAlign w:val="center"/>
          </w:tcPr>
          <w:p w14:paraId="7FF48875">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地下水环境</w:t>
            </w:r>
          </w:p>
        </w:tc>
        <w:tc>
          <w:tcPr>
            <w:tcW w:w="2820" w:type="pct"/>
            <w:noWrap w:val="0"/>
            <w:vAlign w:val="center"/>
          </w:tcPr>
          <w:p w14:paraId="767AEA20">
            <w:pPr>
              <w:spacing w:line="240" w:lineRule="auto"/>
              <w:ind w:left="-105" w:leftChars="-50" w:right="-105" w:rightChars="-50" w:firstLine="454" w:firstLineChars="0"/>
              <w:jc w:val="center"/>
              <w:rPr>
                <w:rFonts w:hint="default" w:ascii="Times New Roman" w:hAnsi="Times New Roman" w:cs="Times New Roman"/>
                <w:color w:val="auto"/>
                <w:sz w:val="21"/>
                <w:szCs w:val="21"/>
              </w:rPr>
            </w:pPr>
            <w:r>
              <w:rPr>
                <w:rFonts w:hint="default" w:ascii="Times New Roman" w:hAnsi="Times New Roman" w:cs="Times New Roman"/>
                <w:snapToGrid/>
                <w:color w:val="auto"/>
                <w:kern w:val="2"/>
                <w:sz w:val="21"/>
                <w:szCs w:val="21"/>
              </w:rPr>
              <w:t>III</w:t>
            </w:r>
          </w:p>
        </w:tc>
      </w:tr>
      <w:bookmarkEnd w:id="481"/>
    </w:tbl>
    <w:p w14:paraId="6817EEDF">
      <w:pPr>
        <w:adjustRightInd/>
        <w:snapToGrid/>
        <w:spacing w:line="360" w:lineRule="auto"/>
        <w:ind w:firstLine="480"/>
        <w:textAlignment w:val="auto"/>
        <w:rPr>
          <w:rFonts w:hint="default" w:ascii="Times New Roman" w:hAnsi="Times New Roman" w:eastAsia="Times New Roman" w:cs="Times New Roman"/>
          <w:snapToGrid/>
          <w:color w:val="auto"/>
          <w:kern w:val="2"/>
          <w:szCs w:val="24"/>
          <w:lang w:val="en-US" w:eastAsia="zh-CN"/>
        </w:rPr>
      </w:pPr>
      <w:r>
        <w:rPr>
          <w:rFonts w:hint="default" w:ascii="Times New Roman" w:hAnsi="Times New Roman" w:cs="Times New Roman"/>
          <w:snapToGrid/>
          <w:color w:val="auto"/>
          <w:kern w:val="2"/>
          <w:sz w:val="24"/>
          <w:szCs w:val="24"/>
          <w:lang w:val="en-US" w:eastAsia="zh-CN"/>
        </w:rPr>
        <w:t>根据上表，确定本项目环境风险潜势等级为</w:t>
      </w:r>
      <w:r>
        <w:rPr>
          <w:rFonts w:hint="default" w:ascii="Times New Roman" w:hAnsi="Times New Roman" w:cs="Times New Roman"/>
          <w:snapToGrid/>
          <w:color w:val="auto"/>
          <w:kern w:val="2"/>
          <w:sz w:val="21"/>
          <w:szCs w:val="21"/>
        </w:rPr>
        <w:t>III</w:t>
      </w:r>
      <w:r>
        <w:rPr>
          <w:rFonts w:hint="default" w:ascii="Times New Roman" w:hAnsi="Times New Roman" w:cs="Times New Roman"/>
          <w:snapToGrid/>
          <w:color w:val="auto"/>
          <w:kern w:val="2"/>
          <w:sz w:val="24"/>
          <w:szCs w:val="24"/>
          <w:lang w:val="en-US" w:eastAsia="zh-CN"/>
        </w:rPr>
        <w:t>级。</w:t>
      </w:r>
    </w:p>
    <w:p w14:paraId="17665D68">
      <w:pPr>
        <w:keepNext w:val="0"/>
        <w:keepLines w:val="0"/>
        <w:widowControl/>
        <w:suppressLineNumbers w:val="0"/>
        <w:spacing w:line="360" w:lineRule="auto"/>
        <w:jc w:val="left"/>
        <w:outlineLvl w:val="0"/>
        <w:rPr>
          <w:rFonts w:hint="default" w:ascii="Times New Roman" w:hAnsi="Times New Roman" w:eastAsia="宋体" w:cs="Times New Roman"/>
          <w:b/>
          <w:bCs/>
          <w:color w:val="auto"/>
          <w:kern w:val="0"/>
          <w:sz w:val="30"/>
          <w:szCs w:val="30"/>
          <w:lang w:val="en-US" w:eastAsia="zh-CN" w:bidi="ar"/>
        </w:rPr>
      </w:pPr>
      <w:bookmarkStart w:id="485" w:name="_Toc669"/>
      <w:bookmarkStart w:id="486" w:name="_Toc8270"/>
      <w:bookmarkStart w:id="487" w:name="_Toc31798"/>
      <w:bookmarkStart w:id="488" w:name="_Toc29700"/>
      <w:bookmarkStart w:id="489" w:name="_Toc20319"/>
      <w:r>
        <w:rPr>
          <w:rFonts w:hint="default" w:ascii="Times New Roman" w:hAnsi="Times New Roman" w:eastAsia="宋体" w:cs="Times New Roman"/>
          <w:b/>
          <w:bCs/>
          <w:color w:val="auto"/>
          <w:kern w:val="0"/>
          <w:sz w:val="30"/>
          <w:szCs w:val="30"/>
          <w:lang w:val="en-US" w:eastAsia="zh-CN" w:bidi="ar"/>
        </w:rPr>
        <w:t>4评价等级和评价范围</w:t>
      </w:r>
      <w:bookmarkEnd w:id="485"/>
      <w:bookmarkEnd w:id="486"/>
      <w:bookmarkEnd w:id="487"/>
      <w:bookmarkEnd w:id="488"/>
      <w:bookmarkEnd w:id="489"/>
    </w:p>
    <w:p w14:paraId="5C5E0289">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490" w:name="_Toc2735"/>
      <w:bookmarkStart w:id="491" w:name="_Toc13481"/>
      <w:bookmarkStart w:id="492" w:name="_Toc1503"/>
      <w:bookmarkStart w:id="493" w:name="_Toc24491"/>
      <w:bookmarkStart w:id="494" w:name="_Toc4405762"/>
      <w:bookmarkStart w:id="495" w:name="_Toc17181"/>
      <w:r>
        <w:rPr>
          <w:rFonts w:hint="default" w:ascii="Times New Roman" w:hAnsi="Times New Roman" w:eastAsia="宋体" w:cs="Times New Roman"/>
          <w:b/>
          <w:bCs/>
          <w:color w:val="auto"/>
          <w:kern w:val="0"/>
          <w:sz w:val="28"/>
          <w:szCs w:val="28"/>
          <w:lang w:val="en-US" w:eastAsia="zh-CN" w:bidi="ar"/>
        </w:rPr>
        <w:t>4.1评价等级</w:t>
      </w:r>
      <w:bookmarkEnd w:id="490"/>
      <w:bookmarkEnd w:id="491"/>
      <w:bookmarkEnd w:id="492"/>
      <w:bookmarkEnd w:id="493"/>
      <w:bookmarkEnd w:id="494"/>
      <w:bookmarkEnd w:id="495"/>
    </w:p>
    <w:p w14:paraId="23335084">
      <w:pPr>
        <w:adjustRightInd/>
        <w:snapToGrid/>
        <w:spacing w:line="360" w:lineRule="auto"/>
        <w:ind w:firstLine="480"/>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本项目危险物质在事故情形下风险潜势为III，根据《建设项目环境风险评价技术导则》（HJ 169－2018）评价工作等级划分要求，确定本项目环境风险评价等级为</w:t>
      </w:r>
      <w:r>
        <w:rPr>
          <w:rFonts w:hint="default" w:ascii="Times New Roman" w:hAnsi="Times New Roman" w:cs="Times New Roman"/>
          <w:snapToGrid/>
          <w:color w:val="auto"/>
          <w:kern w:val="2"/>
          <w:sz w:val="24"/>
          <w:szCs w:val="24"/>
          <w:lang w:val="en-US" w:eastAsia="zh-CN"/>
        </w:rPr>
        <w:t>二级评价</w:t>
      </w:r>
      <w:r>
        <w:rPr>
          <w:rFonts w:hint="default" w:ascii="Times New Roman" w:hAnsi="Times New Roman" w:cs="Times New Roman"/>
          <w:snapToGrid/>
          <w:color w:val="auto"/>
          <w:kern w:val="2"/>
          <w:sz w:val="24"/>
          <w:szCs w:val="24"/>
        </w:rPr>
        <w:t>。</w:t>
      </w:r>
    </w:p>
    <w:p w14:paraId="1107D35F">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表4-1 风险评价工作级别划分</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82"/>
        <w:gridCol w:w="1604"/>
        <w:gridCol w:w="1773"/>
        <w:gridCol w:w="1773"/>
        <w:gridCol w:w="1775"/>
      </w:tblGrid>
      <w:tr w14:paraId="2EBF7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32" w:type="pct"/>
            <w:noWrap w:val="0"/>
            <w:vAlign w:val="center"/>
          </w:tcPr>
          <w:p w14:paraId="09C81F01">
            <w:pPr>
              <w:tabs>
                <w:tab w:val="left" w:pos="4305"/>
              </w:tabs>
              <w:adjustRightInd/>
              <w:spacing w:line="240" w:lineRule="auto"/>
              <w:ind w:firstLine="0"/>
              <w:jc w:val="center"/>
              <w:rPr>
                <w:rFonts w:hint="default" w:ascii="Times New Roman" w:hAnsi="Times New Roman" w:cs="Times New Roman"/>
                <w:b/>
                <w:snapToGrid/>
                <w:color w:val="auto"/>
                <w:kern w:val="16"/>
                <w:sz w:val="21"/>
                <w:szCs w:val="21"/>
              </w:rPr>
            </w:pPr>
            <w:r>
              <w:rPr>
                <w:rFonts w:hint="default" w:ascii="Times New Roman" w:hAnsi="Times New Roman" w:cs="Times New Roman"/>
                <w:b/>
                <w:snapToGrid/>
                <w:color w:val="auto"/>
                <w:kern w:val="16"/>
                <w:sz w:val="21"/>
                <w:szCs w:val="21"/>
              </w:rPr>
              <w:t>环境风险潜势</w:t>
            </w:r>
          </w:p>
        </w:tc>
        <w:tc>
          <w:tcPr>
            <w:tcW w:w="965" w:type="pct"/>
            <w:tcBorders>
              <w:bottom w:val="single" w:color="auto" w:sz="4" w:space="0"/>
            </w:tcBorders>
            <w:noWrap w:val="0"/>
            <w:vAlign w:val="center"/>
          </w:tcPr>
          <w:p w14:paraId="22652EEE">
            <w:pPr>
              <w:tabs>
                <w:tab w:val="left" w:pos="4305"/>
              </w:tabs>
              <w:adjustRightInd/>
              <w:spacing w:line="240" w:lineRule="auto"/>
              <w:ind w:firstLine="0"/>
              <w:jc w:val="center"/>
              <w:rPr>
                <w:rFonts w:hint="default" w:ascii="Times New Roman" w:hAnsi="Times New Roman" w:cs="Times New Roman"/>
                <w:b/>
                <w:snapToGrid/>
                <w:color w:val="auto"/>
                <w:kern w:val="16"/>
                <w:sz w:val="21"/>
                <w:szCs w:val="21"/>
              </w:rPr>
            </w:pPr>
            <w:r>
              <w:rPr>
                <w:rFonts w:hint="default" w:ascii="Times New Roman" w:hAnsi="Times New Roman" w:cs="Times New Roman"/>
                <w:snapToGrid/>
                <w:color w:val="auto"/>
                <w:kern w:val="16"/>
                <w:sz w:val="21"/>
                <w:szCs w:val="21"/>
              </w:rPr>
              <w:t>Ⅳ</w:t>
            </w:r>
            <w:r>
              <w:rPr>
                <w:rFonts w:hint="default" w:ascii="Times New Roman" w:hAnsi="Times New Roman" w:eastAsia="黑体" w:cs="Times New Roman"/>
                <w:snapToGrid/>
                <w:color w:val="auto"/>
                <w:kern w:val="16"/>
                <w:sz w:val="21"/>
                <w:szCs w:val="21"/>
              </w:rPr>
              <w:t>、</w:t>
            </w:r>
            <w:r>
              <w:rPr>
                <w:rFonts w:hint="default" w:ascii="Times New Roman" w:hAnsi="Times New Roman" w:cs="Times New Roman"/>
                <w:snapToGrid/>
                <w:color w:val="auto"/>
                <w:kern w:val="16"/>
                <w:sz w:val="21"/>
                <w:szCs w:val="21"/>
              </w:rPr>
              <w:t>Ⅳ</w:t>
            </w:r>
            <w:r>
              <w:rPr>
                <w:rFonts w:hint="default" w:ascii="Times New Roman" w:hAnsi="Times New Roman" w:eastAsia="黑体" w:cs="Times New Roman"/>
                <w:snapToGrid/>
                <w:color w:val="auto"/>
                <w:kern w:val="16"/>
                <w:sz w:val="21"/>
                <w:szCs w:val="21"/>
                <w:vertAlign w:val="superscript"/>
              </w:rPr>
              <w:t>+</w:t>
            </w:r>
          </w:p>
        </w:tc>
        <w:tc>
          <w:tcPr>
            <w:tcW w:w="1067" w:type="pct"/>
            <w:noWrap w:val="0"/>
            <w:vAlign w:val="center"/>
          </w:tcPr>
          <w:p w14:paraId="09747FDC">
            <w:pPr>
              <w:tabs>
                <w:tab w:val="left" w:pos="4305"/>
              </w:tabs>
              <w:adjustRightInd/>
              <w:spacing w:line="240" w:lineRule="auto"/>
              <w:ind w:firstLine="0"/>
              <w:jc w:val="center"/>
              <w:rPr>
                <w:rFonts w:hint="default" w:ascii="Times New Roman" w:hAnsi="Times New Roman" w:cs="Times New Roman"/>
                <w:b/>
                <w:snapToGrid/>
                <w:color w:val="auto"/>
                <w:kern w:val="16"/>
                <w:sz w:val="21"/>
                <w:szCs w:val="21"/>
              </w:rPr>
            </w:pPr>
            <w:r>
              <w:rPr>
                <w:rFonts w:hint="default" w:ascii="Times New Roman" w:hAnsi="Times New Roman" w:cs="Times New Roman"/>
                <w:snapToGrid/>
                <w:color w:val="auto"/>
                <w:kern w:val="16"/>
                <w:sz w:val="21"/>
                <w:szCs w:val="21"/>
              </w:rPr>
              <w:t>Ⅲ</w:t>
            </w:r>
          </w:p>
        </w:tc>
        <w:tc>
          <w:tcPr>
            <w:tcW w:w="1067" w:type="pct"/>
            <w:noWrap w:val="0"/>
            <w:vAlign w:val="center"/>
          </w:tcPr>
          <w:p w14:paraId="79A36729">
            <w:pPr>
              <w:tabs>
                <w:tab w:val="left" w:pos="4305"/>
              </w:tabs>
              <w:adjustRightInd/>
              <w:spacing w:line="240" w:lineRule="auto"/>
              <w:ind w:firstLine="0"/>
              <w:jc w:val="center"/>
              <w:rPr>
                <w:rFonts w:hint="default" w:ascii="Times New Roman" w:hAnsi="Times New Roman" w:cs="Times New Roman"/>
                <w:b/>
                <w:snapToGrid/>
                <w:color w:val="auto"/>
                <w:kern w:val="16"/>
                <w:sz w:val="21"/>
                <w:szCs w:val="21"/>
              </w:rPr>
            </w:pPr>
            <w:r>
              <w:rPr>
                <w:rFonts w:hint="default" w:ascii="Times New Roman" w:hAnsi="Times New Roman" w:cs="Times New Roman"/>
                <w:snapToGrid/>
                <w:color w:val="auto"/>
                <w:kern w:val="16"/>
                <w:sz w:val="21"/>
                <w:szCs w:val="21"/>
              </w:rPr>
              <w:t>Ⅱ</w:t>
            </w:r>
          </w:p>
        </w:tc>
        <w:tc>
          <w:tcPr>
            <w:tcW w:w="1068" w:type="pct"/>
            <w:noWrap w:val="0"/>
            <w:vAlign w:val="center"/>
          </w:tcPr>
          <w:p w14:paraId="72F16D71">
            <w:pPr>
              <w:tabs>
                <w:tab w:val="left" w:pos="4305"/>
              </w:tabs>
              <w:adjustRightInd/>
              <w:spacing w:line="240" w:lineRule="auto"/>
              <w:ind w:firstLine="0"/>
              <w:jc w:val="center"/>
              <w:rPr>
                <w:rFonts w:hint="default" w:ascii="Times New Roman" w:hAnsi="Times New Roman" w:cs="Times New Roman"/>
                <w:b/>
                <w:snapToGrid/>
                <w:color w:val="auto"/>
                <w:kern w:val="16"/>
                <w:sz w:val="21"/>
                <w:szCs w:val="21"/>
              </w:rPr>
            </w:pPr>
            <w:r>
              <w:rPr>
                <w:rFonts w:hint="default" w:ascii="Times New Roman" w:hAnsi="Times New Roman" w:cs="Times New Roman"/>
                <w:snapToGrid/>
                <w:color w:val="auto"/>
                <w:kern w:val="16"/>
                <w:sz w:val="21"/>
                <w:szCs w:val="21"/>
              </w:rPr>
              <w:t>Ⅰ</w:t>
            </w:r>
          </w:p>
        </w:tc>
      </w:tr>
      <w:tr w14:paraId="32BF2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832" w:type="pct"/>
            <w:noWrap w:val="0"/>
            <w:vAlign w:val="center"/>
          </w:tcPr>
          <w:p w14:paraId="122ACAA4">
            <w:pPr>
              <w:tabs>
                <w:tab w:val="left" w:pos="4305"/>
              </w:tabs>
              <w:adjustRightInd/>
              <w:spacing w:line="240" w:lineRule="auto"/>
              <w:ind w:firstLine="0"/>
              <w:jc w:val="center"/>
              <w:rPr>
                <w:rFonts w:hint="default" w:ascii="Times New Roman" w:hAnsi="Times New Roman" w:cs="Times New Roman"/>
                <w:b/>
                <w:snapToGrid/>
                <w:color w:val="auto"/>
                <w:kern w:val="16"/>
                <w:sz w:val="21"/>
                <w:szCs w:val="21"/>
              </w:rPr>
            </w:pPr>
            <w:r>
              <w:rPr>
                <w:rFonts w:hint="default" w:ascii="Times New Roman" w:hAnsi="Times New Roman" w:cs="Times New Roman"/>
                <w:b/>
                <w:snapToGrid/>
                <w:color w:val="auto"/>
                <w:kern w:val="16"/>
                <w:sz w:val="21"/>
                <w:szCs w:val="21"/>
              </w:rPr>
              <w:t>评价工作等级</w:t>
            </w:r>
          </w:p>
        </w:tc>
        <w:tc>
          <w:tcPr>
            <w:tcW w:w="965" w:type="pct"/>
            <w:noWrap w:val="0"/>
            <w:vAlign w:val="center"/>
          </w:tcPr>
          <w:p w14:paraId="3D45CC6E">
            <w:pPr>
              <w:tabs>
                <w:tab w:val="left" w:pos="4305"/>
              </w:tabs>
              <w:adjustRightInd/>
              <w:spacing w:line="240" w:lineRule="auto"/>
              <w:ind w:firstLine="0"/>
              <w:jc w:val="center"/>
              <w:rPr>
                <w:rFonts w:hint="default" w:ascii="Times New Roman" w:hAnsi="Times New Roman" w:cs="Times New Roman"/>
                <w:snapToGrid/>
                <w:color w:val="auto"/>
                <w:kern w:val="16"/>
                <w:sz w:val="21"/>
                <w:szCs w:val="21"/>
              </w:rPr>
            </w:pPr>
            <w:r>
              <w:rPr>
                <w:rFonts w:hint="default" w:ascii="Times New Roman" w:hAnsi="Times New Roman" w:cs="Times New Roman"/>
                <w:snapToGrid/>
                <w:color w:val="auto"/>
                <w:kern w:val="16"/>
                <w:sz w:val="21"/>
                <w:szCs w:val="21"/>
              </w:rPr>
              <w:t>一</w:t>
            </w:r>
          </w:p>
        </w:tc>
        <w:tc>
          <w:tcPr>
            <w:tcW w:w="1067" w:type="pct"/>
            <w:noWrap w:val="0"/>
            <w:vAlign w:val="center"/>
          </w:tcPr>
          <w:p w14:paraId="593763AD">
            <w:pPr>
              <w:tabs>
                <w:tab w:val="left" w:pos="4305"/>
              </w:tabs>
              <w:adjustRightInd/>
              <w:spacing w:line="240" w:lineRule="auto"/>
              <w:ind w:firstLine="0"/>
              <w:jc w:val="center"/>
              <w:rPr>
                <w:rFonts w:hint="default" w:ascii="Times New Roman" w:hAnsi="Times New Roman" w:cs="Times New Roman"/>
                <w:snapToGrid/>
                <w:color w:val="auto"/>
                <w:kern w:val="16"/>
                <w:sz w:val="21"/>
                <w:szCs w:val="21"/>
              </w:rPr>
            </w:pPr>
            <w:r>
              <w:rPr>
                <w:rFonts w:hint="default" w:ascii="Times New Roman" w:hAnsi="Times New Roman" w:cs="Times New Roman"/>
                <w:snapToGrid/>
                <w:color w:val="auto"/>
                <w:kern w:val="16"/>
                <w:sz w:val="21"/>
                <w:szCs w:val="21"/>
                <w:shd w:val="clear" w:color="FFFFFF" w:fill="D9D9D9"/>
              </w:rPr>
              <w:t>二</w:t>
            </w:r>
          </w:p>
        </w:tc>
        <w:tc>
          <w:tcPr>
            <w:tcW w:w="1067" w:type="pct"/>
            <w:noWrap w:val="0"/>
            <w:vAlign w:val="center"/>
          </w:tcPr>
          <w:p w14:paraId="7BADF566">
            <w:pPr>
              <w:tabs>
                <w:tab w:val="left" w:pos="4305"/>
              </w:tabs>
              <w:adjustRightInd/>
              <w:spacing w:line="240" w:lineRule="auto"/>
              <w:ind w:firstLine="0"/>
              <w:jc w:val="center"/>
              <w:rPr>
                <w:rFonts w:hint="default" w:ascii="Times New Roman" w:hAnsi="Times New Roman" w:eastAsia="宋体" w:cs="Times New Roman"/>
                <w:snapToGrid/>
                <w:color w:val="auto"/>
                <w:kern w:val="16"/>
                <w:sz w:val="21"/>
                <w:szCs w:val="21"/>
                <w:lang w:val="en-US" w:eastAsia="zh-CN"/>
              </w:rPr>
            </w:pPr>
            <w:r>
              <w:rPr>
                <w:rFonts w:hint="default" w:ascii="Times New Roman" w:hAnsi="Times New Roman" w:cs="Times New Roman"/>
                <w:snapToGrid/>
                <w:color w:val="auto"/>
                <w:kern w:val="16"/>
                <w:sz w:val="21"/>
                <w:szCs w:val="21"/>
                <w:lang w:val="en-US" w:eastAsia="zh-CN"/>
              </w:rPr>
              <w:t>三</w:t>
            </w:r>
          </w:p>
        </w:tc>
        <w:tc>
          <w:tcPr>
            <w:tcW w:w="1068" w:type="pct"/>
            <w:noWrap w:val="0"/>
            <w:vAlign w:val="center"/>
          </w:tcPr>
          <w:p w14:paraId="77638260">
            <w:pPr>
              <w:tabs>
                <w:tab w:val="left" w:pos="4305"/>
              </w:tabs>
              <w:adjustRightInd/>
              <w:spacing w:line="240" w:lineRule="auto"/>
              <w:ind w:firstLine="0"/>
              <w:jc w:val="center"/>
              <w:rPr>
                <w:rFonts w:hint="default" w:ascii="Times New Roman" w:hAnsi="Times New Roman" w:cs="Times New Roman"/>
                <w:snapToGrid/>
                <w:color w:val="auto"/>
                <w:kern w:val="16"/>
                <w:sz w:val="21"/>
                <w:szCs w:val="21"/>
              </w:rPr>
            </w:pPr>
            <w:r>
              <w:rPr>
                <w:rFonts w:hint="default" w:ascii="Times New Roman" w:hAnsi="Times New Roman" w:cs="Times New Roman"/>
                <w:snapToGrid/>
                <w:color w:val="auto"/>
                <w:kern w:val="16"/>
                <w:sz w:val="21"/>
                <w:szCs w:val="21"/>
                <w:highlight w:val="none"/>
              </w:rPr>
              <w:t>简单分析</w:t>
            </w:r>
          </w:p>
        </w:tc>
      </w:tr>
    </w:tbl>
    <w:p w14:paraId="54A150AE">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496" w:name="_Toc806"/>
      <w:bookmarkStart w:id="497" w:name="_Toc17527"/>
      <w:bookmarkStart w:id="498" w:name="_Toc26957"/>
      <w:bookmarkStart w:id="499" w:name="_Toc8223"/>
      <w:bookmarkStart w:id="500" w:name="_Toc8543"/>
      <w:r>
        <w:rPr>
          <w:rFonts w:hint="default" w:ascii="Times New Roman" w:hAnsi="Times New Roman" w:eastAsia="宋体" w:cs="Times New Roman"/>
          <w:b/>
          <w:bCs/>
          <w:color w:val="auto"/>
          <w:kern w:val="0"/>
          <w:sz w:val="28"/>
          <w:szCs w:val="28"/>
          <w:lang w:val="en-US" w:eastAsia="zh-CN" w:bidi="ar"/>
        </w:rPr>
        <w:t>4.2评价范围</w:t>
      </w:r>
      <w:bookmarkEnd w:id="496"/>
      <w:bookmarkEnd w:id="497"/>
      <w:bookmarkEnd w:id="498"/>
      <w:bookmarkEnd w:id="499"/>
      <w:bookmarkEnd w:id="500"/>
    </w:p>
    <w:p w14:paraId="7354B2F5">
      <w:pPr>
        <w:adjustRightInd/>
        <w:snapToGrid/>
        <w:spacing w:line="360" w:lineRule="auto"/>
        <w:ind w:firstLine="480"/>
        <w:textAlignment w:val="auto"/>
        <w:rPr>
          <w:rFonts w:hint="default" w:ascii="Times New Roman" w:hAnsi="Times New Roman" w:cs="Times New Roman"/>
          <w:snapToGrid/>
          <w:color w:val="auto"/>
          <w:kern w:val="2"/>
          <w:sz w:val="24"/>
          <w:szCs w:val="24"/>
          <w:highlight w:val="none"/>
          <w:lang w:val="en-US" w:eastAsia="zh-CN"/>
        </w:rPr>
      </w:pPr>
      <w:bookmarkStart w:id="501" w:name="OLE_LINK210"/>
      <w:r>
        <w:rPr>
          <w:rFonts w:hint="default" w:ascii="Times New Roman" w:hAnsi="Times New Roman" w:cs="Times New Roman"/>
          <w:snapToGrid/>
          <w:color w:val="auto"/>
          <w:kern w:val="2"/>
          <w:sz w:val="24"/>
          <w:szCs w:val="24"/>
        </w:rPr>
        <w:t>根据《建设项目环境风险评价技术导则》（HJ 169-2018）的规定，本项目大气环</w:t>
      </w:r>
      <w:r>
        <w:rPr>
          <w:rFonts w:hint="default" w:ascii="Times New Roman" w:hAnsi="Times New Roman" w:cs="Times New Roman"/>
          <w:snapToGrid/>
          <w:color w:val="auto"/>
          <w:kern w:val="2"/>
          <w:sz w:val="24"/>
          <w:szCs w:val="24"/>
          <w:highlight w:val="none"/>
        </w:rPr>
        <w:t>境风险评价范围为距离项目厂界</w:t>
      </w:r>
      <w:r>
        <w:rPr>
          <w:rFonts w:hint="default" w:ascii="Times New Roman" w:hAnsi="Times New Roman" w:cs="Times New Roman"/>
          <w:snapToGrid/>
          <w:color w:val="auto"/>
          <w:kern w:val="2"/>
          <w:sz w:val="24"/>
          <w:szCs w:val="24"/>
          <w:highlight w:val="none"/>
          <w:lang w:val="en-US" w:eastAsia="zh-CN"/>
        </w:rPr>
        <w:t>5</w:t>
      </w:r>
      <w:r>
        <w:rPr>
          <w:rFonts w:hint="default" w:ascii="Times New Roman" w:hAnsi="Times New Roman" w:cs="Times New Roman"/>
          <w:snapToGrid/>
          <w:color w:val="auto"/>
          <w:kern w:val="2"/>
          <w:sz w:val="24"/>
          <w:szCs w:val="24"/>
          <w:highlight w:val="none"/>
        </w:rPr>
        <w:t>km的范围，具体评价范围见图</w:t>
      </w:r>
      <w:r>
        <w:rPr>
          <w:rFonts w:hint="default" w:ascii="Times New Roman" w:hAnsi="Times New Roman" w:cs="Times New Roman"/>
          <w:snapToGrid/>
          <w:color w:val="auto"/>
          <w:kern w:val="2"/>
          <w:sz w:val="24"/>
          <w:szCs w:val="24"/>
          <w:highlight w:val="none"/>
          <w:lang w:val="en-US" w:eastAsia="zh-CN"/>
        </w:rPr>
        <w:t>2-1；地下水</w:t>
      </w:r>
      <w:r>
        <w:rPr>
          <w:rFonts w:hint="default" w:ascii="Times New Roman" w:hAnsi="Times New Roman" w:cs="Times New Roman"/>
          <w:snapToGrid/>
          <w:color w:val="auto"/>
          <w:kern w:val="2"/>
          <w:sz w:val="24"/>
          <w:szCs w:val="24"/>
        </w:rPr>
        <w:t>环</w:t>
      </w:r>
      <w:r>
        <w:rPr>
          <w:rFonts w:hint="default" w:ascii="Times New Roman" w:hAnsi="Times New Roman" w:cs="Times New Roman"/>
          <w:snapToGrid/>
          <w:color w:val="auto"/>
          <w:kern w:val="2"/>
          <w:sz w:val="24"/>
          <w:szCs w:val="24"/>
          <w:highlight w:val="none"/>
        </w:rPr>
        <w:t>境风险</w:t>
      </w:r>
      <w:r>
        <w:rPr>
          <w:rFonts w:hint="eastAsia" w:cs="Times New Roman"/>
          <w:snapToGrid/>
          <w:color w:val="auto"/>
          <w:kern w:val="2"/>
          <w:sz w:val="24"/>
          <w:szCs w:val="24"/>
          <w:highlight w:val="none"/>
          <w:lang w:val="en-US" w:eastAsia="zh-CN"/>
        </w:rPr>
        <w:t>评价范围为</w:t>
      </w:r>
      <w:r>
        <w:rPr>
          <w:rFonts w:hint="default" w:ascii="Times New Roman" w:hAnsi="Times New Roman" w:cs="Times New Roman" w:eastAsiaTheme="minorEastAsia"/>
          <w:color w:val="auto"/>
          <w:sz w:val="24"/>
          <w:szCs w:val="24"/>
          <w:highlight w:val="none"/>
          <w:lang w:val="en-US" w:eastAsia="zh-CN"/>
        </w:rPr>
        <w:t>20km</w:t>
      </w:r>
      <w:r>
        <w:rPr>
          <w:rFonts w:hint="default" w:ascii="Times New Roman" w:hAnsi="Times New Roman" w:cs="Times New Roman" w:eastAsiaTheme="minorEastAsia"/>
          <w:color w:val="auto"/>
          <w:sz w:val="24"/>
          <w:szCs w:val="24"/>
          <w:highlight w:val="none"/>
          <w:vertAlign w:val="superscript"/>
          <w:lang w:val="en-US" w:eastAsia="zh-CN"/>
        </w:rPr>
        <w:t>2</w:t>
      </w:r>
      <w:r>
        <w:rPr>
          <w:rFonts w:hint="eastAsia" w:ascii="Times New Roman" w:hAnsi="Times New Roman" w:cs="Times New Roman" w:eastAsiaTheme="minorEastAsia"/>
          <w:color w:val="auto"/>
          <w:sz w:val="24"/>
          <w:szCs w:val="24"/>
          <w:highlight w:val="none"/>
          <w:vertAlign w:val="baseline"/>
          <w:lang w:val="en-US" w:eastAsia="zh-CN"/>
        </w:rPr>
        <w:t>，</w:t>
      </w:r>
      <w:r>
        <w:rPr>
          <w:rFonts w:hint="default" w:ascii="Times New Roman" w:hAnsi="Times New Roman" w:cs="Times New Roman"/>
          <w:snapToGrid/>
          <w:color w:val="auto"/>
          <w:kern w:val="2"/>
          <w:sz w:val="24"/>
          <w:szCs w:val="24"/>
          <w:highlight w:val="none"/>
        </w:rPr>
        <w:t>具体评价范围见图</w:t>
      </w:r>
      <w:r>
        <w:rPr>
          <w:rFonts w:hint="eastAsia" w:ascii="Times New Roman" w:hAnsi="Times New Roman" w:cs="Times New Roman"/>
          <w:snapToGrid/>
          <w:color w:val="auto"/>
          <w:kern w:val="2"/>
          <w:sz w:val="24"/>
          <w:szCs w:val="24"/>
          <w:highlight w:val="none"/>
          <w:lang w:val="en-US" w:eastAsia="zh-CN"/>
        </w:rPr>
        <w:t>4</w:t>
      </w:r>
      <w:r>
        <w:rPr>
          <w:rFonts w:hint="default" w:ascii="Times New Roman" w:hAnsi="Times New Roman" w:cs="Times New Roman"/>
          <w:snapToGrid/>
          <w:color w:val="auto"/>
          <w:kern w:val="2"/>
          <w:sz w:val="24"/>
          <w:szCs w:val="24"/>
          <w:highlight w:val="none"/>
          <w:lang w:val="en-US" w:eastAsia="zh-CN"/>
        </w:rPr>
        <w:t>-1；地表水不设置评价范围，仅进行防范措施分析。</w:t>
      </w:r>
    </w:p>
    <w:p w14:paraId="432ED47C">
      <w:pPr>
        <w:pStyle w:val="41"/>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269230" cy="5863590"/>
            <wp:effectExtent l="0" t="0" r="7620" b="3810"/>
            <wp:docPr id="159" name="图片 159" descr="c19ea04c-31e0-4b0d-ae25-05f42a7bb22b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19ea04c-31e0-4b0d-ae25-05f42a7bb22b_副本"/>
                    <pic:cNvPicPr>
                      <a:picLocks noChangeAspect="1"/>
                    </pic:cNvPicPr>
                  </pic:nvPicPr>
                  <pic:blipFill>
                    <a:blip r:embed="rId235"/>
                    <a:stretch>
                      <a:fillRect/>
                    </a:stretch>
                  </pic:blipFill>
                  <pic:spPr>
                    <a:xfrm>
                      <a:off x="0" y="0"/>
                      <a:ext cx="5269230" cy="5863590"/>
                    </a:xfrm>
                    <a:prstGeom prst="rect">
                      <a:avLst/>
                    </a:prstGeom>
                  </pic:spPr>
                </pic:pic>
              </a:graphicData>
            </a:graphic>
          </wp:inline>
        </w:drawing>
      </w:r>
    </w:p>
    <w:p w14:paraId="696F7F86">
      <w:pPr>
        <w:spacing w:line="360" w:lineRule="auto"/>
        <w:jc w:val="center"/>
        <w:rPr>
          <w:color w:val="auto"/>
        </w:rPr>
      </w:pPr>
      <w:r>
        <w:rPr>
          <w:rFonts w:hint="default" w:ascii="Times New Roman" w:hAnsi="Times New Roman" w:cs="Times New Roman" w:eastAsiaTheme="minorEastAsia"/>
          <w:b/>
          <w:bCs/>
          <w:color w:val="auto"/>
          <w:sz w:val="24"/>
          <w:szCs w:val="24"/>
          <w:lang w:val="en-US" w:eastAsia="zh-CN"/>
        </w:rPr>
        <w:t>图</w:t>
      </w:r>
      <w:r>
        <w:rPr>
          <w:rFonts w:hint="eastAsia" w:ascii="Times New Roman" w:hAnsi="Times New Roman" w:cs="Times New Roman" w:eastAsiaTheme="minorEastAsia"/>
          <w:b/>
          <w:bCs/>
          <w:color w:val="auto"/>
          <w:sz w:val="24"/>
          <w:szCs w:val="24"/>
          <w:lang w:val="en-US" w:eastAsia="zh-CN"/>
        </w:rPr>
        <w:t>4-1</w:t>
      </w:r>
      <w:r>
        <w:rPr>
          <w:rFonts w:hint="default" w:ascii="Times New Roman" w:hAnsi="Times New Roman" w:cs="Times New Roman" w:eastAsiaTheme="minorEastAsia"/>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地下水</w:t>
      </w:r>
      <w:r>
        <w:rPr>
          <w:rFonts w:hint="default" w:ascii="Times New Roman" w:hAnsi="Times New Roman" w:cs="Times New Roman" w:eastAsiaTheme="minorEastAsia"/>
          <w:b/>
          <w:bCs/>
          <w:color w:val="auto"/>
          <w:sz w:val="24"/>
          <w:szCs w:val="24"/>
          <w:lang w:val="en-US" w:eastAsia="zh-CN"/>
        </w:rPr>
        <w:t>评价范</w:t>
      </w:r>
      <w:r>
        <w:rPr>
          <w:rFonts w:hint="eastAsia" w:ascii="Times New Roman" w:hAnsi="Times New Roman" w:cs="Times New Roman"/>
          <w:b/>
          <w:bCs/>
          <w:color w:val="auto"/>
          <w:sz w:val="24"/>
          <w:szCs w:val="24"/>
          <w:lang w:val="en-US" w:eastAsia="zh-CN"/>
        </w:rPr>
        <w:t>围</w:t>
      </w:r>
      <w:r>
        <w:rPr>
          <w:rFonts w:hint="default" w:ascii="Times New Roman" w:hAnsi="Times New Roman" w:cs="Times New Roman" w:eastAsiaTheme="minorEastAsia"/>
          <w:b/>
          <w:bCs/>
          <w:color w:val="auto"/>
          <w:sz w:val="24"/>
          <w:szCs w:val="24"/>
          <w:highlight w:val="none"/>
          <w:lang w:val="en-US" w:eastAsia="zh-CN"/>
        </w:rPr>
        <w:t>图</w:t>
      </w:r>
    </w:p>
    <w:p w14:paraId="2F689799">
      <w:pPr>
        <w:spacing w:line="360" w:lineRule="auto"/>
        <w:jc w:val="center"/>
        <w:rPr>
          <w:color w:val="auto"/>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75639B5C">
      <w:pPr>
        <w:keepNext w:val="0"/>
        <w:keepLines w:val="0"/>
        <w:widowControl/>
        <w:suppressLineNumbers w:val="0"/>
        <w:spacing w:line="360" w:lineRule="auto"/>
        <w:jc w:val="left"/>
        <w:outlineLvl w:val="0"/>
        <w:rPr>
          <w:rFonts w:hint="default" w:ascii="Times New Roman" w:hAnsi="Times New Roman" w:eastAsia="宋体" w:cs="Times New Roman"/>
          <w:b/>
          <w:bCs/>
          <w:color w:val="auto"/>
          <w:kern w:val="0"/>
          <w:sz w:val="30"/>
          <w:szCs w:val="30"/>
          <w:lang w:val="en-US" w:eastAsia="zh-CN" w:bidi="ar"/>
        </w:rPr>
      </w:pPr>
      <w:bookmarkStart w:id="502" w:name="_Toc21959"/>
      <w:bookmarkStart w:id="503" w:name="_Toc12131"/>
      <w:bookmarkStart w:id="504" w:name="_Toc999"/>
      <w:bookmarkStart w:id="505" w:name="_Toc5769"/>
      <w:bookmarkStart w:id="506" w:name="_Toc15768"/>
      <w:r>
        <w:rPr>
          <w:rFonts w:hint="default" w:ascii="Times New Roman" w:hAnsi="Times New Roman" w:eastAsia="宋体" w:cs="Times New Roman"/>
          <w:b/>
          <w:bCs/>
          <w:color w:val="auto"/>
          <w:kern w:val="0"/>
          <w:sz w:val="30"/>
          <w:szCs w:val="30"/>
          <w:lang w:val="en-US" w:eastAsia="zh-CN" w:bidi="ar"/>
        </w:rPr>
        <w:t>5 风险识别</w:t>
      </w:r>
      <w:bookmarkEnd w:id="502"/>
      <w:bookmarkEnd w:id="503"/>
      <w:bookmarkEnd w:id="504"/>
      <w:bookmarkEnd w:id="505"/>
      <w:bookmarkEnd w:id="506"/>
    </w:p>
    <w:p w14:paraId="4D1B7361">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07" w:name="_Toc10003"/>
      <w:bookmarkStart w:id="508" w:name="_Toc21774"/>
      <w:bookmarkStart w:id="509" w:name="_Toc21198"/>
      <w:bookmarkStart w:id="510" w:name="_Toc14893"/>
      <w:bookmarkStart w:id="511" w:name="_Toc4405765"/>
      <w:bookmarkStart w:id="512" w:name="_Toc26314"/>
      <w:r>
        <w:rPr>
          <w:rFonts w:hint="default" w:ascii="Times New Roman" w:hAnsi="Times New Roman" w:eastAsia="宋体" w:cs="Times New Roman"/>
          <w:b/>
          <w:bCs/>
          <w:color w:val="auto"/>
          <w:kern w:val="0"/>
          <w:sz w:val="28"/>
          <w:szCs w:val="28"/>
          <w:lang w:val="en-US" w:eastAsia="zh-CN" w:bidi="ar"/>
        </w:rPr>
        <w:t>5.1物质危险性识别</w:t>
      </w:r>
      <w:bookmarkEnd w:id="507"/>
      <w:bookmarkEnd w:id="508"/>
      <w:bookmarkEnd w:id="509"/>
      <w:bookmarkEnd w:id="510"/>
      <w:bookmarkEnd w:id="511"/>
      <w:bookmarkEnd w:id="512"/>
    </w:p>
    <w:p w14:paraId="75EDF58B">
      <w:pPr>
        <w:adjustRightInd/>
        <w:snapToGrid/>
        <w:spacing w:line="360" w:lineRule="auto"/>
        <w:ind w:firstLine="480" w:firstLineChars="200"/>
        <w:jc w:val="left"/>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rPr>
        <w:t>在原料的运输、仓储和使用过程，如管理操作不当或意外事故，存在着泄漏、火灾、爆炸等事故风险。一旦发生这类事故，将造成有毒有害物料的泄漏，对周围环境产生较大的污染影响。</w:t>
      </w:r>
    </w:p>
    <w:p w14:paraId="057218B5">
      <w:pPr>
        <w:adjustRightInd/>
        <w:snapToGrid/>
        <w:spacing w:line="360" w:lineRule="auto"/>
        <w:ind w:firstLine="480" w:firstLineChars="200"/>
        <w:jc w:val="left"/>
        <w:textAlignment w:val="auto"/>
        <w:rPr>
          <w:rFonts w:hint="default" w:ascii="Times New Roman" w:hAnsi="Times New Roman" w:cs="Times New Roman"/>
          <w:snapToGrid/>
          <w:color w:val="auto"/>
          <w:kern w:val="2"/>
          <w:sz w:val="24"/>
          <w:szCs w:val="24"/>
        </w:rPr>
      </w:pPr>
      <w:r>
        <w:rPr>
          <w:rFonts w:hint="default" w:ascii="Times New Roman" w:hAnsi="Times New Roman" w:cs="Times New Roman"/>
          <w:snapToGrid/>
          <w:color w:val="auto"/>
          <w:kern w:val="2"/>
          <w:sz w:val="24"/>
          <w:szCs w:val="24"/>
          <w:lang w:val="en-US" w:eastAsia="zh-CN"/>
        </w:rPr>
        <w:t>根据《建设项目环境风险评价技术导则》（HJ 169-2018）附录 B，对建设项目主要原辅材料、燃料、中间产品、副产品、最终产品、污染物、火灾和爆炸伴生/次生物进行识别，其中</w:t>
      </w:r>
      <w:r>
        <w:rPr>
          <w:rFonts w:hint="default" w:ascii="Times New Roman" w:hAnsi="Times New Roman" w:cs="Times New Roman"/>
          <w:snapToGrid/>
          <w:color w:val="auto"/>
          <w:kern w:val="2"/>
          <w:sz w:val="24"/>
          <w:szCs w:val="24"/>
        </w:rPr>
        <w:t>硝酸铵溶液、复合油相、乳化炸药、废机油</w:t>
      </w:r>
      <w:r>
        <w:rPr>
          <w:rFonts w:hint="eastAsia" w:cs="Times New Roman"/>
          <w:snapToGrid/>
          <w:color w:val="auto"/>
          <w:kern w:val="2"/>
          <w:sz w:val="24"/>
          <w:szCs w:val="24"/>
          <w:lang w:eastAsia="zh-CN"/>
        </w:rPr>
        <w:t>、</w:t>
      </w:r>
      <w:r>
        <w:rPr>
          <w:rFonts w:hint="default" w:ascii="Times New Roman" w:hAnsi="Times New Roman" w:eastAsia="宋体" w:cs="Times New Roman"/>
          <w:i w:val="0"/>
          <w:snapToGrid w:val="0"/>
          <w:color w:val="auto"/>
          <w:kern w:val="0"/>
          <w:sz w:val="24"/>
          <w:szCs w:val="24"/>
          <w:highlight w:val="none"/>
          <w:u w:val="none"/>
          <w:lang w:val="en-US" w:eastAsia="zh-CN" w:bidi="ar"/>
        </w:rPr>
        <w:t>油墨</w:t>
      </w:r>
      <w:r>
        <w:rPr>
          <w:rFonts w:hint="eastAsia" w:ascii="Times New Roman" w:hAnsi="Times New Roman" w:eastAsia="宋体" w:cs="Times New Roman"/>
          <w:i w:val="0"/>
          <w:snapToGrid w:val="0"/>
          <w:color w:val="auto"/>
          <w:kern w:val="0"/>
          <w:sz w:val="24"/>
          <w:szCs w:val="24"/>
          <w:highlight w:val="none"/>
          <w:u w:val="none"/>
          <w:lang w:val="en-US" w:eastAsia="zh-CN" w:bidi="ar"/>
        </w:rPr>
        <w:t>（2-丁酮）、油墨添加剂（2-丁酮、乙酸乙酯）</w:t>
      </w:r>
      <w:r>
        <w:rPr>
          <w:rFonts w:hint="default" w:ascii="Times New Roman" w:hAnsi="Times New Roman" w:cs="Times New Roman"/>
          <w:snapToGrid/>
          <w:color w:val="auto"/>
          <w:kern w:val="2"/>
          <w:sz w:val="24"/>
          <w:szCs w:val="24"/>
          <w:lang w:val="en-US" w:eastAsia="zh-CN"/>
        </w:rPr>
        <w:t>等为危险物质，主要理化性质及危险特性见下表。</w:t>
      </w:r>
    </w:p>
    <w:p w14:paraId="6C4D4053">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表5-1  硝酸铵特性分析表</w:t>
      </w:r>
    </w:p>
    <w:tbl>
      <w:tblPr>
        <w:tblStyle w:val="85"/>
        <w:tblW w:w="500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82"/>
        <w:gridCol w:w="7439"/>
      </w:tblGrid>
      <w:tr w14:paraId="6023F0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30" w:type="pct"/>
            <w:noWrap w:val="0"/>
            <w:vAlign w:val="center"/>
          </w:tcPr>
          <w:p w14:paraId="28EE169F">
            <w:pPr>
              <w:autoSpaceDE w:val="0"/>
              <w:autoSpaceDN w:val="0"/>
              <w:spacing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标识</w:t>
            </w:r>
          </w:p>
        </w:tc>
        <w:tc>
          <w:tcPr>
            <w:tcW w:w="4469" w:type="pct"/>
            <w:noWrap w:val="0"/>
            <w:vAlign w:val="center"/>
          </w:tcPr>
          <w:p w14:paraId="65A76AD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中文名：硝酸铵溶液</w:t>
            </w:r>
            <w:r>
              <w:rPr>
                <w:rFonts w:hint="default" w:ascii="Times New Roman" w:hAnsi="Times New Roman" w:eastAsia="宋体" w:cs="Times New Roman"/>
                <w:color w:val="auto"/>
                <w:spacing w:val="2"/>
                <w:sz w:val="21"/>
                <w:szCs w:val="21"/>
              </w:rPr>
              <w:t>或硝酸铵水溶液  英文名：</w:t>
            </w:r>
            <w:r>
              <w:rPr>
                <w:rFonts w:hint="default" w:ascii="Times New Roman" w:hAnsi="Times New Roman" w:eastAsia="宋体" w:cs="Times New Roman"/>
                <w:color w:val="auto"/>
                <w:sz w:val="21"/>
                <w:szCs w:val="21"/>
              </w:rPr>
              <w:t>ammonium</w:t>
            </w:r>
            <w:r>
              <w:rPr>
                <w:rFonts w:hint="default" w:ascii="Times New Roman" w:hAnsi="Times New Roman" w:eastAsia="宋体" w:cs="Times New Roman"/>
                <w:color w:val="auto"/>
                <w:spacing w:val="2"/>
                <w:sz w:val="21"/>
                <w:szCs w:val="21"/>
              </w:rPr>
              <w:t xml:space="preserve"> </w:t>
            </w:r>
            <w:r>
              <w:rPr>
                <w:rFonts w:hint="default" w:ascii="Times New Roman" w:hAnsi="Times New Roman" w:eastAsia="宋体" w:cs="Times New Roman"/>
                <w:color w:val="auto"/>
                <w:sz w:val="21"/>
                <w:szCs w:val="21"/>
              </w:rPr>
              <w:t>nitrate</w:t>
            </w:r>
            <w:r>
              <w:rPr>
                <w:rFonts w:hint="default" w:ascii="Times New Roman" w:hAnsi="Times New Roman" w:eastAsia="宋体" w:cs="Times New Roman"/>
                <w:color w:val="auto"/>
                <w:spacing w:val="2"/>
                <w:sz w:val="21"/>
                <w:szCs w:val="21"/>
              </w:rPr>
              <w:t xml:space="preserve"> ，</w:t>
            </w:r>
            <w:r>
              <w:rPr>
                <w:rFonts w:hint="default" w:ascii="Times New Roman" w:hAnsi="Times New Roman" w:eastAsia="宋体" w:cs="Times New Roman"/>
                <w:color w:val="auto"/>
                <w:sz w:val="21"/>
                <w:szCs w:val="21"/>
              </w:rPr>
              <w:t xml:space="preserve">liquid </w:t>
            </w:r>
            <w:r>
              <w:rPr>
                <w:rFonts w:hint="default" w:ascii="Times New Roman" w:hAnsi="Times New Roman" w:eastAsia="宋体" w:cs="Times New Roman"/>
                <w:color w:val="auto"/>
                <w:spacing w:val="5"/>
                <w:sz w:val="21"/>
                <w:szCs w:val="21"/>
              </w:rPr>
              <w:t>分子式：</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pacing w:val="5"/>
                <w:position w:val="-1"/>
                <w:sz w:val="21"/>
                <w:szCs w:val="21"/>
                <w:vertAlign w:val="subscript"/>
              </w:rPr>
              <w:t>4</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pacing w:val="5"/>
                <w:position w:val="-1"/>
                <w:sz w:val="21"/>
                <w:szCs w:val="21"/>
                <w:vertAlign w:val="subscript"/>
              </w:rPr>
              <w:t>3</w:t>
            </w:r>
            <w:r>
              <w:rPr>
                <w:rFonts w:hint="default" w:ascii="Times New Roman" w:hAnsi="Times New Roman" w:eastAsia="宋体" w:cs="Times New Roman"/>
                <w:color w:val="auto"/>
                <w:spacing w:val="5"/>
                <w:position w:val="-1"/>
                <w:sz w:val="21"/>
                <w:szCs w:val="21"/>
              </w:rPr>
              <w:t xml:space="preserve">  </w:t>
            </w:r>
            <w:r>
              <w:rPr>
                <w:rFonts w:hint="default" w:ascii="Times New Roman" w:hAnsi="Times New Roman" w:eastAsia="宋体" w:cs="Times New Roman"/>
                <w:color w:val="auto"/>
                <w:spacing w:val="5"/>
                <w:sz w:val="21"/>
                <w:szCs w:val="21"/>
              </w:rPr>
              <w:t xml:space="preserve">分子量：80.05  危险货物编号：51069  </w:t>
            </w:r>
            <w:r>
              <w:rPr>
                <w:rFonts w:hint="default" w:ascii="Times New Roman" w:hAnsi="Times New Roman" w:eastAsia="宋体" w:cs="Times New Roman"/>
                <w:color w:val="auto"/>
                <w:sz w:val="21"/>
                <w:szCs w:val="21"/>
              </w:rPr>
              <w:t>UN</w:t>
            </w:r>
            <w:r>
              <w:rPr>
                <w:rFonts w:hint="default" w:ascii="Times New Roman" w:hAnsi="Times New Roman" w:eastAsia="宋体" w:cs="Times New Roman"/>
                <w:color w:val="auto"/>
                <w:spacing w:val="5"/>
                <w:sz w:val="21"/>
                <w:szCs w:val="21"/>
              </w:rPr>
              <w:t>编号：242</w:t>
            </w:r>
            <w:r>
              <w:rPr>
                <w:rFonts w:hint="default" w:ascii="Times New Roman" w:hAnsi="Times New Roman" w:eastAsia="宋体" w:cs="Times New Roman"/>
                <w:color w:val="auto"/>
                <w:spacing w:val="1"/>
                <w:sz w:val="21"/>
                <w:szCs w:val="21"/>
              </w:rPr>
              <w:t>6</w:t>
            </w:r>
          </w:p>
        </w:tc>
      </w:tr>
      <w:tr w14:paraId="023C7F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0" w:hRule="atLeast"/>
        </w:trPr>
        <w:tc>
          <w:tcPr>
            <w:tcW w:w="530" w:type="pct"/>
            <w:noWrap w:val="0"/>
            <w:vAlign w:val="center"/>
          </w:tcPr>
          <w:p w14:paraId="04683A9C">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理化特</w:t>
            </w:r>
            <w:r>
              <w:rPr>
                <w:rFonts w:hint="default" w:ascii="Times New Roman" w:hAnsi="Times New Roman" w:eastAsia="宋体" w:cs="Times New Roman"/>
                <w:color w:val="auto"/>
                <w:sz w:val="21"/>
                <w:szCs w:val="21"/>
              </w:rPr>
              <w:t>性</w:t>
            </w:r>
          </w:p>
        </w:tc>
        <w:tc>
          <w:tcPr>
            <w:tcW w:w="4469" w:type="pct"/>
            <w:noWrap w:val="0"/>
            <w:vAlign w:val="center"/>
          </w:tcPr>
          <w:p w14:paraId="44B6603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含硝酸</w:t>
            </w:r>
            <w:r>
              <w:rPr>
                <w:rFonts w:hint="default" w:ascii="Times New Roman" w:hAnsi="Times New Roman" w:eastAsia="宋体" w:cs="Times New Roman"/>
                <w:color w:val="auto"/>
                <w:spacing w:val="8"/>
                <w:sz w:val="21"/>
                <w:szCs w:val="21"/>
                <w:highlight w:val="none"/>
              </w:rPr>
              <w:t>铵</w:t>
            </w:r>
            <w:r>
              <w:rPr>
                <w:rFonts w:hint="default" w:ascii="Times New Roman" w:hAnsi="Times New Roman" w:eastAsia="宋体" w:cs="Times New Roman"/>
                <w:color w:val="auto"/>
                <w:spacing w:val="5"/>
                <w:sz w:val="21"/>
                <w:szCs w:val="21"/>
                <w:highlight w:val="none"/>
              </w:rPr>
              <w:t>不超过93%和</w:t>
            </w:r>
            <w:r>
              <w:rPr>
                <w:rFonts w:hint="default" w:ascii="Times New Roman" w:hAnsi="Times New Roman" w:eastAsia="宋体" w:cs="Times New Roman"/>
                <w:color w:val="auto"/>
                <w:spacing w:val="5"/>
                <w:sz w:val="21"/>
                <w:szCs w:val="21"/>
              </w:rPr>
              <w:t>可燃物</w:t>
            </w:r>
            <w:r>
              <w:rPr>
                <w:rFonts w:hint="default" w:ascii="Times New Roman" w:hAnsi="Times New Roman" w:eastAsia="宋体" w:cs="Times New Roman"/>
                <w:color w:val="auto"/>
                <w:spacing w:val="5"/>
                <w:sz w:val="21"/>
                <w:szCs w:val="21"/>
                <w:lang w:eastAsia="zh-CN"/>
              </w:rPr>
              <w:t>（</w:t>
            </w:r>
            <w:r>
              <w:rPr>
                <w:rFonts w:hint="default" w:ascii="Times New Roman" w:hAnsi="Times New Roman" w:eastAsia="宋体" w:cs="Times New Roman"/>
                <w:color w:val="auto"/>
                <w:spacing w:val="5"/>
                <w:sz w:val="21"/>
                <w:szCs w:val="21"/>
              </w:rPr>
              <w:t>包括以碳计算的有机物</w:t>
            </w:r>
            <w:r>
              <w:rPr>
                <w:rFonts w:hint="default" w:ascii="Times New Roman" w:hAnsi="Times New Roman" w:eastAsia="宋体" w:cs="Times New Roman"/>
                <w:color w:val="auto"/>
                <w:spacing w:val="5"/>
                <w:sz w:val="21"/>
                <w:szCs w:val="21"/>
                <w:lang w:eastAsia="zh-CN"/>
              </w:rPr>
              <w:t>）</w:t>
            </w:r>
            <w:r>
              <w:rPr>
                <w:rFonts w:hint="default" w:ascii="Times New Roman" w:hAnsi="Times New Roman" w:eastAsia="宋体" w:cs="Times New Roman"/>
                <w:color w:val="auto"/>
                <w:spacing w:val="5"/>
                <w:sz w:val="21"/>
                <w:szCs w:val="21"/>
              </w:rPr>
              <w:t>不超过0.2%，无其他添</w:t>
            </w:r>
            <w:r>
              <w:rPr>
                <w:rFonts w:hint="default" w:ascii="Times New Roman" w:hAnsi="Times New Roman" w:eastAsia="宋体" w:cs="Times New Roman"/>
                <w:color w:val="auto"/>
                <w:spacing w:val="9"/>
                <w:sz w:val="21"/>
                <w:szCs w:val="21"/>
              </w:rPr>
              <w:t>加</w:t>
            </w:r>
            <w:r>
              <w:rPr>
                <w:rFonts w:hint="default" w:ascii="Times New Roman" w:hAnsi="Times New Roman" w:eastAsia="宋体" w:cs="Times New Roman"/>
                <w:color w:val="auto"/>
                <w:spacing w:val="5"/>
                <w:sz w:val="21"/>
                <w:szCs w:val="21"/>
              </w:rPr>
              <w:t>物，含水至少7%，氯离子最大含量不得超过0.02%的热水溶液。</w:t>
            </w:r>
          </w:p>
          <w:p w14:paraId="1D521D51">
            <w:pPr>
              <w:keepNext w:val="0"/>
              <w:keepLines w:val="0"/>
              <w:pageBreakBefore w:val="0"/>
              <w:widowControl w:val="0"/>
              <w:kinsoku/>
              <w:wordWrap/>
              <w:overflowPunct/>
              <w:topLinePunct w:val="0"/>
              <w:autoSpaceDE w:val="0"/>
              <w:autoSpaceDN w:val="0"/>
              <w:bidi w:val="0"/>
              <w:adjustRightInd/>
              <w:snapToGrid/>
              <w:spacing w:line="240" w:lineRule="auto"/>
              <w:ind w:lef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position w:val="7"/>
                <w:sz w:val="21"/>
                <w:szCs w:val="21"/>
              </w:rPr>
              <w:t>熔点：169.6℃；分解温度：210℃；相对密度</w:t>
            </w:r>
            <w:r>
              <w:rPr>
                <w:rFonts w:hint="default" w:ascii="Times New Roman" w:hAnsi="Times New Roman" w:eastAsia="宋体" w:cs="Times New Roman"/>
                <w:color w:val="auto"/>
                <w:spacing w:val="6"/>
                <w:position w:val="7"/>
                <w:sz w:val="21"/>
                <w:szCs w:val="21"/>
                <w:lang w:eastAsia="zh-CN"/>
              </w:rPr>
              <w:t>（</w:t>
            </w:r>
            <w:r>
              <w:rPr>
                <w:rFonts w:hint="default" w:ascii="Times New Roman" w:hAnsi="Times New Roman" w:eastAsia="宋体" w:cs="Times New Roman"/>
                <w:color w:val="auto"/>
                <w:spacing w:val="6"/>
                <w:position w:val="7"/>
                <w:sz w:val="21"/>
                <w:szCs w:val="21"/>
                <w:lang w:val="en-US" w:eastAsia="zh-CN"/>
              </w:rPr>
              <w:t>水=1</w:t>
            </w:r>
            <w:r>
              <w:rPr>
                <w:rFonts w:hint="default" w:ascii="Times New Roman" w:hAnsi="Times New Roman" w:eastAsia="宋体" w:cs="Times New Roman"/>
                <w:color w:val="auto"/>
                <w:spacing w:val="6"/>
                <w:position w:val="7"/>
                <w:sz w:val="21"/>
                <w:szCs w:val="21"/>
                <w:lang w:eastAsia="zh-CN"/>
              </w:rPr>
              <w:t>）</w:t>
            </w:r>
            <w:r>
              <w:rPr>
                <w:rFonts w:hint="default" w:ascii="Times New Roman" w:hAnsi="Times New Roman" w:eastAsia="宋体" w:cs="Times New Roman"/>
                <w:color w:val="auto"/>
                <w:spacing w:val="6"/>
                <w:position w:val="7"/>
                <w:sz w:val="21"/>
                <w:szCs w:val="21"/>
              </w:rPr>
              <w:t>：1.7</w:t>
            </w:r>
            <w:r>
              <w:rPr>
                <w:rFonts w:hint="default" w:ascii="Times New Roman" w:hAnsi="Times New Roman" w:eastAsia="宋体" w:cs="Times New Roman"/>
                <w:color w:val="auto"/>
                <w:spacing w:val="4"/>
                <w:position w:val="7"/>
                <w:sz w:val="21"/>
                <w:szCs w:val="21"/>
              </w:rPr>
              <w:t>2</w:t>
            </w:r>
          </w:p>
          <w:p w14:paraId="1A80DDFE">
            <w:pPr>
              <w:keepNext w:val="0"/>
              <w:keepLines w:val="0"/>
              <w:pageBreakBefore w:val="0"/>
              <w:widowControl w:val="0"/>
              <w:kinsoku/>
              <w:wordWrap/>
              <w:overflowPunct/>
              <w:topLinePunct w:val="0"/>
              <w:autoSpaceDE w:val="0"/>
              <w:autoSpaceDN w:val="0"/>
              <w:bidi w:val="0"/>
              <w:adjustRightInd/>
              <w:snapToGrid/>
              <w:spacing w:line="240" w:lineRule="auto"/>
              <w:ind w:lef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5"/>
                <w:sz w:val="21"/>
                <w:szCs w:val="21"/>
              </w:rPr>
              <w:t>主</w:t>
            </w:r>
            <w:r>
              <w:rPr>
                <w:rFonts w:hint="default" w:ascii="Times New Roman" w:hAnsi="Times New Roman" w:eastAsia="宋体" w:cs="Times New Roman"/>
                <w:color w:val="auto"/>
                <w:spacing w:val="8"/>
                <w:sz w:val="21"/>
                <w:szCs w:val="21"/>
              </w:rPr>
              <w:t>要用途：用于炸药的氧化剂等。</w:t>
            </w:r>
          </w:p>
        </w:tc>
      </w:tr>
      <w:tr w14:paraId="39EDF6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30" w:type="pct"/>
            <w:noWrap w:val="0"/>
            <w:vAlign w:val="center"/>
          </w:tcPr>
          <w:p w14:paraId="2137EF1D">
            <w:pPr>
              <w:autoSpaceDE w:val="0"/>
              <w:autoSpaceDN w:val="0"/>
              <w:spacing w:line="240" w:lineRule="auto"/>
              <w:ind w:lef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4"/>
                <w:sz w:val="21"/>
                <w:szCs w:val="21"/>
              </w:rPr>
              <w:t>危</w:t>
            </w:r>
            <w:r>
              <w:rPr>
                <w:rFonts w:hint="default" w:ascii="Times New Roman" w:hAnsi="Times New Roman" w:eastAsia="宋体" w:cs="Times New Roman"/>
                <w:color w:val="auto"/>
                <w:spacing w:val="3"/>
                <w:sz w:val="21"/>
                <w:szCs w:val="21"/>
              </w:rPr>
              <w:t>险</w:t>
            </w:r>
            <w:r>
              <w:rPr>
                <w:rFonts w:hint="default" w:ascii="Times New Roman" w:hAnsi="Times New Roman" w:eastAsia="宋体" w:cs="Times New Roman"/>
                <w:color w:val="auto"/>
                <w:spacing w:val="3"/>
                <w:sz w:val="21"/>
                <w:szCs w:val="21"/>
                <w:lang w:val="en-US" w:eastAsia="zh-CN"/>
              </w:rPr>
              <w:t>特性</w:t>
            </w:r>
          </w:p>
        </w:tc>
        <w:tc>
          <w:tcPr>
            <w:tcW w:w="4469" w:type="pct"/>
            <w:noWrap w:val="0"/>
            <w:vAlign w:val="center"/>
          </w:tcPr>
          <w:p w14:paraId="1B3103D4">
            <w:pPr>
              <w:keepNext w:val="0"/>
              <w:keepLines w:val="0"/>
              <w:pageBreakBefore w:val="0"/>
              <w:widowControl w:val="0"/>
              <w:kinsoku/>
              <w:wordWrap/>
              <w:overflowPunct/>
              <w:topLinePunct w:val="0"/>
              <w:autoSpaceDE w:val="0"/>
              <w:autoSpaceDN w:val="0"/>
              <w:bidi w:val="0"/>
              <w:adjustRightInd/>
              <w:snapToGrid/>
              <w:spacing w:line="240" w:lineRule="auto"/>
              <w:ind w:lef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强</w:t>
            </w:r>
            <w:r>
              <w:rPr>
                <w:rFonts w:hint="default" w:ascii="Times New Roman" w:hAnsi="Times New Roman" w:eastAsia="宋体" w:cs="Times New Roman"/>
                <w:color w:val="auto"/>
                <w:spacing w:val="2"/>
                <w:sz w:val="21"/>
                <w:szCs w:val="21"/>
              </w:rPr>
              <w:t>氧化剂。遇可燃物着火时，能助长火势。与可燃物粉末混合能发生激烈反应而爆</w:t>
            </w:r>
            <w:r>
              <w:rPr>
                <w:rFonts w:hint="default" w:ascii="Times New Roman" w:hAnsi="Times New Roman" w:eastAsia="宋体" w:cs="Times New Roman"/>
                <w:color w:val="auto"/>
                <w:spacing w:val="4"/>
                <w:sz w:val="21"/>
                <w:szCs w:val="21"/>
              </w:rPr>
              <w:t>炸。受强烈震动也会引爆。</w:t>
            </w:r>
            <w:r>
              <w:rPr>
                <w:rFonts w:hint="default" w:ascii="Times New Roman" w:hAnsi="Times New Roman" w:eastAsia="宋体" w:cs="Times New Roman"/>
                <w:color w:val="auto"/>
                <w:spacing w:val="3"/>
                <w:sz w:val="21"/>
                <w:szCs w:val="21"/>
              </w:rPr>
              <w:t>剧</w:t>
            </w:r>
            <w:r>
              <w:rPr>
                <w:rFonts w:hint="default" w:ascii="Times New Roman" w:hAnsi="Times New Roman" w:eastAsia="宋体" w:cs="Times New Roman"/>
                <w:color w:val="auto"/>
                <w:spacing w:val="2"/>
                <w:sz w:val="21"/>
                <w:szCs w:val="21"/>
              </w:rPr>
              <w:t>烈加热时可发生爆炸。与还原剂、有机物、易燃物如硫、</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0"/>
                <w:sz w:val="21"/>
                <w:szCs w:val="21"/>
              </w:rPr>
              <w:t>磷或金 属粉末等混合可形成爆炸性混合物</w:t>
            </w:r>
            <w:r>
              <w:rPr>
                <w:rFonts w:hint="default" w:ascii="Times New Roman" w:hAnsi="Times New Roman" w:eastAsia="宋体" w:cs="Times New Roman"/>
                <w:color w:val="auto"/>
                <w:spacing w:val="7"/>
                <w:sz w:val="21"/>
                <w:szCs w:val="21"/>
              </w:rPr>
              <w:t>。</w:t>
            </w:r>
          </w:p>
        </w:tc>
      </w:tr>
      <w:tr w14:paraId="4EE534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30" w:type="pct"/>
            <w:noWrap w:val="0"/>
            <w:vAlign w:val="center"/>
          </w:tcPr>
          <w:p w14:paraId="00348025">
            <w:pPr>
              <w:autoSpaceDE w:val="0"/>
              <w:autoSpaceDN w:val="0"/>
              <w:spacing w:line="240" w:lineRule="auto"/>
              <w:ind w:lef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毒</w:t>
            </w:r>
            <w:r>
              <w:rPr>
                <w:rFonts w:hint="default" w:ascii="Times New Roman" w:hAnsi="Times New Roman" w:eastAsia="宋体" w:cs="Times New Roman"/>
                <w:color w:val="auto"/>
                <w:spacing w:val="3"/>
                <w:position w:val="7"/>
                <w:sz w:val="21"/>
                <w:szCs w:val="21"/>
              </w:rPr>
              <w:t>性</w:t>
            </w:r>
          </w:p>
          <w:p w14:paraId="74FD1673">
            <w:pPr>
              <w:autoSpaceDE w:val="0"/>
              <w:autoSpaceDN w:val="0"/>
              <w:spacing w:line="240" w:lineRule="auto"/>
              <w:ind w:left="0" w:lef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危</w:t>
            </w:r>
            <w:r>
              <w:rPr>
                <w:rFonts w:hint="default" w:ascii="Times New Roman" w:hAnsi="Times New Roman" w:eastAsia="宋体" w:cs="Times New Roman"/>
                <w:color w:val="auto"/>
                <w:spacing w:val="3"/>
                <w:sz w:val="21"/>
                <w:szCs w:val="21"/>
              </w:rPr>
              <w:t>害</w:t>
            </w:r>
          </w:p>
        </w:tc>
        <w:tc>
          <w:tcPr>
            <w:tcW w:w="4469" w:type="pct"/>
            <w:noWrap w:val="0"/>
            <w:vAlign w:val="center"/>
          </w:tcPr>
          <w:p w14:paraId="192AF1AF">
            <w:pPr>
              <w:keepNext w:val="0"/>
              <w:keepLines w:val="0"/>
              <w:pageBreakBefore w:val="0"/>
              <w:widowControl w:val="0"/>
              <w:kinsoku/>
              <w:wordWrap/>
              <w:overflowPunct/>
              <w:topLinePunct w:val="0"/>
              <w:autoSpaceDE w:val="0"/>
              <w:autoSpaceDN w:val="0"/>
              <w:bidi w:val="0"/>
              <w:adjustRightInd/>
              <w:snapToGrid/>
              <w:spacing w:line="240" w:lineRule="auto"/>
              <w:ind w:lef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6"/>
                <w:sz w:val="21"/>
                <w:szCs w:val="21"/>
              </w:rPr>
              <w:t>侵</w:t>
            </w:r>
            <w:r>
              <w:rPr>
                <w:rFonts w:hint="default" w:ascii="Times New Roman" w:hAnsi="Times New Roman" w:eastAsia="宋体" w:cs="Times New Roman"/>
                <w:color w:val="auto"/>
                <w:spacing w:val="11"/>
                <w:sz w:val="21"/>
                <w:szCs w:val="21"/>
              </w:rPr>
              <w:t>入</w:t>
            </w:r>
            <w:r>
              <w:rPr>
                <w:rFonts w:hint="default" w:ascii="Times New Roman" w:hAnsi="Times New Roman" w:eastAsia="宋体" w:cs="Times New Roman"/>
                <w:color w:val="auto"/>
                <w:spacing w:val="8"/>
                <w:sz w:val="21"/>
                <w:szCs w:val="21"/>
              </w:rPr>
              <w:t>途径：吸入、食入、经皮吸收。</w:t>
            </w:r>
          </w:p>
          <w:p w14:paraId="6D1B61E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对呼吸道、眼及皮肤有刺激性。接触后可引起恶心、呕吐、头痛、虚弱、无力和虚脱</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4"/>
                <w:sz w:val="21"/>
                <w:szCs w:val="21"/>
              </w:rPr>
              <w:t>等。大量接触可引起</w:t>
            </w:r>
            <w:r>
              <w:rPr>
                <w:rFonts w:hint="default" w:ascii="Times New Roman" w:hAnsi="Times New Roman" w:eastAsia="宋体" w:cs="Times New Roman"/>
                <w:color w:val="auto"/>
                <w:spacing w:val="-3"/>
                <w:sz w:val="21"/>
                <w:szCs w:val="21"/>
              </w:rPr>
              <w:t>高</w:t>
            </w:r>
            <w:r>
              <w:rPr>
                <w:rFonts w:hint="default" w:ascii="Times New Roman" w:hAnsi="Times New Roman" w:eastAsia="宋体" w:cs="Times New Roman"/>
                <w:color w:val="auto"/>
                <w:spacing w:val="-2"/>
                <w:sz w:val="21"/>
                <w:szCs w:val="21"/>
              </w:rPr>
              <w:t>铁血红蛋白血症，影响血液的携氧能力，出现紫绀、头痛、头晕、</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2"/>
                <w:sz w:val="21"/>
                <w:szCs w:val="21"/>
              </w:rPr>
              <w:t>虚</w:t>
            </w:r>
            <w:r>
              <w:rPr>
                <w:rFonts w:hint="default" w:ascii="Times New Roman" w:hAnsi="Times New Roman" w:eastAsia="宋体" w:cs="Times New Roman"/>
                <w:color w:val="auto"/>
                <w:spacing w:val="8"/>
                <w:sz w:val="21"/>
                <w:szCs w:val="21"/>
              </w:rPr>
              <w:t>脱</w:t>
            </w:r>
            <w:r>
              <w:rPr>
                <w:rFonts w:hint="default" w:ascii="Times New Roman" w:hAnsi="Times New Roman" w:eastAsia="宋体" w:cs="Times New Roman"/>
                <w:color w:val="auto"/>
                <w:spacing w:val="6"/>
                <w:sz w:val="21"/>
                <w:szCs w:val="21"/>
              </w:rPr>
              <w:t>，甚至死亡。口服引起剧烈腹痛、呕吐、血便、休克、全身抽搐、昏迷，甚至死</w:t>
            </w:r>
            <w:r>
              <w:rPr>
                <w:rFonts w:hint="default" w:ascii="Times New Roman" w:hAnsi="Times New Roman" w:eastAsia="宋体" w:cs="Times New Roman"/>
                <w:color w:val="auto"/>
                <w:spacing w:val="-1"/>
                <w:sz w:val="21"/>
                <w:szCs w:val="21"/>
              </w:rPr>
              <w:t>亡。</w:t>
            </w:r>
          </w:p>
        </w:tc>
      </w:tr>
      <w:tr w14:paraId="2C6397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30" w:type="pct"/>
            <w:noWrap w:val="0"/>
            <w:vAlign w:val="center"/>
          </w:tcPr>
          <w:p w14:paraId="00023E26">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sz w:val="21"/>
                <w:szCs w:val="21"/>
              </w:rPr>
              <w:t>防</w:t>
            </w:r>
            <w:r>
              <w:rPr>
                <w:rFonts w:hint="default" w:ascii="Times New Roman" w:hAnsi="Times New Roman" w:eastAsia="宋体" w:cs="Times New Roman"/>
                <w:color w:val="auto"/>
                <w:spacing w:val="2"/>
                <w:sz w:val="21"/>
                <w:szCs w:val="21"/>
              </w:rPr>
              <w:t>护措</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
                <w:sz w:val="21"/>
                <w:szCs w:val="21"/>
              </w:rPr>
              <w:t>施</w:t>
            </w:r>
          </w:p>
        </w:tc>
        <w:tc>
          <w:tcPr>
            <w:tcW w:w="4469" w:type="pct"/>
            <w:noWrap w:val="0"/>
            <w:vAlign w:val="center"/>
          </w:tcPr>
          <w:p w14:paraId="48517D87">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4"/>
                <w:sz w:val="21"/>
                <w:szCs w:val="21"/>
              </w:rPr>
              <w:t>工</w:t>
            </w:r>
            <w:r>
              <w:rPr>
                <w:rFonts w:hint="default" w:ascii="Times New Roman" w:hAnsi="Times New Roman" w:eastAsia="宋体" w:cs="Times New Roman"/>
                <w:color w:val="auto"/>
                <w:spacing w:val="9"/>
                <w:sz w:val="21"/>
                <w:szCs w:val="21"/>
              </w:rPr>
              <w:t>程控制：生产过程密闭，加强通风。提供安全淋浴和洗眼设备。</w:t>
            </w:r>
          </w:p>
          <w:p w14:paraId="5DC0B63A">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呼吸系统防护：可能接触其粉尘时，建议佩戴自吸过滤式防尘口罩</w:t>
            </w:r>
            <w:r>
              <w:rPr>
                <w:rFonts w:hint="default" w:ascii="Times New Roman" w:hAnsi="Times New Roman" w:eastAsia="宋体" w:cs="Times New Roman"/>
                <w:color w:val="auto"/>
                <w:spacing w:val="8"/>
                <w:sz w:val="21"/>
                <w:szCs w:val="21"/>
              </w:rPr>
              <w:t>。</w:t>
            </w:r>
          </w:p>
          <w:p w14:paraId="06CB7E2F">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4"/>
                <w:sz w:val="21"/>
                <w:szCs w:val="21"/>
              </w:rPr>
              <w:t>眼</w:t>
            </w:r>
            <w:r>
              <w:rPr>
                <w:rFonts w:hint="default" w:ascii="Times New Roman" w:hAnsi="Times New Roman" w:eastAsia="宋体" w:cs="Times New Roman"/>
                <w:color w:val="auto"/>
                <w:spacing w:val="11"/>
                <w:sz w:val="21"/>
                <w:szCs w:val="21"/>
              </w:rPr>
              <w:t>睛</w:t>
            </w:r>
            <w:r>
              <w:rPr>
                <w:rFonts w:hint="default" w:ascii="Times New Roman" w:hAnsi="Times New Roman" w:eastAsia="宋体" w:cs="Times New Roman"/>
                <w:color w:val="auto"/>
                <w:spacing w:val="7"/>
                <w:sz w:val="21"/>
                <w:szCs w:val="21"/>
              </w:rPr>
              <w:t>防护：戴化学安全防护眼镜。</w:t>
            </w:r>
          </w:p>
          <w:p w14:paraId="079C2489">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身体防护：穿聚乙烯防毒服</w:t>
            </w:r>
            <w:r>
              <w:rPr>
                <w:rFonts w:hint="default" w:ascii="Times New Roman" w:hAnsi="Times New Roman" w:eastAsia="宋体" w:cs="Times New Roman"/>
                <w:color w:val="auto"/>
                <w:spacing w:val="7"/>
                <w:sz w:val="21"/>
                <w:szCs w:val="21"/>
              </w:rPr>
              <w:t>。</w:t>
            </w:r>
          </w:p>
          <w:p w14:paraId="70B45A43">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手防护：戴橡胶手套。</w:t>
            </w:r>
          </w:p>
          <w:p w14:paraId="2F4DB133">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其它：工作现场禁止吸烟、进食和饮水。工作毕，淋浴更衣。保持良好的卫生</w:t>
            </w:r>
            <w:r>
              <w:rPr>
                <w:rFonts w:hint="default" w:ascii="Times New Roman" w:hAnsi="Times New Roman" w:eastAsia="宋体" w:cs="Times New Roman"/>
                <w:color w:val="auto"/>
                <w:spacing w:val="5"/>
                <w:sz w:val="21"/>
                <w:szCs w:val="21"/>
              </w:rPr>
              <w:t>习</w:t>
            </w:r>
            <w:r>
              <w:rPr>
                <w:rFonts w:hint="default" w:ascii="Times New Roman" w:hAnsi="Times New Roman" w:eastAsia="宋体" w:cs="Times New Roman"/>
                <w:color w:val="auto"/>
                <w:spacing w:val="1"/>
                <w:sz w:val="21"/>
                <w:szCs w:val="21"/>
              </w:rPr>
              <w:t>惯</w:t>
            </w:r>
            <w:r>
              <w:rPr>
                <w:rFonts w:hint="default" w:ascii="Times New Roman" w:hAnsi="Times New Roman" w:eastAsia="宋体" w:cs="Times New Roman"/>
                <w:color w:val="auto"/>
                <w:sz w:val="21"/>
                <w:szCs w:val="21"/>
              </w:rPr>
              <w:t>。</w:t>
            </w:r>
          </w:p>
        </w:tc>
      </w:tr>
      <w:tr w14:paraId="57E86B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30" w:type="pct"/>
            <w:noWrap w:val="0"/>
            <w:vAlign w:val="center"/>
          </w:tcPr>
          <w:p w14:paraId="0B2F8A4E">
            <w:pPr>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6"/>
                <w:sz w:val="21"/>
                <w:szCs w:val="21"/>
              </w:rPr>
              <w:t>急</w:t>
            </w:r>
            <w:r>
              <w:rPr>
                <w:rFonts w:hint="default" w:ascii="Times New Roman" w:hAnsi="Times New Roman" w:eastAsia="宋体" w:cs="Times New Roman"/>
                <w:color w:val="auto"/>
                <w:spacing w:val="4"/>
                <w:sz w:val="21"/>
                <w:szCs w:val="21"/>
              </w:rPr>
              <w:t>救措</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
                <w:sz w:val="21"/>
                <w:szCs w:val="21"/>
              </w:rPr>
              <w:t>施</w:t>
            </w:r>
          </w:p>
        </w:tc>
        <w:tc>
          <w:tcPr>
            <w:tcW w:w="4469" w:type="pct"/>
            <w:noWrap w:val="0"/>
            <w:vAlign w:val="center"/>
          </w:tcPr>
          <w:p w14:paraId="10B26045">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2"/>
                <w:sz w:val="21"/>
                <w:szCs w:val="21"/>
              </w:rPr>
              <w:t>皮</w:t>
            </w:r>
            <w:r>
              <w:rPr>
                <w:rFonts w:hint="default" w:ascii="Times New Roman" w:hAnsi="Times New Roman" w:eastAsia="宋体" w:cs="Times New Roman"/>
                <w:color w:val="auto"/>
                <w:spacing w:val="9"/>
                <w:sz w:val="21"/>
                <w:szCs w:val="21"/>
              </w:rPr>
              <w:t>肤接触：立即脱去被污染的衣着，用大量流动清水冲洗。</w:t>
            </w:r>
          </w:p>
          <w:p w14:paraId="771F7944">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眼睛接触：立即提起眼睑，用流动清水或生理盐水冲洗。就医</w:t>
            </w:r>
            <w:r>
              <w:rPr>
                <w:rFonts w:hint="default" w:ascii="Times New Roman" w:hAnsi="Times New Roman" w:eastAsia="宋体" w:cs="Times New Roman"/>
                <w:color w:val="auto"/>
                <w:spacing w:val="4"/>
                <w:sz w:val="21"/>
                <w:szCs w:val="21"/>
              </w:rPr>
              <w:t>。</w:t>
            </w:r>
          </w:p>
          <w:p w14:paraId="3D4A5110">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4"/>
                <w:sz w:val="21"/>
                <w:szCs w:val="21"/>
              </w:rPr>
              <w:t>吸入：</w:t>
            </w:r>
            <w:r>
              <w:rPr>
                <w:rFonts w:hint="default" w:ascii="Times New Roman" w:hAnsi="Times New Roman" w:eastAsia="宋体" w:cs="Times New Roman"/>
                <w:color w:val="auto"/>
                <w:spacing w:val="11"/>
                <w:sz w:val="21"/>
                <w:szCs w:val="21"/>
              </w:rPr>
              <w:t>迅</w:t>
            </w:r>
            <w:r>
              <w:rPr>
                <w:rFonts w:hint="default" w:ascii="Times New Roman" w:hAnsi="Times New Roman" w:eastAsia="宋体" w:cs="Times New Roman"/>
                <w:color w:val="auto"/>
                <w:spacing w:val="7"/>
                <w:sz w:val="21"/>
                <w:szCs w:val="21"/>
              </w:rPr>
              <w:t>速脱离现场至空气新鲜处。保持呼吸道通畅。如呼吸困难，给输氧。如</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9"/>
                <w:sz w:val="21"/>
                <w:szCs w:val="21"/>
              </w:rPr>
              <w:t>呼吸停止，立即进行人工呼吸。就医。食入：误服者用水漱口。就医</w:t>
            </w:r>
            <w:r>
              <w:rPr>
                <w:rFonts w:hint="default" w:ascii="Times New Roman" w:hAnsi="Times New Roman" w:eastAsia="宋体" w:cs="Times New Roman"/>
                <w:color w:val="auto"/>
                <w:spacing w:val="7"/>
                <w:sz w:val="21"/>
                <w:szCs w:val="21"/>
              </w:rPr>
              <w:t>。</w:t>
            </w:r>
          </w:p>
        </w:tc>
      </w:tr>
      <w:tr w14:paraId="4AE72E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30" w:type="pct"/>
            <w:noWrap w:val="0"/>
            <w:vAlign w:val="center"/>
          </w:tcPr>
          <w:p w14:paraId="015EF7FE">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position w:val="7"/>
                <w:sz w:val="21"/>
                <w:szCs w:val="21"/>
              </w:rPr>
              <w:t>事</w:t>
            </w:r>
            <w:r>
              <w:rPr>
                <w:rFonts w:hint="default" w:ascii="Times New Roman" w:hAnsi="Times New Roman" w:eastAsia="宋体" w:cs="Times New Roman"/>
                <w:color w:val="auto"/>
                <w:spacing w:val="4"/>
                <w:position w:val="7"/>
                <w:sz w:val="21"/>
                <w:szCs w:val="21"/>
              </w:rPr>
              <w:t>故</w:t>
            </w:r>
          </w:p>
          <w:p w14:paraId="477E734F">
            <w:pPr>
              <w:autoSpaceDE w:val="0"/>
              <w:autoSpaceDN w:val="0"/>
              <w:spacing w:line="240" w:lineRule="auto"/>
              <w:ind w:left="0" w:leftChars="0" w:righ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sz w:val="21"/>
                <w:szCs w:val="21"/>
              </w:rPr>
              <w:t>处</w:t>
            </w:r>
            <w:r>
              <w:rPr>
                <w:rFonts w:hint="default" w:ascii="Times New Roman" w:hAnsi="Times New Roman" w:eastAsia="宋体" w:cs="Times New Roman"/>
                <w:color w:val="auto"/>
                <w:spacing w:val="2"/>
                <w:sz w:val="21"/>
                <w:szCs w:val="21"/>
              </w:rPr>
              <w:t>理</w:t>
            </w:r>
          </w:p>
        </w:tc>
        <w:tc>
          <w:tcPr>
            <w:tcW w:w="4469" w:type="pct"/>
            <w:noWrap w:val="0"/>
            <w:vAlign w:val="center"/>
          </w:tcPr>
          <w:p w14:paraId="67457ABC">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4"/>
                <w:sz w:val="21"/>
                <w:szCs w:val="21"/>
              </w:rPr>
              <w:t>泄漏处</w:t>
            </w:r>
            <w:r>
              <w:rPr>
                <w:rFonts w:hint="default" w:ascii="Times New Roman" w:hAnsi="Times New Roman" w:eastAsia="宋体" w:cs="Times New Roman"/>
                <w:color w:val="auto"/>
                <w:spacing w:val="11"/>
                <w:sz w:val="21"/>
                <w:szCs w:val="21"/>
              </w:rPr>
              <w:t>理</w:t>
            </w:r>
            <w:r>
              <w:rPr>
                <w:rFonts w:hint="default" w:ascii="Times New Roman" w:hAnsi="Times New Roman" w:eastAsia="宋体" w:cs="Times New Roman"/>
                <w:color w:val="auto"/>
                <w:spacing w:val="7"/>
                <w:sz w:val="21"/>
                <w:szCs w:val="21"/>
              </w:rPr>
              <w:t>：隔离泄漏污染区，限制出入。建议应急处理人员戴自给式呼吸器，穿</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8"/>
                <w:sz w:val="21"/>
                <w:szCs w:val="21"/>
              </w:rPr>
              <w:t>一般作业工作服。不要直接接触泄漏物。勿使泄漏物与还原剂、有机物、易燃物或</w:t>
            </w:r>
            <w:r>
              <w:rPr>
                <w:rFonts w:hint="default" w:ascii="Times New Roman" w:hAnsi="Times New Roman" w:eastAsia="宋体" w:cs="Times New Roman"/>
                <w:color w:val="auto"/>
                <w:spacing w:val="5"/>
                <w:sz w:val="21"/>
                <w:szCs w:val="21"/>
              </w:rPr>
              <w:t>金</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5"/>
                <w:sz w:val="21"/>
                <w:szCs w:val="21"/>
              </w:rPr>
              <w:t>属</w:t>
            </w:r>
            <w:r>
              <w:rPr>
                <w:rFonts w:hint="default" w:ascii="Times New Roman" w:hAnsi="Times New Roman" w:eastAsia="宋体" w:cs="Times New Roman"/>
                <w:color w:val="auto"/>
                <w:spacing w:val="8"/>
                <w:sz w:val="21"/>
                <w:szCs w:val="21"/>
              </w:rPr>
              <w:t>粉末接触。小量泄漏：小心扫起，收集于干燥、洁净、有盖的容器中。大量泄漏：收集回收或运至废物处理场所处置。泄漏物用水冲洗多次，经稀释的污水放入废水</w:t>
            </w:r>
            <w:r>
              <w:rPr>
                <w:rFonts w:hint="default" w:ascii="Times New Roman" w:hAnsi="Times New Roman" w:eastAsia="宋体" w:cs="Times New Roman"/>
                <w:color w:val="auto"/>
                <w:spacing w:val="5"/>
                <w:sz w:val="21"/>
                <w:szCs w:val="21"/>
              </w:rPr>
              <w:t>系</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8"/>
                <w:sz w:val="21"/>
                <w:szCs w:val="21"/>
              </w:rPr>
              <w:t>统，对污染区冲洗后须用湿布擦净，以免干燥后遇有机物如纸张、木材、纤维等引</w:t>
            </w:r>
            <w:r>
              <w:rPr>
                <w:rFonts w:hint="default" w:ascii="Times New Roman" w:hAnsi="Times New Roman" w:eastAsia="宋体" w:cs="Times New Roman"/>
                <w:color w:val="auto"/>
                <w:spacing w:val="5"/>
                <w:sz w:val="21"/>
                <w:szCs w:val="21"/>
              </w:rPr>
              <w:t>起</w:t>
            </w:r>
            <w:r>
              <w:rPr>
                <w:rFonts w:hint="default" w:ascii="Times New Roman" w:hAnsi="Times New Roman" w:eastAsia="宋体" w:cs="Times New Roman"/>
                <w:color w:val="auto"/>
                <w:spacing w:val="3"/>
                <w:sz w:val="21"/>
                <w:szCs w:val="21"/>
              </w:rPr>
              <w:t>燃烧</w:t>
            </w:r>
            <w:r>
              <w:rPr>
                <w:rFonts w:hint="default" w:ascii="Times New Roman" w:hAnsi="Times New Roman" w:eastAsia="宋体" w:cs="Times New Roman"/>
                <w:color w:val="auto"/>
                <w:spacing w:val="2"/>
                <w:sz w:val="21"/>
                <w:szCs w:val="21"/>
              </w:rPr>
              <w:t>。</w:t>
            </w:r>
          </w:p>
          <w:p w14:paraId="5BBB139B">
            <w:pPr>
              <w:keepNext w:val="0"/>
              <w:keepLines w:val="0"/>
              <w:pageBreakBefore w:val="0"/>
              <w:widowControl w:val="0"/>
              <w:kinsoku/>
              <w:wordWrap/>
              <w:overflowPunct/>
              <w:topLinePunct w:val="0"/>
              <w:autoSpaceDE w:val="0"/>
              <w:autoSpaceDN w:val="0"/>
              <w:bidi w:val="0"/>
              <w:adjustRightInd/>
              <w:snapToGrid/>
              <w:spacing w:line="240" w:lineRule="auto"/>
              <w:ind w:left="0" w:right="0"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消防措施：消防人员须佩戴防毒面具、穿全身消防服。切勿将水流直接射至熔</w:t>
            </w:r>
            <w:r>
              <w:rPr>
                <w:rFonts w:hint="default" w:ascii="Times New Roman" w:hAnsi="Times New Roman" w:eastAsia="宋体" w:cs="Times New Roman"/>
                <w:color w:val="auto"/>
                <w:spacing w:val="2"/>
                <w:sz w:val="21"/>
                <w:szCs w:val="21"/>
              </w:rPr>
              <w:t>融</w:t>
            </w:r>
          </w:p>
          <w:p w14:paraId="3D68BDDE">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0"/>
                <w:sz w:val="21"/>
                <w:szCs w:val="21"/>
              </w:rPr>
              <w:t>物</w:t>
            </w:r>
            <w:r>
              <w:rPr>
                <w:rFonts w:hint="default" w:ascii="Times New Roman" w:hAnsi="Times New Roman" w:eastAsia="宋体" w:cs="Times New Roman"/>
                <w:color w:val="auto"/>
                <w:spacing w:val="8"/>
                <w:sz w:val="21"/>
                <w:szCs w:val="21"/>
              </w:rPr>
              <w:t>，以免引起严重的流淌火灾或引起剧烈的沸溅。遇大火，消防人员须在有防护掩蔽</w:t>
            </w:r>
            <w:r>
              <w:rPr>
                <w:rFonts w:hint="default" w:ascii="Times New Roman" w:hAnsi="Times New Roman" w:eastAsia="宋体" w:cs="Times New Roman"/>
                <w:color w:val="auto"/>
                <w:spacing w:val="18"/>
                <w:sz w:val="21"/>
                <w:szCs w:val="21"/>
              </w:rPr>
              <w:t>处</w:t>
            </w:r>
            <w:r>
              <w:rPr>
                <w:rFonts w:hint="default" w:ascii="Times New Roman" w:hAnsi="Times New Roman" w:eastAsia="宋体" w:cs="Times New Roman"/>
                <w:color w:val="auto"/>
                <w:spacing w:val="12"/>
                <w:sz w:val="21"/>
                <w:szCs w:val="21"/>
              </w:rPr>
              <w:t>操</w:t>
            </w:r>
            <w:r>
              <w:rPr>
                <w:rFonts w:hint="default" w:ascii="Times New Roman" w:hAnsi="Times New Roman" w:eastAsia="宋体" w:cs="Times New Roman"/>
                <w:color w:val="auto"/>
                <w:spacing w:val="9"/>
                <w:sz w:val="21"/>
                <w:szCs w:val="21"/>
              </w:rPr>
              <w:t>作。灭火剂：水、雾状水。初期火灾失控时，立即组织人员撤离到安全地带。</w:t>
            </w:r>
          </w:p>
        </w:tc>
      </w:tr>
      <w:tr w14:paraId="15482E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30" w:type="pct"/>
            <w:noWrap w:val="0"/>
            <w:vAlign w:val="center"/>
          </w:tcPr>
          <w:p w14:paraId="40B5E02E">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position w:val="7"/>
                <w:sz w:val="21"/>
                <w:szCs w:val="21"/>
              </w:rPr>
              <w:t>储运</w:t>
            </w:r>
          </w:p>
          <w:p w14:paraId="29B74400">
            <w:pPr>
              <w:autoSpaceDE w:val="0"/>
              <w:autoSpaceDN w:val="0"/>
              <w:spacing w:line="240" w:lineRule="auto"/>
              <w:ind w:left="0" w:leftChars="0" w:right="0" w:firstLine="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措</w:t>
            </w:r>
            <w:r>
              <w:rPr>
                <w:rFonts w:hint="default" w:ascii="Times New Roman" w:hAnsi="Times New Roman" w:eastAsia="宋体" w:cs="Times New Roman"/>
                <w:color w:val="auto"/>
                <w:spacing w:val="4"/>
                <w:sz w:val="21"/>
                <w:szCs w:val="21"/>
              </w:rPr>
              <w:t>施</w:t>
            </w:r>
          </w:p>
        </w:tc>
        <w:tc>
          <w:tcPr>
            <w:tcW w:w="4469" w:type="pct"/>
            <w:noWrap w:val="0"/>
            <w:vAlign w:val="center"/>
          </w:tcPr>
          <w:p w14:paraId="69F44A36">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储存于专用储罐内，设有温控、液位、消防雨淋等措施。与火种、热源隔离，</w:t>
            </w:r>
            <w:r>
              <w:rPr>
                <w:rFonts w:hint="default" w:ascii="Times New Roman" w:hAnsi="Times New Roman" w:eastAsia="宋体" w:cs="Times New Roman"/>
                <w:color w:val="auto"/>
                <w:spacing w:val="7"/>
                <w:sz w:val="21"/>
                <w:szCs w:val="21"/>
              </w:rPr>
              <w:t>避</w:t>
            </w:r>
            <w:r>
              <w:rPr>
                <w:rFonts w:hint="default" w:ascii="Times New Roman" w:hAnsi="Times New Roman" w:eastAsia="宋体" w:cs="Times New Roman"/>
                <w:color w:val="auto"/>
                <w:spacing w:val="20"/>
                <w:sz w:val="21"/>
                <w:szCs w:val="21"/>
              </w:rPr>
              <w:t>免阳</w:t>
            </w:r>
            <w:r>
              <w:rPr>
                <w:rFonts w:hint="default" w:ascii="Times New Roman" w:hAnsi="Times New Roman" w:eastAsia="宋体" w:cs="Times New Roman"/>
                <w:color w:val="auto"/>
                <w:spacing w:val="10"/>
                <w:sz w:val="21"/>
                <w:szCs w:val="21"/>
              </w:rPr>
              <w:t>光直射、受潮。硝酸铵必须单独储存，应与碱类、酸类、易燃、可燃物、还原</w:t>
            </w:r>
            <w:r>
              <w:rPr>
                <w:rFonts w:hint="default" w:ascii="Times New Roman" w:hAnsi="Times New Roman" w:eastAsia="宋体" w:cs="Times New Roman"/>
                <w:color w:val="auto"/>
                <w:spacing w:val="11"/>
                <w:sz w:val="21"/>
                <w:szCs w:val="21"/>
              </w:rPr>
              <w:t>剂、硫、磷等分开存放。采用专用槽车运输，运输时防止容器破损</w:t>
            </w:r>
            <w:r>
              <w:rPr>
                <w:rFonts w:hint="default" w:ascii="Times New Roman" w:hAnsi="Times New Roman" w:eastAsia="宋体" w:cs="Times New Roman"/>
                <w:color w:val="auto"/>
                <w:spacing w:val="8"/>
                <w:sz w:val="21"/>
                <w:szCs w:val="21"/>
              </w:rPr>
              <w:t>。</w:t>
            </w:r>
          </w:p>
        </w:tc>
      </w:tr>
    </w:tbl>
    <w:p w14:paraId="77F9E2E4">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p>
    <w:p w14:paraId="3E8F1B25">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表5-2  复合油相特性分析表</w:t>
      </w:r>
    </w:p>
    <w:tbl>
      <w:tblPr>
        <w:tblStyle w:val="85"/>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79"/>
        <w:gridCol w:w="7430"/>
      </w:tblGrid>
      <w:tr w14:paraId="0A5BA8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9" w:type="pct"/>
            <w:noWrap w:val="0"/>
            <w:vAlign w:val="center"/>
          </w:tcPr>
          <w:p w14:paraId="16FC5507">
            <w:pPr>
              <w:pStyle w:val="115"/>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名称</w:t>
            </w:r>
            <w:r>
              <w:rPr>
                <w:rFonts w:hint="default" w:ascii="Times New Roman" w:hAnsi="Times New Roman" w:cs="Times New Roman"/>
                <w:color w:val="auto"/>
                <w:spacing w:val="2"/>
                <w:sz w:val="21"/>
                <w:szCs w:val="21"/>
              </w:rPr>
              <w:t>定义</w:t>
            </w:r>
          </w:p>
        </w:tc>
        <w:tc>
          <w:tcPr>
            <w:tcW w:w="4470" w:type="pct"/>
            <w:noWrap w:val="0"/>
            <w:vAlign w:val="center"/>
          </w:tcPr>
          <w:p w14:paraId="61E7198D">
            <w:pPr>
              <w:pStyle w:val="115"/>
              <w:autoSpaceDE w:val="0"/>
              <w:autoSpaceDN w:val="0"/>
              <w:spacing w:line="240" w:lineRule="auto"/>
              <w:ind w:left="0" w:leftChars="0" w:right="0" w:rightChars="0" w:firstLine="0" w:firstLineChars="0"/>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9"/>
                <w:sz w:val="21"/>
                <w:szCs w:val="21"/>
              </w:rPr>
              <w:t>复合油相是由石蜡、凡士林、机油和乳化剂</w:t>
            </w:r>
            <w:r>
              <w:rPr>
                <w:rFonts w:hint="default" w:ascii="Times New Roman" w:hAnsi="Times New Roman" w:cs="Times New Roman"/>
                <w:color w:val="auto"/>
                <w:spacing w:val="9"/>
                <w:sz w:val="21"/>
                <w:szCs w:val="21"/>
                <w:lang w:val="en-US" w:eastAsia="zh-CN"/>
              </w:rPr>
              <w:t>等主要成分</w:t>
            </w:r>
            <w:r>
              <w:rPr>
                <w:rFonts w:hint="default" w:ascii="Times New Roman" w:hAnsi="Times New Roman" w:cs="Times New Roman"/>
                <w:color w:val="auto"/>
                <w:spacing w:val="9"/>
                <w:sz w:val="21"/>
                <w:szCs w:val="21"/>
              </w:rPr>
              <w:t>组</w:t>
            </w:r>
            <w:r>
              <w:rPr>
                <w:rFonts w:hint="default" w:ascii="Times New Roman" w:hAnsi="Times New Roman" w:cs="Times New Roman"/>
                <w:color w:val="auto"/>
                <w:spacing w:val="3"/>
                <w:sz w:val="21"/>
                <w:szCs w:val="21"/>
              </w:rPr>
              <w:t>成。目前尚无行业统一标准。</w:t>
            </w:r>
          </w:p>
        </w:tc>
      </w:tr>
      <w:tr w14:paraId="0CFDF6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9" w:type="pct"/>
            <w:noWrap w:val="0"/>
            <w:vAlign w:val="center"/>
          </w:tcPr>
          <w:p w14:paraId="5D5D0A6A">
            <w:pPr>
              <w:pStyle w:val="115"/>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理化</w:t>
            </w:r>
            <w:r>
              <w:rPr>
                <w:rFonts w:hint="default" w:ascii="Times New Roman" w:hAnsi="Times New Roman" w:cs="Times New Roman"/>
                <w:color w:val="auto"/>
                <w:spacing w:val="4"/>
                <w:sz w:val="21"/>
                <w:szCs w:val="21"/>
              </w:rPr>
              <w:t>特性</w:t>
            </w:r>
          </w:p>
        </w:tc>
        <w:tc>
          <w:tcPr>
            <w:tcW w:w="4470" w:type="pct"/>
            <w:noWrap w:val="0"/>
            <w:vAlign w:val="center"/>
          </w:tcPr>
          <w:p w14:paraId="6019AD57">
            <w:pPr>
              <w:pStyle w:val="115"/>
              <w:autoSpaceDE w:val="0"/>
              <w:autoSpaceDN w:val="0"/>
              <w:spacing w:line="240" w:lineRule="auto"/>
              <w:ind w:left="0" w:leftChars="0" w:right="0" w:rightChars="0" w:firstLine="0" w:firstLineChars="0"/>
              <w:rPr>
                <w:rFonts w:hint="default" w:ascii="Times New Roman" w:hAnsi="Times New Roman" w:eastAsia="Times New Roman" w:cs="Times New Roman"/>
                <w:color w:val="auto"/>
                <w:kern w:val="2"/>
                <w:sz w:val="21"/>
                <w:szCs w:val="21"/>
                <w:lang w:val="en-US" w:eastAsia="en-US" w:bidi="ar-SA"/>
              </w:rPr>
            </w:pPr>
            <w:r>
              <w:rPr>
                <w:rFonts w:hint="default" w:ascii="Times New Roman" w:hAnsi="Times New Roman" w:cs="Times New Roman"/>
                <w:color w:val="auto"/>
                <w:spacing w:val="3"/>
                <w:sz w:val="21"/>
                <w:szCs w:val="21"/>
              </w:rPr>
              <w:t>滴点≥</w:t>
            </w:r>
            <w:r>
              <w:rPr>
                <w:rFonts w:hint="default" w:ascii="Times New Roman" w:hAnsi="Times New Roman" w:eastAsia="Times New Roman" w:cs="Times New Roman"/>
                <w:color w:val="auto"/>
                <w:spacing w:val="3"/>
                <w:sz w:val="21"/>
                <w:szCs w:val="21"/>
              </w:rPr>
              <w:t>58-60</w:t>
            </w:r>
            <w:r>
              <w:rPr>
                <w:rFonts w:hint="default" w:ascii="Times New Roman" w:hAnsi="Times New Roman" w:cs="Times New Roman"/>
                <w:color w:val="auto"/>
                <w:spacing w:val="3"/>
                <w:sz w:val="21"/>
                <w:szCs w:val="21"/>
              </w:rPr>
              <w:t>℃</w:t>
            </w:r>
            <w:r>
              <w:rPr>
                <w:rFonts w:hint="default" w:ascii="Times New Roman" w:hAnsi="Times New Roman" w:cs="Times New Roman"/>
                <w:color w:val="auto"/>
                <w:spacing w:val="3"/>
                <w:sz w:val="21"/>
                <w:szCs w:val="21"/>
                <w:lang w:val="en-US" w:eastAsia="zh-CN"/>
              </w:rPr>
              <w:t>；</w:t>
            </w:r>
            <w:r>
              <w:rPr>
                <w:rFonts w:hint="default" w:ascii="Times New Roman" w:hAnsi="Times New Roman" w:cs="Times New Roman"/>
                <w:color w:val="auto"/>
                <w:spacing w:val="3"/>
                <w:sz w:val="21"/>
                <w:szCs w:val="21"/>
              </w:rPr>
              <w:t>含油量为</w:t>
            </w:r>
            <w:r>
              <w:rPr>
                <w:rFonts w:hint="default" w:ascii="Times New Roman" w:hAnsi="Times New Roman" w:cs="Times New Roman"/>
                <w:color w:val="auto"/>
                <w:spacing w:val="-23"/>
                <w:sz w:val="21"/>
                <w:szCs w:val="21"/>
              </w:rPr>
              <w:t xml:space="preserve"> </w:t>
            </w:r>
            <w:r>
              <w:rPr>
                <w:rFonts w:hint="default" w:ascii="Times New Roman" w:hAnsi="Times New Roman" w:eastAsia="Times New Roman" w:cs="Times New Roman"/>
                <w:color w:val="auto"/>
                <w:spacing w:val="3"/>
                <w:sz w:val="21"/>
                <w:szCs w:val="21"/>
              </w:rPr>
              <w:t>15%-</w:t>
            </w:r>
            <w:r>
              <w:rPr>
                <w:rFonts w:hint="default" w:ascii="Times New Roman" w:hAnsi="Times New Roman" w:eastAsia="宋体" w:cs="Times New Roman"/>
                <w:color w:val="auto"/>
                <w:spacing w:val="3"/>
                <w:sz w:val="21"/>
                <w:szCs w:val="21"/>
                <w:lang w:val="en-US" w:eastAsia="zh-CN"/>
              </w:rPr>
              <w:t>4</w:t>
            </w:r>
            <w:r>
              <w:rPr>
                <w:rFonts w:hint="default" w:ascii="Times New Roman" w:hAnsi="Times New Roman" w:eastAsia="Times New Roman" w:cs="Times New Roman"/>
                <w:color w:val="auto"/>
                <w:spacing w:val="3"/>
                <w:sz w:val="21"/>
                <w:szCs w:val="21"/>
              </w:rPr>
              <w:t>0%</w:t>
            </w:r>
            <w:r>
              <w:rPr>
                <w:rFonts w:hint="default" w:ascii="Times New Roman" w:hAnsi="Times New Roman" w:cs="Times New Roman"/>
                <w:color w:val="auto"/>
                <w:spacing w:val="3"/>
                <w:sz w:val="21"/>
                <w:szCs w:val="21"/>
              </w:rPr>
              <w:t>；粘度（</w:t>
            </w:r>
            <w:r>
              <w:rPr>
                <w:rFonts w:hint="default" w:ascii="Times New Roman" w:hAnsi="Times New Roman" w:eastAsia="Times New Roman" w:cs="Times New Roman"/>
                <w:color w:val="auto"/>
                <w:spacing w:val="3"/>
                <w:sz w:val="21"/>
                <w:szCs w:val="21"/>
              </w:rPr>
              <w:t>100</w:t>
            </w:r>
            <w:r>
              <w:rPr>
                <w:rFonts w:hint="default" w:ascii="Times New Roman" w:hAnsi="Times New Roman" w:cs="Times New Roman"/>
                <w:color w:val="auto"/>
                <w:spacing w:val="3"/>
                <w:sz w:val="21"/>
                <w:szCs w:val="21"/>
              </w:rPr>
              <w:t>℃</w:t>
            </w:r>
            <w:r>
              <w:rPr>
                <w:rFonts w:hint="default"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为</w:t>
            </w:r>
            <w:r>
              <w:rPr>
                <w:rFonts w:hint="default" w:ascii="Times New Roman" w:hAnsi="Times New Roman" w:cs="Times New Roman"/>
                <w:color w:val="auto"/>
                <w:spacing w:val="-37"/>
                <w:sz w:val="21"/>
                <w:szCs w:val="21"/>
              </w:rPr>
              <w:t xml:space="preserve"> </w:t>
            </w:r>
            <w:r>
              <w:rPr>
                <w:rFonts w:hint="default" w:ascii="Times New Roman" w:hAnsi="Times New Roman" w:eastAsia="Times New Roman" w:cs="Times New Roman"/>
                <w:color w:val="auto"/>
                <w:spacing w:val="3"/>
                <w:sz w:val="21"/>
                <w:szCs w:val="21"/>
              </w:rPr>
              <w:t>7-9</w:t>
            </w:r>
            <w:r>
              <w:rPr>
                <w:rFonts w:hint="default" w:ascii="Times New Roman" w:hAnsi="Times New Roman" w:eastAsia="Times New Roman" w:cs="Times New Roman"/>
                <w:color w:val="auto"/>
                <w:sz w:val="21"/>
                <w:szCs w:val="21"/>
              </w:rPr>
              <w:t>mm</w:t>
            </w:r>
            <w:r>
              <w:rPr>
                <w:rFonts w:hint="default" w:ascii="Times New Roman" w:hAnsi="Times New Roman" w:cs="Times New Roman"/>
                <w:color w:val="auto"/>
                <w:spacing w:val="9"/>
                <w:sz w:val="21"/>
                <w:szCs w:val="21"/>
                <w:vertAlign w:val="superscript"/>
              </w:rPr>
              <w:t>2</w:t>
            </w:r>
            <w:r>
              <w:rPr>
                <w:rFonts w:hint="default" w:ascii="Times New Roman" w:hAnsi="Times New Roman" w:eastAsia="Times New Roman" w:cs="Times New Roman"/>
                <w:color w:val="auto"/>
                <w:spacing w:val="3"/>
                <w:sz w:val="21"/>
                <w:szCs w:val="21"/>
              </w:rPr>
              <w:t>/s</w:t>
            </w:r>
            <w:r>
              <w:rPr>
                <w:rFonts w:hint="default" w:ascii="Times New Roman" w:hAnsi="Times New Roman" w:cs="Times New Roman"/>
                <w:color w:val="auto"/>
                <w:spacing w:val="3"/>
                <w:sz w:val="21"/>
                <w:szCs w:val="21"/>
              </w:rPr>
              <w:t>；氧平衡：</w:t>
            </w:r>
            <w:r>
              <w:rPr>
                <w:rFonts w:hint="default" w:ascii="Times New Roman" w:hAnsi="Times New Roman" w:cs="Times New Roman"/>
                <w:color w:val="auto"/>
                <w:sz w:val="21"/>
                <w:szCs w:val="21"/>
              </w:rPr>
              <w:t xml:space="preserve"> </w:t>
            </w:r>
            <w:r>
              <w:rPr>
                <w:rFonts w:hint="default" w:ascii="Times New Roman" w:hAnsi="Times New Roman" w:eastAsia="Times New Roman" w:cs="Times New Roman"/>
                <w:color w:val="auto"/>
                <w:spacing w:val="4"/>
                <w:sz w:val="21"/>
                <w:szCs w:val="21"/>
              </w:rPr>
              <w:t>-3.38g/g</w:t>
            </w:r>
            <w:r>
              <w:rPr>
                <w:rFonts w:hint="default" w:ascii="Times New Roman" w:hAnsi="Times New Roman" w:cs="Times New Roman"/>
                <w:color w:val="auto"/>
                <w:spacing w:val="4"/>
                <w:sz w:val="21"/>
                <w:szCs w:val="21"/>
              </w:rPr>
              <w:t>；分子量约为</w:t>
            </w:r>
            <w:r>
              <w:rPr>
                <w:rFonts w:hint="default" w:ascii="Times New Roman" w:hAnsi="Times New Roman" w:cs="Times New Roman"/>
                <w:color w:val="auto"/>
                <w:spacing w:val="-27"/>
                <w:sz w:val="21"/>
                <w:szCs w:val="21"/>
              </w:rPr>
              <w:t xml:space="preserve"> </w:t>
            </w:r>
            <w:r>
              <w:rPr>
                <w:rFonts w:hint="default" w:ascii="Times New Roman" w:hAnsi="Times New Roman" w:eastAsia="Times New Roman" w:cs="Times New Roman"/>
                <w:color w:val="auto"/>
                <w:spacing w:val="4"/>
                <w:sz w:val="21"/>
                <w:szCs w:val="21"/>
              </w:rPr>
              <w:t>500</w:t>
            </w:r>
            <w:r>
              <w:rPr>
                <w:rFonts w:hint="default" w:ascii="Times New Roman" w:hAnsi="Times New Roman" w:cs="Times New Roman"/>
                <w:color w:val="auto"/>
                <w:spacing w:val="4"/>
                <w:sz w:val="21"/>
                <w:szCs w:val="21"/>
              </w:rPr>
              <w:t>；闪点（开口）</w:t>
            </w:r>
            <w:r>
              <w:rPr>
                <w:rFonts w:hint="default" w:ascii="Times New Roman" w:hAnsi="Times New Roman" w:cs="Times New Roman"/>
                <w:color w:val="auto"/>
                <w:spacing w:val="-58"/>
                <w:sz w:val="21"/>
                <w:szCs w:val="21"/>
              </w:rPr>
              <w:t xml:space="preserve"> </w:t>
            </w:r>
            <w:r>
              <w:rPr>
                <w:rFonts w:hint="default" w:ascii="Times New Roman" w:hAnsi="Times New Roman" w:cs="Times New Roman"/>
                <w:color w:val="auto"/>
                <w:spacing w:val="4"/>
                <w:sz w:val="21"/>
                <w:szCs w:val="21"/>
              </w:rPr>
              <w:t>≥</w:t>
            </w:r>
            <w:r>
              <w:rPr>
                <w:rFonts w:hint="default" w:ascii="Times New Roman" w:hAnsi="Times New Roman" w:eastAsia="Times New Roman" w:cs="Times New Roman"/>
                <w:color w:val="auto"/>
                <w:spacing w:val="4"/>
                <w:sz w:val="21"/>
                <w:szCs w:val="21"/>
              </w:rPr>
              <w:t>200</w:t>
            </w:r>
            <w:r>
              <w:rPr>
                <w:rFonts w:hint="default" w:ascii="Times New Roman" w:hAnsi="Times New Roman" w:cs="Times New Roman"/>
                <w:color w:val="auto"/>
                <w:spacing w:val="4"/>
                <w:sz w:val="21"/>
                <w:szCs w:val="21"/>
              </w:rPr>
              <w:t>℃</w:t>
            </w:r>
            <w:r>
              <w:rPr>
                <w:rFonts w:hint="default" w:ascii="Times New Roman" w:hAnsi="Times New Roman" w:cs="Times New Roman"/>
                <w:color w:val="auto"/>
                <w:spacing w:val="4"/>
                <w:sz w:val="21"/>
                <w:szCs w:val="21"/>
                <w:lang w:val="en-US" w:eastAsia="zh-CN"/>
              </w:rPr>
              <w:t>；</w:t>
            </w:r>
            <w:r>
              <w:rPr>
                <w:rFonts w:hint="default" w:ascii="Times New Roman" w:hAnsi="Times New Roman" w:cs="Times New Roman"/>
                <w:color w:val="auto"/>
                <w:spacing w:val="4"/>
                <w:sz w:val="21"/>
                <w:szCs w:val="21"/>
              </w:rPr>
              <w:t>密度：</w:t>
            </w:r>
            <w:r>
              <w:rPr>
                <w:rFonts w:hint="default" w:ascii="Times New Roman" w:hAnsi="Times New Roman" w:eastAsia="Times New Roman" w:cs="Times New Roman"/>
                <w:color w:val="auto"/>
                <w:spacing w:val="4"/>
                <w:sz w:val="21"/>
                <w:szCs w:val="21"/>
              </w:rPr>
              <w:t>0.85g/</w:t>
            </w:r>
            <w:r>
              <w:rPr>
                <w:rFonts w:hint="default" w:ascii="Times New Roman" w:hAnsi="Times New Roman" w:eastAsia="Times New Roman" w:cs="Times New Roman"/>
                <w:color w:val="auto"/>
                <w:sz w:val="21"/>
                <w:szCs w:val="21"/>
              </w:rPr>
              <w:t>cm</w:t>
            </w:r>
            <w:r>
              <w:rPr>
                <w:rFonts w:hint="default" w:ascii="Times New Roman" w:hAnsi="Times New Roman" w:cs="Times New Roman"/>
                <w:color w:val="auto"/>
                <w:spacing w:val="9"/>
                <w:sz w:val="21"/>
                <w:szCs w:val="21"/>
                <w:vertAlign w:val="superscript"/>
              </w:rPr>
              <w:t>3</w:t>
            </w:r>
          </w:p>
        </w:tc>
      </w:tr>
      <w:tr w14:paraId="0D45ED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9" w:type="pct"/>
            <w:noWrap w:val="0"/>
            <w:vAlign w:val="center"/>
          </w:tcPr>
          <w:p w14:paraId="130E0593">
            <w:pPr>
              <w:pStyle w:val="115"/>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3"/>
                <w:sz w:val="21"/>
                <w:szCs w:val="21"/>
              </w:rPr>
              <w:t>危险</w:t>
            </w:r>
            <w:r>
              <w:rPr>
                <w:rFonts w:hint="default" w:ascii="Times New Roman" w:hAnsi="Times New Roman" w:cs="Times New Roman"/>
                <w:color w:val="auto"/>
                <w:spacing w:val="4"/>
                <w:sz w:val="21"/>
                <w:szCs w:val="21"/>
              </w:rPr>
              <w:t>特性</w:t>
            </w:r>
          </w:p>
        </w:tc>
        <w:tc>
          <w:tcPr>
            <w:tcW w:w="4470" w:type="pct"/>
            <w:noWrap w:val="0"/>
            <w:vAlign w:val="center"/>
          </w:tcPr>
          <w:p w14:paraId="39A463F2">
            <w:pPr>
              <w:pStyle w:val="115"/>
              <w:autoSpaceDE w:val="0"/>
              <w:autoSpaceDN w:val="0"/>
              <w:spacing w:line="240" w:lineRule="auto"/>
              <w:ind w:left="0" w:leftChars="0" w:right="0" w:firstLine="0"/>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9"/>
                <w:sz w:val="21"/>
                <w:szCs w:val="21"/>
              </w:rPr>
              <w:t>复合油相是可燃物，当环境温度过高及周围有明火时，容易发生燃烧事故。</w:t>
            </w:r>
          </w:p>
        </w:tc>
      </w:tr>
      <w:tr w14:paraId="59582C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9" w:type="pct"/>
            <w:noWrap w:val="0"/>
            <w:vAlign w:val="center"/>
          </w:tcPr>
          <w:p w14:paraId="0F9F3F8F">
            <w:pPr>
              <w:pStyle w:val="115"/>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4"/>
                <w:sz w:val="21"/>
                <w:szCs w:val="21"/>
              </w:rPr>
              <w:t>健康</w:t>
            </w:r>
            <w:r>
              <w:rPr>
                <w:rFonts w:hint="default" w:ascii="Times New Roman" w:hAnsi="Times New Roman" w:cs="Times New Roman"/>
                <w:color w:val="auto"/>
                <w:spacing w:val="3"/>
                <w:sz w:val="21"/>
                <w:szCs w:val="21"/>
              </w:rPr>
              <w:t>危害</w:t>
            </w:r>
          </w:p>
        </w:tc>
        <w:tc>
          <w:tcPr>
            <w:tcW w:w="4470" w:type="pct"/>
            <w:noWrap w:val="0"/>
            <w:vAlign w:val="center"/>
          </w:tcPr>
          <w:p w14:paraId="3F8BBCB3">
            <w:pPr>
              <w:pStyle w:val="115"/>
              <w:autoSpaceDE w:val="0"/>
              <w:autoSpaceDN w:val="0"/>
              <w:spacing w:line="240" w:lineRule="auto"/>
              <w:ind w:left="0" w:leftChars="0" w:right="0" w:rightChars="0" w:firstLine="0" w:firstLineChars="0"/>
              <w:jc w:val="both"/>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8"/>
                <w:sz w:val="21"/>
                <w:szCs w:val="21"/>
              </w:rPr>
              <w:t>复合油相</w:t>
            </w:r>
            <w:r>
              <w:rPr>
                <w:rFonts w:hint="default" w:ascii="Times New Roman" w:hAnsi="Times New Roman" w:cs="Times New Roman"/>
                <w:color w:val="auto"/>
                <w:spacing w:val="8"/>
                <w:sz w:val="21"/>
                <w:szCs w:val="21"/>
                <w:lang w:val="en-US" w:eastAsia="zh-CN"/>
              </w:rPr>
              <w:t>高温会少量挥发产生挥发性有机气体</w:t>
            </w:r>
            <w:r>
              <w:rPr>
                <w:rFonts w:hint="default" w:ascii="Times New Roman" w:hAnsi="Times New Roman" w:cs="Times New Roman"/>
                <w:color w:val="auto"/>
                <w:spacing w:val="8"/>
                <w:sz w:val="21"/>
                <w:szCs w:val="21"/>
              </w:rPr>
              <w:t>，</w:t>
            </w:r>
            <w:r>
              <w:rPr>
                <w:rFonts w:hint="default" w:ascii="Times New Roman" w:hAnsi="Times New Roman" w:cs="Times New Roman"/>
                <w:color w:val="auto"/>
                <w:spacing w:val="8"/>
                <w:sz w:val="21"/>
                <w:szCs w:val="21"/>
                <w:lang w:val="en-US" w:eastAsia="zh-CN"/>
              </w:rPr>
              <w:t>会造成</w:t>
            </w:r>
            <w:r>
              <w:rPr>
                <w:rFonts w:hint="default" w:ascii="Times New Roman" w:hAnsi="Times New Roman" w:cs="Times New Roman"/>
                <w:color w:val="auto"/>
                <w:spacing w:val="8"/>
                <w:sz w:val="21"/>
                <w:szCs w:val="21"/>
              </w:rPr>
              <w:t>如头晕、头痛</w:t>
            </w:r>
            <w:r>
              <w:rPr>
                <w:rFonts w:hint="default" w:ascii="Times New Roman" w:hAnsi="Times New Roman" w:cs="Times New Roman"/>
                <w:color w:val="auto"/>
                <w:spacing w:val="8"/>
                <w:sz w:val="21"/>
                <w:szCs w:val="21"/>
                <w:lang w:val="en-US" w:eastAsia="zh-CN"/>
              </w:rPr>
              <w:t>等健康危害</w:t>
            </w:r>
            <w:r>
              <w:rPr>
                <w:rFonts w:hint="default" w:ascii="Times New Roman" w:hAnsi="Times New Roman" w:cs="Times New Roman"/>
                <w:color w:val="auto"/>
                <w:spacing w:val="9"/>
                <w:sz w:val="21"/>
                <w:szCs w:val="21"/>
              </w:rPr>
              <w:t>。</w:t>
            </w:r>
          </w:p>
        </w:tc>
      </w:tr>
      <w:tr w14:paraId="2FB1E2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9" w:type="pct"/>
            <w:noWrap w:val="0"/>
            <w:vAlign w:val="center"/>
          </w:tcPr>
          <w:p w14:paraId="07D375D6">
            <w:pPr>
              <w:pStyle w:val="115"/>
              <w:autoSpaceDE w:val="0"/>
              <w:autoSpaceDN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4"/>
                <w:sz w:val="21"/>
                <w:szCs w:val="21"/>
              </w:rPr>
              <w:t>事故</w:t>
            </w:r>
            <w:r>
              <w:rPr>
                <w:rFonts w:hint="default" w:ascii="Times New Roman" w:hAnsi="Times New Roman" w:cs="Times New Roman"/>
                <w:color w:val="auto"/>
                <w:spacing w:val="2"/>
                <w:sz w:val="21"/>
                <w:szCs w:val="21"/>
              </w:rPr>
              <w:t>处理</w:t>
            </w:r>
          </w:p>
        </w:tc>
        <w:tc>
          <w:tcPr>
            <w:tcW w:w="4470" w:type="pct"/>
            <w:noWrap w:val="0"/>
            <w:vAlign w:val="center"/>
          </w:tcPr>
          <w:p w14:paraId="6D298085">
            <w:pPr>
              <w:pStyle w:val="115"/>
              <w:autoSpaceDE w:val="0"/>
              <w:autoSpaceDN w:val="0"/>
              <w:spacing w:line="240" w:lineRule="auto"/>
              <w:ind w:left="0" w:leftChars="0" w:right="0" w:rightChars="0" w:firstLine="0" w:firstLineChars="0"/>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7"/>
                <w:sz w:val="21"/>
                <w:szCs w:val="21"/>
              </w:rPr>
              <w:t>一旦复合油相发生燃烧宜采用二氧化碳、干粉灭火器来</w:t>
            </w:r>
            <w:r>
              <w:rPr>
                <w:rFonts w:hint="default" w:ascii="Times New Roman" w:hAnsi="Times New Roman" w:cs="Times New Roman"/>
                <w:color w:val="auto"/>
                <w:spacing w:val="6"/>
                <w:sz w:val="21"/>
                <w:szCs w:val="21"/>
              </w:rPr>
              <w:t>灭火。出现人员中毒，</w:t>
            </w:r>
            <w:r>
              <w:rPr>
                <w:rFonts w:hint="default" w:ascii="Times New Roman" w:hAnsi="Times New Roman" w:cs="Times New Roman"/>
                <w:color w:val="auto"/>
                <w:sz w:val="21"/>
                <w:szCs w:val="21"/>
              </w:rPr>
              <w:t xml:space="preserve"> </w:t>
            </w:r>
            <w:r>
              <w:rPr>
                <w:rFonts w:hint="default" w:ascii="Times New Roman" w:hAnsi="Times New Roman" w:cs="Times New Roman"/>
                <w:color w:val="auto"/>
                <w:spacing w:val="7"/>
                <w:sz w:val="21"/>
                <w:szCs w:val="21"/>
              </w:rPr>
              <w:t>宜将人员转移至通风处。</w:t>
            </w:r>
          </w:p>
        </w:tc>
      </w:tr>
      <w:tr w14:paraId="209B77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7" w:hRule="atLeast"/>
        </w:trPr>
        <w:tc>
          <w:tcPr>
            <w:tcW w:w="529" w:type="pct"/>
            <w:noWrap w:val="0"/>
            <w:vAlign w:val="center"/>
          </w:tcPr>
          <w:p w14:paraId="2B269840">
            <w:pPr>
              <w:pStyle w:val="115"/>
              <w:autoSpaceDE w:val="0"/>
              <w:autoSpaceDN w:val="0"/>
              <w:spacing w:line="240" w:lineRule="auto"/>
              <w:ind w:left="0" w:leftChars="0" w:right="0" w:rightChars="0" w:firstLine="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5"/>
                <w:sz w:val="21"/>
                <w:szCs w:val="21"/>
              </w:rPr>
              <w:t>储运</w:t>
            </w:r>
            <w:r>
              <w:rPr>
                <w:rFonts w:hint="default" w:ascii="Times New Roman" w:hAnsi="Times New Roman" w:cs="Times New Roman"/>
                <w:color w:val="auto"/>
                <w:spacing w:val="4"/>
                <w:sz w:val="21"/>
                <w:szCs w:val="21"/>
              </w:rPr>
              <w:t>注意</w:t>
            </w:r>
            <w:r>
              <w:rPr>
                <w:rFonts w:hint="default" w:ascii="Times New Roman" w:hAnsi="Times New Roman" w:cs="Times New Roman"/>
                <w:color w:val="auto"/>
                <w:sz w:val="21"/>
                <w:szCs w:val="21"/>
              </w:rPr>
              <w:t xml:space="preserve"> </w:t>
            </w:r>
            <w:r>
              <w:rPr>
                <w:rFonts w:hint="default" w:ascii="Times New Roman" w:hAnsi="Times New Roman" w:cs="Times New Roman"/>
                <w:color w:val="auto"/>
                <w:spacing w:val="4"/>
                <w:sz w:val="21"/>
                <w:szCs w:val="21"/>
              </w:rPr>
              <w:t>事项</w:t>
            </w:r>
          </w:p>
        </w:tc>
        <w:tc>
          <w:tcPr>
            <w:tcW w:w="4470" w:type="pct"/>
            <w:noWrap w:val="0"/>
            <w:vAlign w:val="center"/>
          </w:tcPr>
          <w:p w14:paraId="728D66EE">
            <w:pPr>
              <w:pStyle w:val="115"/>
              <w:autoSpaceDE w:val="0"/>
              <w:autoSpaceDN w:val="0"/>
              <w:spacing w:line="240" w:lineRule="auto"/>
              <w:ind w:left="0" w:leftChars="0" w:right="0" w:rightChars="0" w:firstLine="0" w:firstLineChars="0"/>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pacing w:val="9"/>
                <w:sz w:val="21"/>
                <w:szCs w:val="21"/>
              </w:rPr>
              <w:t>复合油相不应与氧化剂共同储存，宜单独存放。储存处应通风换气，确保储</w:t>
            </w:r>
            <w:r>
              <w:rPr>
                <w:rFonts w:hint="default" w:ascii="Times New Roman" w:hAnsi="Times New Roman" w:cs="Times New Roman"/>
                <w:color w:val="auto"/>
                <w:spacing w:val="16"/>
                <w:sz w:val="21"/>
                <w:szCs w:val="21"/>
              </w:rPr>
              <w:t xml:space="preserve"> </w:t>
            </w:r>
            <w:r>
              <w:rPr>
                <w:rFonts w:hint="default" w:ascii="Times New Roman" w:hAnsi="Times New Roman" w:cs="Times New Roman"/>
                <w:color w:val="auto"/>
                <w:spacing w:val="8"/>
                <w:sz w:val="21"/>
                <w:szCs w:val="21"/>
              </w:rPr>
              <w:t>存环境温度不高于滴点温度。</w:t>
            </w:r>
          </w:p>
        </w:tc>
      </w:tr>
    </w:tbl>
    <w:p w14:paraId="78FB8B9A">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p>
    <w:p w14:paraId="240D4FB1">
      <w:pPr>
        <w:keepNext w:val="0"/>
        <w:keepLines w:val="0"/>
        <w:pageBreakBefore w:val="0"/>
        <w:widowControl w:val="0"/>
        <w:tabs>
          <w:tab w:val="left" w:pos="0"/>
        </w:tabs>
        <w:kinsoku/>
        <w:wordWrap/>
        <w:overflowPunct/>
        <w:topLinePunct w:val="0"/>
        <w:autoSpaceDE/>
        <w:autoSpaceDN/>
        <w:bidi w:val="0"/>
        <w:adjustRightInd/>
        <w:snapToGrid/>
        <w:spacing w:before="144" w:beforeLines="50"/>
        <w:jc w:val="center"/>
        <w:textAlignment w:val="auto"/>
        <w:rPr>
          <w:rFonts w:hint="default" w:ascii="Times New Roman" w:hAnsi="Times New Roman" w:eastAsia="宋体" w:cs="Times New Roman"/>
          <w:b/>
          <w:color w:val="auto"/>
          <w:sz w:val="21"/>
          <w:szCs w:val="21"/>
          <w:lang w:val="en-US" w:eastAsia="zh-CN"/>
        </w:rPr>
      </w:pPr>
      <w:bookmarkStart w:id="513" w:name="OLE_LINK11"/>
      <w:bookmarkStart w:id="514" w:name="_Toc4032"/>
      <w:bookmarkStart w:id="515" w:name="_Toc4405766"/>
      <w:bookmarkStart w:id="516" w:name="_Toc8733"/>
      <w:bookmarkStart w:id="517" w:name="_Toc26772"/>
      <w:bookmarkStart w:id="518" w:name="_Toc531966981"/>
      <w:r>
        <w:rPr>
          <w:rFonts w:hint="default" w:ascii="Times New Roman" w:hAnsi="Times New Roman" w:eastAsia="宋体" w:cs="Times New Roman"/>
          <w:b/>
          <w:color w:val="auto"/>
          <w:sz w:val="21"/>
          <w:szCs w:val="21"/>
          <w:lang w:val="en-US" w:eastAsia="zh-CN"/>
        </w:rPr>
        <w:t>表</w:t>
      </w:r>
      <w:r>
        <w:rPr>
          <w:rFonts w:hint="eastAsia" w:eastAsia="宋体" w:cs="Times New Roman"/>
          <w:b/>
          <w:color w:val="auto"/>
          <w:sz w:val="21"/>
          <w:szCs w:val="21"/>
          <w:lang w:val="en-US" w:eastAsia="zh-CN"/>
        </w:rPr>
        <w:t xml:space="preserve">5-3 </w:t>
      </w:r>
      <w:r>
        <w:rPr>
          <w:rFonts w:hint="default" w:ascii="Times New Roman" w:hAnsi="Times New Roman" w:eastAsia="宋体" w:cs="Times New Roman"/>
          <w:b/>
          <w:color w:val="auto"/>
          <w:sz w:val="21"/>
          <w:szCs w:val="21"/>
          <w:lang w:val="en-US" w:eastAsia="zh-CN"/>
        </w:rPr>
        <w:t xml:space="preserve"> 矿物油的理化性质及危险特性表</w:t>
      </w:r>
    </w:p>
    <w:bookmarkEnd w:id="513"/>
    <w:tbl>
      <w:tblPr>
        <w:tblStyle w:val="32"/>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1383"/>
        <w:gridCol w:w="1191"/>
        <w:gridCol w:w="1368"/>
        <w:gridCol w:w="1166"/>
        <w:gridCol w:w="401"/>
        <w:gridCol w:w="1094"/>
        <w:gridCol w:w="894"/>
      </w:tblGrid>
      <w:tr w14:paraId="07E4D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511" w:type="pct"/>
            <w:noWrap w:val="0"/>
            <w:vAlign w:val="center"/>
          </w:tcPr>
          <w:p w14:paraId="6FD40AEC">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标识</w:t>
            </w:r>
          </w:p>
        </w:tc>
        <w:tc>
          <w:tcPr>
            <w:tcW w:w="2360" w:type="pct"/>
            <w:gridSpan w:val="3"/>
            <w:noWrap w:val="0"/>
            <w:vAlign w:val="center"/>
          </w:tcPr>
          <w:p w14:paraId="56BFFC1A">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中文名：矿物油</w:t>
            </w:r>
          </w:p>
        </w:tc>
        <w:tc>
          <w:tcPr>
            <w:tcW w:w="2127" w:type="pct"/>
            <w:gridSpan w:val="4"/>
            <w:noWrap w:val="0"/>
            <w:vAlign w:val="center"/>
          </w:tcPr>
          <w:p w14:paraId="4256E781">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英文名：mineral oil</w:t>
            </w:r>
          </w:p>
        </w:tc>
      </w:tr>
      <w:tr w14:paraId="241E0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11" w:type="pct"/>
            <w:vMerge w:val="restart"/>
            <w:noWrap w:val="0"/>
            <w:vAlign w:val="center"/>
          </w:tcPr>
          <w:p w14:paraId="5878A2BC">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理</w:t>
            </w:r>
          </w:p>
          <w:p w14:paraId="3FB5581C">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w:t>
            </w:r>
          </w:p>
          <w:p w14:paraId="6DE3D26D">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性</w:t>
            </w:r>
          </w:p>
          <w:p w14:paraId="2768C277">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质</w:t>
            </w:r>
          </w:p>
        </w:tc>
        <w:tc>
          <w:tcPr>
            <w:tcW w:w="828" w:type="pct"/>
            <w:noWrap w:val="0"/>
            <w:vAlign w:val="center"/>
          </w:tcPr>
          <w:p w14:paraId="6931CE4F">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外观与性状</w:t>
            </w:r>
          </w:p>
        </w:tc>
        <w:tc>
          <w:tcPr>
            <w:tcW w:w="1532" w:type="pct"/>
            <w:gridSpan w:val="2"/>
            <w:noWrap w:val="0"/>
            <w:vAlign w:val="center"/>
          </w:tcPr>
          <w:p w14:paraId="3564A6E6">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无色半透明油状液体</w:t>
            </w:r>
          </w:p>
        </w:tc>
        <w:tc>
          <w:tcPr>
            <w:tcW w:w="698" w:type="pct"/>
            <w:noWrap w:val="0"/>
            <w:vAlign w:val="center"/>
          </w:tcPr>
          <w:p w14:paraId="12810522">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闪点（℃）</w:t>
            </w:r>
          </w:p>
        </w:tc>
        <w:tc>
          <w:tcPr>
            <w:tcW w:w="1429" w:type="pct"/>
            <w:gridSpan w:val="3"/>
            <w:noWrap w:val="0"/>
            <w:vAlign w:val="center"/>
          </w:tcPr>
          <w:p w14:paraId="3FD71D31">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220</w:t>
            </w:r>
          </w:p>
        </w:tc>
      </w:tr>
      <w:tr w14:paraId="18BEF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vMerge w:val="continue"/>
            <w:noWrap w:val="0"/>
            <w:vAlign w:val="center"/>
          </w:tcPr>
          <w:p w14:paraId="037E37FE">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p>
        </w:tc>
        <w:tc>
          <w:tcPr>
            <w:tcW w:w="828" w:type="pct"/>
            <w:noWrap w:val="0"/>
            <w:vAlign w:val="center"/>
          </w:tcPr>
          <w:p w14:paraId="2BEF8F09">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自燃点（℃）</w:t>
            </w:r>
          </w:p>
        </w:tc>
        <w:tc>
          <w:tcPr>
            <w:tcW w:w="713" w:type="pct"/>
            <w:noWrap w:val="0"/>
            <w:vAlign w:val="center"/>
          </w:tcPr>
          <w:p w14:paraId="5C13F828">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未确定</w:t>
            </w:r>
          </w:p>
        </w:tc>
        <w:tc>
          <w:tcPr>
            <w:tcW w:w="819" w:type="pct"/>
            <w:noWrap w:val="0"/>
            <w:vAlign w:val="center"/>
          </w:tcPr>
          <w:p w14:paraId="36BEE226">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相对密度</w:t>
            </w:r>
          </w:p>
          <w:p w14:paraId="5F3C4AF2">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(水=1)</w:t>
            </w:r>
          </w:p>
        </w:tc>
        <w:tc>
          <w:tcPr>
            <w:tcW w:w="698" w:type="pct"/>
            <w:noWrap w:val="0"/>
            <w:vAlign w:val="center"/>
          </w:tcPr>
          <w:p w14:paraId="1240BFE0">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0.877</w:t>
            </w:r>
          </w:p>
        </w:tc>
        <w:tc>
          <w:tcPr>
            <w:tcW w:w="895" w:type="pct"/>
            <w:gridSpan w:val="2"/>
            <w:noWrap w:val="0"/>
            <w:vAlign w:val="center"/>
          </w:tcPr>
          <w:p w14:paraId="19778680">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相对密度</w:t>
            </w:r>
          </w:p>
          <w:p w14:paraId="114895E7">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(空气=1)</w:t>
            </w:r>
          </w:p>
        </w:tc>
        <w:tc>
          <w:tcPr>
            <w:tcW w:w="534" w:type="pct"/>
            <w:noWrap w:val="0"/>
            <w:vAlign w:val="center"/>
          </w:tcPr>
          <w:p w14:paraId="79092FCB">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未确定</w:t>
            </w:r>
          </w:p>
        </w:tc>
      </w:tr>
      <w:tr w14:paraId="20E54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vMerge w:val="continue"/>
            <w:noWrap w:val="0"/>
            <w:vAlign w:val="center"/>
          </w:tcPr>
          <w:p w14:paraId="1FD9EDB9">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p>
        </w:tc>
        <w:tc>
          <w:tcPr>
            <w:tcW w:w="828" w:type="pct"/>
            <w:noWrap w:val="0"/>
            <w:vAlign w:val="center"/>
          </w:tcPr>
          <w:p w14:paraId="681E8AFE">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溶解性</w:t>
            </w:r>
          </w:p>
        </w:tc>
        <w:tc>
          <w:tcPr>
            <w:tcW w:w="3660" w:type="pct"/>
            <w:gridSpan w:val="6"/>
            <w:noWrap w:val="0"/>
            <w:vAlign w:val="center"/>
          </w:tcPr>
          <w:p w14:paraId="1F30CDDE">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不溶于水、乙醇，溶于挥发油，混溶于多数非挥发性油</w:t>
            </w:r>
          </w:p>
        </w:tc>
      </w:tr>
      <w:tr w14:paraId="34447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vMerge w:val="restart"/>
            <w:noWrap w:val="0"/>
            <w:vAlign w:val="center"/>
          </w:tcPr>
          <w:p w14:paraId="28186490">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燃</w:t>
            </w:r>
          </w:p>
          <w:p w14:paraId="6C01A5D2">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烧</w:t>
            </w:r>
          </w:p>
          <w:p w14:paraId="0713D870">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爆</w:t>
            </w:r>
          </w:p>
          <w:p w14:paraId="421E6FCB">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炸</w:t>
            </w:r>
          </w:p>
          <w:p w14:paraId="2DDD77A8">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w:t>
            </w:r>
          </w:p>
          <w:p w14:paraId="4B317E8E">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险</w:t>
            </w:r>
          </w:p>
        </w:tc>
        <w:tc>
          <w:tcPr>
            <w:tcW w:w="828" w:type="pct"/>
            <w:noWrap w:val="0"/>
            <w:vAlign w:val="center"/>
          </w:tcPr>
          <w:p w14:paraId="004125A7">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危险性类别</w:t>
            </w:r>
          </w:p>
        </w:tc>
        <w:tc>
          <w:tcPr>
            <w:tcW w:w="1532" w:type="pct"/>
            <w:gridSpan w:val="2"/>
            <w:noWrap w:val="0"/>
            <w:vAlign w:val="center"/>
          </w:tcPr>
          <w:p w14:paraId="3BBFCC6D">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遇明火、高热可燃。</w:t>
            </w:r>
          </w:p>
        </w:tc>
        <w:tc>
          <w:tcPr>
            <w:tcW w:w="938" w:type="pct"/>
            <w:gridSpan w:val="2"/>
            <w:noWrap w:val="0"/>
            <w:vAlign w:val="center"/>
          </w:tcPr>
          <w:p w14:paraId="03EFB267">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燃烧分解产物</w:t>
            </w:r>
          </w:p>
        </w:tc>
        <w:tc>
          <w:tcPr>
            <w:tcW w:w="1189" w:type="pct"/>
            <w:gridSpan w:val="2"/>
            <w:noWrap w:val="0"/>
            <w:vAlign w:val="center"/>
          </w:tcPr>
          <w:p w14:paraId="47D6F8CF">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CO、CO2等有毒有害气体</w:t>
            </w:r>
          </w:p>
        </w:tc>
      </w:tr>
      <w:tr w14:paraId="7EF86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vMerge w:val="continue"/>
            <w:noWrap w:val="0"/>
            <w:vAlign w:val="center"/>
          </w:tcPr>
          <w:p w14:paraId="791ECB27">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p>
        </w:tc>
        <w:tc>
          <w:tcPr>
            <w:tcW w:w="828" w:type="pct"/>
            <w:noWrap w:val="0"/>
            <w:vAlign w:val="center"/>
          </w:tcPr>
          <w:p w14:paraId="5A379A21">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稳定性</w:t>
            </w:r>
          </w:p>
        </w:tc>
        <w:tc>
          <w:tcPr>
            <w:tcW w:w="1532" w:type="pct"/>
            <w:gridSpan w:val="2"/>
            <w:noWrap w:val="0"/>
            <w:vAlign w:val="center"/>
          </w:tcPr>
          <w:p w14:paraId="2B988D4E">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稳定</w:t>
            </w:r>
          </w:p>
        </w:tc>
        <w:tc>
          <w:tcPr>
            <w:tcW w:w="938" w:type="pct"/>
            <w:gridSpan w:val="2"/>
            <w:noWrap w:val="0"/>
            <w:vAlign w:val="center"/>
          </w:tcPr>
          <w:p w14:paraId="414A2A90">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饱和蒸气压kPa</w:t>
            </w:r>
          </w:p>
        </w:tc>
        <w:tc>
          <w:tcPr>
            <w:tcW w:w="1189" w:type="pct"/>
            <w:gridSpan w:val="2"/>
            <w:noWrap w:val="0"/>
            <w:vAlign w:val="center"/>
          </w:tcPr>
          <w:p w14:paraId="59B46817">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无资料</w:t>
            </w:r>
          </w:p>
        </w:tc>
      </w:tr>
      <w:tr w14:paraId="40155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vMerge w:val="continue"/>
            <w:noWrap w:val="0"/>
            <w:vAlign w:val="center"/>
          </w:tcPr>
          <w:p w14:paraId="4A6266EF">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p>
        </w:tc>
        <w:tc>
          <w:tcPr>
            <w:tcW w:w="828" w:type="pct"/>
            <w:noWrap w:val="0"/>
            <w:vAlign w:val="center"/>
          </w:tcPr>
          <w:p w14:paraId="514CAD36">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灭火方法</w:t>
            </w:r>
          </w:p>
        </w:tc>
        <w:tc>
          <w:tcPr>
            <w:tcW w:w="3660" w:type="pct"/>
            <w:gridSpan w:val="6"/>
            <w:noWrap w:val="0"/>
            <w:vAlign w:val="center"/>
          </w:tcPr>
          <w:p w14:paraId="2485A600">
            <w:pPr>
              <w:pStyle w:val="114"/>
              <w:adjustRightInd w:val="0"/>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消防人员须佩戴防毒面具、穿全身消防服，在上风向灭火。尽可能将容器从火场移至空旷处。喷水保持火场容器冷却，直至灭火结束。灭火剂：雾状水、泡沫、干粉、二氧化碳、砂土。</w:t>
            </w:r>
          </w:p>
        </w:tc>
      </w:tr>
      <w:tr w14:paraId="139C3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noWrap w:val="0"/>
            <w:vAlign w:val="center"/>
          </w:tcPr>
          <w:p w14:paraId="130583FD">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健康</w:t>
            </w:r>
          </w:p>
          <w:p w14:paraId="34DF0B7C">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危害</w:t>
            </w:r>
          </w:p>
        </w:tc>
        <w:tc>
          <w:tcPr>
            <w:tcW w:w="4488" w:type="pct"/>
            <w:gridSpan w:val="7"/>
            <w:noWrap w:val="0"/>
            <w:vAlign w:val="center"/>
          </w:tcPr>
          <w:p w14:paraId="59164DD3">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急性毒性：LD50：4000mg/</w:t>
            </w:r>
            <w:r>
              <w:rPr>
                <w:rFonts w:hint="eastAsia" w:ascii="Times New Roman" w:hAnsi="Times New Roman" w:eastAsia="宋体" w:cs="Times New Roman"/>
                <w:color w:val="auto"/>
                <w:sz w:val="21"/>
                <w:szCs w:val="21"/>
                <w:lang w:val="en-US" w:eastAsia="zh-CN"/>
              </w:rPr>
              <w:t>kg</w:t>
            </w:r>
            <w:r>
              <w:rPr>
                <w:rFonts w:hint="default" w:ascii="Times New Roman" w:hAnsi="Times New Roman" w:eastAsia="宋体" w:cs="Times New Roman"/>
                <w:color w:val="auto"/>
                <w:sz w:val="21"/>
                <w:szCs w:val="21"/>
                <w:lang w:val="en-US" w:eastAsia="zh-CN"/>
              </w:rPr>
              <w:t>（大鼠经口）；4720mg/</w:t>
            </w:r>
            <w:r>
              <w:rPr>
                <w:rFonts w:hint="eastAsia" w:ascii="Times New Roman" w:hAnsi="Times New Roman" w:eastAsia="宋体" w:cs="Times New Roman"/>
                <w:color w:val="auto"/>
                <w:sz w:val="21"/>
                <w:szCs w:val="21"/>
                <w:lang w:val="en-US" w:eastAsia="zh-CN"/>
              </w:rPr>
              <w:t>kg</w:t>
            </w:r>
            <w:r>
              <w:rPr>
                <w:rFonts w:hint="default" w:ascii="Times New Roman" w:hAnsi="Times New Roman" w:eastAsia="宋体" w:cs="Times New Roman"/>
                <w:color w:val="auto"/>
                <w:sz w:val="21"/>
                <w:szCs w:val="21"/>
                <w:lang w:val="en-US" w:eastAsia="zh-CN"/>
              </w:rPr>
              <w:t>（兔经皮）。LC50：9400mg/m3，2小时（小鼠吸入）。</w:t>
            </w:r>
          </w:p>
          <w:p w14:paraId="6555FFDB">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急性吸入，可出现乏力、头晕、头痛、恶心，严重者可引起油脂性肺炎。慢</w:t>
            </w:r>
            <w:r>
              <w:rPr>
                <w:rFonts w:hint="eastAsia" w:ascii="Times New Roman" w:hAnsi="Times New Roman" w:eastAsia="宋体" w:cs="Times New Roman"/>
                <w:color w:val="auto"/>
                <w:sz w:val="21"/>
                <w:szCs w:val="21"/>
                <w:lang w:val="en-US" w:eastAsia="zh-CN"/>
              </w:rPr>
              <w:t>性</w:t>
            </w:r>
            <w:bookmarkStart w:id="655" w:name="_GoBack"/>
            <w:bookmarkEnd w:id="655"/>
            <w:r>
              <w:rPr>
                <w:rFonts w:hint="default" w:ascii="Times New Roman" w:hAnsi="Times New Roman" w:eastAsia="宋体" w:cs="Times New Roman"/>
                <w:color w:val="auto"/>
                <w:sz w:val="21"/>
                <w:szCs w:val="21"/>
                <w:lang w:val="en-US" w:eastAsia="zh-CN"/>
              </w:rPr>
              <w:t>接触者，暴露部位可发生油性痤疮和</w:t>
            </w:r>
            <w:r>
              <w:rPr>
                <w:rFonts w:hint="eastAsia" w:ascii="Times New Roman" w:hAnsi="Times New Roman" w:eastAsia="宋体" w:cs="Times New Roman"/>
                <w:color w:val="auto"/>
                <w:sz w:val="21"/>
                <w:szCs w:val="21"/>
                <w:lang w:val="en-US" w:eastAsia="zh-CN"/>
              </w:rPr>
              <w:t>接触性皮炎</w:t>
            </w:r>
            <w:r>
              <w:rPr>
                <w:rFonts w:hint="default" w:ascii="Times New Roman" w:hAnsi="Times New Roman" w:eastAsia="宋体" w:cs="Times New Roman"/>
                <w:color w:val="auto"/>
                <w:sz w:val="21"/>
                <w:szCs w:val="21"/>
                <w:lang w:val="en-US" w:eastAsia="zh-CN"/>
              </w:rPr>
              <w:t>。可引发神经衰弱</w:t>
            </w:r>
            <w:r>
              <w:rPr>
                <w:rFonts w:hint="eastAsia" w:ascii="Times New Roman" w:hAnsi="Times New Roman" w:eastAsia="宋体" w:cs="Times New Roman"/>
                <w:color w:val="auto"/>
                <w:sz w:val="21"/>
                <w:szCs w:val="21"/>
                <w:lang w:val="en-US" w:eastAsia="zh-CN"/>
              </w:rPr>
              <w:t>综合征</w:t>
            </w:r>
            <w:r>
              <w:rPr>
                <w:rFonts w:hint="default" w:ascii="Times New Roman" w:hAnsi="Times New Roman" w:eastAsia="宋体" w:cs="Times New Roman"/>
                <w:color w:val="auto"/>
                <w:sz w:val="21"/>
                <w:szCs w:val="21"/>
                <w:lang w:val="en-US" w:eastAsia="zh-CN"/>
              </w:rPr>
              <w:t>，呼吸道和眼刺激症状及慢性油脂性肺炎。</w:t>
            </w:r>
          </w:p>
        </w:tc>
      </w:tr>
      <w:tr w14:paraId="4ABA2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noWrap w:val="0"/>
            <w:vAlign w:val="center"/>
          </w:tcPr>
          <w:p w14:paraId="13A47654">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急救</w:t>
            </w:r>
          </w:p>
          <w:p w14:paraId="5524457F">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措施</w:t>
            </w:r>
          </w:p>
        </w:tc>
        <w:tc>
          <w:tcPr>
            <w:tcW w:w="4488" w:type="pct"/>
            <w:gridSpan w:val="7"/>
            <w:noWrap w:val="0"/>
            <w:vAlign w:val="center"/>
          </w:tcPr>
          <w:p w14:paraId="50FC1E64">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皮肤接触：脱去污染的衣着，用大量流动清水清洗。</w:t>
            </w:r>
          </w:p>
          <w:p w14:paraId="48E4EBDD">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眼接触：提起眼睑，用流动清水或生理盐水冲洗。</w:t>
            </w:r>
          </w:p>
          <w:p w14:paraId="0B1DA671">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吸入：迅速脱离现场至空气新鲜处，保持呼吸畅通。如呼吸困难，给输氧。如呼吸停止，立即进行人工呼吸。就医。</w:t>
            </w:r>
          </w:p>
          <w:p w14:paraId="76DF22CD">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食用：饮适量温水，催吐。就医。</w:t>
            </w:r>
          </w:p>
        </w:tc>
      </w:tr>
      <w:tr w14:paraId="25704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noWrap w:val="0"/>
            <w:vAlign w:val="center"/>
          </w:tcPr>
          <w:p w14:paraId="03B3242B">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泄漏</w:t>
            </w:r>
          </w:p>
          <w:p w14:paraId="11D485FC">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处理</w:t>
            </w:r>
          </w:p>
        </w:tc>
        <w:tc>
          <w:tcPr>
            <w:tcW w:w="4488" w:type="pct"/>
            <w:gridSpan w:val="7"/>
            <w:noWrap w:val="0"/>
            <w:vAlign w:val="center"/>
          </w:tcPr>
          <w:p w14:paraId="6EA68AEF">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迅速撤离泄漏污染区人员至安全区，并进行隔离，严格限制出入。切断火源。尽可能切断泄漏源。防止流入下水道、排洪沟等限制性空间。</w:t>
            </w:r>
          </w:p>
          <w:p w14:paraId="47DB2DAD">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小量泄漏：用砂土或其他不燃材料吸附或吸收。</w:t>
            </w:r>
          </w:p>
          <w:p w14:paraId="03028869">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大量泄漏：构筑围堤或挖坑收容。用泵转移至槽车或专用收集器内，回收或运至废物处理场所处置。</w:t>
            </w:r>
          </w:p>
        </w:tc>
      </w:tr>
      <w:tr w14:paraId="262E9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noWrap w:val="0"/>
            <w:vAlign w:val="center"/>
          </w:tcPr>
          <w:p w14:paraId="499C3EAE">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储存</w:t>
            </w:r>
          </w:p>
          <w:p w14:paraId="21DD0150">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要求</w:t>
            </w:r>
          </w:p>
        </w:tc>
        <w:tc>
          <w:tcPr>
            <w:tcW w:w="4488" w:type="pct"/>
            <w:gridSpan w:val="7"/>
            <w:noWrap w:val="0"/>
            <w:vAlign w:val="center"/>
          </w:tcPr>
          <w:p w14:paraId="22D0E9DF">
            <w:pPr>
              <w:pStyle w:val="114"/>
              <w:keepNext w:val="0"/>
              <w:keepLines w:val="0"/>
              <w:pageBreakBefore w:val="0"/>
              <w:widowControl/>
              <w:kinsoku/>
              <w:wordWrap/>
              <w:overflowPunct/>
              <w:topLinePunct w:val="0"/>
              <w:autoSpaceDE/>
              <w:autoSpaceDN/>
              <w:bidi w:val="0"/>
              <w:adjustRightInd w:val="0"/>
              <w:snapToGrid w:val="0"/>
              <w:spacing w:after="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储存于阴凉、通风的库房。远离火种、热源。配备相应品种和数量的消防器材。</w:t>
            </w:r>
          </w:p>
        </w:tc>
      </w:tr>
      <w:tr w14:paraId="6D587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511" w:type="pct"/>
            <w:noWrap w:val="0"/>
            <w:vAlign w:val="center"/>
          </w:tcPr>
          <w:p w14:paraId="416C2A96">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运输</w:t>
            </w:r>
          </w:p>
          <w:p w14:paraId="457C3B81">
            <w:pPr>
              <w:autoSpaceDE w:val="0"/>
              <w:autoSpaceDN w:val="0"/>
              <w:adjustRightInd w:val="0"/>
              <w:snapToGrid w:val="0"/>
              <w:spacing w:line="320" w:lineRule="exact"/>
              <w:ind w:left="-105" w:leftChars="-50" w:right="-105" w:rightChars="-50"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要求</w:t>
            </w:r>
          </w:p>
        </w:tc>
        <w:tc>
          <w:tcPr>
            <w:tcW w:w="4488" w:type="pct"/>
            <w:gridSpan w:val="7"/>
            <w:noWrap w:val="0"/>
            <w:vAlign w:val="center"/>
          </w:tcPr>
          <w:p w14:paraId="77CB7889">
            <w:pPr>
              <w:pStyle w:val="114"/>
              <w:keepNext w:val="0"/>
              <w:keepLines w:val="0"/>
              <w:pageBreakBefore w:val="0"/>
              <w:widowControl/>
              <w:kinsoku/>
              <w:wordWrap/>
              <w:overflowPunct/>
              <w:topLinePunct w:val="0"/>
              <w:autoSpaceDE/>
              <w:autoSpaceDN/>
              <w:bidi w:val="0"/>
              <w:adjustRightInd w:val="0"/>
              <w:snapToGrid w:val="0"/>
              <w:spacing w:after="0" w:line="240" w:lineRule="auto"/>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运输前应先检查包装容器是否完整、密封，运输过程中要确保容器不泄漏、不倒塌、不坠落、不损坏。严禁与氧化剂、食用化学品等混装混运。运输车船必须彻底清洗、消毒，否则不得装运其它物品。船运时，配装位置应远离卧室、厨房，并与机舱、电源、火源等部位隔离。</w:t>
            </w:r>
          </w:p>
        </w:tc>
      </w:tr>
    </w:tbl>
    <w:p w14:paraId="3C493E97">
      <w:pPr>
        <w:keepNext w:val="0"/>
        <w:keepLines w:val="0"/>
        <w:pageBreakBefore w:val="0"/>
        <w:widowControl w:val="0"/>
        <w:tabs>
          <w:tab w:val="left" w:pos="0"/>
        </w:tabs>
        <w:kinsoku/>
        <w:wordWrap/>
        <w:overflowPunct/>
        <w:topLinePunct w:val="0"/>
        <w:autoSpaceDE/>
        <w:autoSpaceDN/>
        <w:bidi w:val="0"/>
        <w:adjustRightInd/>
        <w:snapToGrid/>
        <w:spacing w:before="144" w:beforeLines="50"/>
        <w:jc w:val="center"/>
        <w:textAlignment w:val="auto"/>
        <w:rPr>
          <w:rFonts w:hint="default" w:ascii="Times New Roman" w:hAnsi="Times New Roman" w:eastAsia="宋体" w:cs="Times New Roman"/>
          <w:b/>
          <w:color w:val="auto"/>
          <w:sz w:val="21"/>
          <w:szCs w:val="21"/>
          <w:lang w:val="en-US" w:eastAsia="zh-CN"/>
        </w:rPr>
      </w:pPr>
    </w:p>
    <w:p w14:paraId="21D6FCE0">
      <w:pPr>
        <w:keepNext w:val="0"/>
        <w:keepLines w:val="0"/>
        <w:pageBreakBefore w:val="0"/>
        <w:widowControl w:val="0"/>
        <w:tabs>
          <w:tab w:val="left" w:pos="0"/>
        </w:tabs>
        <w:kinsoku/>
        <w:wordWrap/>
        <w:overflowPunct/>
        <w:topLinePunct w:val="0"/>
        <w:autoSpaceDE/>
        <w:autoSpaceDN/>
        <w:bidi w:val="0"/>
        <w:adjustRightInd/>
        <w:snapToGrid/>
        <w:spacing w:before="144" w:beforeLines="50"/>
        <w:jc w:val="center"/>
        <w:textAlignment w:val="auto"/>
        <w:rPr>
          <w:rFonts w:hint="default" w:ascii="Times New Roman" w:hAnsi="Times New Roman" w:eastAsia="宋体" w:cs="Times New Roman"/>
          <w:b/>
          <w:color w:val="auto"/>
          <w:sz w:val="21"/>
          <w:szCs w:val="21"/>
          <w:lang w:val="en-US" w:eastAsia="zh-CN"/>
        </w:rPr>
      </w:pPr>
      <w:bookmarkStart w:id="519" w:name="OLE_LINK14"/>
      <w:r>
        <w:rPr>
          <w:rFonts w:hint="default" w:ascii="Times New Roman" w:hAnsi="Times New Roman" w:eastAsia="宋体" w:cs="Times New Roman"/>
          <w:b/>
          <w:color w:val="auto"/>
          <w:sz w:val="21"/>
          <w:szCs w:val="21"/>
          <w:lang w:val="en-US" w:eastAsia="zh-CN"/>
        </w:rPr>
        <w:t>表</w:t>
      </w:r>
      <w:r>
        <w:rPr>
          <w:rFonts w:hint="eastAsia" w:eastAsia="宋体" w:cs="Times New Roman"/>
          <w:b/>
          <w:color w:val="auto"/>
          <w:sz w:val="21"/>
          <w:szCs w:val="21"/>
          <w:lang w:val="en-US" w:eastAsia="zh-CN"/>
        </w:rPr>
        <w:t xml:space="preserve">5-4 </w:t>
      </w:r>
      <w:r>
        <w:rPr>
          <w:rFonts w:hint="default" w:ascii="Times New Roman" w:hAnsi="Times New Roman" w:eastAsia="宋体" w:cs="Times New Roman"/>
          <w:b/>
          <w:color w:val="auto"/>
          <w:sz w:val="21"/>
          <w:szCs w:val="21"/>
          <w:lang w:val="en-US" w:eastAsia="zh-CN"/>
        </w:rPr>
        <w:t xml:space="preserve"> </w:t>
      </w:r>
      <w:bookmarkStart w:id="520" w:name="OLE_LINK13"/>
      <w:r>
        <w:rPr>
          <w:rFonts w:hint="eastAsia" w:ascii="Times New Roman" w:hAnsi="Times New Roman" w:eastAsia="宋体" w:cs="Times New Roman"/>
          <w:b/>
          <w:color w:val="auto"/>
          <w:sz w:val="21"/>
          <w:szCs w:val="21"/>
          <w:lang w:val="en-US" w:eastAsia="zh-CN"/>
        </w:rPr>
        <w:t>丁酮</w:t>
      </w:r>
      <w:r>
        <w:rPr>
          <w:rFonts w:hint="default" w:ascii="Times New Roman" w:hAnsi="Times New Roman" w:eastAsia="宋体" w:cs="Times New Roman"/>
          <w:b/>
          <w:color w:val="auto"/>
          <w:sz w:val="21"/>
          <w:szCs w:val="21"/>
          <w:lang w:val="en-US" w:eastAsia="zh-CN"/>
        </w:rPr>
        <w:t>的理化性质及危险特性表</w:t>
      </w:r>
      <w:bookmarkEnd w:id="520"/>
    </w:p>
    <w:bookmarkEnd w:id="519"/>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1915"/>
        <w:gridCol w:w="1923"/>
        <w:gridCol w:w="489"/>
        <w:gridCol w:w="1434"/>
        <w:gridCol w:w="227"/>
        <w:gridCol w:w="1698"/>
      </w:tblGrid>
      <w:tr w14:paraId="1B982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restart"/>
            <w:vAlign w:val="center"/>
          </w:tcPr>
          <w:p w14:paraId="41253D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Style w:val="35"/>
                <w:rFonts w:hint="default" w:ascii="Times New Roman" w:hAnsi="Times New Roman" w:eastAsia="宋体" w:cs="Times New Roman"/>
                <w:b/>
                <w:bCs/>
                <w:i w:val="0"/>
                <w:iCs w:val="0"/>
                <w:caps w:val="0"/>
                <w:color w:val="auto"/>
                <w:spacing w:val="0"/>
                <w:kern w:val="0"/>
                <w:sz w:val="21"/>
                <w:szCs w:val="21"/>
                <w:vertAlign w:val="baseline"/>
                <w:lang w:val="en-US" w:eastAsia="zh-CN" w:bidi="ar"/>
              </w:rPr>
              <w:t>标识</w:t>
            </w:r>
          </w:p>
        </w:tc>
        <w:tc>
          <w:tcPr>
            <w:tcW w:w="1915" w:type="dxa"/>
            <w:vAlign w:val="center"/>
          </w:tcPr>
          <w:p w14:paraId="358DD7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中文名</w:t>
            </w:r>
          </w:p>
        </w:tc>
        <w:tc>
          <w:tcPr>
            <w:tcW w:w="2412" w:type="dxa"/>
            <w:gridSpan w:val="2"/>
            <w:vAlign w:val="center"/>
          </w:tcPr>
          <w:p w14:paraId="1D42D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2-丁酮，甲基乙基酮</w:t>
            </w:r>
          </w:p>
        </w:tc>
        <w:tc>
          <w:tcPr>
            <w:tcW w:w="1661" w:type="dxa"/>
            <w:gridSpan w:val="2"/>
            <w:vAlign w:val="center"/>
          </w:tcPr>
          <w:p w14:paraId="064CC3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危险货物编号</w:t>
            </w:r>
          </w:p>
        </w:tc>
        <w:tc>
          <w:tcPr>
            <w:tcW w:w="1698" w:type="dxa"/>
            <w:vAlign w:val="center"/>
          </w:tcPr>
          <w:p w14:paraId="38BC8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32073</w:t>
            </w:r>
          </w:p>
        </w:tc>
      </w:tr>
      <w:tr w14:paraId="264E9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6245459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28666C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英文名</w:t>
            </w:r>
          </w:p>
        </w:tc>
        <w:tc>
          <w:tcPr>
            <w:tcW w:w="2412" w:type="dxa"/>
            <w:gridSpan w:val="2"/>
            <w:vAlign w:val="center"/>
          </w:tcPr>
          <w:p w14:paraId="6E2713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2-butanone；methyl ketone</w:t>
            </w:r>
          </w:p>
        </w:tc>
        <w:tc>
          <w:tcPr>
            <w:tcW w:w="1661" w:type="dxa"/>
            <w:gridSpan w:val="2"/>
            <w:vAlign w:val="center"/>
          </w:tcPr>
          <w:p w14:paraId="1C8E56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UN编号</w:t>
            </w:r>
          </w:p>
        </w:tc>
        <w:tc>
          <w:tcPr>
            <w:tcW w:w="1698" w:type="dxa"/>
            <w:vAlign w:val="center"/>
          </w:tcPr>
          <w:p w14:paraId="4FE27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1193</w:t>
            </w:r>
          </w:p>
        </w:tc>
      </w:tr>
      <w:tr w14:paraId="6A264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388B7B8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53E6A5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分子式</w:t>
            </w:r>
          </w:p>
        </w:tc>
        <w:tc>
          <w:tcPr>
            <w:tcW w:w="2412" w:type="dxa"/>
            <w:gridSpan w:val="2"/>
            <w:vAlign w:val="center"/>
          </w:tcPr>
          <w:p w14:paraId="3B513E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C</w:t>
            </w:r>
            <w:r>
              <w:rPr>
                <w:rFonts w:hint="default" w:ascii="Times New Roman" w:hAnsi="Times New Roman" w:eastAsia="宋体" w:cs="Times New Roman"/>
                <w:i w:val="0"/>
                <w:iCs w:val="0"/>
                <w:caps w:val="0"/>
                <w:color w:val="auto"/>
                <w:spacing w:val="0"/>
                <w:kern w:val="0"/>
                <w:sz w:val="21"/>
                <w:szCs w:val="21"/>
                <w:vertAlign w:val="subscript"/>
                <w:lang w:val="en-US" w:eastAsia="zh-CN" w:bidi="ar"/>
              </w:rPr>
              <w:t>4</w:t>
            </w:r>
            <w:r>
              <w:rPr>
                <w:rFonts w:hint="default" w:ascii="Times New Roman" w:hAnsi="Times New Roman" w:eastAsia="宋体" w:cs="Times New Roman"/>
                <w:i w:val="0"/>
                <w:iCs w:val="0"/>
                <w:caps w:val="0"/>
                <w:color w:val="auto"/>
                <w:spacing w:val="0"/>
                <w:kern w:val="0"/>
                <w:sz w:val="21"/>
                <w:szCs w:val="21"/>
                <w:vertAlign w:val="baseline"/>
                <w:lang w:val="en-US" w:eastAsia="zh-CN" w:bidi="ar"/>
              </w:rPr>
              <w:t>H</w:t>
            </w:r>
            <w:r>
              <w:rPr>
                <w:rFonts w:hint="default" w:ascii="Times New Roman" w:hAnsi="Times New Roman" w:eastAsia="宋体" w:cs="Times New Roman"/>
                <w:i w:val="0"/>
                <w:iCs w:val="0"/>
                <w:caps w:val="0"/>
                <w:color w:val="auto"/>
                <w:spacing w:val="0"/>
                <w:kern w:val="0"/>
                <w:sz w:val="21"/>
                <w:szCs w:val="21"/>
                <w:vertAlign w:val="subscript"/>
                <w:lang w:val="en-US" w:eastAsia="zh-CN" w:bidi="ar"/>
              </w:rPr>
              <w:t>8</w:t>
            </w:r>
            <w:r>
              <w:rPr>
                <w:rFonts w:hint="default" w:ascii="Times New Roman" w:hAnsi="Times New Roman" w:eastAsia="宋体" w:cs="Times New Roman"/>
                <w:i w:val="0"/>
                <w:iCs w:val="0"/>
                <w:caps w:val="0"/>
                <w:color w:val="auto"/>
                <w:spacing w:val="0"/>
                <w:kern w:val="0"/>
                <w:sz w:val="21"/>
                <w:szCs w:val="21"/>
                <w:vertAlign w:val="baseline"/>
                <w:lang w:val="en-US" w:eastAsia="zh-CN" w:bidi="ar"/>
              </w:rPr>
              <w:t>O</w:t>
            </w:r>
          </w:p>
        </w:tc>
        <w:tc>
          <w:tcPr>
            <w:tcW w:w="1661" w:type="dxa"/>
            <w:gridSpan w:val="2"/>
            <w:vAlign w:val="center"/>
          </w:tcPr>
          <w:p w14:paraId="03120A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i/>
                <w:iCs/>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分子量</w:t>
            </w:r>
          </w:p>
        </w:tc>
        <w:tc>
          <w:tcPr>
            <w:tcW w:w="1698" w:type="dxa"/>
            <w:vAlign w:val="center"/>
          </w:tcPr>
          <w:p w14:paraId="3E45D4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i/>
                <w:iCs/>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72.11</w:t>
            </w:r>
          </w:p>
        </w:tc>
      </w:tr>
      <w:tr w14:paraId="36E08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32E9081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264B62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CAS号</w:t>
            </w:r>
          </w:p>
        </w:tc>
        <w:tc>
          <w:tcPr>
            <w:tcW w:w="5771" w:type="dxa"/>
            <w:gridSpan w:val="5"/>
            <w:vAlign w:val="center"/>
          </w:tcPr>
          <w:p w14:paraId="289FA7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78-93-3</w:t>
            </w:r>
          </w:p>
        </w:tc>
      </w:tr>
      <w:tr w14:paraId="59BC0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restart"/>
            <w:vAlign w:val="center"/>
          </w:tcPr>
          <w:p w14:paraId="05060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Style w:val="35"/>
                <w:rFonts w:hint="default" w:ascii="Times New Roman" w:hAnsi="Times New Roman" w:eastAsia="宋体" w:cs="Times New Roman"/>
                <w:b/>
                <w:bCs/>
                <w:i w:val="0"/>
                <w:iCs w:val="0"/>
                <w:caps w:val="0"/>
                <w:color w:val="auto"/>
                <w:spacing w:val="0"/>
                <w:kern w:val="0"/>
                <w:sz w:val="21"/>
                <w:szCs w:val="21"/>
                <w:vertAlign w:val="baseline"/>
                <w:lang w:val="en-US" w:eastAsia="zh-CN" w:bidi="ar"/>
              </w:rPr>
              <w:t>理化性质</w:t>
            </w:r>
          </w:p>
        </w:tc>
        <w:tc>
          <w:tcPr>
            <w:tcW w:w="1915" w:type="dxa"/>
            <w:vAlign w:val="center"/>
          </w:tcPr>
          <w:p w14:paraId="098E37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外观与性状</w:t>
            </w:r>
          </w:p>
        </w:tc>
        <w:tc>
          <w:tcPr>
            <w:tcW w:w="5771" w:type="dxa"/>
            <w:gridSpan w:val="5"/>
            <w:vAlign w:val="center"/>
          </w:tcPr>
          <w:p w14:paraId="2DE8D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无色液体，有似丙酮的气味。</w:t>
            </w:r>
          </w:p>
        </w:tc>
      </w:tr>
      <w:tr w14:paraId="08502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30B79D4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31AEC2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熔点（℃）</w:t>
            </w:r>
          </w:p>
        </w:tc>
        <w:tc>
          <w:tcPr>
            <w:tcW w:w="5771" w:type="dxa"/>
            <w:gridSpan w:val="5"/>
            <w:vAlign w:val="center"/>
          </w:tcPr>
          <w:p w14:paraId="7F3F1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-89.5</w:t>
            </w:r>
          </w:p>
        </w:tc>
      </w:tr>
      <w:tr w14:paraId="7BD17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2BD340D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18BA3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相对密度(水=1)</w:t>
            </w:r>
          </w:p>
        </w:tc>
        <w:tc>
          <w:tcPr>
            <w:tcW w:w="5771" w:type="dxa"/>
            <w:gridSpan w:val="5"/>
            <w:vAlign w:val="center"/>
          </w:tcPr>
          <w:p w14:paraId="0A590F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0.81</w:t>
            </w:r>
          </w:p>
        </w:tc>
      </w:tr>
      <w:tr w14:paraId="1358D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1673FA1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0628A0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相对密度(空气=1)</w:t>
            </w:r>
          </w:p>
        </w:tc>
        <w:tc>
          <w:tcPr>
            <w:tcW w:w="5771" w:type="dxa"/>
            <w:gridSpan w:val="5"/>
            <w:vAlign w:val="center"/>
          </w:tcPr>
          <w:p w14:paraId="21DA8F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2.42</w:t>
            </w:r>
          </w:p>
        </w:tc>
      </w:tr>
      <w:tr w14:paraId="6478F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083F46A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4861E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沸点（℃）</w:t>
            </w:r>
          </w:p>
        </w:tc>
        <w:tc>
          <w:tcPr>
            <w:tcW w:w="5771" w:type="dxa"/>
            <w:gridSpan w:val="5"/>
            <w:vAlign w:val="center"/>
          </w:tcPr>
          <w:p w14:paraId="31873F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79.6</w:t>
            </w:r>
          </w:p>
        </w:tc>
      </w:tr>
      <w:tr w14:paraId="512EE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45F8D1D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5E1E84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饱和蒸气压（kPa）</w:t>
            </w:r>
          </w:p>
        </w:tc>
        <w:tc>
          <w:tcPr>
            <w:tcW w:w="5771" w:type="dxa"/>
            <w:gridSpan w:val="5"/>
            <w:vAlign w:val="center"/>
          </w:tcPr>
          <w:p w14:paraId="1E986B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9.49/20℃</w:t>
            </w:r>
          </w:p>
        </w:tc>
      </w:tr>
      <w:tr w14:paraId="37BD7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0B52961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437EC0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溶解性</w:t>
            </w:r>
          </w:p>
        </w:tc>
        <w:tc>
          <w:tcPr>
            <w:tcW w:w="5771" w:type="dxa"/>
            <w:gridSpan w:val="5"/>
            <w:vAlign w:val="center"/>
          </w:tcPr>
          <w:p w14:paraId="36B790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可溶于水、乙醇、乙醚，可混溶于油类。</w:t>
            </w:r>
          </w:p>
        </w:tc>
      </w:tr>
      <w:tr w14:paraId="0F2B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restart"/>
            <w:vAlign w:val="center"/>
          </w:tcPr>
          <w:p w14:paraId="1433E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Style w:val="35"/>
                <w:rFonts w:hint="default" w:ascii="Times New Roman" w:hAnsi="Times New Roman" w:eastAsia="宋体" w:cs="Times New Roman"/>
                <w:b/>
                <w:bCs/>
                <w:i w:val="0"/>
                <w:iCs w:val="0"/>
                <w:caps w:val="0"/>
                <w:color w:val="auto"/>
                <w:spacing w:val="0"/>
                <w:kern w:val="0"/>
                <w:sz w:val="21"/>
                <w:szCs w:val="21"/>
                <w:vertAlign w:val="baseline"/>
                <w:lang w:val="en-US" w:eastAsia="zh-CN" w:bidi="ar"/>
              </w:rPr>
              <w:t>毒性及健康危害</w:t>
            </w:r>
          </w:p>
        </w:tc>
        <w:tc>
          <w:tcPr>
            <w:tcW w:w="1915" w:type="dxa"/>
            <w:vAlign w:val="center"/>
          </w:tcPr>
          <w:p w14:paraId="7EFEE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侵入途径</w:t>
            </w:r>
          </w:p>
        </w:tc>
        <w:tc>
          <w:tcPr>
            <w:tcW w:w="5771" w:type="dxa"/>
            <w:gridSpan w:val="5"/>
            <w:vAlign w:val="center"/>
          </w:tcPr>
          <w:p w14:paraId="2722D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吸入、食入、经皮吸收。</w:t>
            </w:r>
          </w:p>
        </w:tc>
      </w:tr>
      <w:tr w14:paraId="050BA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7628169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2FC444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毒性</w:t>
            </w:r>
          </w:p>
        </w:tc>
        <w:tc>
          <w:tcPr>
            <w:tcW w:w="5771" w:type="dxa"/>
            <w:gridSpan w:val="5"/>
            <w:vAlign w:val="center"/>
          </w:tcPr>
          <w:p w14:paraId="2B9F10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LD50</w:t>
            </w:r>
            <w:r>
              <w:rPr>
                <w:rFonts w:hint="default" w:ascii="Times New Roman" w:hAnsi="Times New Roman" w:eastAsia="宋体" w:cs="Times New Roman"/>
                <w:i w:val="0"/>
                <w:iCs w:val="0"/>
                <w:caps w:val="0"/>
                <w:color w:val="auto"/>
                <w:spacing w:val="0"/>
                <w:kern w:val="0"/>
                <w:sz w:val="21"/>
                <w:szCs w:val="21"/>
                <w:lang w:val="en-US" w:eastAsia="zh-CN" w:bidi="ar"/>
              </w:rPr>
              <w:t>：</w:t>
            </w:r>
            <w:r>
              <w:rPr>
                <w:rFonts w:hint="default" w:ascii="Times New Roman" w:hAnsi="Times New Roman" w:eastAsia="宋体" w:cs="Times New Roman"/>
                <w:i w:val="0"/>
                <w:iCs w:val="0"/>
                <w:caps w:val="0"/>
                <w:color w:val="auto"/>
                <w:spacing w:val="0"/>
                <w:kern w:val="0"/>
                <w:sz w:val="21"/>
                <w:szCs w:val="21"/>
                <w:vertAlign w:val="baseline"/>
                <w:lang w:val="en-US" w:eastAsia="zh-CN" w:bidi="ar"/>
              </w:rPr>
              <w:t>3400mg/kg(大鼠经口)，6480 mg/kg(兔经皮)</w:t>
            </w:r>
            <w:r>
              <w:rPr>
                <w:rFonts w:hint="default" w:ascii="Times New Roman" w:hAnsi="Times New Roman" w:eastAsia="宋体" w:cs="Times New Roman"/>
                <w:i w:val="0"/>
                <w:iCs w:val="0"/>
                <w:caps w:val="0"/>
                <w:color w:val="auto"/>
                <w:spacing w:val="0"/>
                <w:kern w:val="0"/>
                <w:sz w:val="21"/>
                <w:szCs w:val="21"/>
                <w:vertAlign w:val="baseline"/>
                <w:lang w:val="en-US" w:eastAsia="zh-CN" w:bidi="ar"/>
              </w:rPr>
              <w:br w:type="textWrapping"/>
            </w:r>
            <w:r>
              <w:rPr>
                <w:rFonts w:hint="default" w:ascii="Times New Roman" w:hAnsi="Times New Roman" w:eastAsia="宋体" w:cs="Times New Roman"/>
                <w:i w:val="0"/>
                <w:iCs w:val="0"/>
                <w:caps w:val="0"/>
                <w:color w:val="auto"/>
                <w:spacing w:val="0"/>
                <w:kern w:val="0"/>
                <w:sz w:val="21"/>
                <w:szCs w:val="21"/>
                <w:vertAlign w:val="baseline"/>
                <w:lang w:val="en-US" w:eastAsia="zh-CN" w:bidi="ar"/>
              </w:rPr>
              <w:t>LC50</w:t>
            </w:r>
            <w:r>
              <w:rPr>
                <w:rFonts w:hint="default" w:ascii="Times New Roman" w:hAnsi="Times New Roman" w:eastAsia="宋体" w:cs="Times New Roman"/>
                <w:i w:val="0"/>
                <w:iCs w:val="0"/>
                <w:caps w:val="0"/>
                <w:color w:val="auto"/>
                <w:spacing w:val="0"/>
                <w:kern w:val="0"/>
                <w:sz w:val="21"/>
                <w:szCs w:val="21"/>
                <w:lang w:val="en-US" w:eastAsia="zh-CN" w:bidi="ar"/>
              </w:rPr>
              <w:t>：</w:t>
            </w:r>
            <w:r>
              <w:rPr>
                <w:rFonts w:hint="default" w:ascii="Times New Roman" w:hAnsi="Times New Roman" w:eastAsia="宋体" w:cs="Times New Roman"/>
                <w:i w:val="0"/>
                <w:iCs w:val="0"/>
                <w:caps w:val="0"/>
                <w:color w:val="auto"/>
                <w:spacing w:val="0"/>
                <w:kern w:val="0"/>
                <w:sz w:val="21"/>
                <w:szCs w:val="21"/>
                <w:vertAlign w:val="baseline"/>
                <w:lang w:val="en-US" w:eastAsia="zh-CN" w:bidi="ar"/>
              </w:rPr>
              <w:t>23520 mg/m³，8小时(大鼠吸入)</w:t>
            </w:r>
          </w:p>
        </w:tc>
      </w:tr>
      <w:tr w14:paraId="37BD1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5B76F26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4CF23A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健康危害</w:t>
            </w:r>
          </w:p>
        </w:tc>
        <w:tc>
          <w:tcPr>
            <w:tcW w:w="5771" w:type="dxa"/>
            <w:gridSpan w:val="5"/>
            <w:vAlign w:val="center"/>
          </w:tcPr>
          <w:p w14:paraId="29FB89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有轻度麻醉和刺激作用，并可引起窒息。急性中毒：出现粘膜刺激症状、嗜睡、血压稍升高，心率增快。高浓度吸入可引起窒息、昏迷。</w:t>
            </w:r>
          </w:p>
          <w:p w14:paraId="2AA0B2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对眼、鼻、喉、粘膜有刺激性。长期接触可致皮炎。本品常与己酮同[2]混合应用，能加强己酮-[2]引起的周围神经病现象，但单独接触丁酮未发现有周围神经病现象。</w:t>
            </w:r>
          </w:p>
        </w:tc>
      </w:tr>
      <w:tr w14:paraId="7E32D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02AFD15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39F7AB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急救方法</w:t>
            </w:r>
          </w:p>
        </w:tc>
        <w:tc>
          <w:tcPr>
            <w:tcW w:w="5771" w:type="dxa"/>
            <w:gridSpan w:val="5"/>
            <w:vAlign w:val="center"/>
          </w:tcPr>
          <w:p w14:paraId="6FD62A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皮肤接触：脱去污染的衣着，立即用流动清水彻底冲洗。</w:t>
            </w:r>
          </w:p>
          <w:p w14:paraId="767D94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眼睛接触：立即提起眼睑，用流动清水或生理盐水冲洗；就医。</w:t>
            </w:r>
          </w:p>
          <w:p w14:paraId="0A9FC0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吸入：脱离现场至空气新鲜处，保持呼吸道通畅；必要时进行人工呼吸；就医。</w:t>
            </w:r>
          </w:p>
          <w:p w14:paraId="3F3F75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食入：饮足量温水，催吐，就医。</w:t>
            </w:r>
          </w:p>
        </w:tc>
      </w:tr>
      <w:tr w14:paraId="0B245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restart"/>
            <w:vAlign w:val="center"/>
          </w:tcPr>
          <w:p w14:paraId="53B86B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Style w:val="35"/>
                <w:rFonts w:hint="default" w:ascii="Times New Roman" w:hAnsi="Times New Roman" w:eastAsia="宋体" w:cs="Times New Roman"/>
                <w:b/>
                <w:bCs/>
                <w:i w:val="0"/>
                <w:iCs w:val="0"/>
                <w:caps w:val="0"/>
                <w:color w:val="auto"/>
                <w:spacing w:val="0"/>
                <w:kern w:val="0"/>
                <w:sz w:val="21"/>
                <w:szCs w:val="21"/>
                <w:vertAlign w:val="baseline"/>
                <w:lang w:val="en-US" w:eastAsia="zh-CN" w:bidi="ar"/>
              </w:rPr>
              <w:t>燃烧爆炸危险性</w:t>
            </w:r>
          </w:p>
        </w:tc>
        <w:tc>
          <w:tcPr>
            <w:tcW w:w="1915" w:type="dxa"/>
            <w:vAlign w:val="center"/>
          </w:tcPr>
          <w:p w14:paraId="565724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燃烧性</w:t>
            </w:r>
          </w:p>
        </w:tc>
        <w:tc>
          <w:tcPr>
            <w:tcW w:w="1923" w:type="dxa"/>
            <w:vAlign w:val="center"/>
          </w:tcPr>
          <w:p w14:paraId="1F8E67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易燃</w:t>
            </w:r>
          </w:p>
        </w:tc>
        <w:tc>
          <w:tcPr>
            <w:tcW w:w="1923" w:type="dxa"/>
            <w:gridSpan w:val="2"/>
            <w:vAlign w:val="center"/>
          </w:tcPr>
          <w:p w14:paraId="71AEB4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燃烧分解物</w:t>
            </w:r>
          </w:p>
        </w:tc>
        <w:tc>
          <w:tcPr>
            <w:tcW w:w="1925" w:type="dxa"/>
            <w:gridSpan w:val="2"/>
            <w:vAlign w:val="center"/>
          </w:tcPr>
          <w:p w14:paraId="4ADE5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一氧化碳、二氧化碳。</w:t>
            </w:r>
          </w:p>
        </w:tc>
      </w:tr>
      <w:tr w14:paraId="0790C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2F1FFB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Style w:val="35"/>
                <w:rFonts w:hint="default" w:ascii="Times New Roman" w:hAnsi="Times New Roman" w:eastAsia="宋体" w:cs="Times New Roman"/>
                <w:b/>
                <w:bCs/>
                <w:i w:val="0"/>
                <w:iCs w:val="0"/>
                <w:caps w:val="0"/>
                <w:color w:val="auto"/>
                <w:spacing w:val="0"/>
                <w:kern w:val="0"/>
                <w:sz w:val="21"/>
                <w:szCs w:val="21"/>
                <w:vertAlign w:val="baseline"/>
                <w:lang w:val="en-US" w:eastAsia="zh-CN" w:bidi="ar"/>
              </w:rPr>
            </w:pPr>
          </w:p>
        </w:tc>
        <w:tc>
          <w:tcPr>
            <w:tcW w:w="1915" w:type="dxa"/>
            <w:vAlign w:val="center"/>
          </w:tcPr>
          <w:p w14:paraId="5E871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闪点(℃)</w:t>
            </w:r>
          </w:p>
        </w:tc>
        <w:tc>
          <w:tcPr>
            <w:tcW w:w="1923" w:type="dxa"/>
            <w:vAlign w:val="center"/>
          </w:tcPr>
          <w:p w14:paraId="387EC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-9</w:t>
            </w:r>
          </w:p>
        </w:tc>
        <w:tc>
          <w:tcPr>
            <w:tcW w:w="1923" w:type="dxa"/>
            <w:gridSpan w:val="2"/>
            <w:vAlign w:val="center"/>
          </w:tcPr>
          <w:p w14:paraId="299C1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爆炸上限（v%）</w:t>
            </w:r>
          </w:p>
        </w:tc>
        <w:tc>
          <w:tcPr>
            <w:tcW w:w="1925" w:type="dxa"/>
            <w:gridSpan w:val="2"/>
            <w:vAlign w:val="center"/>
          </w:tcPr>
          <w:p w14:paraId="2FADF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11.4</w:t>
            </w:r>
          </w:p>
        </w:tc>
      </w:tr>
      <w:tr w14:paraId="48E43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1E4D85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Style w:val="35"/>
                <w:rFonts w:hint="default" w:ascii="Times New Roman" w:hAnsi="Times New Roman" w:eastAsia="宋体" w:cs="Times New Roman"/>
                <w:b/>
                <w:bCs/>
                <w:i w:val="0"/>
                <w:iCs w:val="0"/>
                <w:caps w:val="0"/>
                <w:color w:val="auto"/>
                <w:spacing w:val="0"/>
                <w:kern w:val="0"/>
                <w:sz w:val="21"/>
                <w:szCs w:val="21"/>
                <w:vertAlign w:val="baseline"/>
                <w:lang w:val="en-US" w:eastAsia="zh-CN" w:bidi="ar"/>
              </w:rPr>
            </w:pPr>
          </w:p>
        </w:tc>
        <w:tc>
          <w:tcPr>
            <w:tcW w:w="1915" w:type="dxa"/>
            <w:vAlign w:val="center"/>
          </w:tcPr>
          <w:p w14:paraId="1E21B2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引燃温度(℃)</w:t>
            </w:r>
          </w:p>
        </w:tc>
        <w:tc>
          <w:tcPr>
            <w:tcW w:w="1923" w:type="dxa"/>
            <w:vAlign w:val="center"/>
          </w:tcPr>
          <w:p w14:paraId="473CE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404</w:t>
            </w:r>
          </w:p>
        </w:tc>
        <w:tc>
          <w:tcPr>
            <w:tcW w:w="1923" w:type="dxa"/>
            <w:gridSpan w:val="2"/>
            <w:vAlign w:val="center"/>
          </w:tcPr>
          <w:p w14:paraId="1EB178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爆炸下限（v%）</w:t>
            </w:r>
          </w:p>
        </w:tc>
        <w:tc>
          <w:tcPr>
            <w:tcW w:w="1925" w:type="dxa"/>
            <w:gridSpan w:val="2"/>
            <w:vAlign w:val="center"/>
          </w:tcPr>
          <w:p w14:paraId="4E002E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1.7</w:t>
            </w:r>
          </w:p>
        </w:tc>
      </w:tr>
      <w:tr w14:paraId="1506D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67AAB2C6">
            <w:pPr>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70ED53B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建规火险分级</w:t>
            </w:r>
          </w:p>
        </w:tc>
        <w:tc>
          <w:tcPr>
            <w:tcW w:w="5771" w:type="dxa"/>
            <w:gridSpan w:val="5"/>
            <w:vAlign w:val="center"/>
          </w:tcPr>
          <w:p w14:paraId="247951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甲</w:t>
            </w:r>
          </w:p>
        </w:tc>
      </w:tr>
      <w:tr w14:paraId="02AA3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2D128F2A">
            <w:pPr>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4DFE755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稳定性</w:t>
            </w:r>
          </w:p>
        </w:tc>
        <w:tc>
          <w:tcPr>
            <w:tcW w:w="5771" w:type="dxa"/>
            <w:gridSpan w:val="5"/>
            <w:vAlign w:val="center"/>
          </w:tcPr>
          <w:p w14:paraId="183392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稳定</w:t>
            </w:r>
          </w:p>
        </w:tc>
      </w:tr>
      <w:tr w14:paraId="42125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019EF8CB">
            <w:pPr>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5FD58BB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聚合危害</w:t>
            </w:r>
          </w:p>
        </w:tc>
        <w:tc>
          <w:tcPr>
            <w:tcW w:w="5771" w:type="dxa"/>
            <w:gridSpan w:val="5"/>
            <w:vAlign w:val="center"/>
          </w:tcPr>
          <w:p w14:paraId="59D49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不聚合</w:t>
            </w:r>
          </w:p>
        </w:tc>
      </w:tr>
      <w:tr w14:paraId="747DB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03E15EF6">
            <w:pPr>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7E2957B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禁忌物</w:t>
            </w:r>
          </w:p>
        </w:tc>
        <w:tc>
          <w:tcPr>
            <w:tcW w:w="5771" w:type="dxa"/>
            <w:gridSpan w:val="5"/>
            <w:vAlign w:val="center"/>
          </w:tcPr>
          <w:p w14:paraId="1A0BCD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强氧化剂、碱类、强还原剂</w:t>
            </w:r>
          </w:p>
        </w:tc>
      </w:tr>
      <w:tr w14:paraId="254E8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7CE72970">
            <w:pPr>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6AF1E15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危险特性</w:t>
            </w:r>
          </w:p>
        </w:tc>
        <w:tc>
          <w:tcPr>
            <w:tcW w:w="5771" w:type="dxa"/>
            <w:gridSpan w:val="5"/>
            <w:vAlign w:val="center"/>
          </w:tcPr>
          <w:p w14:paraId="2CAFD0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易燃，其蒸气与空气的混合气体有爆炸性；遇明火、高热或与氧化剂接触，有引起着火、爆炸危险。其蒸气比空气重，能在较低处扩散到相当远的地方，遇火源会着火回燃。</w:t>
            </w:r>
          </w:p>
        </w:tc>
      </w:tr>
      <w:tr w14:paraId="322DB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201CE267">
            <w:pPr>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0B0344E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color w:val="auto"/>
              </w:rPr>
              <w:t>储运条件与泄漏处理</w:t>
            </w:r>
          </w:p>
        </w:tc>
        <w:tc>
          <w:tcPr>
            <w:tcW w:w="5771" w:type="dxa"/>
            <w:gridSpan w:val="5"/>
            <w:vAlign w:val="center"/>
          </w:tcPr>
          <w:p w14:paraId="06C1F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储运条件：储存于阴凉、干燥、通风处。远离火种、热源。防止阳光直射。保持容器密封， 应与氧化剂、还原剂、碱类分开存放，切忌混储。分装和搬运作业要注意个人防护。搬运时要轻装轻卸，防止包装和容器损坏。运输时所用的槽（罐）车应有接地链，槽内可设孔隔板以减少震荡产生静电。严禁与氧化剂、还原剂、碱类、食用化学品等混装混运。运输途中应防曝晒、雨淋，防高温。中途停留时应远离火种、热源、高温区。装运该物品的车辆排气管必须配备阻火装置，禁止使用易产生火花的机械设备和工具装卸。</w:t>
            </w:r>
          </w:p>
          <w:p w14:paraId="5D133A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泄漏处理：疏散泄漏污染区人员至安全区，禁止无关人员进入污染区，切断火源。建议应急处理人员戴好防毒面具，穿化学防护服。少量泄漏：用砂土或其它不燃材料吸收或吸附，也可用大量水冲洗，洗水稀释后放入废水系统。大量泄漏：构筑围堤或挖坑收容，用泡沫覆盖，降低蒸气灾害。用防爆泵转移至专用收集器，回收或运到废物处理场所处置。</w:t>
            </w:r>
          </w:p>
        </w:tc>
      </w:tr>
      <w:tr w14:paraId="4346F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Merge w:val="continue"/>
            <w:vAlign w:val="center"/>
          </w:tcPr>
          <w:p w14:paraId="65AAB54B">
            <w:pPr>
              <w:keepNext w:val="0"/>
              <w:keepLines w:val="0"/>
              <w:pageBreakBefore w:val="0"/>
              <w:kinsoku/>
              <w:wordWrap/>
              <w:overflowPunct/>
              <w:topLinePunct w:val="0"/>
              <w:autoSpaceDE/>
              <w:autoSpaceDN/>
              <w:bidi w:val="0"/>
              <w:adjustRightInd/>
              <w:snapToGrid/>
              <w:spacing w:line="240" w:lineRule="auto"/>
              <w:rPr>
                <w:rFonts w:hint="default" w:ascii="Times New Roman" w:hAnsi="Times New Roman" w:eastAsia="宋体" w:cs="Times New Roman"/>
                <w:b/>
                <w:bCs/>
                <w:color w:val="auto"/>
                <w:kern w:val="0"/>
                <w:sz w:val="21"/>
                <w:szCs w:val="21"/>
                <w:vertAlign w:val="baseline"/>
                <w:lang w:val="en-US" w:eastAsia="zh-CN" w:bidi="ar"/>
              </w:rPr>
            </w:pPr>
          </w:p>
        </w:tc>
        <w:tc>
          <w:tcPr>
            <w:tcW w:w="1915" w:type="dxa"/>
            <w:vAlign w:val="center"/>
          </w:tcPr>
          <w:p w14:paraId="2FF673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灭火方法</w:t>
            </w:r>
          </w:p>
        </w:tc>
        <w:tc>
          <w:tcPr>
            <w:tcW w:w="5771" w:type="dxa"/>
            <w:gridSpan w:val="5"/>
            <w:vAlign w:val="center"/>
          </w:tcPr>
          <w:p w14:paraId="07F32F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baseline"/>
              <w:rPr>
                <w:rFonts w:hint="default" w:ascii="Times New Roman" w:hAnsi="Times New Roman" w:eastAsia="宋体" w:cs="Times New Roman"/>
                <w:i w:val="0"/>
                <w:iCs w:val="0"/>
                <w:caps w:val="0"/>
                <w:color w:val="auto"/>
                <w:spacing w:val="0"/>
                <w:kern w:val="0"/>
                <w:sz w:val="21"/>
                <w:szCs w:val="21"/>
                <w:vertAlign w:val="baseline"/>
                <w:lang w:val="en-US" w:eastAsia="zh-CN" w:bidi="ar"/>
              </w:rPr>
            </w:pPr>
            <w:r>
              <w:rPr>
                <w:rFonts w:hint="default" w:ascii="Times New Roman" w:hAnsi="Times New Roman" w:eastAsia="宋体" w:cs="Times New Roman"/>
                <w:i w:val="0"/>
                <w:iCs w:val="0"/>
                <w:caps w:val="0"/>
                <w:color w:val="auto"/>
                <w:spacing w:val="0"/>
                <w:kern w:val="0"/>
                <w:sz w:val="21"/>
                <w:szCs w:val="21"/>
                <w:vertAlign w:val="baseline"/>
                <w:lang w:val="en-US" w:eastAsia="zh-CN" w:bidi="ar"/>
              </w:rPr>
              <w:t>尽可能将容器从火场移至空旷处。喷水保持火场容器冷却，直至灭火结束。处在火场中的容器若已变色或从安全泄压装置中产生声音，必须马上撤离。灭火剂：抗溶性泡沫、干粉、二氧化碳、砂土。</w:t>
            </w:r>
          </w:p>
        </w:tc>
      </w:tr>
    </w:tbl>
    <w:p w14:paraId="347A19F2">
      <w:pPr>
        <w:keepNext w:val="0"/>
        <w:keepLines w:val="0"/>
        <w:pageBreakBefore w:val="0"/>
        <w:widowControl w:val="0"/>
        <w:tabs>
          <w:tab w:val="left" w:pos="0"/>
        </w:tabs>
        <w:kinsoku/>
        <w:wordWrap/>
        <w:overflowPunct/>
        <w:topLinePunct w:val="0"/>
        <w:autoSpaceDE/>
        <w:autoSpaceDN/>
        <w:bidi w:val="0"/>
        <w:adjustRightInd/>
        <w:snapToGrid/>
        <w:spacing w:before="144" w:beforeLines="50"/>
        <w:jc w:val="center"/>
        <w:textAlignment w:val="auto"/>
        <w:rPr>
          <w:rFonts w:hint="default" w:ascii="Times New Roman" w:hAnsi="Times New Roman" w:eastAsia="宋体" w:cs="Times New Roman"/>
          <w:b/>
          <w:color w:val="auto"/>
          <w:sz w:val="21"/>
          <w:szCs w:val="21"/>
          <w:lang w:val="en-US" w:eastAsia="zh-CN"/>
        </w:rPr>
      </w:pPr>
    </w:p>
    <w:p w14:paraId="0E0B8CBA">
      <w:pPr>
        <w:keepNext w:val="0"/>
        <w:keepLines w:val="0"/>
        <w:pageBreakBefore w:val="0"/>
        <w:widowControl w:val="0"/>
        <w:tabs>
          <w:tab w:val="left" w:pos="0"/>
        </w:tabs>
        <w:kinsoku/>
        <w:wordWrap/>
        <w:overflowPunct/>
        <w:topLinePunct w:val="0"/>
        <w:autoSpaceDE/>
        <w:autoSpaceDN/>
        <w:bidi w:val="0"/>
        <w:adjustRightInd/>
        <w:snapToGrid/>
        <w:spacing w:before="144" w:beforeLines="5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w:t>
      </w:r>
      <w:r>
        <w:rPr>
          <w:rFonts w:hint="eastAsia" w:eastAsia="宋体" w:cs="Times New Roman"/>
          <w:b/>
          <w:color w:val="auto"/>
          <w:sz w:val="21"/>
          <w:szCs w:val="21"/>
          <w:lang w:val="en-US" w:eastAsia="zh-CN"/>
        </w:rPr>
        <w:t xml:space="preserve">5-5 </w:t>
      </w:r>
      <w:r>
        <w:rPr>
          <w:rFonts w:hint="default" w:ascii="Times New Roman" w:hAnsi="Times New Roman" w:eastAsia="宋体" w:cs="Times New Roman"/>
          <w:b/>
          <w:color w:val="auto"/>
          <w:sz w:val="21"/>
          <w:szCs w:val="21"/>
          <w:lang w:val="en-US" w:eastAsia="zh-CN"/>
        </w:rPr>
        <w:t xml:space="preserve"> </w:t>
      </w:r>
      <w:r>
        <w:rPr>
          <w:rFonts w:hint="eastAsia" w:ascii="Times New Roman" w:hAnsi="Times New Roman" w:eastAsia="宋体" w:cs="Times New Roman"/>
          <w:b/>
          <w:color w:val="auto"/>
          <w:sz w:val="21"/>
          <w:szCs w:val="21"/>
          <w:lang w:val="en-US" w:eastAsia="zh-CN"/>
        </w:rPr>
        <w:t>乙酸乙酯</w:t>
      </w:r>
      <w:r>
        <w:rPr>
          <w:rFonts w:hint="default" w:ascii="Times New Roman" w:hAnsi="Times New Roman" w:eastAsia="宋体" w:cs="Times New Roman"/>
          <w:b/>
          <w:color w:val="auto"/>
          <w:sz w:val="21"/>
          <w:szCs w:val="21"/>
          <w:lang w:val="en-US" w:eastAsia="zh-CN"/>
        </w:rPr>
        <w:t>的理化性质及危险特性表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4"/>
        <w:gridCol w:w="1154"/>
        <w:gridCol w:w="2004"/>
        <w:gridCol w:w="307"/>
        <w:gridCol w:w="1697"/>
        <w:gridCol w:w="153"/>
        <w:gridCol w:w="1852"/>
      </w:tblGrid>
      <w:tr w14:paraId="7F51D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54" w:type="dxa"/>
            <w:vMerge w:val="restart"/>
            <w:vAlign w:val="center"/>
          </w:tcPr>
          <w:p w14:paraId="02A4C047">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eastAsia" w:ascii="Arial" w:hAnsi="Arial" w:eastAsia="宋体" w:cs="Arial"/>
                <w:b/>
                <w:bCs/>
                <w:i w:val="0"/>
                <w:iCs w:val="0"/>
                <w:caps w:val="0"/>
                <w:color w:val="auto"/>
                <w:spacing w:val="0"/>
                <w:kern w:val="0"/>
                <w:sz w:val="21"/>
                <w:szCs w:val="21"/>
                <w:vertAlign w:val="baseline"/>
                <w:lang w:val="en-US" w:eastAsia="zh-CN" w:bidi="ar"/>
              </w:rPr>
              <w:t>标</w:t>
            </w:r>
            <w:r>
              <w:rPr>
                <w:rStyle w:val="35"/>
                <w:rFonts w:hint="default" w:ascii="Arial" w:hAnsi="Arial" w:eastAsia="宋体" w:cs="Arial"/>
                <w:b/>
                <w:bCs/>
                <w:i w:val="0"/>
                <w:iCs w:val="0"/>
                <w:caps w:val="0"/>
                <w:color w:val="auto"/>
                <w:spacing w:val="0"/>
                <w:kern w:val="0"/>
                <w:sz w:val="21"/>
                <w:szCs w:val="21"/>
                <w:vertAlign w:val="baseline"/>
                <w:lang w:val="en-US" w:eastAsia="zh-CN" w:bidi="ar"/>
              </w:rPr>
              <w:t>识</w:t>
            </w:r>
          </w:p>
        </w:tc>
        <w:tc>
          <w:tcPr>
            <w:tcW w:w="1154" w:type="dxa"/>
            <w:vAlign w:val="center"/>
          </w:tcPr>
          <w:p w14:paraId="677ABA1F">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中文名</w:t>
            </w:r>
          </w:p>
        </w:tc>
        <w:tc>
          <w:tcPr>
            <w:tcW w:w="2311" w:type="dxa"/>
            <w:gridSpan w:val="2"/>
            <w:vAlign w:val="center"/>
          </w:tcPr>
          <w:p w14:paraId="7CBA2226">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乙酸乙酯；醋酸乙酯</w:t>
            </w:r>
          </w:p>
        </w:tc>
        <w:tc>
          <w:tcPr>
            <w:tcW w:w="1850" w:type="dxa"/>
            <w:gridSpan w:val="2"/>
            <w:vAlign w:val="center"/>
          </w:tcPr>
          <w:p w14:paraId="3540427A">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英文名</w:t>
            </w:r>
          </w:p>
        </w:tc>
        <w:tc>
          <w:tcPr>
            <w:tcW w:w="1852" w:type="dxa"/>
            <w:vAlign w:val="center"/>
          </w:tcPr>
          <w:p w14:paraId="0B8F3600">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Ethyl acetate ；Acetic ester</w:t>
            </w:r>
          </w:p>
        </w:tc>
      </w:tr>
      <w:tr w14:paraId="2F0BA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54" w:type="dxa"/>
            <w:vMerge w:val="continue"/>
            <w:vAlign w:val="center"/>
          </w:tcPr>
          <w:p w14:paraId="5E1020AC">
            <w:pPr>
              <w:keepNext w:val="0"/>
              <w:keepLines w:val="0"/>
              <w:widowControl/>
              <w:suppressLineNumbers w:val="0"/>
              <w:spacing w:before="0" w:beforeAutospacing="0" w:after="0" w:afterAutospacing="0" w:line="360" w:lineRule="atLeast"/>
              <w:ind w:left="0" w:leftChars="0" w:right="0" w:rightChars="0"/>
              <w:jc w:val="center"/>
              <w:textAlignment w:val="baseline"/>
              <w:rPr>
                <w:rStyle w:val="35"/>
                <w:rFonts w:hint="eastAsia" w:ascii="Arial" w:hAnsi="Arial" w:eastAsia="宋体" w:cs="Arial"/>
                <w:b/>
                <w:bCs/>
                <w:i w:val="0"/>
                <w:iCs w:val="0"/>
                <w:caps w:val="0"/>
                <w:color w:val="auto"/>
                <w:spacing w:val="0"/>
                <w:kern w:val="0"/>
                <w:sz w:val="21"/>
                <w:szCs w:val="21"/>
                <w:vertAlign w:val="baseline"/>
                <w:lang w:val="en-US" w:eastAsia="zh-CN" w:bidi="ar"/>
              </w:rPr>
            </w:pPr>
          </w:p>
        </w:tc>
        <w:tc>
          <w:tcPr>
            <w:tcW w:w="1154" w:type="dxa"/>
            <w:vAlign w:val="center"/>
          </w:tcPr>
          <w:p w14:paraId="119FE5F1">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分子式</w:t>
            </w:r>
          </w:p>
        </w:tc>
        <w:tc>
          <w:tcPr>
            <w:tcW w:w="2311" w:type="dxa"/>
            <w:gridSpan w:val="2"/>
            <w:vAlign w:val="center"/>
          </w:tcPr>
          <w:p w14:paraId="6FF31919">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eastAsia" w:ascii="Arial" w:hAnsi="Arial" w:eastAsia="宋体" w:cs="Arial"/>
                <w:i w:val="0"/>
                <w:iCs w:val="0"/>
                <w:caps w:val="0"/>
                <w:color w:val="auto"/>
                <w:spacing w:val="0"/>
                <w:kern w:val="0"/>
                <w:sz w:val="21"/>
                <w:szCs w:val="21"/>
                <w:vertAlign w:val="baseline"/>
                <w:lang w:val="en-US" w:eastAsia="zh-CN" w:bidi="ar"/>
              </w:rPr>
              <w:t>C4H8O2</w:t>
            </w:r>
          </w:p>
        </w:tc>
        <w:tc>
          <w:tcPr>
            <w:tcW w:w="1850" w:type="dxa"/>
            <w:gridSpan w:val="2"/>
            <w:vAlign w:val="center"/>
          </w:tcPr>
          <w:p w14:paraId="28A9C13D">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分子量</w:t>
            </w:r>
          </w:p>
        </w:tc>
        <w:tc>
          <w:tcPr>
            <w:tcW w:w="1852" w:type="dxa"/>
            <w:vAlign w:val="center"/>
          </w:tcPr>
          <w:p w14:paraId="2CC989AA">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88.12</w:t>
            </w:r>
          </w:p>
        </w:tc>
      </w:tr>
      <w:tr w14:paraId="14D8F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54" w:type="dxa"/>
            <w:vMerge w:val="continue"/>
            <w:vAlign w:val="center"/>
          </w:tcPr>
          <w:p w14:paraId="00DF395D">
            <w:pPr>
              <w:keepNext w:val="0"/>
              <w:keepLines w:val="0"/>
              <w:widowControl/>
              <w:suppressLineNumbers w:val="0"/>
              <w:spacing w:before="0" w:beforeAutospacing="0" w:after="0" w:afterAutospacing="0" w:line="360" w:lineRule="atLeast"/>
              <w:ind w:left="0" w:leftChars="0" w:right="0" w:rightChars="0"/>
              <w:jc w:val="center"/>
              <w:textAlignment w:val="baseline"/>
              <w:rPr>
                <w:rStyle w:val="35"/>
                <w:rFonts w:hint="eastAsia" w:ascii="Arial" w:hAnsi="Arial" w:eastAsia="宋体" w:cs="Arial"/>
                <w:b/>
                <w:bCs/>
                <w:i w:val="0"/>
                <w:iCs w:val="0"/>
                <w:caps w:val="0"/>
                <w:color w:val="auto"/>
                <w:spacing w:val="0"/>
                <w:kern w:val="0"/>
                <w:sz w:val="21"/>
                <w:szCs w:val="21"/>
                <w:vertAlign w:val="baseline"/>
                <w:lang w:val="en-US" w:eastAsia="zh-CN" w:bidi="ar"/>
              </w:rPr>
            </w:pPr>
          </w:p>
        </w:tc>
        <w:tc>
          <w:tcPr>
            <w:tcW w:w="1154" w:type="dxa"/>
            <w:vAlign w:val="center"/>
          </w:tcPr>
          <w:p w14:paraId="09B94C9C">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CAS号</w:t>
            </w:r>
          </w:p>
        </w:tc>
        <w:tc>
          <w:tcPr>
            <w:tcW w:w="2311" w:type="dxa"/>
            <w:gridSpan w:val="2"/>
            <w:vAlign w:val="center"/>
          </w:tcPr>
          <w:p w14:paraId="02C2EF6D">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141-78-6</w:t>
            </w:r>
          </w:p>
        </w:tc>
        <w:tc>
          <w:tcPr>
            <w:tcW w:w="1850" w:type="dxa"/>
            <w:gridSpan w:val="2"/>
            <w:vAlign w:val="center"/>
          </w:tcPr>
          <w:p w14:paraId="49B10176">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目录序号</w:t>
            </w:r>
          </w:p>
        </w:tc>
        <w:tc>
          <w:tcPr>
            <w:tcW w:w="1852" w:type="dxa"/>
            <w:vAlign w:val="center"/>
          </w:tcPr>
          <w:p w14:paraId="26960713">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2651</w:t>
            </w:r>
          </w:p>
        </w:tc>
      </w:tr>
      <w:tr w14:paraId="7DBCB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54" w:type="dxa"/>
            <w:vMerge w:val="continue"/>
            <w:vAlign w:val="center"/>
          </w:tcPr>
          <w:p w14:paraId="2061BFB0">
            <w:pPr>
              <w:keepNext w:val="0"/>
              <w:keepLines w:val="0"/>
              <w:widowControl/>
              <w:suppressLineNumbers w:val="0"/>
              <w:spacing w:before="0" w:beforeAutospacing="0" w:after="0" w:afterAutospacing="0" w:line="360" w:lineRule="atLeast"/>
              <w:ind w:left="0" w:leftChars="0" w:right="0" w:rightChars="0"/>
              <w:jc w:val="center"/>
              <w:textAlignment w:val="baseline"/>
              <w:rPr>
                <w:rStyle w:val="35"/>
                <w:rFonts w:hint="eastAsia" w:ascii="Arial" w:hAnsi="Arial" w:eastAsia="宋体" w:cs="Arial"/>
                <w:b/>
                <w:bCs/>
                <w:i w:val="0"/>
                <w:iCs w:val="0"/>
                <w:caps w:val="0"/>
                <w:color w:val="auto"/>
                <w:spacing w:val="0"/>
                <w:kern w:val="0"/>
                <w:sz w:val="21"/>
                <w:szCs w:val="21"/>
                <w:vertAlign w:val="baseline"/>
                <w:lang w:val="en-US" w:eastAsia="zh-CN" w:bidi="ar"/>
              </w:rPr>
            </w:pPr>
          </w:p>
        </w:tc>
        <w:tc>
          <w:tcPr>
            <w:tcW w:w="1154" w:type="dxa"/>
            <w:vAlign w:val="center"/>
          </w:tcPr>
          <w:p w14:paraId="5F67729C">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危规号</w:t>
            </w:r>
          </w:p>
        </w:tc>
        <w:tc>
          <w:tcPr>
            <w:tcW w:w="2311" w:type="dxa"/>
            <w:gridSpan w:val="2"/>
            <w:vAlign w:val="center"/>
          </w:tcPr>
          <w:p w14:paraId="0626109D">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32127</w:t>
            </w:r>
          </w:p>
        </w:tc>
        <w:tc>
          <w:tcPr>
            <w:tcW w:w="1850" w:type="dxa"/>
            <w:gridSpan w:val="2"/>
            <w:vAlign w:val="center"/>
          </w:tcPr>
          <w:p w14:paraId="42892BA0">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UN编号</w:t>
            </w:r>
          </w:p>
        </w:tc>
        <w:tc>
          <w:tcPr>
            <w:tcW w:w="1852" w:type="dxa"/>
            <w:vAlign w:val="center"/>
          </w:tcPr>
          <w:p w14:paraId="76BCA1EB">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1173</w:t>
            </w:r>
          </w:p>
        </w:tc>
      </w:tr>
      <w:tr w14:paraId="36967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48EC0557">
            <w:pPr>
              <w:jc w:val="center"/>
              <w:rPr>
                <w:color w:val="auto"/>
                <w:vertAlign w:val="baseline"/>
              </w:rPr>
            </w:pPr>
          </w:p>
        </w:tc>
        <w:tc>
          <w:tcPr>
            <w:tcW w:w="1154" w:type="dxa"/>
            <w:vAlign w:val="center"/>
          </w:tcPr>
          <w:p w14:paraId="64A8CCE1">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危险性类别</w:t>
            </w:r>
          </w:p>
        </w:tc>
        <w:tc>
          <w:tcPr>
            <w:tcW w:w="6013" w:type="dxa"/>
            <w:gridSpan w:val="5"/>
            <w:vAlign w:val="center"/>
          </w:tcPr>
          <w:p w14:paraId="29226106">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易燃液体，类别2；严重眼损伤/眼刺激，类别2；</w:t>
            </w:r>
            <w:r>
              <w:rPr>
                <w:rFonts w:hint="default" w:ascii="Arial" w:hAnsi="Arial" w:eastAsia="宋体" w:cs="Arial"/>
                <w:i w:val="0"/>
                <w:iCs w:val="0"/>
                <w:caps w:val="0"/>
                <w:color w:val="auto"/>
                <w:spacing w:val="0"/>
                <w:kern w:val="0"/>
                <w:sz w:val="21"/>
                <w:szCs w:val="21"/>
                <w:vertAlign w:val="baseline"/>
                <w:lang w:val="en-US" w:eastAsia="zh-CN" w:bidi="ar"/>
              </w:rPr>
              <w:br w:type="textWrapping"/>
            </w:r>
            <w:r>
              <w:rPr>
                <w:rFonts w:hint="default" w:ascii="Arial" w:hAnsi="Arial" w:eastAsia="宋体" w:cs="Arial"/>
                <w:i w:val="0"/>
                <w:iCs w:val="0"/>
                <w:caps w:val="0"/>
                <w:color w:val="auto"/>
                <w:spacing w:val="0"/>
                <w:kern w:val="0"/>
                <w:sz w:val="21"/>
                <w:szCs w:val="21"/>
                <w:vertAlign w:val="baseline"/>
                <w:lang w:val="en-US" w:eastAsia="zh-CN" w:bidi="ar"/>
              </w:rPr>
              <w:t>特异性靶器官毒性-一次接触，类别3（麻醉效应）</w:t>
            </w:r>
          </w:p>
        </w:tc>
      </w:tr>
      <w:tr w14:paraId="22CF4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restart"/>
            <w:vAlign w:val="center"/>
          </w:tcPr>
          <w:p w14:paraId="452C99A9">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default" w:ascii="Arial" w:hAnsi="Arial" w:eastAsia="宋体" w:cs="Arial"/>
                <w:b/>
                <w:bCs/>
                <w:i w:val="0"/>
                <w:iCs w:val="0"/>
                <w:caps w:val="0"/>
                <w:color w:val="auto"/>
                <w:spacing w:val="0"/>
                <w:kern w:val="0"/>
                <w:sz w:val="21"/>
                <w:szCs w:val="21"/>
                <w:vertAlign w:val="baseline"/>
                <w:lang w:val="en-US" w:eastAsia="zh-CN" w:bidi="ar"/>
              </w:rPr>
              <w:t>理化性质</w:t>
            </w:r>
          </w:p>
        </w:tc>
        <w:tc>
          <w:tcPr>
            <w:tcW w:w="1154" w:type="dxa"/>
            <w:vAlign w:val="center"/>
          </w:tcPr>
          <w:p w14:paraId="76AD748C">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性状</w:t>
            </w:r>
          </w:p>
        </w:tc>
        <w:tc>
          <w:tcPr>
            <w:tcW w:w="6013" w:type="dxa"/>
            <w:gridSpan w:val="5"/>
            <w:vAlign w:val="center"/>
          </w:tcPr>
          <w:p w14:paraId="237FE693">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无色澄清液体，有芳香气味，易挥发。</w:t>
            </w:r>
          </w:p>
        </w:tc>
      </w:tr>
      <w:tr w14:paraId="52E40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04E5EDE0">
            <w:pPr>
              <w:jc w:val="center"/>
              <w:rPr>
                <w:color w:val="auto"/>
                <w:vertAlign w:val="baseline"/>
              </w:rPr>
            </w:pPr>
          </w:p>
        </w:tc>
        <w:tc>
          <w:tcPr>
            <w:tcW w:w="1154" w:type="dxa"/>
            <w:vAlign w:val="center"/>
          </w:tcPr>
          <w:p w14:paraId="64E70AD6">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溶解性</w:t>
            </w:r>
          </w:p>
        </w:tc>
        <w:tc>
          <w:tcPr>
            <w:tcW w:w="6013" w:type="dxa"/>
            <w:gridSpan w:val="5"/>
            <w:vAlign w:val="center"/>
          </w:tcPr>
          <w:p w14:paraId="429FF7C8">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微溶于水，与乙醇、丙酮、氯仿、乙醚、苯等多数有机溶剂互溶。</w:t>
            </w:r>
          </w:p>
        </w:tc>
      </w:tr>
      <w:tr w14:paraId="6DF20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35623CAD">
            <w:pPr>
              <w:jc w:val="center"/>
              <w:rPr>
                <w:color w:val="auto"/>
                <w:vertAlign w:val="baseline"/>
              </w:rPr>
            </w:pPr>
          </w:p>
        </w:tc>
        <w:tc>
          <w:tcPr>
            <w:tcW w:w="1154" w:type="dxa"/>
            <w:vAlign w:val="center"/>
          </w:tcPr>
          <w:p w14:paraId="6A97EB24">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熔点（℃）</w:t>
            </w:r>
          </w:p>
        </w:tc>
        <w:tc>
          <w:tcPr>
            <w:tcW w:w="2004" w:type="dxa"/>
            <w:vAlign w:val="center"/>
          </w:tcPr>
          <w:p w14:paraId="43C0CF86">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-83.6</w:t>
            </w:r>
          </w:p>
        </w:tc>
        <w:tc>
          <w:tcPr>
            <w:tcW w:w="2004" w:type="dxa"/>
            <w:gridSpan w:val="2"/>
            <w:vAlign w:val="center"/>
          </w:tcPr>
          <w:p w14:paraId="05980AD3">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沸点（℃）</w:t>
            </w:r>
          </w:p>
        </w:tc>
        <w:tc>
          <w:tcPr>
            <w:tcW w:w="2005" w:type="dxa"/>
            <w:gridSpan w:val="2"/>
            <w:vAlign w:val="center"/>
          </w:tcPr>
          <w:p w14:paraId="6D8732A7">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77.2</w:t>
            </w:r>
          </w:p>
        </w:tc>
      </w:tr>
      <w:tr w14:paraId="2DF87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48390513">
            <w:pPr>
              <w:jc w:val="center"/>
              <w:rPr>
                <w:color w:val="auto"/>
                <w:vertAlign w:val="baseline"/>
              </w:rPr>
            </w:pPr>
          </w:p>
        </w:tc>
        <w:tc>
          <w:tcPr>
            <w:tcW w:w="1154" w:type="dxa"/>
            <w:vAlign w:val="center"/>
          </w:tcPr>
          <w:p w14:paraId="5DCB7409">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相对密度（水=1）</w:t>
            </w:r>
          </w:p>
        </w:tc>
        <w:tc>
          <w:tcPr>
            <w:tcW w:w="2004" w:type="dxa"/>
            <w:vAlign w:val="center"/>
          </w:tcPr>
          <w:p w14:paraId="41717FCC">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0.90</w:t>
            </w:r>
            <w:r>
              <w:rPr>
                <w:rFonts w:hint="eastAsia" w:ascii="Arial" w:hAnsi="Arial" w:cs="Arial"/>
                <w:i w:val="0"/>
                <w:iCs w:val="0"/>
                <w:caps w:val="0"/>
                <w:color w:val="auto"/>
                <w:spacing w:val="0"/>
                <w:kern w:val="0"/>
                <w:sz w:val="21"/>
                <w:szCs w:val="21"/>
                <w:vertAlign w:val="baseline"/>
                <w:lang w:val="en-US" w:eastAsia="zh-CN" w:bidi="ar"/>
              </w:rPr>
              <w:t>(</w:t>
            </w:r>
            <w:r>
              <w:rPr>
                <w:rFonts w:hint="default" w:ascii="Arial" w:hAnsi="Arial" w:eastAsia="宋体" w:cs="Arial"/>
                <w:i w:val="0"/>
                <w:iCs w:val="0"/>
                <w:caps w:val="0"/>
                <w:color w:val="auto"/>
                <w:spacing w:val="0"/>
                <w:kern w:val="0"/>
                <w:sz w:val="21"/>
                <w:szCs w:val="21"/>
                <w:vertAlign w:val="baseline"/>
                <w:lang w:val="en-US" w:eastAsia="zh-CN" w:bidi="ar"/>
              </w:rPr>
              <w:t>20℃）</w:t>
            </w:r>
          </w:p>
        </w:tc>
        <w:tc>
          <w:tcPr>
            <w:tcW w:w="2004" w:type="dxa"/>
            <w:gridSpan w:val="2"/>
            <w:vAlign w:val="center"/>
          </w:tcPr>
          <w:p w14:paraId="668897B7">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临界温度（℃）</w:t>
            </w:r>
          </w:p>
        </w:tc>
        <w:tc>
          <w:tcPr>
            <w:tcW w:w="2005" w:type="dxa"/>
            <w:gridSpan w:val="2"/>
            <w:vAlign w:val="center"/>
          </w:tcPr>
          <w:p w14:paraId="421DEB61">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250.1</w:t>
            </w:r>
          </w:p>
        </w:tc>
      </w:tr>
      <w:tr w14:paraId="7BE70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7AE7C376">
            <w:pPr>
              <w:jc w:val="center"/>
              <w:rPr>
                <w:color w:val="auto"/>
                <w:vertAlign w:val="baseline"/>
              </w:rPr>
            </w:pPr>
          </w:p>
        </w:tc>
        <w:tc>
          <w:tcPr>
            <w:tcW w:w="1154" w:type="dxa"/>
            <w:vAlign w:val="center"/>
          </w:tcPr>
          <w:p w14:paraId="039F90B6">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临界压力（MPa）</w:t>
            </w:r>
          </w:p>
        </w:tc>
        <w:tc>
          <w:tcPr>
            <w:tcW w:w="2004" w:type="dxa"/>
            <w:vAlign w:val="center"/>
          </w:tcPr>
          <w:p w14:paraId="22EB1D09">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3.83</w:t>
            </w:r>
          </w:p>
        </w:tc>
        <w:tc>
          <w:tcPr>
            <w:tcW w:w="2004" w:type="dxa"/>
            <w:gridSpan w:val="2"/>
            <w:vAlign w:val="center"/>
          </w:tcPr>
          <w:p w14:paraId="733F3D43">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Times New Roman" w:hAnsi="Times New Roman" w:eastAsia="宋体" w:cs="Times New Roman"/>
                <w:color w:val="auto"/>
                <w:kern w:val="2"/>
                <w:sz w:val="21"/>
                <w:szCs w:val="24"/>
                <w:vertAlign w:val="baseline"/>
                <w:lang w:val="en-US" w:eastAsia="zh-CN" w:bidi="ar-SA"/>
              </w:rPr>
            </w:pPr>
            <w:r>
              <w:rPr>
                <w:rFonts w:hint="default" w:ascii="Arial" w:hAnsi="Arial" w:eastAsia="宋体" w:cs="Arial"/>
                <w:i w:val="0"/>
                <w:iCs w:val="0"/>
                <w:caps w:val="0"/>
                <w:color w:val="auto"/>
                <w:spacing w:val="0"/>
                <w:kern w:val="0"/>
                <w:sz w:val="21"/>
                <w:szCs w:val="21"/>
                <w:vertAlign w:val="baseline"/>
                <w:lang w:val="en-US" w:eastAsia="zh-CN" w:bidi="ar"/>
              </w:rPr>
              <w:t>相对蒸气密度（空气=1）</w:t>
            </w:r>
          </w:p>
        </w:tc>
        <w:tc>
          <w:tcPr>
            <w:tcW w:w="2005" w:type="dxa"/>
            <w:gridSpan w:val="2"/>
            <w:vAlign w:val="center"/>
          </w:tcPr>
          <w:p w14:paraId="698B539C">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3.04</w:t>
            </w:r>
          </w:p>
        </w:tc>
      </w:tr>
      <w:tr w14:paraId="68792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13308C7E">
            <w:pPr>
              <w:jc w:val="center"/>
              <w:rPr>
                <w:color w:val="auto"/>
                <w:vertAlign w:val="baseline"/>
              </w:rPr>
            </w:pPr>
          </w:p>
        </w:tc>
        <w:tc>
          <w:tcPr>
            <w:tcW w:w="1154" w:type="dxa"/>
            <w:vAlign w:val="center"/>
          </w:tcPr>
          <w:p w14:paraId="62CECA92">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燃烧热（kJ/mol）</w:t>
            </w:r>
          </w:p>
        </w:tc>
        <w:tc>
          <w:tcPr>
            <w:tcW w:w="2004" w:type="dxa"/>
            <w:vAlign w:val="center"/>
          </w:tcPr>
          <w:p w14:paraId="0E160D2C">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-2072</w:t>
            </w:r>
          </w:p>
        </w:tc>
        <w:tc>
          <w:tcPr>
            <w:tcW w:w="2004" w:type="dxa"/>
            <w:gridSpan w:val="2"/>
            <w:vAlign w:val="center"/>
          </w:tcPr>
          <w:p w14:paraId="72DE3B34">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饱和蒸气压（kPa）</w:t>
            </w:r>
          </w:p>
        </w:tc>
        <w:tc>
          <w:tcPr>
            <w:tcW w:w="2005" w:type="dxa"/>
            <w:gridSpan w:val="2"/>
            <w:vAlign w:val="center"/>
          </w:tcPr>
          <w:p w14:paraId="374AAE86">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10.1</w:t>
            </w:r>
            <w:r>
              <w:rPr>
                <w:rFonts w:hint="eastAsia" w:ascii="Arial" w:hAnsi="Arial" w:cs="Arial"/>
                <w:i w:val="0"/>
                <w:iCs w:val="0"/>
                <w:caps w:val="0"/>
                <w:color w:val="auto"/>
                <w:spacing w:val="0"/>
                <w:kern w:val="0"/>
                <w:sz w:val="21"/>
                <w:szCs w:val="21"/>
                <w:vertAlign w:val="baseline"/>
                <w:lang w:val="en-US" w:eastAsia="zh-CN" w:bidi="ar"/>
              </w:rPr>
              <w:t>(</w:t>
            </w:r>
            <w:r>
              <w:rPr>
                <w:rFonts w:hint="default" w:ascii="Arial" w:hAnsi="Arial" w:eastAsia="宋体" w:cs="Arial"/>
                <w:i w:val="0"/>
                <w:iCs w:val="0"/>
                <w:caps w:val="0"/>
                <w:color w:val="auto"/>
                <w:spacing w:val="0"/>
                <w:kern w:val="0"/>
                <w:sz w:val="21"/>
                <w:szCs w:val="21"/>
                <w:vertAlign w:val="baseline"/>
                <w:lang w:val="en-US" w:eastAsia="zh-CN" w:bidi="ar"/>
              </w:rPr>
              <w:t>20℃）</w:t>
            </w:r>
          </w:p>
        </w:tc>
      </w:tr>
      <w:tr w14:paraId="50C8A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32F56259">
            <w:pPr>
              <w:jc w:val="center"/>
              <w:rPr>
                <w:color w:val="auto"/>
                <w:vertAlign w:val="baseline"/>
              </w:rPr>
            </w:pPr>
          </w:p>
        </w:tc>
        <w:tc>
          <w:tcPr>
            <w:tcW w:w="1154" w:type="dxa"/>
            <w:vAlign w:val="center"/>
          </w:tcPr>
          <w:p w14:paraId="5E382868">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Times New Roman" w:hAnsi="Times New Roman" w:eastAsia="宋体" w:cs="Times New Roman"/>
                <w:color w:val="auto"/>
                <w:kern w:val="2"/>
                <w:sz w:val="21"/>
                <w:szCs w:val="24"/>
                <w:vertAlign w:val="baseline"/>
                <w:lang w:val="en-US" w:eastAsia="zh-CN" w:bidi="ar-SA"/>
              </w:rPr>
            </w:pPr>
            <w:r>
              <w:rPr>
                <w:rFonts w:hint="default" w:ascii="Arial" w:hAnsi="Arial" w:eastAsia="宋体" w:cs="Arial"/>
                <w:i w:val="0"/>
                <w:iCs w:val="0"/>
                <w:caps w:val="0"/>
                <w:color w:val="auto"/>
                <w:spacing w:val="0"/>
                <w:kern w:val="0"/>
                <w:sz w:val="21"/>
                <w:szCs w:val="21"/>
                <w:vertAlign w:val="baseline"/>
                <w:lang w:val="en-US" w:eastAsia="zh-CN" w:bidi="ar"/>
              </w:rPr>
              <w:t>闪点（℃）</w:t>
            </w:r>
          </w:p>
        </w:tc>
        <w:tc>
          <w:tcPr>
            <w:tcW w:w="2004" w:type="dxa"/>
            <w:vAlign w:val="center"/>
          </w:tcPr>
          <w:p w14:paraId="4D569A6B">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-4（CC）；7.2（O</w:t>
            </w:r>
            <w:r>
              <w:rPr>
                <w:rFonts w:hint="eastAsia" w:ascii="Arial" w:hAnsi="Arial" w:eastAsia="宋体" w:cs="Arial"/>
                <w:i w:val="0"/>
                <w:iCs w:val="0"/>
                <w:caps w:val="0"/>
                <w:color w:val="auto"/>
                <w:spacing w:val="0"/>
                <w:kern w:val="0"/>
                <w:sz w:val="21"/>
                <w:szCs w:val="21"/>
                <w:vertAlign w:val="baseline"/>
                <w:lang w:val="en-US" w:eastAsia="zh-CN" w:bidi="ar"/>
              </w:rPr>
              <w:t>Q</w:t>
            </w:r>
            <w:r>
              <w:rPr>
                <w:rFonts w:hint="default" w:ascii="Arial" w:hAnsi="Arial" w:eastAsia="宋体" w:cs="Arial"/>
                <w:i w:val="0"/>
                <w:iCs w:val="0"/>
                <w:caps w:val="0"/>
                <w:color w:val="auto"/>
                <w:spacing w:val="0"/>
                <w:kern w:val="0"/>
                <w:sz w:val="21"/>
                <w:szCs w:val="21"/>
                <w:vertAlign w:val="baseline"/>
                <w:lang w:val="en-US" w:eastAsia="zh-CN" w:bidi="ar"/>
              </w:rPr>
              <w:t>）</w:t>
            </w:r>
          </w:p>
        </w:tc>
        <w:tc>
          <w:tcPr>
            <w:tcW w:w="2004" w:type="dxa"/>
            <w:gridSpan w:val="2"/>
            <w:vAlign w:val="center"/>
          </w:tcPr>
          <w:p w14:paraId="4BBF3600">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爆炸极限（v%）</w:t>
            </w:r>
          </w:p>
        </w:tc>
        <w:tc>
          <w:tcPr>
            <w:tcW w:w="2005" w:type="dxa"/>
            <w:gridSpan w:val="2"/>
            <w:vAlign w:val="center"/>
          </w:tcPr>
          <w:p w14:paraId="26CD10C6">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2.2~11.5</w:t>
            </w:r>
          </w:p>
        </w:tc>
      </w:tr>
      <w:tr w14:paraId="548E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restart"/>
            <w:vAlign w:val="center"/>
          </w:tcPr>
          <w:p w14:paraId="49D9DA26">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default" w:ascii="Arial" w:hAnsi="Arial" w:eastAsia="宋体" w:cs="Arial"/>
                <w:b/>
                <w:bCs/>
                <w:i w:val="0"/>
                <w:iCs w:val="0"/>
                <w:caps w:val="0"/>
                <w:color w:val="auto"/>
                <w:spacing w:val="0"/>
                <w:kern w:val="0"/>
                <w:sz w:val="21"/>
                <w:szCs w:val="21"/>
                <w:vertAlign w:val="baseline"/>
                <w:lang w:val="en-US" w:eastAsia="zh-CN" w:bidi="ar"/>
              </w:rPr>
              <w:t>燃烧爆炸危险性</w:t>
            </w:r>
          </w:p>
        </w:tc>
        <w:tc>
          <w:tcPr>
            <w:tcW w:w="1154" w:type="dxa"/>
            <w:vAlign w:val="center"/>
          </w:tcPr>
          <w:p w14:paraId="2A37B4DD">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燃烧性</w:t>
            </w:r>
          </w:p>
        </w:tc>
        <w:tc>
          <w:tcPr>
            <w:tcW w:w="6013" w:type="dxa"/>
            <w:gridSpan w:val="5"/>
            <w:vAlign w:val="center"/>
          </w:tcPr>
          <w:p w14:paraId="73E6E0F0">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易燃</w:t>
            </w:r>
          </w:p>
        </w:tc>
      </w:tr>
      <w:tr w14:paraId="69122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1EFEAD4F">
            <w:pPr>
              <w:jc w:val="center"/>
              <w:rPr>
                <w:color w:val="auto"/>
                <w:vertAlign w:val="baseline"/>
              </w:rPr>
            </w:pPr>
          </w:p>
        </w:tc>
        <w:tc>
          <w:tcPr>
            <w:tcW w:w="1154" w:type="dxa"/>
            <w:vAlign w:val="center"/>
          </w:tcPr>
          <w:p w14:paraId="23FCA031">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燃烧分解产物</w:t>
            </w:r>
          </w:p>
        </w:tc>
        <w:tc>
          <w:tcPr>
            <w:tcW w:w="6013" w:type="dxa"/>
            <w:gridSpan w:val="5"/>
            <w:vAlign w:val="center"/>
          </w:tcPr>
          <w:p w14:paraId="66A47603">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水及二氧化碳</w:t>
            </w:r>
          </w:p>
        </w:tc>
      </w:tr>
      <w:tr w14:paraId="573F4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388F107F">
            <w:pPr>
              <w:jc w:val="center"/>
              <w:rPr>
                <w:color w:val="auto"/>
                <w:vertAlign w:val="baseline"/>
              </w:rPr>
            </w:pPr>
          </w:p>
        </w:tc>
        <w:tc>
          <w:tcPr>
            <w:tcW w:w="1154" w:type="dxa"/>
            <w:vAlign w:val="center"/>
          </w:tcPr>
          <w:p w14:paraId="458C221D">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聚合危害</w:t>
            </w:r>
          </w:p>
        </w:tc>
        <w:tc>
          <w:tcPr>
            <w:tcW w:w="6013" w:type="dxa"/>
            <w:gridSpan w:val="5"/>
            <w:vAlign w:val="center"/>
          </w:tcPr>
          <w:p w14:paraId="3F38002D">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不能出现</w:t>
            </w:r>
          </w:p>
        </w:tc>
      </w:tr>
      <w:tr w14:paraId="17A00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0C296389">
            <w:pPr>
              <w:jc w:val="center"/>
              <w:rPr>
                <w:color w:val="auto"/>
                <w:vertAlign w:val="baseline"/>
              </w:rPr>
            </w:pPr>
          </w:p>
        </w:tc>
        <w:tc>
          <w:tcPr>
            <w:tcW w:w="1154" w:type="dxa"/>
            <w:vAlign w:val="center"/>
          </w:tcPr>
          <w:p w14:paraId="75E75A42">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稳定性</w:t>
            </w:r>
          </w:p>
        </w:tc>
        <w:tc>
          <w:tcPr>
            <w:tcW w:w="6013" w:type="dxa"/>
            <w:gridSpan w:val="5"/>
            <w:vAlign w:val="center"/>
          </w:tcPr>
          <w:p w14:paraId="43DDD820">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稳定</w:t>
            </w:r>
          </w:p>
        </w:tc>
      </w:tr>
      <w:tr w14:paraId="0C63B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46D70E1B">
            <w:pPr>
              <w:jc w:val="center"/>
              <w:rPr>
                <w:color w:val="auto"/>
                <w:vertAlign w:val="baseline"/>
              </w:rPr>
            </w:pPr>
          </w:p>
        </w:tc>
        <w:tc>
          <w:tcPr>
            <w:tcW w:w="1154" w:type="dxa"/>
            <w:vAlign w:val="center"/>
          </w:tcPr>
          <w:p w14:paraId="3D3D8D25">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禁忌物</w:t>
            </w:r>
          </w:p>
        </w:tc>
        <w:tc>
          <w:tcPr>
            <w:tcW w:w="6013" w:type="dxa"/>
            <w:gridSpan w:val="5"/>
            <w:vAlign w:val="center"/>
          </w:tcPr>
          <w:p w14:paraId="1C8E613F">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强氧化剂、酸类、碱类</w:t>
            </w:r>
          </w:p>
        </w:tc>
      </w:tr>
      <w:tr w14:paraId="77FA0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39D9924C">
            <w:pPr>
              <w:jc w:val="center"/>
              <w:rPr>
                <w:color w:val="auto"/>
                <w:vertAlign w:val="baseline"/>
              </w:rPr>
            </w:pPr>
          </w:p>
        </w:tc>
        <w:tc>
          <w:tcPr>
            <w:tcW w:w="1154" w:type="dxa"/>
            <w:vAlign w:val="center"/>
          </w:tcPr>
          <w:p w14:paraId="6E1785CB">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危险特性</w:t>
            </w:r>
          </w:p>
        </w:tc>
        <w:tc>
          <w:tcPr>
            <w:tcW w:w="6013" w:type="dxa"/>
            <w:gridSpan w:val="5"/>
            <w:vAlign w:val="center"/>
          </w:tcPr>
          <w:p w14:paraId="11F60666">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其蒸气与空气形成爆炸性混合物，遇明火、高热能引起燃烧爆炸。与氧化剂能发生强烈反应。其蒸气比空气重，能在较低处扩散到相当远的地方，遇火源引着回燃。</w:t>
            </w:r>
          </w:p>
        </w:tc>
      </w:tr>
      <w:tr w14:paraId="326C6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Merge w:val="continue"/>
            <w:vAlign w:val="center"/>
          </w:tcPr>
          <w:p w14:paraId="10E14F4C">
            <w:pPr>
              <w:jc w:val="center"/>
              <w:rPr>
                <w:color w:val="auto"/>
                <w:vertAlign w:val="baseline"/>
              </w:rPr>
            </w:pPr>
          </w:p>
        </w:tc>
        <w:tc>
          <w:tcPr>
            <w:tcW w:w="1154" w:type="dxa"/>
            <w:vAlign w:val="center"/>
          </w:tcPr>
          <w:p w14:paraId="3CECC14B">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消防措施</w:t>
            </w:r>
          </w:p>
        </w:tc>
        <w:tc>
          <w:tcPr>
            <w:tcW w:w="6013" w:type="dxa"/>
            <w:gridSpan w:val="5"/>
            <w:vAlign w:val="center"/>
          </w:tcPr>
          <w:p w14:paraId="6DB04A09">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用干粉、泡沫、二氧化碳灭火。用水保持火场中容器冷却。</w:t>
            </w:r>
          </w:p>
        </w:tc>
      </w:tr>
      <w:tr w14:paraId="27961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Align w:val="center"/>
          </w:tcPr>
          <w:p w14:paraId="551BEBBD">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default" w:ascii="Arial" w:hAnsi="Arial" w:eastAsia="宋体" w:cs="Arial"/>
                <w:b/>
                <w:bCs/>
                <w:i w:val="0"/>
                <w:iCs w:val="0"/>
                <w:caps w:val="0"/>
                <w:color w:val="auto"/>
                <w:spacing w:val="0"/>
                <w:kern w:val="0"/>
                <w:sz w:val="21"/>
                <w:szCs w:val="21"/>
                <w:vertAlign w:val="baseline"/>
                <w:lang w:val="en-US" w:eastAsia="zh-CN" w:bidi="ar"/>
              </w:rPr>
              <w:t>毒性</w:t>
            </w:r>
          </w:p>
        </w:tc>
        <w:tc>
          <w:tcPr>
            <w:tcW w:w="7167" w:type="dxa"/>
            <w:gridSpan w:val="6"/>
            <w:vAlign w:val="center"/>
          </w:tcPr>
          <w:p w14:paraId="701802A6">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毒理资料</w:t>
            </w:r>
            <w:r>
              <w:rPr>
                <w:rFonts w:hint="eastAsia" w:ascii="Arial" w:hAnsi="Arial" w:eastAsia="宋体" w:cs="Arial"/>
                <w:i w:val="0"/>
                <w:iCs w:val="0"/>
                <w:caps w:val="0"/>
                <w:color w:val="auto"/>
                <w:spacing w:val="0"/>
                <w:kern w:val="0"/>
                <w:sz w:val="21"/>
                <w:szCs w:val="21"/>
                <w:vertAlign w:val="baseline"/>
                <w:lang w:val="en-US" w:eastAsia="zh-CN" w:bidi="ar"/>
              </w:rPr>
              <w:t>：</w:t>
            </w:r>
            <w:r>
              <w:rPr>
                <w:rFonts w:hint="default" w:ascii="Arial" w:hAnsi="Arial" w:eastAsia="宋体" w:cs="Arial"/>
                <w:i w:val="0"/>
                <w:iCs w:val="0"/>
                <w:caps w:val="0"/>
                <w:color w:val="auto"/>
                <w:spacing w:val="0"/>
                <w:kern w:val="0"/>
                <w:sz w:val="21"/>
                <w:szCs w:val="21"/>
                <w:vertAlign w:val="baseline"/>
                <w:lang w:val="en-US" w:eastAsia="zh-CN" w:bidi="ar"/>
              </w:rPr>
              <w:t>根据它的化学性质推测在体内易于水解，水解后生成乙醇，可以醇的形态排出，也可部分进入乙醇代谢环节。</w:t>
            </w:r>
          </w:p>
          <w:p w14:paraId="783ED443">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动物中毒后除刺激眼部外，有呛咳；高浓度时，出现麻醉，角膜反射消失，麻醉加深后有1/4的动物死亡。病理检查示呼吸道广泛充血，点状出血，</w:t>
            </w:r>
            <w:r>
              <w:rPr>
                <w:rFonts w:hint="eastAsia" w:ascii="Arial" w:hAnsi="Arial" w:cs="Arial"/>
                <w:i w:val="0"/>
                <w:iCs w:val="0"/>
                <w:caps w:val="0"/>
                <w:color w:val="auto"/>
                <w:spacing w:val="0"/>
                <w:kern w:val="0"/>
                <w:sz w:val="21"/>
                <w:szCs w:val="21"/>
                <w:vertAlign w:val="baseline"/>
                <w:lang w:val="en-US" w:eastAsia="zh-CN" w:bidi="ar"/>
              </w:rPr>
              <w:t>黏膜水肿</w:t>
            </w:r>
            <w:r>
              <w:rPr>
                <w:rFonts w:hint="default" w:ascii="Arial" w:hAnsi="Arial" w:eastAsia="宋体" w:cs="Arial"/>
                <w:i w:val="0"/>
                <w:iCs w:val="0"/>
                <w:caps w:val="0"/>
                <w:color w:val="auto"/>
                <w:spacing w:val="0"/>
                <w:kern w:val="0"/>
                <w:sz w:val="21"/>
                <w:szCs w:val="21"/>
                <w:vertAlign w:val="baseline"/>
                <w:lang w:val="en-US" w:eastAsia="zh-CN" w:bidi="ar"/>
              </w:rPr>
              <w:t>。</w:t>
            </w:r>
          </w:p>
        </w:tc>
      </w:tr>
      <w:tr w14:paraId="5903C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Align w:val="center"/>
          </w:tcPr>
          <w:p w14:paraId="3CFE5BB8">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default" w:ascii="Arial" w:hAnsi="Arial" w:eastAsia="宋体" w:cs="Arial"/>
                <w:b/>
                <w:bCs/>
                <w:i w:val="0"/>
                <w:iCs w:val="0"/>
                <w:caps w:val="0"/>
                <w:color w:val="auto"/>
                <w:spacing w:val="0"/>
                <w:kern w:val="0"/>
                <w:sz w:val="21"/>
                <w:szCs w:val="21"/>
                <w:vertAlign w:val="baseline"/>
                <w:lang w:val="en-US" w:eastAsia="zh-CN" w:bidi="ar"/>
              </w:rPr>
              <w:t>对人体危害</w:t>
            </w:r>
          </w:p>
        </w:tc>
        <w:tc>
          <w:tcPr>
            <w:tcW w:w="7167" w:type="dxa"/>
            <w:gridSpan w:val="6"/>
            <w:vAlign w:val="center"/>
          </w:tcPr>
          <w:p w14:paraId="46CCFF42">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对眼、鼻、咽喉有刺激作用。高浓度吸入可引起缓慢而渐进的麻醉作用。持续大量吸入，可致呼吸麻痹。有致敏作用，因血管神经障碍而致</w:t>
            </w:r>
            <w:r>
              <w:rPr>
                <w:rFonts w:hint="eastAsia" w:ascii="Arial" w:hAnsi="Arial" w:cs="Arial"/>
                <w:i w:val="0"/>
                <w:iCs w:val="0"/>
                <w:caps w:val="0"/>
                <w:color w:val="auto"/>
                <w:spacing w:val="0"/>
                <w:kern w:val="0"/>
                <w:sz w:val="21"/>
                <w:szCs w:val="21"/>
                <w:vertAlign w:val="baseline"/>
                <w:lang w:val="en-US" w:eastAsia="zh-CN" w:bidi="ar"/>
              </w:rPr>
              <w:t>牙龈</w:t>
            </w:r>
            <w:r>
              <w:rPr>
                <w:rFonts w:hint="default" w:ascii="Arial" w:hAnsi="Arial" w:eastAsia="宋体" w:cs="Arial"/>
                <w:i w:val="0"/>
                <w:iCs w:val="0"/>
                <w:caps w:val="0"/>
                <w:color w:val="auto"/>
                <w:spacing w:val="0"/>
                <w:kern w:val="0"/>
                <w:sz w:val="21"/>
                <w:szCs w:val="21"/>
                <w:vertAlign w:val="baseline"/>
                <w:lang w:val="en-US" w:eastAsia="zh-CN" w:bidi="ar"/>
              </w:rPr>
              <w:t>充血及粘膜炎症；可致湿疹样皮炎。</w:t>
            </w:r>
          </w:p>
          <w:p w14:paraId="10E37266">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早年有一例死亡病例报道，是进入溶剂大罐后所致中毒。但大罐中同时还有多种有机溶剂混合存在，不易确定本品的作用。尸检</w:t>
            </w:r>
            <w:r>
              <w:rPr>
                <w:rFonts w:hint="eastAsia" w:ascii="Arial" w:hAnsi="Arial" w:cs="Arial"/>
                <w:i w:val="0"/>
                <w:iCs w:val="0"/>
                <w:caps w:val="0"/>
                <w:color w:val="auto"/>
                <w:spacing w:val="0"/>
                <w:kern w:val="0"/>
                <w:sz w:val="21"/>
                <w:szCs w:val="21"/>
                <w:vertAlign w:val="baseline"/>
                <w:lang w:val="en-US" w:eastAsia="zh-CN" w:bidi="ar"/>
              </w:rPr>
              <w:t>显示</w:t>
            </w:r>
            <w:r>
              <w:rPr>
                <w:rFonts w:hint="default" w:ascii="Arial" w:hAnsi="Arial" w:eastAsia="宋体" w:cs="Arial"/>
                <w:i w:val="0"/>
                <w:iCs w:val="0"/>
                <w:caps w:val="0"/>
                <w:color w:val="auto"/>
                <w:spacing w:val="0"/>
                <w:kern w:val="0"/>
                <w:sz w:val="21"/>
                <w:szCs w:val="21"/>
                <w:vertAlign w:val="baseline"/>
                <w:lang w:val="en-US" w:eastAsia="zh-CN" w:bidi="ar"/>
              </w:rPr>
              <w:t>各器官都有较强的乙酸乙酯气味。模拟试</w:t>
            </w:r>
            <w:r>
              <w:rPr>
                <w:rFonts w:hint="eastAsia" w:ascii="Arial" w:hAnsi="Arial" w:cs="Arial"/>
                <w:i w:val="0"/>
                <w:iCs w:val="0"/>
                <w:caps w:val="0"/>
                <w:color w:val="auto"/>
                <w:spacing w:val="0"/>
                <w:kern w:val="0"/>
                <w:sz w:val="21"/>
                <w:szCs w:val="21"/>
                <w:vertAlign w:val="baseline"/>
                <w:lang w:val="en-US" w:eastAsia="zh-CN" w:bidi="ar"/>
              </w:rPr>
              <w:t>验显</w:t>
            </w:r>
            <w:r>
              <w:rPr>
                <w:rFonts w:hint="default" w:ascii="Arial" w:hAnsi="Arial" w:eastAsia="宋体" w:cs="Arial"/>
                <w:i w:val="0"/>
                <w:iCs w:val="0"/>
                <w:caps w:val="0"/>
                <w:color w:val="auto"/>
                <w:spacing w:val="0"/>
                <w:kern w:val="0"/>
                <w:sz w:val="21"/>
                <w:szCs w:val="21"/>
                <w:vertAlign w:val="baseline"/>
                <w:lang w:val="en-US" w:eastAsia="zh-CN" w:bidi="ar"/>
              </w:rPr>
              <w:t>示死亡豚鼠的器官也有类似情况，此外见脾、肾充血，肺有点状出血。</w:t>
            </w:r>
          </w:p>
        </w:tc>
      </w:tr>
      <w:tr w14:paraId="27E5B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Align w:val="center"/>
          </w:tcPr>
          <w:p w14:paraId="6111FBE0">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default" w:ascii="Arial" w:hAnsi="Arial" w:eastAsia="宋体" w:cs="Arial"/>
                <w:b/>
                <w:bCs/>
                <w:i w:val="0"/>
                <w:iCs w:val="0"/>
                <w:caps w:val="0"/>
                <w:color w:val="auto"/>
                <w:spacing w:val="0"/>
                <w:kern w:val="0"/>
                <w:sz w:val="21"/>
                <w:szCs w:val="21"/>
                <w:vertAlign w:val="baseline"/>
                <w:lang w:val="en-US" w:eastAsia="zh-CN" w:bidi="ar"/>
              </w:rPr>
              <w:t>急救</w:t>
            </w:r>
          </w:p>
        </w:tc>
        <w:tc>
          <w:tcPr>
            <w:tcW w:w="7167" w:type="dxa"/>
            <w:gridSpan w:val="6"/>
            <w:vAlign w:val="center"/>
          </w:tcPr>
          <w:p w14:paraId="337938CC">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皮肤接触：脱去污染的衣着，用流动清水彻底冲洗，就医。</w:t>
            </w:r>
          </w:p>
          <w:p w14:paraId="3BFAB3A7">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眼睛接触：立即提起眼睑，用流动清水或生理盐水冲洗</w:t>
            </w:r>
            <w:r>
              <w:rPr>
                <w:rFonts w:hint="eastAsia" w:ascii="Arial" w:hAnsi="Arial" w:cs="Arial"/>
                <w:i w:val="0"/>
                <w:iCs w:val="0"/>
                <w:caps w:val="0"/>
                <w:color w:val="auto"/>
                <w:spacing w:val="0"/>
                <w:kern w:val="0"/>
                <w:sz w:val="21"/>
                <w:szCs w:val="21"/>
                <w:vertAlign w:val="baseline"/>
                <w:lang w:val="en-US" w:eastAsia="zh-CN" w:bidi="ar"/>
              </w:rPr>
              <w:t>至少15分钟</w:t>
            </w:r>
            <w:r>
              <w:rPr>
                <w:rFonts w:hint="default" w:ascii="Arial" w:hAnsi="Arial" w:eastAsia="宋体" w:cs="Arial"/>
                <w:i w:val="0"/>
                <w:iCs w:val="0"/>
                <w:caps w:val="0"/>
                <w:color w:val="auto"/>
                <w:spacing w:val="0"/>
                <w:kern w:val="0"/>
                <w:sz w:val="21"/>
                <w:szCs w:val="21"/>
                <w:vertAlign w:val="baseline"/>
                <w:lang w:val="en-US" w:eastAsia="zh-CN" w:bidi="ar"/>
              </w:rPr>
              <w:t>，就医。</w:t>
            </w:r>
          </w:p>
          <w:p w14:paraId="632156F2">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吸入：迅速脱离现场至空气新鲜处。保持呼吸道通畅。呼吸困难时给输氧。呼吸停止时，立即进行人工呼吸，就医。</w:t>
            </w:r>
          </w:p>
          <w:p w14:paraId="11327866">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食入：误服者给饮大量温水，催吐，洗胃，就医。</w:t>
            </w:r>
          </w:p>
        </w:tc>
      </w:tr>
      <w:tr w14:paraId="193F1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Align w:val="center"/>
          </w:tcPr>
          <w:p w14:paraId="186F2FE4">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default" w:ascii="Arial" w:hAnsi="Arial" w:eastAsia="宋体" w:cs="Arial"/>
                <w:b/>
                <w:bCs/>
                <w:i w:val="0"/>
                <w:iCs w:val="0"/>
                <w:caps w:val="0"/>
                <w:color w:val="auto"/>
                <w:spacing w:val="0"/>
                <w:kern w:val="0"/>
                <w:sz w:val="21"/>
                <w:szCs w:val="21"/>
                <w:vertAlign w:val="baseline"/>
                <w:lang w:val="en-US" w:eastAsia="zh-CN" w:bidi="ar"/>
              </w:rPr>
              <w:t>泄漏处理</w:t>
            </w:r>
          </w:p>
        </w:tc>
        <w:tc>
          <w:tcPr>
            <w:tcW w:w="7167" w:type="dxa"/>
            <w:gridSpan w:val="6"/>
            <w:vAlign w:val="center"/>
          </w:tcPr>
          <w:p w14:paraId="7AF7144A">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疏散泄漏污染区人员至安全区，禁止无关人员进入污染区，切断火源。建议应急处理人员戴自给式呼吸器，穿一般消防防护服。在确保安全情况下堵漏。喷水雾会减少蒸发，但不能降低泄漏物在受限制空间内的易燃性。用活性炭或其它惰性材料吸收，收集运至废物处理场所处置。也可以用大量水冲洗，经稀释的洗水放入废水系统。如大量泄漏，利用围堤收容，然后收集、转移、回收或无害处理后废弃。</w:t>
            </w:r>
          </w:p>
        </w:tc>
      </w:tr>
      <w:tr w14:paraId="7B9F8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4" w:type="dxa"/>
            <w:vAlign w:val="center"/>
          </w:tcPr>
          <w:p w14:paraId="0A97D89A">
            <w:pPr>
              <w:keepNext w:val="0"/>
              <w:keepLines w:val="0"/>
              <w:widowControl/>
              <w:suppressLineNumbers w:val="0"/>
              <w:spacing w:before="0" w:beforeAutospacing="0" w:after="0" w:afterAutospacing="0" w:line="360" w:lineRule="atLeast"/>
              <w:ind w:left="0" w:leftChars="0" w:right="0" w:rightChars="0"/>
              <w:jc w:val="center"/>
              <w:textAlignment w:val="baseline"/>
              <w:rPr>
                <w:color w:val="auto"/>
                <w:vertAlign w:val="baseline"/>
              </w:rPr>
            </w:pPr>
            <w:r>
              <w:rPr>
                <w:rStyle w:val="35"/>
                <w:rFonts w:hint="default" w:ascii="Arial" w:hAnsi="Arial" w:eastAsia="宋体" w:cs="Arial"/>
                <w:b/>
                <w:bCs/>
                <w:i w:val="0"/>
                <w:iCs w:val="0"/>
                <w:caps w:val="0"/>
                <w:color w:val="auto"/>
                <w:spacing w:val="0"/>
                <w:kern w:val="0"/>
                <w:sz w:val="21"/>
                <w:szCs w:val="21"/>
                <w:vertAlign w:val="baseline"/>
                <w:lang w:val="en-US" w:eastAsia="zh-CN" w:bidi="ar"/>
              </w:rPr>
              <w:t>储运</w:t>
            </w:r>
          </w:p>
        </w:tc>
        <w:tc>
          <w:tcPr>
            <w:tcW w:w="7167" w:type="dxa"/>
            <w:gridSpan w:val="6"/>
            <w:vAlign w:val="center"/>
          </w:tcPr>
          <w:p w14:paraId="5FFB1908">
            <w:pPr>
              <w:keepNext w:val="0"/>
              <w:keepLines w:val="0"/>
              <w:widowControl/>
              <w:suppressLineNumbers w:val="0"/>
              <w:spacing w:before="0" w:beforeAutospacing="0" w:after="0" w:afterAutospacing="0" w:line="360" w:lineRule="atLeast"/>
              <w:ind w:left="0" w:leftChars="0" w:right="0" w:rightChars="0"/>
              <w:jc w:val="left"/>
              <w:textAlignment w:val="baseline"/>
              <w:rPr>
                <w:rFonts w:hint="default" w:ascii="Arial" w:hAnsi="Arial" w:eastAsia="宋体" w:cs="Arial"/>
                <w:i w:val="0"/>
                <w:iCs w:val="0"/>
                <w:caps w:val="0"/>
                <w:color w:val="auto"/>
                <w:spacing w:val="0"/>
                <w:kern w:val="0"/>
                <w:sz w:val="21"/>
                <w:szCs w:val="21"/>
                <w:vertAlign w:val="baseline"/>
                <w:lang w:val="en-US" w:eastAsia="zh-CN" w:bidi="ar"/>
              </w:rPr>
            </w:pPr>
            <w:r>
              <w:rPr>
                <w:rFonts w:hint="default" w:ascii="Arial" w:hAnsi="Arial" w:eastAsia="宋体" w:cs="Arial"/>
                <w:i w:val="0"/>
                <w:iCs w:val="0"/>
                <w:caps w:val="0"/>
                <w:color w:val="auto"/>
                <w:spacing w:val="0"/>
                <w:kern w:val="0"/>
                <w:sz w:val="21"/>
                <w:szCs w:val="21"/>
                <w:vertAlign w:val="baseline"/>
                <w:lang w:val="en-US" w:eastAsia="zh-CN" w:bidi="ar"/>
              </w:rPr>
              <w:t>包装标志：易燃液体。包装方法：（</w:t>
            </w:r>
            <w:r>
              <w:rPr>
                <w:rFonts w:hint="eastAsia" w:ascii="Arial" w:hAnsi="Arial" w:cs="Arial"/>
                <w:i w:val="0"/>
                <w:iCs w:val="0"/>
                <w:caps w:val="0"/>
                <w:color w:val="auto"/>
                <w:spacing w:val="0"/>
                <w:kern w:val="0"/>
                <w:sz w:val="21"/>
                <w:szCs w:val="21"/>
                <w:vertAlign w:val="baseline"/>
                <w:lang w:val="en-US" w:eastAsia="zh-CN" w:bidi="ar"/>
              </w:rPr>
              <w:t>Ⅱ</w:t>
            </w:r>
            <w:r>
              <w:rPr>
                <w:rFonts w:hint="default" w:ascii="Arial" w:hAnsi="Arial" w:eastAsia="宋体" w:cs="Arial"/>
                <w:i w:val="0"/>
                <w:iCs w:val="0"/>
                <w:caps w:val="0"/>
                <w:color w:val="auto"/>
                <w:spacing w:val="0"/>
                <w:kern w:val="0"/>
                <w:sz w:val="21"/>
                <w:szCs w:val="21"/>
                <w:vertAlign w:val="baseline"/>
                <w:lang w:val="en-US" w:eastAsia="zh-CN" w:bidi="ar"/>
              </w:rPr>
              <w:t>）类，玻璃瓶外木箱内衬不燃材料或铁桶。</w:t>
            </w:r>
          </w:p>
          <w:p w14:paraId="368BC158">
            <w:pPr>
              <w:keepNext w:val="0"/>
              <w:keepLines w:val="0"/>
              <w:widowControl/>
              <w:suppressLineNumbers w:val="0"/>
              <w:spacing w:before="0" w:beforeAutospacing="0" w:after="0" w:afterAutospacing="0" w:line="360" w:lineRule="atLeast"/>
              <w:ind w:left="0" w:leftChars="0" w:right="0" w:rightChars="0"/>
              <w:jc w:val="left"/>
              <w:textAlignment w:val="baseline"/>
              <w:rPr>
                <w:color w:val="auto"/>
                <w:vertAlign w:val="baseline"/>
              </w:rPr>
            </w:pPr>
            <w:r>
              <w:rPr>
                <w:rFonts w:hint="default" w:ascii="Arial" w:hAnsi="Arial" w:eastAsia="宋体" w:cs="Arial"/>
                <w:i w:val="0"/>
                <w:iCs w:val="0"/>
                <w:caps w:val="0"/>
                <w:color w:val="auto"/>
                <w:spacing w:val="0"/>
                <w:kern w:val="0"/>
                <w:sz w:val="21"/>
                <w:szCs w:val="21"/>
                <w:vertAlign w:val="baseline"/>
                <w:lang w:val="en-US" w:eastAsia="zh-CN" w:bidi="ar"/>
              </w:rPr>
              <w:t>储运条件：储存于阴凉、通风的库房，远离火种、热源。库温不宜超过37℃，保持容器密闭，应与氧化剂、酸类、碱类分开存放，切忌混储。采用防爆型照明、通风设施。禁止使用易产生火花的机械设备和工具。储区应备有泄漏应急处理设备和合适的收容材料。</w:t>
            </w:r>
          </w:p>
        </w:tc>
      </w:tr>
    </w:tbl>
    <w:p w14:paraId="5ACEA46D">
      <w:pPr>
        <w:rPr>
          <w:color w:val="auto"/>
        </w:rPr>
      </w:pPr>
    </w:p>
    <w:p w14:paraId="654950C7">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21" w:name="_Toc22586"/>
      <w:bookmarkStart w:id="522" w:name="_Toc14430"/>
      <w:r>
        <w:rPr>
          <w:rFonts w:hint="default" w:ascii="Times New Roman" w:hAnsi="Times New Roman" w:eastAsia="宋体" w:cs="Times New Roman"/>
          <w:b/>
          <w:bCs/>
          <w:color w:val="auto"/>
          <w:kern w:val="0"/>
          <w:sz w:val="28"/>
          <w:szCs w:val="28"/>
          <w:lang w:val="en-US" w:eastAsia="zh-CN" w:bidi="ar"/>
        </w:rPr>
        <w:t>5.2生产系统危险性识别</w:t>
      </w:r>
      <w:bookmarkEnd w:id="514"/>
      <w:bookmarkEnd w:id="515"/>
      <w:bookmarkEnd w:id="516"/>
      <w:bookmarkEnd w:id="517"/>
      <w:bookmarkEnd w:id="521"/>
      <w:bookmarkEnd w:id="522"/>
    </w:p>
    <w:p w14:paraId="3F1205F9">
      <w:pPr>
        <w:adjustRightInd/>
        <w:snapToGrid/>
        <w:spacing w:line="360" w:lineRule="auto"/>
        <w:ind w:firstLine="468" w:firstLineChars="200"/>
        <w:jc w:val="left"/>
        <w:textAlignment w:val="auto"/>
        <w:rPr>
          <w:rFonts w:hint="default" w:ascii="Times New Roman" w:hAnsi="Times New Roman" w:cs="Times New Roman"/>
          <w:snapToGrid/>
          <w:color w:val="auto"/>
          <w:spacing w:val="-3"/>
          <w:sz w:val="24"/>
          <w:szCs w:val="24"/>
          <w:lang w:eastAsia="zh-CN"/>
        </w:rPr>
      </w:pPr>
      <w:r>
        <w:rPr>
          <w:rFonts w:hint="default" w:ascii="Times New Roman" w:hAnsi="Times New Roman" w:cs="Times New Roman"/>
          <w:snapToGrid/>
          <w:color w:val="auto"/>
          <w:spacing w:val="-3"/>
          <w:sz w:val="24"/>
          <w:szCs w:val="24"/>
          <w:lang w:val="en-US" w:eastAsia="zh-CN"/>
        </w:rPr>
        <w:t>根据生产</w:t>
      </w:r>
      <w:r>
        <w:rPr>
          <w:rFonts w:hint="default" w:ascii="Times New Roman" w:hAnsi="Times New Roman" w:cs="Times New Roman"/>
          <w:snapToGrid/>
          <w:color w:val="auto"/>
          <w:spacing w:val="-3"/>
          <w:sz w:val="24"/>
          <w:szCs w:val="24"/>
        </w:rPr>
        <w:t>运行过程中的各生产</w:t>
      </w:r>
      <w:r>
        <w:rPr>
          <w:rFonts w:hint="default" w:ascii="Times New Roman" w:hAnsi="Times New Roman" w:cs="Times New Roman"/>
          <w:snapToGrid/>
          <w:color w:val="auto"/>
          <w:spacing w:val="-3"/>
          <w:sz w:val="24"/>
          <w:szCs w:val="24"/>
          <w:lang w:val="en-US" w:eastAsia="zh-CN"/>
        </w:rPr>
        <w:t>系统的</w:t>
      </w:r>
      <w:r>
        <w:rPr>
          <w:rFonts w:hint="default" w:ascii="Times New Roman" w:hAnsi="Times New Roman" w:cs="Times New Roman"/>
          <w:snapToGrid/>
          <w:color w:val="auto"/>
          <w:spacing w:val="-3"/>
          <w:sz w:val="24"/>
          <w:szCs w:val="24"/>
        </w:rPr>
        <w:t>物料种类及数量、工艺等因素和物料危险性的分析，识别出</w:t>
      </w:r>
      <w:r>
        <w:rPr>
          <w:rFonts w:hint="default" w:ascii="Times New Roman" w:hAnsi="Times New Roman" w:cs="Times New Roman"/>
          <w:snapToGrid/>
          <w:color w:val="auto"/>
          <w:spacing w:val="-3"/>
          <w:sz w:val="24"/>
          <w:szCs w:val="24"/>
          <w:lang w:val="en-US" w:eastAsia="zh-CN"/>
        </w:rPr>
        <w:t>生产系统</w:t>
      </w:r>
      <w:r>
        <w:rPr>
          <w:rFonts w:hint="default" w:ascii="Times New Roman" w:hAnsi="Times New Roman" w:cs="Times New Roman"/>
          <w:snapToGrid/>
          <w:color w:val="auto"/>
          <w:spacing w:val="-3"/>
          <w:sz w:val="24"/>
          <w:szCs w:val="24"/>
        </w:rPr>
        <w:t>的危险性</w:t>
      </w:r>
      <w:r>
        <w:rPr>
          <w:rFonts w:hint="default" w:ascii="Times New Roman" w:hAnsi="Times New Roman" w:cs="Times New Roman"/>
          <w:snapToGrid/>
          <w:color w:val="auto"/>
          <w:spacing w:val="-3"/>
          <w:sz w:val="24"/>
          <w:szCs w:val="24"/>
          <w:lang w:eastAsia="zh-CN"/>
        </w:rPr>
        <w:t>。</w:t>
      </w:r>
    </w:p>
    <w:p w14:paraId="5A34E342">
      <w:pPr>
        <w:adjustRightInd/>
        <w:snapToGrid/>
        <w:spacing w:line="360" w:lineRule="auto"/>
        <w:ind w:firstLine="468" w:firstLineChars="200"/>
        <w:jc w:val="left"/>
        <w:textAlignment w:val="auto"/>
        <w:rPr>
          <w:rFonts w:hint="default" w:ascii="Times New Roman" w:hAnsi="Times New Roman" w:cs="Times New Roman"/>
          <w:snapToGrid/>
          <w:color w:val="auto"/>
          <w:spacing w:val="-3"/>
          <w:sz w:val="24"/>
          <w:szCs w:val="24"/>
        </w:rPr>
      </w:pPr>
      <w:r>
        <w:rPr>
          <w:rFonts w:hint="default" w:ascii="Times New Roman" w:hAnsi="Times New Roman" w:cs="Times New Roman"/>
          <w:snapToGrid/>
          <w:color w:val="auto"/>
          <w:spacing w:val="-3"/>
          <w:sz w:val="24"/>
          <w:szCs w:val="24"/>
        </w:rPr>
        <w:t>本项目</w:t>
      </w:r>
      <w:r>
        <w:rPr>
          <w:rFonts w:hint="default" w:ascii="Times New Roman" w:hAnsi="Times New Roman" w:cs="Times New Roman"/>
          <w:snapToGrid/>
          <w:color w:val="auto"/>
          <w:spacing w:val="-3"/>
          <w:sz w:val="24"/>
          <w:szCs w:val="24"/>
          <w:lang w:val="en-US" w:eastAsia="zh-CN"/>
        </w:rPr>
        <w:t>主要涉及风险物质的生产系统包括水油相制备工房、乳化炸药震源药柱生产工房、成品中转站台、炸药总库、硝酸铵罐区、危险废物贮存点</w:t>
      </w:r>
      <w:r>
        <w:rPr>
          <w:rFonts w:hint="default" w:ascii="Times New Roman" w:hAnsi="Times New Roman" w:cs="Times New Roman"/>
          <w:snapToGrid/>
          <w:color w:val="auto"/>
          <w:spacing w:val="-3"/>
          <w:sz w:val="24"/>
          <w:szCs w:val="24"/>
          <w:lang w:eastAsia="zh-CN"/>
        </w:rPr>
        <w:t>。</w:t>
      </w:r>
      <w:r>
        <w:rPr>
          <w:rFonts w:hint="default" w:ascii="Times New Roman" w:hAnsi="Times New Roman" w:cs="Times New Roman"/>
          <w:snapToGrid/>
          <w:color w:val="auto"/>
          <w:spacing w:val="-3"/>
          <w:sz w:val="24"/>
          <w:szCs w:val="24"/>
          <w:lang w:val="en-US" w:eastAsia="zh-CN"/>
        </w:rPr>
        <w:t>主要影响途径如下</w:t>
      </w:r>
      <w:r>
        <w:rPr>
          <w:rFonts w:hint="default" w:ascii="Times New Roman" w:hAnsi="Times New Roman" w:cs="Times New Roman"/>
          <w:snapToGrid/>
          <w:color w:val="auto"/>
          <w:spacing w:val="-3"/>
          <w:sz w:val="24"/>
          <w:szCs w:val="24"/>
        </w:rPr>
        <w:t>：</w:t>
      </w:r>
    </w:p>
    <w:p w14:paraId="4AE462F8">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表5-</w:t>
      </w:r>
      <w:r>
        <w:rPr>
          <w:rFonts w:hint="eastAsia" w:cs="Times New Roman"/>
          <w:b/>
          <w:bCs/>
          <w:color w:val="auto"/>
          <w:kern w:val="0"/>
          <w:sz w:val="21"/>
          <w:szCs w:val="21"/>
          <w:lang w:val="en-US" w:eastAsia="zh-CN" w:bidi="ar"/>
        </w:rPr>
        <w:t>6</w:t>
      </w:r>
      <w:r>
        <w:rPr>
          <w:rFonts w:hint="default" w:ascii="Times New Roman" w:hAnsi="Times New Roman" w:eastAsia="宋体" w:cs="Times New Roman"/>
          <w:b/>
          <w:bCs/>
          <w:color w:val="auto"/>
          <w:kern w:val="0"/>
          <w:sz w:val="21"/>
          <w:szCs w:val="21"/>
          <w:lang w:val="en-US" w:eastAsia="zh-CN" w:bidi="ar"/>
        </w:rPr>
        <w:t xml:space="preserve">    乳化炸药震源药柱生产设施燃烧爆炸危险因素分析</w:t>
      </w:r>
    </w:p>
    <w:tbl>
      <w:tblPr>
        <w:tblStyle w:val="85"/>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67"/>
        <w:gridCol w:w="1152"/>
        <w:gridCol w:w="1862"/>
        <w:gridCol w:w="4169"/>
        <w:gridCol w:w="658"/>
      </w:tblGrid>
      <w:tr w14:paraId="283385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5" w:hRule="atLeast"/>
          <w:jc w:val="center"/>
        </w:trPr>
        <w:tc>
          <w:tcPr>
            <w:tcW w:w="281" w:type="pct"/>
            <w:noWrap w:val="0"/>
            <w:vAlign w:val="center"/>
          </w:tcPr>
          <w:p w14:paraId="4840CB8B">
            <w:pPr>
              <w:autoSpaceDE w:val="0"/>
              <w:autoSpaceDN w:val="0"/>
              <w:adjustRightInd/>
              <w:snapToGrid/>
              <w:spacing w:line="240" w:lineRule="auto"/>
              <w:ind w:firstLine="0" w:firstLineChars="0"/>
              <w:jc w:val="center"/>
              <w:textAlignment w:val="auto"/>
              <w:rPr>
                <w:rFonts w:hint="default" w:ascii="Times New Roman" w:hAnsi="Times New Roman" w:cs="Times New Roman"/>
                <w:b/>
                <w:bCs/>
                <w:snapToGrid/>
                <w:color w:val="auto"/>
                <w:spacing w:val="-3"/>
                <w:sz w:val="21"/>
                <w:szCs w:val="21"/>
                <w:lang w:val="en-US" w:eastAsia="zh-CN"/>
              </w:rPr>
            </w:pPr>
            <w:r>
              <w:rPr>
                <w:rFonts w:hint="default" w:ascii="Times New Roman" w:hAnsi="Times New Roman" w:cs="Times New Roman"/>
                <w:b/>
                <w:bCs/>
                <w:snapToGrid/>
                <w:color w:val="auto"/>
                <w:spacing w:val="-3"/>
                <w:sz w:val="21"/>
                <w:szCs w:val="21"/>
                <w:lang w:val="en-US" w:eastAsia="zh-CN"/>
              </w:rPr>
              <w:t>序 号</w:t>
            </w:r>
          </w:p>
        </w:tc>
        <w:tc>
          <w:tcPr>
            <w:tcW w:w="693" w:type="pct"/>
            <w:noWrap w:val="0"/>
            <w:vAlign w:val="center"/>
          </w:tcPr>
          <w:p w14:paraId="6F1B4C0A">
            <w:pPr>
              <w:autoSpaceDE w:val="0"/>
              <w:autoSpaceDN w:val="0"/>
              <w:adjustRightInd/>
              <w:snapToGrid/>
              <w:spacing w:line="240" w:lineRule="auto"/>
              <w:ind w:firstLine="0" w:firstLineChars="0"/>
              <w:jc w:val="center"/>
              <w:textAlignment w:val="auto"/>
              <w:rPr>
                <w:rFonts w:hint="default" w:ascii="Times New Roman" w:hAnsi="Times New Roman" w:cs="Times New Roman"/>
                <w:b/>
                <w:bCs/>
                <w:snapToGrid/>
                <w:color w:val="auto"/>
                <w:spacing w:val="-3"/>
                <w:sz w:val="21"/>
                <w:szCs w:val="21"/>
                <w:lang w:val="en-US" w:eastAsia="zh-CN"/>
              </w:rPr>
            </w:pPr>
            <w:r>
              <w:rPr>
                <w:rFonts w:hint="default" w:ascii="Times New Roman" w:hAnsi="Times New Roman" w:cs="Times New Roman"/>
                <w:b/>
                <w:bCs/>
                <w:snapToGrid/>
                <w:color w:val="auto"/>
                <w:spacing w:val="-3"/>
                <w:sz w:val="21"/>
                <w:szCs w:val="21"/>
                <w:lang w:val="en-US" w:eastAsia="zh-CN"/>
              </w:rPr>
              <w:t>工序名称</w:t>
            </w:r>
          </w:p>
        </w:tc>
        <w:tc>
          <w:tcPr>
            <w:tcW w:w="1120" w:type="pct"/>
            <w:noWrap w:val="0"/>
            <w:vAlign w:val="center"/>
          </w:tcPr>
          <w:p w14:paraId="256E4975">
            <w:pPr>
              <w:autoSpaceDE w:val="0"/>
              <w:autoSpaceDN w:val="0"/>
              <w:adjustRightInd/>
              <w:snapToGrid/>
              <w:spacing w:line="240" w:lineRule="auto"/>
              <w:ind w:firstLine="0" w:firstLineChars="0"/>
              <w:jc w:val="center"/>
              <w:textAlignment w:val="auto"/>
              <w:rPr>
                <w:rFonts w:hint="default" w:ascii="Times New Roman" w:hAnsi="Times New Roman" w:cs="Times New Roman"/>
                <w:b/>
                <w:bCs/>
                <w:snapToGrid/>
                <w:color w:val="auto"/>
                <w:spacing w:val="-3"/>
                <w:sz w:val="21"/>
                <w:szCs w:val="21"/>
                <w:lang w:val="en-US" w:eastAsia="zh-CN"/>
              </w:rPr>
            </w:pPr>
            <w:r>
              <w:rPr>
                <w:rFonts w:hint="default" w:ascii="Times New Roman" w:hAnsi="Times New Roman" w:cs="Times New Roman"/>
                <w:b/>
                <w:bCs/>
                <w:snapToGrid/>
                <w:color w:val="auto"/>
                <w:spacing w:val="-3"/>
                <w:sz w:val="21"/>
                <w:szCs w:val="21"/>
                <w:lang w:val="en-US" w:eastAsia="zh-CN"/>
              </w:rPr>
              <w:t>作业内容</w:t>
            </w:r>
          </w:p>
        </w:tc>
        <w:tc>
          <w:tcPr>
            <w:tcW w:w="2508" w:type="pct"/>
            <w:noWrap w:val="0"/>
            <w:vAlign w:val="center"/>
          </w:tcPr>
          <w:p w14:paraId="09BA2849">
            <w:pPr>
              <w:autoSpaceDE w:val="0"/>
              <w:autoSpaceDN w:val="0"/>
              <w:adjustRightInd/>
              <w:snapToGrid/>
              <w:spacing w:line="240" w:lineRule="auto"/>
              <w:ind w:firstLine="0" w:firstLineChars="0"/>
              <w:jc w:val="center"/>
              <w:textAlignment w:val="auto"/>
              <w:rPr>
                <w:rFonts w:hint="default" w:ascii="Times New Roman" w:hAnsi="Times New Roman" w:cs="Times New Roman"/>
                <w:b/>
                <w:bCs/>
                <w:snapToGrid/>
                <w:color w:val="auto"/>
                <w:spacing w:val="-3"/>
                <w:sz w:val="21"/>
                <w:szCs w:val="21"/>
                <w:lang w:val="en-US" w:eastAsia="zh-CN"/>
              </w:rPr>
            </w:pPr>
            <w:r>
              <w:rPr>
                <w:rFonts w:hint="default" w:ascii="Times New Roman" w:hAnsi="Times New Roman" w:cs="Times New Roman"/>
                <w:b/>
                <w:bCs/>
                <w:snapToGrid/>
                <w:color w:val="auto"/>
                <w:spacing w:val="-3"/>
                <w:sz w:val="21"/>
                <w:szCs w:val="21"/>
                <w:lang w:val="en-US" w:eastAsia="zh-CN"/>
              </w:rPr>
              <w:t>存在的危险因素</w:t>
            </w:r>
          </w:p>
        </w:tc>
        <w:tc>
          <w:tcPr>
            <w:tcW w:w="396" w:type="pct"/>
            <w:noWrap w:val="0"/>
            <w:vAlign w:val="center"/>
          </w:tcPr>
          <w:p w14:paraId="24FE016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b/>
                <w:bCs/>
                <w:snapToGrid/>
                <w:color w:val="auto"/>
                <w:spacing w:val="-3"/>
                <w:sz w:val="21"/>
                <w:szCs w:val="21"/>
                <w:lang w:val="en-US" w:eastAsia="zh-CN"/>
              </w:rPr>
            </w:pPr>
            <w:r>
              <w:rPr>
                <w:rFonts w:hint="default" w:ascii="Times New Roman" w:hAnsi="Times New Roman" w:cs="Times New Roman"/>
                <w:b/>
                <w:bCs/>
                <w:snapToGrid/>
                <w:color w:val="auto"/>
                <w:spacing w:val="-3"/>
                <w:sz w:val="21"/>
                <w:szCs w:val="21"/>
                <w:lang w:val="en-US" w:eastAsia="zh-CN"/>
              </w:rPr>
              <w:t>潜在危险性</w:t>
            </w:r>
          </w:p>
        </w:tc>
      </w:tr>
      <w:tr w14:paraId="274C6F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4" w:hRule="atLeast"/>
          <w:jc w:val="center"/>
        </w:trPr>
        <w:tc>
          <w:tcPr>
            <w:tcW w:w="281" w:type="pct"/>
            <w:noWrap w:val="0"/>
            <w:vAlign w:val="center"/>
          </w:tcPr>
          <w:p w14:paraId="382BC286">
            <w:pPr>
              <w:autoSpaceDE w:val="0"/>
              <w:autoSpaceDN w:val="0"/>
              <w:spacing w:before="57" w:line="195" w:lineRule="auto"/>
              <w:ind w:left="132"/>
              <w:jc w:val="both"/>
              <w:rPr>
                <w:rFonts w:hint="default" w:ascii="Times New Roman" w:hAnsi="Times New Roman" w:eastAsia="Times New Roman" w:cs="Times New Roman"/>
                <w:color w:val="auto"/>
                <w:sz w:val="21"/>
                <w:szCs w:val="21"/>
              </w:rPr>
            </w:pPr>
            <w:bookmarkStart w:id="523" w:name="OLE_LINK118" w:colFirst="2" w:colLast="3"/>
            <w:bookmarkStart w:id="524" w:name="OLE_LINK119" w:colFirst="3" w:colLast="4"/>
            <w:r>
              <w:rPr>
                <w:rFonts w:hint="default" w:ascii="Times New Roman" w:hAnsi="Times New Roman" w:eastAsia="Times New Roman" w:cs="Times New Roman"/>
                <w:color w:val="auto"/>
                <w:sz w:val="21"/>
                <w:szCs w:val="21"/>
              </w:rPr>
              <w:t>1</w:t>
            </w:r>
          </w:p>
        </w:tc>
        <w:tc>
          <w:tcPr>
            <w:tcW w:w="693" w:type="pct"/>
            <w:noWrap w:val="0"/>
            <w:vAlign w:val="center"/>
          </w:tcPr>
          <w:p w14:paraId="3D239417">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硝酸铵</w:t>
            </w:r>
            <w:r>
              <w:rPr>
                <w:rFonts w:hint="default" w:ascii="Times New Roman" w:hAnsi="Times New Roman" w:eastAsia="宋体" w:cs="Times New Roman"/>
                <w:color w:val="auto"/>
                <w:spacing w:val="6"/>
                <w:sz w:val="21"/>
                <w:szCs w:val="21"/>
              </w:rPr>
              <w:t>溶</w:t>
            </w:r>
            <w:r>
              <w:rPr>
                <w:rFonts w:hint="default" w:ascii="Times New Roman" w:hAnsi="Times New Roman" w:eastAsia="宋体" w:cs="Times New Roman"/>
                <w:color w:val="auto"/>
                <w:spacing w:val="7"/>
                <w:sz w:val="21"/>
                <w:szCs w:val="21"/>
              </w:rPr>
              <w:t>液</w:t>
            </w:r>
            <w:r>
              <w:rPr>
                <w:rFonts w:hint="default" w:ascii="Times New Roman" w:hAnsi="Times New Roman" w:eastAsia="宋体" w:cs="Times New Roman"/>
                <w:color w:val="auto"/>
                <w:spacing w:val="6"/>
                <w:sz w:val="21"/>
                <w:szCs w:val="21"/>
              </w:rPr>
              <w:t>卸料</w:t>
            </w:r>
          </w:p>
        </w:tc>
        <w:tc>
          <w:tcPr>
            <w:tcW w:w="1120" w:type="pct"/>
            <w:noWrap w:val="0"/>
            <w:vAlign w:val="center"/>
          </w:tcPr>
          <w:p w14:paraId="3CA4A242">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1"/>
                <w:sz w:val="21"/>
                <w:szCs w:val="21"/>
                <w:highlight w:val="none"/>
              </w:rPr>
              <w:t>将</w:t>
            </w:r>
            <w:r>
              <w:rPr>
                <w:rFonts w:hint="default" w:ascii="Times New Roman" w:hAnsi="Times New Roman" w:cs="Times New Roman"/>
                <w:color w:val="auto"/>
                <w:spacing w:val="11"/>
                <w:sz w:val="21"/>
                <w:szCs w:val="21"/>
                <w:highlight w:val="none"/>
                <w:lang w:val="en-US" w:eastAsia="zh-CN"/>
              </w:rPr>
              <w:t>运输槽车中的硝酸铵溶液卸料至硝酸铵储罐</w:t>
            </w:r>
            <w:r>
              <w:rPr>
                <w:rFonts w:hint="default" w:ascii="Times New Roman" w:hAnsi="Times New Roman" w:eastAsia="宋体" w:cs="Times New Roman"/>
                <w:color w:val="auto"/>
                <w:spacing w:val="5"/>
                <w:sz w:val="21"/>
                <w:szCs w:val="21"/>
                <w:highlight w:val="none"/>
              </w:rPr>
              <w:t>。</w:t>
            </w:r>
          </w:p>
        </w:tc>
        <w:tc>
          <w:tcPr>
            <w:tcW w:w="2508" w:type="pct"/>
            <w:noWrap w:val="0"/>
            <w:vAlign w:val="center"/>
          </w:tcPr>
          <w:p w14:paraId="7D9F6034">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（1）</w:t>
            </w:r>
            <w:r>
              <w:rPr>
                <w:rFonts w:hint="default" w:ascii="Times New Roman" w:hAnsi="Times New Roman" w:eastAsia="宋体" w:cs="Times New Roman"/>
                <w:color w:val="auto"/>
                <w:spacing w:val="15"/>
                <w:sz w:val="21"/>
                <w:szCs w:val="21"/>
              </w:rPr>
              <w:t>管路、阀门、密封件泄漏；</w:t>
            </w:r>
          </w:p>
          <w:p w14:paraId="4E97285E">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（2）</w:t>
            </w:r>
            <w:r>
              <w:rPr>
                <w:rFonts w:hint="default" w:ascii="Times New Roman" w:hAnsi="Times New Roman" w:eastAsia="宋体" w:cs="Times New Roman"/>
                <w:color w:val="auto"/>
                <w:spacing w:val="15"/>
                <w:sz w:val="21"/>
                <w:szCs w:val="21"/>
              </w:rPr>
              <w:t>泄漏的硝酸铵水溶液遇明火；</w:t>
            </w:r>
          </w:p>
          <w:p w14:paraId="43B78F2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（3）</w:t>
            </w:r>
            <w:r>
              <w:rPr>
                <w:rFonts w:hint="default" w:ascii="Times New Roman" w:hAnsi="Times New Roman" w:eastAsia="宋体" w:cs="Times New Roman"/>
                <w:color w:val="auto"/>
                <w:spacing w:val="15"/>
                <w:sz w:val="21"/>
                <w:szCs w:val="21"/>
                <w:lang w:val="en-US" w:eastAsia="zh-CN"/>
              </w:rPr>
              <w:t>运输的槽车、</w:t>
            </w:r>
            <w:r>
              <w:rPr>
                <w:rFonts w:hint="default" w:ascii="Times New Roman" w:hAnsi="Times New Roman" w:eastAsia="宋体" w:cs="Times New Roman"/>
                <w:color w:val="auto"/>
                <w:spacing w:val="15"/>
                <w:sz w:val="21"/>
                <w:szCs w:val="21"/>
              </w:rPr>
              <w:t>管路未接地，静电聚积放电；</w:t>
            </w:r>
          </w:p>
          <w:p w14:paraId="7B7A162C">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（4）</w:t>
            </w:r>
            <w:r>
              <w:rPr>
                <w:rFonts w:hint="default" w:ascii="Times New Roman" w:hAnsi="Times New Roman" w:eastAsia="宋体" w:cs="Times New Roman"/>
                <w:color w:val="auto"/>
                <w:spacing w:val="15"/>
                <w:sz w:val="21"/>
                <w:szCs w:val="21"/>
              </w:rPr>
              <w:t>卸料管结晶的硝酸铵使用发火工具处理；</w:t>
            </w:r>
          </w:p>
          <w:p w14:paraId="0E41CBB8">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（5）</w:t>
            </w:r>
            <w:r>
              <w:rPr>
                <w:rFonts w:hint="default" w:ascii="Times New Roman" w:hAnsi="Times New Roman" w:eastAsia="宋体" w:cs="Times New Roman"/>
                <w:color w:val="auto"/>
                <w:spacing w:val="15"/>
                <w:sz w:val="21"/>
                <w:szCs w:val="21"/>
              </w:rPr>
              <w:t>与运输车连接的快速接头未固定牢靠，硝酸铵水溶液泄漏；</w:t>
            </w:r>
          </w:p>
          <w:p w14:paraId="0B7B0BD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（6）</w:t>
            </w:r>
            <w:r>
              <w:rPr>
                <w:rFonts w:hint="default" w:ascii="Times New Roman" w:hAnsi="Times New Roman" w:eastAsia="宋体" w:cs="Times New Roman"/>
                <w:color w:val="auto"/>
                <w:spacing w:val="15"/>
                <w:sz w:val="21"/>
                <w:szCs w:val="21"/>
              </w:rPr>
              <w:t>卸料时运输车发动机未熄火；</w:t>
            </w:r>
          </w:p>
          <w:p w14:paraId="35414857">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（7）</w:t>
            </w:r>
            <w:r>
              <w:rPr>
                <w:rFonts w:hint="default" w:ascii="Times New Roman" w:hAnsi="Times New Roman" w:eastAsia="宋体" w:cs="Times New Roman"/>
                <w:color w:val="auto"/>
                <w:spacing w:val="15"/>
                <w:sz w:val="21"/>
                <w:szCs w:val="21"/>
              </w:rPr>
              <w:t>车辆未停稳或卸料时车辆移动、溜车，硝酸铵水溶液泄漏；</w:t>
            </w:r>
          </w:p>
        </w:tc>
        <w:tc>
          <w:tcPr>
            <w:tcW w:w="396" w:type="pct"/>
            <w:noWrap w:val="0"/>
            <w:vAlign w:val="center"/>
          </w:tcPr>
          <w:p w14:paraId="2969D1E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火</w:t>
            </w:r>
            <w:r>
              <w:rPr>
                <w:rFonts w:hint="default" w:ascii="Times New Roman" w:hAnsi="Times New Roman" w:eastAsia="宋体" w:cs="Times New Roman"/>
                <w:color w:val="auto"/>
                <w:spacing w:val="3"/>
                <w:position w:val="7"/>
                <w:sz w:val="21"/>
                <w:szCs w:val="21"/>
              </w:rPr>
              <w:t>灾</w:t>
            </w:r>
          </w:p>
          <w:p w14:paraId="57BD64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bookmarkEnd w:id="523"/>
      <w:bookmarkEnd w:id="524"/>
      <w:tr w14:paraId="7E7D44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6" w:hRule="atLeast"/>
          <w:jc w:val="center"/>
        </w:trPr>
        <w:tc>
          <w:tcPr>
            <w:tcW w:w="281" w:type="pct"/>
            <w:noWrap w:val="0"/>
            <w:vAlign w:val="center"/>
          </w:tcPr>
          <w:p w14:paraId="70F75007">
            <w:pPr>
              <w:autoSpaceDE w:val="0"/>
              <w:autoSpaceDN w:val="0"/>
              <w:spacing w:before="57" w:line="195" w:lineRule="auto"/>
              <w:ind w:left="116"/>
              <w:jc w:val="both"/>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2</w:t>
            </w:r>
          </w:p>
        </w:tc>
        <w:tc>
          <w:tcPr>
            <w:tcW w:w="693" w:type="pct"/>
            <w:noWrap w:val="0"/>
            <w:vAlign w:val="center"/>
          </w:tcPr>
          <w:p w14:paraId="29158B49">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水</w:t>
            </w:r>
            <w:r>
              <w:rPr>
                <w:rFonts w:hint="default" w:ascii="Times New Roman" w:hAnsi="Times New Roman" w:eastAsia="宋体" w:cs="Times New Roman"/>
                <w:color w:val="auto"/>
                <w:spacing w:val="6"/>
                <w:sz w:val="21"/>
                <w:szCs w:val="21"/>
              </w:rPr>
              <w:t>相制备</w:t>
            </w:r>
          </w:p>
        </w:tc>
        <w:tc>
          <w:tcPr>
            <w:tcW w:w="1120" w:type="pct"/>
            <w:noWrap w:val="0"/>
            <w:vAlign w:val="center"/>
          </w:tcPr>
          <w:p w14:paraId="5BFBF76F">
            <w:pPr>
              <w:tabs>
                <w:tab w:val="left" w:pos="221"/>
              </w:tabs>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将硝酸铵水溶</w:t>
            </w:r>
            <w:r>
              <w:rPr>
                <w:rFonts w:hint="default" w:ascii="Times New Roman" w:hAnsi="Times New Roman" w:eastAsia="宋体" w:cs="Times New Roman"/>
                <w:color w:val="auto"/>
                <w:spacing w:val="8"/>
                <w:sz w:val="21"/>
                <w:szCs w:val="21"/>
              </w:rPr>
              <w:t>液</w:t>
            </w:r>
            <w:r>
              <w:rPr>
                <w:rFonts w:hint="default" w:ascii="Times New Roman" w:hAnsi="Times New Roman" w:eastAsia="宋体" w:cs="Times New Roman"/>
                <w:color w:val="auto"/>
                <w:spacing w:val="5"/>
                <w:sz w:val="21"/>
                <w:szCs w:val="21"/>
              </w:rPr>
              <w:t>、</w:t>
            </w:r>
            <w:r>
              <w:rPr>
                <w:rFonts w:hint="default" w:ascii="Times New Roman" w:hAnsi="Times New Roman" w:eastAsia="宋体" w:cs="Times New Roman"/>
                <w:color w:val="auto"/>
                <w:spacing w:val="12"/>
                <w:sz w:val="21"/>
                <w:szCs w:val="21"/>
              </w:rPr>
              <w:t>硝</w:t>
            </w:r>
            <w:r>
              <w:rPr>
                <w:rFonts w:hint="default" w:ascii="Times New Roman" w:hAnsi="Times New Roman" w:eastAsia="宋体" w:cs="Times New Roman"/>
                <w:color w:val="auto"/>
                <w:spacing w:val="8"/>
                <w:sz w:val="21"/>
                <w:szCs w:val="21"/>
              </w:rPr>
              <w:t>酸钠和水在水相</w:t>
            </w:r>
            <w:r>
              <w:rPr>
                <w:rFonts w:hint="default" w:ascii="Times New Roman" w:hAnsi="Times New Roman" w:eastAsia="宋体" w:cs="Times New Roman"/>
                <w:color w:val="auto"/>
                <w:spacing w:val="12"/>
                <w:sz w:val="21"/>
                <w:szCs w:val="21"/>
              </w:rPr>
              <w:t>制</w:t>
            </w:r>
            <w:r>
              <w:rPr>
                <w:rFonts w:hint="default" w:ascii="Times New Roman" w:hAnsi="Times New Roman" w:eastAsia="宋体" w:cs="Times New Roman"/>
                <w:color w:val="auto"/>
                <w:spacing w:val="8"/>
                <w:sz w:val="21"/>
                <w:szCs w:val="21"/>
              </w:rPr>
              <w:t>备罐加热、搅拌</w:t>
            </w:r>
            <w:r>
              <w:rPr>
                <w:rFonts w:hint="default" w:ascii="Times New Roman" w:hAnsi="Times New Roman" w:eastAsia="宋体" w:cs="Times New Roman"/>
                <w:color w:val="auto"/>
                <w:spacing w:val="3"/>
                <w:sz w:val="21"/>
                <w:szCs w:val="21"/>
              </w:rPr>
              <w:t>溶解</w:t>
            </w:r>
            <w:r>
              <w:rPr>
                <w:rFonts w:hint="default" w:ascii="Times New Roman" w:hAnsi="Times New Roman" w:eastAsia="宋体" w:cs="Times New Roman"/>
                <w:color w:val="auto"/>
                <w:spacing w:val="2"/>
                <w:sz w:val="21"/>
                <w:szCs w:val="21"/>
              </w:rPr>
              <w:t>。</w:t>
            </w:r>
          </w:p>
        </w:tc>
        <w:tc>
          <w:tcPr>
            <w:tcW w:w="2508" w:type="pct"/>
            <w:noWrap w:val="0"/>
            <w:vAlign w:val="center"/>
          </w:tcPr>
          <w:p w14:paraId="3A62E588">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（1）</w:t>
            </w:r>
            <w:r>
              <w:rPr>
                <w:rFonts w:hint="default" w:ascii="Times New Roman" w:hAnsi="Times New Roman" w:eastAsia="宋体" w:cs="Times New Roman"/>
                <w:color w:val="auto"/>
                <w:spacing w:val="15"/>
                <w:sz w:val="21"/>
                <w:szCs w:val="21"/>
              </w:rPr>
              <w:t>水相物质溶解时混有可燃性物质；</w:t>
            </w:r>
          </w:p>
          <w:p w14:paraId="0686000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（2）</w:t>
            </w:r>
            <w:r>
              <w:rPr>
                <w:rFonts w:hint="default" w:ascii="Times New Roman" w:hAnsi="Times New Roman" w:eastAsia="宋体" w:cs="Times New Roman"/>
                <w:color w:val="auto"/>
                <w:spacing w:val="15"/>
                <w:sz w:val="21"/>
                <w:szCs w:val="21"/>
              </w:rPr>
              <w:t>没有温控装置或温控失灵，造成溶液过度加温，水相溶解温度过高；</w:t>
            </w:r>
          </w:p>
          <w:p w14:paraId="4A9832ED">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（3）</w:t>
            </w:r>
            <w:r>
              <w:rPr>
                <w:rFonts w:hint="default" w:ascii="Times New Roman" w:hAnsi="Times New Roman" w:eastAsia="宋体" w:cs="Times New Roman"/>
                <w:color w:val="auto"/>
                <w:spacing w:val="15"/>
                <w:sz w:val="21"/>
                <w:szCs w:val="21"/>
              </w:rPr>
              <w:t>外界强冲击波、爆轰波的波及；</w:t>
            </w:r>
          </w:p>
          <w:p w14:paraId="1CDC8686">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（4）</w:t>
            </w:r>
            <w:r>
              <w:rPr>
                <w:rFonts w:hint="default" w:ascii="Times New Roman" w:hAnsi="Times New Roman" w:eastAsia="宋体" w:cs="Times New Roman"/>
                <w:color w:val="auto"/>
                <w:spacing w:val="15"/>
                <w:sz w:val="21"/>
                <w:szCs w:val="21"/>
              </w:rPr>
              <w:t>水相泵机械故障，严重撞击、摩擦；</w:t>
            </w:r>
          </w:p>
          <w:p w14:paraId="24F21B8E">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（5）</w:t>
            </w:r>
            <w:r>
              <w:rPr>
                <w:rFonts w:hint="default" w:ascii="Times New Roman" w:hAnsi="Times New Roman" w:eastAsia="宋体" w:cs="Times New Roman"/>
                <w:color w:val="auto"/>
                <w:spacing w:val="15"/>
                <w:sz w:val="21"/>
                <w:szCs w:val="21"/>
              </w:rPr>
              <w:t>水相罐超时溢出，遇可燃物质。</w:t>
            </w:r>
          </w:p>
        </w:tc>
        <w:tc>
          <w:tcPr>
            <w:tcW w:w="396" w:type="pct"/>
            <w:noWrap w:val="0"/>
            <w:vAlign w:val="center"/>
          </w:tcPr>
          <w:p w14:paraId="2787DBF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火</w:t>
            </w:r>
            <w:r>
              <w:rPr>
                <w:rFonts w:hint="default" w:ascii="Times New Roman" w:hAnsi="Times New Roman" w:eastAsia="宋体" w:cs="Times New Roman"/>
                <w:color w:val="auto"/>
                <w:spacing w:val="3"/>
                <w:position w:val="7"/>
                <w:sz w:val="21"/>
                <w:szCs w:val="21"/>
              </w:rPr>
              <w:t>灾</w:t>
            </w:r>
          </w:p>
          <w:p w14:paraId="4270156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tr w14:paraId="5D6FC8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jc w:val="center"/>
        </w:trPr>
        <w:tc>
          <w:tcPr>
            <w:tcW w:w="281" w:type="pct"/>
            <w:noWrap w:val="0"/>
            <w:vAlign w:val="center"/>
          </w:tcPr>
          <w:p w14:paraId="396CA136">
            <w:pPr>
              <w:autoSpaceDE w:val="0"/>
              <w:autoSpaceDN w:val="0"/>
              <w:spacing w:line="240" w:lineRule="auto"/>
              <w:ind w:left="0" w:right="0" w:firstLine="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3</w:t>
            </w:r>
          </w:p>
        </w:tc>
        <w:tc>
          <w:tcPr>
            <w:tcW w:w="693" w:type="pct"/>
            <w:noWrap w:val="0"/>
            <w:vAlign w:val="center"/>
          </w:tcPr>
          <w:p w14:paraId="3497A51B">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2"/>
                <w:sz w:val="21"/>
                <w:szCs w:val="21"/>
              </w:rPr>
              <w:t>制</w:t>
            </w:r>
            <w:r>
              <w:rPr>
                <w:rFonts w:hint="default" w:ascii="Times New Roman" w:hAnsi="Times New Roman" w:eastAsia="宋体" w:cs="Times New Roman"/>
                <w:color w:val="auto"/>
                <w:spacing w:val="11"/>
                <w:sz w:val="21"/>
                <w:szCs w:val="21"/>
              </w:rPr>
              <w:t>药</w:t>
            </w:r>
          </w:p>
        </w:tc>
        <w:tc>
          <w:tcPr>
            <w:tcW w:w="1120" w:type="pct"/>
            <w:noWrap w:val="0"/>
            <w:vAlign w:val="center"/>
          </w:tcPr>
          <w:p w14:paraId="49E96ACE">
            <w:pPr>
              <w:autoSpaceDE w:val="0"/>
              <w:autoSpaceDN w:val="0"/>
              <w:spacing w:line="240" w:lineRule="auto"/>
              <w:ind w:left="0" w:right="0" w:firstLine="0"/>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pacing w:val="10"/>
                <w:sz w:val="21"/>
                <w:szCs w:val="21"/>
                <w:lang w:val="en-US" w:eastAsia="zh-CN"/>
              </w:rPr>
              <w:t>水相、油相泵送</w:t>
            </w:r>
            <w:r>
              <w:rPr>
                <w:rFonts w:hint="default" w:ascii="Times New Roman" w:hAnsi="Times New Roman" w:eastAsia="宋体" w:cs="Times New Roman"/>
                <w:color w:val="auto"/>
                <w:spacing w:val="9"/>
                <w:sz w:val="21"/>
                <w:szCs w:val="21"/>
              </w:rPr>
              <w:t>至乳化器</w:t>
            </w:r>
            <w:r>
              <w:rPr>
                <w:rFonts w:hint="default" w:ascii="Times New Roman" w:hAnsi="Times New Roman" w:eastAsia="宋体" w:cs="Times New Roman"/>
                <w:color w:val="auto"/>
                <w:spacing w:val="8"/>
                <w:sz w:val="21"/>
                <w:szCs w:val="21"/>
              </w:rPr>
              <w:t>进</w:t>
            </w:r>
            <w:r>
              <w:rPr>
                <w:rFonts w:hint="default" w:ascii="Times New Roman" w:hAnsi="Times New Roman" w:eastAsia="宋体" w:cs="Times New Roman"/>
                <w:color w:val="auto"/>
                <w:spacing w:val="7"/>
                <w:sz w:val="21"/>
                <w:szCs w:val="21"/>
              </w:rPr>
              <w:t>行</w:t>
            </w:r>
            <w:r>
              <w:rPr>
                <w:rFonts w:hint="default" w:ascii="Times New Roman" w:hAnsi="Times New Roman" w:cs="Times New Roman"/>
                <w:color w:val="auto"/>
                <w:spacing w:val="5"/>
                <w:sz w:val="21"/>
                <w:szCs w:val="21"/>
                <w:lang w:val="en-US" w:eastAsia="zh-CN"/>
              </w:rPr>
              <w:t>乳化</w:t>
            </w:r>
            <w:r>
              <w:rPr>
                <w:rFonts w:hint="default" w:ascii="Times New Roman" w:hAnsi="Times New Roman" w:eastAsia="宋体" w:cs="Times New Roman"/>
                <w:color w:val="auto"/>
                <w:spacing w:val="5"/>
                <w:sz w:val="21"/>
                <w:szCs w:val="21"/>
              </w:rPr>
              <w:t>。</w:t>
            </w:r>
          </w:p>
        </w:tc>
        <w:tc>
          <w:tcPr>
            <w:tcW w:w="2508" w:type="pct"/>
            <w:noWrap w:val="0"/>
            <w:vAlign w:val="center"/>
          </w:tcPr>
          <w:p w14:paraId="12272B6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（1）</w:t>
            </w:r>
            <w:r>
              <w:rPr>
                <w:rFonts w:hint="default" w:ascii="Times New Roman" w:hAnsi="Times New Roman" w:eastAsia="宋体" w:cs="Times New Roman"/>
                <w:color w:val="auto"/>
                <w:spacing w:val="15"/>
                <w:sz w:val="21"/>
                <w:szCs w:val="21"/>
              </w:rPr>
              <w:t>无断料保护装置或保护装置失灵，泵长时间空转；</w:t>
            </w:r>
          </w:p>
          <w:p w14:paraId="03BF2AD3">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（2）</w:t>
            </w:r>
            <w:r>
              <w:rPr>
                <w:rFonts w:hint="default" w:ascii="Times New Roman" w:hAnsi="Times New Roman" w:eastAsia="宋体" w:cs="Times New Roman"/>
                <w:color w:val="auto"/>
                <w:spacing w:val="15"/>
                <w:sz w:val="21"/>
                <w:szCs w:val="21"/>
              </w:rPr>
              <w:t>泵出口堵塞致压力骤升，泵体内基质被反复碾磨；</w:t>
            </w:r>
          </w:p>
          <w:p w14:paraId="4C7B131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（3）</w:t>
            </w:r>
            <w:r>
              <w:rPr>
                <w:rFonts w:hint="default" w:ascii="Times New Roman" w:hAnsi="Times New Roman" w:eastAsia="宋体" w:cs="Times New Roman"/>
                <w:color w:val="auto"/>
                <w:spacing w:val="15"/>
                <w:sz w:val="21"/>
                <w:szCs w:val="21"/>
              </w:rPr>
              <w:t>泵出口无超压泄爆装置或失灵，无压力自控及</w:t>
            </w:r>
            <w:r>
              <w:rPr>
                <w:rFonts w:hint="default" w:ascii="Times New Roman" w:hAnsi="Times New Roman" w:eastAsia="宋体" w:cs="Times New Roman"/>
                <w:color w:val="auto"/>
                <w:spacing w:val="15"/>
                <w:sz w:val="21"/>
                <w:szCs w:val="21"/>
                <w:lang w:eastAsia="zh-CN"/>
              </w:rPr>
              <w:t>联锁</w:t>
            </w:r>
            <w:r>
              <w:rPr>
                <w:rFonts w:hint="default" w:ascii="Times New Roman" w:hAnsi="Times New Roman" w:eastAsia="宋体" w:cs="Times New Roman"/>
                <w:color w:val="auto"/>
                <w:spacing w:val="15"/>
                <w:sz w:val="21"/>
                <w:szCs w:val="21"/>
              </w:rPr>
              <w:t>装置或失灵，长时间超压运行；</w:t>
            </w:r>
          </w:p>
          <w:p w14:paraId="7E98F5A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（4）</w:t>
            </w:r>
            <w:r>
              <w:rPr>
                <w:rFonts w:hint="default" w:ascii="Times New Roman" w:hAnsi="Times New Roman" w:eastAsia="宋体" w:cs="Times New Roman"/>
                <w:color w:val="auto"/>
                <w:spacing w:val="15"/>
                <w:sz w:val="21"/>
                <w:szCs w:val="21"/>
              </w:rPr>
              <w:t>泵高速运转</w:t>
            </w:r>
            <w:r>
              <w:rPr>
                <w:rFonts w:hint="default" w:ascii="Times New Roman" w:hAnsi="Times New Roman" w:eastAsia="宋体" w:cs="Times New Roman"/>
                <w:color w:val="auto"/>
                <w:spacing w:val="15"/>
                <w:sz w:val="21"/>
                <w:szCs w:val="21"/>
                <w:lang w:eastAsia="zh-CN"/>
              </w:rPr>
              <w:t>（</w:t>
            </w:r>
            <w:r>
              <w:rPr>
                <w:rFonts w:hint="default" w:ascii="Times New Roman" w:hAnsi="Times New Roman" w:eastAsia="宋体" w:cs="Times New Roman"/>
                <w:color w:val="auto"/>
                <w:spacing w:val="15"/>
                <w:sz w:val="21"/>
                <w:szCs w:val="21"/>
              </w:rPr>
              <w:t>大于150rpm</w:t>
            </w:r>
            <w:r>
              <w:rPr>
                <w:rFonts w:hint="default" w:ascii="Times New Roman" w:hAnsi="Times New Roman" w:eastAsia="宋体" w:cs="Times New Roman"/>
                <w:color w:val="auto"/>
                <w:spacing w:val="15"/>
                <w:sz w:val="21"/>
                <w:szCs w:val="21"/>
                <w:lang w:eastAsia="zh-CN"/>
              </w:rPr>
              <w:t>）</w:t>
            </w:r>
            <w:r>
              <w:rPr>
                <w:rFonts w:hint="default" w:ascii="Times New Roman" w:hAnsi="Times New Roman" w:eastAsia="宋体" w:cs="Times New Roman"/>
                <w:color w:val="auto"/>
                <w:spacing w:val="15"/>
                <w:sz w:val="21"/>
                <w:szCs w:val="21"/>
              </w:rPr>
              <w:t>，热量积累；</w:t>
            </w:r>
          </w:p>
          <w:p w14:paraId="4FAF193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（5）</w:t>
            </w:r>
            <w:r>
              <w:rPr>
                <w:rFonts w:hint="default" w:ascii="Times New Roman" w:hAnsi="Times New Roman" w:eastAsia="宋体" w:cs="Times New Roman"/>
                <w:color w:val="auto"/>
                <w:spacing w:val="15"/>
                <w:sz w:val="21"/>
                <w:szCs w:val="21"/>
              </w:rPr>
              <w:t>进入金属工具、杂质、异物，长时间研磨；</w:t>
            </w:r>
          </w:p>
          <w:p w14:paraId="7C8DD2B3">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（6）</w:t>
            </w:r>
            <w:r>
              <w:rPr>
                <w:rFonts w:hint="default" w:ascii="Times New Roman" w:hAnsi="Times New Roman" w:eastAsia="宋体" w:cs="Times New Roman"/>
                <w:color w:val="auto"/>
                <w:spacing w:val="15"/>
                <w:sz w:val="21"/>
                <w:szCs w:val="21"/>
              </w:rPr>
              <w:t>炸药进入转动部位摩擦；</w:t>
            </w:r>
          </w:p>
          <w:p w14:paraId="0708DCB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5"/>
                <w:sz w:val="21"/>
                <w:szCs w:val="21"/>
              </w:rPr>
            </w:pPr>
            <w:r>
              <w:rPr>
                <w:rFonts w:hint="eastAsia" w:cs="Times New Roman"/>
                <w:color w:val="auto"/>
                <w:spacing w:val="15"/>
                <w:sz w:val="21"/>
                <w:szCs w:val="21"/>
                <w:lang w:eastAsia="zh-CN"/>
              </w:rPr>
              <w:t>（7）</w:t>
            </w:r>
            <w:r>
              <w:rPr>
                <w:rFonts w:hint="default" w:ascii="Times New Roman" w:hAnsi="Times New Roman" w:eastAsia="宋体" w:cs="Times New Roman"/>
                <w:color w:val="auto"/>
                <w:spacing w:val="15"/>
                <w:sz w:val="21"/>
                <w:szCs w:val="21"/>
              </w:rPr>
              <w:t>设备内基质未清理，违章使用电、气焊维修设备。</w:t>
            </w:r>
          </w:p>
        </w:tc>
        <w:tc>
          <w:tcPr>
            <w:tcW w:w="396" w:type="pct"/>
            <w:noWrap w:val="0"/>
            <w:vAlign w:val="center"/>
          </w:tcPr>
          <w:p w14:paraId="7CF0555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火</w:t>
            </w:r>
            <w:r>
              <w:rPr>
                <w:rFonts w:hint="default" w:ascii="Times New Roman" w:hAnsi="Times New Roman" w:eastAsia="宋体" w:cs="Times New Roman"/>
                <w:color w:val="auto"/>
                <w:spacing w:val="3"/>
                <w:position w:val="7"/>
                <w:sz w:val="21"/>
                <w:szCs w:val="21"/>
              </w:rPr>
              <w:t>灾</w:t>
            </w:r>
          </w:p>
          <w:p w14:paraId="5FA93BD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tr w14:paraId="7DE383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2" w:hRule="atLeast"/>
          <w:jc w:val="center"/>
        </w:trPr>
        <w:tc>
          <w:tcPr>
            <w:tcW w:w="281" w:type="pct"/>
            <w:noWrap w:val="0"/>
            <w:vAlign w:val="center"/>
          </w:tcPr>
          <w:p w14:paraId="142C3FCB">
            <w:pPr>
              <w:autoSpaceDE w:val="0"/>
              <w:autoSpaceDN w:val="0"/>
              <w:spacing w:before="58" w:line="195" w:lineRule="auto"/>
              <w:ind w:left="116"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4</w:t>
            </w:r>
          </w:p>
        </w:tc>
        <w:tc>
          <w:tcPr>
            <w:tcW w:w="693" w:type="pct"/>
            <w:noWrap w:val="0"/>
            <w:vAlign w:val="center"/>
          </w:tcPr>
          <w:p w14:paraId="4860F757">
            <w:pPr>
              <w:autoSpaceDE w:val="0"/>
              <w:autoSpaceDN w:val="0"/>
              <w:spacing w:before="65" w:line="228" w:lineRule="auto"/>
              <w:ind w:left="384"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装</w:t>
            </w:r>
            <w:r>
              <w:rPr>
                <w:rFonts w:hint="default" w:ascii="Times New Roman" w:hAnsi="Times New Roman" w:eastAsia="宋体" w:cs="Times New Roman"/>
                <w:color w:val="auto"/>
                <w:spacing w:val="4"/>
                <w:sz w:val="21"/>
                <w:szCs w:val="21"/>
              </w:rPr>
              <w:t>药</w:t>
            </w:r>
          </w:p>
        </w:tc>
        <w:tc>
          <w:tcPr>
            <w:tcW w:w="1120" w:type="pct"/>
            <w:noWrap w:val="0"/>
            <w:vAlign w:val="center"/>
          </w:tcPr>
          <w:p w14:paraId="494F5946">
            <w:pPr>
              <w:autoSpaceDE w:val="0"/>
              <w:autoSpaceDN w:val="0"/>
              <w:spacing w:before="65" w:line="296" w:lineRule="auto"/>
              <w:ind w:left="109" w:leftChars="0" w:right="124" w:rightChars="0" w:firstLine="3" w:firstLineChars="0"/>
              <w:jc w:val="center"/>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1"/>
                <w:sz w:val="21"/>
                <w:szCs w:val="21"/>
              </w:rPr>
              <w:t>乳</w:t>
            </w:r>
            <w:r>
              <w:rPr>
                <w:rFonts w:hint="default" w:ascii="Times New Roman" w:hAnsi="Times New Roman" w:eastAsia="宋体" w:cs="Times New Roman"/>
                <w:color w:val="auto"/>
                <w:spacing w:val="8"/>
                <w:sz w:val="21"/>
                <w:szCs w:val="21"/>
              </w:rPr>
              <w:t>化炸药通过管道</w:t>
            </w:r>
            <w:r>
              <w:rPr>
                <w:rFonts w:hint="default" w:ascii="Times New Roman" w:hAnsi="Times New Roman" w:eastAsia="宋体" w:cs="Times New Roman"/>
                <w:color w:val="auto"/>
                <w:spacing w:val="9"/>
                <w:sz w:val="21"/>
                <w:szCs w:val="21"/>
              </w:rPr>
              <w:t>进入自动装药机</w:t>
            </w:r>
            <w:r>
              <w:rPr>
                <w:rFonts w:hint="default" w:ascii="Times New Roman" w:hAnsi="Times New Roman" w:eastAsia="宋体" w:cs="Times New Roman"/>
                <w:color w:val="auto"/>
                <w:spacing w:val="1"/>
                <w:sz w:val="21"/>
                <w:szCs w:val="21"/>
              </w:rPr>
              <w:t>。</w:t>
            </w:r>
          </w:p>
          <w:p w14:paraId="3A7C4F9D">
            <w:pPr>
              <w:autoSpaceDE w:val="0"/>
              <w:autoSpaceDN w:val="0"/>
              <w:bidi w:val="0"/>
              <w:rPr>
                <w:rFonts w:hint="default" w:ascii="Times New Roman" w:hAnsi="Times New Roman" w:eastAsia="宋体" w:cs="Times New Roman"/>
                <w:kern w:val="2"/>
                <w:sz w:val="21"/>
                <w:szCs w:val="24"/>
                <w:lang w:val="en-US" w:eastAsia="zh-CN" w:bidi="ar-SA"/>
              </w:rPr>
            </w:pPr>
          </w:p>
          <w:p w14:paraId="4EA75799">
            <w:pPr>
              <w:autoSpaceDE w:val="0"/>
              <w:autoSpaceDN w:val="0"/>
              <w:bidi w:val="0"/>
              <w:rPr>
                <w:rFonts w:hint="default"/>
                <w:lang w:val="en-US" w:eastAsia="zh-CN"/>
              </w:rPr>
            </w:pPr>
          </w:p>
          <w:p w14:paraId="53EEF88E">
            <w:pPr>
              <w:autoSpaceDE w:val="0"/>
              <w:autoSpaceDN w:val="0"/>
              <w:bidi w:val="0"/>
              <w:rPr>
                <w:rFonts w:hint="default"/>
                <w:lang w:val="en-US" w:eastAsia="zh-CN"/>
              </w:rPr>
            </w:pPr>
          </w:p>
          <w:p w14:paraId="37DA2924">
            <w:pPr>
              <w:autoSpaceDE w:val="0"/>
              <w:autoSpaceDN w:val="0"/>
              <w:bidi w:val="0"/>
              <w:rPr>
                <w:rFonts w:hint="default"/>
                <w:lang w:val="en-US" w:eastAsia="zh-CN"/>
              </w:rPr>
            </w:pPr>
          </w:p>
          <w:p w14:paraId="7943B908">
            <w:pPr>
              <w:autoSpaceDE w:val="0"/>
              <w:autoSpaceDN w:val="0"/>
              <w:bidi w:val="0"/>
              <w:rPr>
                <w:rFonts w:hint="default"/>
                <w:lang w:val="en-US" w:eastAsia="zh-CN"/>
              </w:rPr>
            </w:pPr>
          </w:p>
          <w:p w14:paraId="3F999E69">
            <w:pPr>
              <w:autoSpaceDE w:val="0"/>
              <w:autoSpaceDN w:val="0"/>
              <w:bidi w:val="0"/>
              <w:rPr>
                <w:rFonts w:hint="default"/>
                <w:lang w:val="en-US" w:eastAsia="zh-CN"/>
              </w:rPr>
            </w:pPr>
          </w:p>
          <w:p w14:paraId="59AAC2A7">
            <w:pPr>
              <w:autoSpaceDE w:val="0"/>
              <w:autoSpaceDN w:val="0"/>
              <w:bidi w:val="0"/>
              <w:rPr>
                <w:rFonts w:hint="default"/>
                <w:lang w:val="en-US" w:eastAsia="zh-CN"/>
              </w:rPr>
            </w:pPr>
          </w:p>
          <w:p w14:paraId="508352C3">
            <w:pPr>
              <w:autoSpaceDE w:val="0"/>
              <w:autoSpaceDN w:val="0"/>
              <w:bidi w:val="0"/>
              <w:rPr>
                <w:rFonts w:hint="default"/>
                <w:lang w:val="en-US" w:eastAsia="zh-CN"/>
              </w:rPr>
            </w:pPr>
          </w:p>
          <w:p w14:paraId="0B8E3BAF">
            <w:pPr>
              <w:autoSpaceDE w:val="0"/>
              <w:autoSpaceDN w:val="0"/>
              <w:bidi w:val="0"/>
              <w:rPr>
                <w:rFonts w:hint="default"/>
                <w:lang w:val="en-US" w:eastAsia="zh-CN"/>
              </w:rPr>
            </w:pPr>
          </w:p>
          <w:p w14:paraId="53831B86">
            <w:pPr>
              <w:autoSpaceDE w:val="0"/>
              <w:autoSpaceDN w:val="0"/>
              <w:bidi w:val="0"/>
              <w:rPr>
                <w:rFonts w:hint="default"/>
                <w:lang w:val="en-US" w:eastAsia="zh-CN"/>
              </w:rPr>
            </w:pPr>
          </w:p>
          <w:p w14:paraId="02477385">
            <w:pPr>
              <w:autoSpaceDE w:val="0"/>
              <w:autoSpaceDN w:val="0"/>
              <w:bidi w:val="0"/>
              <w:rPr>
                <w:rFonts w:hint="default"/>
                <w:lang w:val="en-US" w:eastAsia="zh-CN"/>
              </w:rPr>
            </w:pPr>
          </w:p>
          <w:p w14:paraId="60428D82">
            <w:pPr>
              <w:autoSpaceDE w:val="0"/>
              <w:autoSpaceDN w:val="0"/>
              <w:bidi w:val="0"/>
              <w:rPr>
                <w:rFonts w:hint="default"/>
                <w:lang w:val="en-US" w:eastAsia="zh-CN"/>
              </w:rPr>
            </w:pPr>
          </w:p>
          <w:p w14:paraId="702DBCEA">
            <w:pPr>
              <w:autoSpaceDE w:val="0"/>
              <w:autoSpaceDN w:val="0"/>
              <w:bidi w:val="0"/>
              <w:rPr>
                <w:rFonts w:hint="default"/>
                <w:lang w:val="en-US" w:eastAsia="zh-CN"/>
              </w:rPr>
            </w:pPr>
          </w:p>
          <w:p w14:paraId="0241112D">
            <w:pPr>
              <w:autoSpaceDE w:val="0"/>
              <w:autoSpaceDN w:val="0"/>
              <w:bidi w:val="0"/>
              <w:rPr>
                <w:rFonts w:hint="default"/>
                <w:lang w:val="en-US" w:eastAsia="zh-CN"/>
              </w:rPr>
            </w:pPr>
          </w:p>
          <w:p w14:paraId="6A6E5DB7">
            <w:pPr>
              <w:autoSpaceDE w:val="0"/>
              <w:autoSpaceDN w:val="0"/>
              <w:bidi w:val="0"/>
              <w:rPr>
                <w:rFonts w:hint="default"/>
                <w:lang w:val="en-US" w:eastAsia="zh-CN"/>
              </w:rPr>
            </w:pPr>
          </w:p>
          <w:p w14:paraId="2F8B41D6">
            <w:pPr>
              <w:autoSpaceDE w:val="0"/>
              <w:autoSpaceDN w:val="0"/>
              <w:bidi w:val="0"/>
              <w:rPr>
                <w:rFonts w:hint="default"/>
                <w:lang w:val="en-US" w:eastAsia="zh-CN"/>
              </w:rPr>
            </w:pPr>
          </w:p>
          <w:p w14:paraId="45D791B9">
            <w:pPr>
              <w:autoSpaceDE w:val="0"/>
              <w:autoSpaceDN w:val="0"/>
              <w:bidi w:val="0"/>
              <w:rPr>
                <w:rFonts w:hint="default"/>
                <w:lang w:val="en-US" w:eastAsia="zh-CN"/>
              </w:rPr>
            </w:pPr>
          </w:p>
          <w:p w14:paraId="3FC35873">
            <w:pPr>
              <w:autoSpaceDE w:val="0"/>
              <w:autoSpaceDN w:val="0"/>
              <w:bidi w:val="0"/>
              <w:rPr>
                <w:rFonts w:hint="default"/>
                <w:lang w:val="en-US" w:eastAsia="zh-CN"/>
              </w:rPr>
            </w:pPr>
          </w:p>
          <w:p w14:paraId="7B92D63D">
            <w:pPr>
              <w:autoSpaceDE w:val="0"/>
              <w:autoSpaceDN w:val="0"/>
              <w:bidi w:val="0"/>
              <w:jc w:val="right"/>
              <w:rPr>
                <w:rFonts w:hint="default"/>
                <w:lang w:val="en-US" w:eastAsia="zh-CN"/>
              </w:rPr>
            </w:pPr>
          </w:p>
        </w:tc>
        <w:tc>
          <w:tcPr>
            <w:tcW w:w="2508" w:type="pct"/>
            <w:noWrap w:val="0"/>
            <w:vAlign w:val="center"/>
          </w:tcPr>
          <w:p w14:paraId="76DA3223">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5"/>
                <w:sz w:val="21"/>
                <w:szCs w:val="21"/>
                <w:lang w:eastAsia="zh-CN"/>
              </w:rPr>
              <w:t>（1）</w:t>
            </w:r>
            <w:r>
              <w:rPr>
                <w:rFonts w:hint="default" w:ascii="Times New Roman" w:hAnsi="Times New Roman" w:eastAsia="宋体" w:cs="Times New Roman"/>
                <w:color w:val="auto"/>
                <w:spacing w:val="13"/>
                <w:sz w:val="21"/>
                <w:szCs w:val="21"/>
              </w:rPr>
              <w:t>混入金属杂质，摩擦热量积聚；</w:t>
            </w:r>
          </w:p>
          <w:p w14:paraId="377E872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7"/>
                <w:sz w:val="21"/>
                <w:szCs w:val="21"/>
                <w:lang w:eastAsia="zh-CN"/>
              </w:rPr>
              <w:t>（2）</w:t>
            </w:r>
            <w:r>
              <w:rPr>
                <w:rFonts w:hint="default" w:ascii="Times New Roman" w:hAnsi="Times New Roman" w:eastAsia="宋体" w:cs="Times New Roman"/>
                <w:color w:val="auto"/>
                <w:spacing w:val="15"/>
                <w:sz w:val="21"/>
                <w:szCs w:val="21"/>
              </w:rPr>
              <w:t>装药压力过大；</w:t>
            </w:r>
          </w:p>
          <w:p w14:paraId="39D1F94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1"/>
                <w:sz w:val="21"/>
                <w:szCs w:val="21"/>
                <w:lang w:eastAsia="zh-CN"/>
              </w:rPr>
              <w:t>（3）</w:t>
            </w:r>
            <w:r>
              <w:rPr>
                <w:rFonts w:hint="default" w:ascii="Times New Roman" w:hAnsi="Times New Roman" w:eastAsia="宋体" w:cs="Times New Roman"/>
                <w:color w:val="auto"/>
                <w:spacing w:val="13"/>
                <w:sz w:val="21"/>
                <w:szCs w:val="21"/>
              </w:rPr>
              <w:t>密封圈失效，物料被挤出；</w:t>
            </w:r>
          </w:p>
          <w:p w14:paraId="3442AC20">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（4）</w:t>
            </w:r>
            <w:r>
              <w:rPr>
                <w:rFonts w:hint="default" w:ascii="Times New Roman" w:hAnsi="Times New Roman" w:eastAsia="宋体" w:cs="Times New Roman"/>
                <w:color w:val="auto"/>
                <w:spacing w:val="11"/>
                <w:sz w:val="21"/>
                <w:szCs w:val="21"/>
              </w:rPr>
              <w:t>物料</w:t>
            </w:r>
            <w:r>
              <w:rPr>
                <w:rFonts w:hint="default" w:ascii="Times New Roman" w:hAnsi="Times New Roman" w:eastAsia="宋体" w:cs="Times New Roman"/>
                <w:color w:val="auto"/>
                <w:spacing w:val="11"/>
                <w:sz w:val="21"/>
                <w:szCs w:val="21"/>
                <w:lang w:eastAsia="zh-CN"/>
              </w:rPr>
              <w:t>泄漏</w:t>
            </w:r>
            <w:r>
              <w:rPr>
                <w:rFonts w:hint="default" w:ascii="Times New Roman" w:hAnsi="Times New Roman" w:eastAsia="宋体" w:cs="Times New Roman"/>
                <w:color w:val="auto"/>
                <w:spacing w:val="11"/>
                <w:sz w:val="21"/>
                <w:szCs w:val="21"/>
              </w:rPr>
              <w:t>进入设备运动机构，摩擦、撞</w:t>
            </w:r>
            <w:r>
              <w:rPr>
                <w:rFonts w:hint="default" w:ascii="Times New Roman" w:hAnsi="Times New Roman" w:eastAsia="宋体" w:cs="Times New Roman"/>
                <w:color w:val="auto"/>
                <w:spacing w:val="1"/>
                <w:sz w:val="21"/>
                <w:szCs w:val="21"/>
              </w:rPr>
              <w:t>击</w:t>
            </w:r>
            <w:r>
              <w:rPr>
                <w:rFonts w:hint="default" w:ascii="Times New Roman" w:hAnsi="Times New Roman" w:eastAsia="宋体" w:cs="Times New Roman"/>
                <w:color w:val="auto"/>
                <w:sz w:val="21"/>
                <w:szCs w:val="21"/>
              </w:rPr>
              <w:t>；</w:t>
            </w:r>
          </w:p>
          <w:p w14:paraId="1763B35A">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4"/>
                <w:sz w:val="21"/>
                <w:szCs w:val="21"/>
                <w:lang w:eastAsia="zh-CN"/>
              </w:rPr>
              <w:t>（5）</w:t>
            </w:r>
            <w:r>
              <w:rPr>
                <w:rFonts w:hint="default" w:ascii="Times New Roman" w:hAnsi="Times New Roman" w:eastAsia="宋体" w:cs="Times New Roman"/>
                <w:color w:val="auto"/>
                <w:spacing w:val="12"/>
                <w:sz w:val="21"/>
                <w:szCs w:val="21"/>
              </w:rPr>
              <w:t>设备故障或部件疲劳断裂，冲击摩擦；</w:t>
            </w:r>
          </w:p>
          <w:p w14:paraId="6179840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4"/>
                <w:sz w:val="21"/>
                <w:szCs w:val="21"/>
                <w:lang w:eastAsia="zh-CN"/>
              </w:rPr>
              <w:t>（6）</w:t>
            </w:r>
            <w:r>
              <w:rPr>
                <w:rFonts w:hint="default" w:ascii="Times New Roman" w:hAnsi="Times New Roman" w:eastAsia="宋体" w:cs="Times New Roman"/>
                <w:color w:val="auto"/>
                <w:spacing w:val="14"/>
                <w:sz w:val="21"/>
                <w:szCs w:val="21"/>
              </w:rPr>
              <w:t>肢体与加热装置接触；</w:t>
            </w:r>
          </w:p>
          <w:p w14:paraId="349FEF3A">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9"/>
                <w:sz w:val="21"/>
                <w:szCs w:val="21"/>
                <w:lang w:eastAsia="zh-CN"/>
              </w:rPr>
              <w:t>（7）</w:t>
            </w:r>
            <w:r>
              <w:rPr>
                <w:rFonts w:hint="default" w:ascii="Times New Roman" w:hAnsi="Times New Roman" w:eastAsia="宋体" w:cs="Times New Roman"/>
                <w:color w:val="auto"/>
                <w:spacing w:val="13"/>
                <w:sz w:val="21"/>
                <w:szCs w:val="21"/>
              </w:rPr>
              <w:t>运行过程中手伸至卡丝部位；</w:t>
            </w:r>
          </w:p>
          <w:p w14:paraId="589DD380">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（8）</w:t>
            </w:r>
            <w:r>
              <w:rPr>
                <w:rFonts w:hint="default" w:ascii="Times New Roman" w:hAnsi="Times New Roman" w:eastAsia="宋体" w:cs="Times New Roman"/>
                <w:color w:val="auto"/>
                <w:spacing w:val="11"/>
                <w:sz w:val="21"/>
                <w:szCs w:val="21"/>
              </w:rPr>
              <w:t>传感器、换向阀、控制程序失灵，造成</w:t>
            </w:r>
            <w:r>
              <w:rPr>
                <w:rFonts w:hint="default" w:ascii="Times New Roman" w:hAnsi="Times New Roman" w:eastAsia="宋体" w:cs="Times New Roman"/>
                <w:color w:val="auto"/>
                <w:spacing w:val="12"/>
                <w:sz w:val="21"/>
                <w:szCs w:val="21"/>
              </w:rPr>
              <w:t>机</w:t>
            </w:r>
            <w:r>
              <w:rPr>
                <w:rFonts w:hint="default" w:ascii="Times New Roman" w:hAnsi="Times New Roman" w:eastAsia="宋体" w:cs="Times New Roman"/>
                <w:color w:val="auto"/>
                <w:spacing w:val="7"/>
                <w:sz w:val="21"/>
                <w:szCs w:val="21"/>
              </w:rPr>
              <w:t>械机构误动作；</w:t>
            </w:r>
          </w:p>
          <w:p w14:paraId="135D7AF1">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5"/>
                <w:sz w:val="21"/>
                <w:szCs w:val="21"/>
                <w:lang w:eastAsia="zh-CN"/>
              </w:rPr>
              <w:t>（9）</w:t>
            </w:r>
            <w:r>
              <w:rPr>
                <w:rFonts w:hint="default" w:ascii="Times New Roman" w:hAnsi="Times New Roman" w:eastAsia="宋体" w:cs="Times New Roman"/>
                <w:color w:val="auto"/>
                <w:spacing w:val="13"/>
                <w:sz w:val="21"/>
                <w:szCs w:val="21"/>
              </w:rPr>
              <w:t>电气线路破损漏电，产生火花；</w:t>
            </w:r>
          </w:p>
          <w:p w14:paraId="12A898BA">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3"/>
                <w:sz w:val="21"/>
                <w:szCs w:val="21"/>
                <w:lang w:eastAsia="zh-CN"/>
              </w:rPr>
              <w:t>（10）</w:t>
            </w:r>
            <w:r>
              <w:rPr>
                <w:rFonts w:hint="default" w:ascii="Times New Roman" w:hAnsi="Times New Roman" w:eastAsia="宋体" w:cs="Times New Roman"/>
                <w:color w:val="auto"/>
                <w:spacing w:val="13"/>
                <w:sz w:val="21"/>
                <w:szCs w:val="21"/>
              </w:rPr>
              <w:t>设备接地电阻不符合要求</w:t>
            </w:r>
            <w:r>
              <w:rPr>
                <w:rFonts w:hint="default" w:ascii="Times New Roman" w:hAnsi="Times New Roman" w:eastAsia="宋体" w:cs="Times New Roman"/>
                <w:color w:val="auto"/>
                <w:spacing w:val="11"/>
                <w:sz w:val="21"/>
                <w:szCs w:val="21"/>
              </w:rPr>
              <w:t>；</w:t>
            </w:r>
          </w:p>
          <w:p w14:paraId="68648F3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3"/>
                <w:sz w:val="21"/>
                <w:szCs w:val="21"/>
                <w:lang w:eastAsia="zh-CN"/>
              </w:rPr>
              <w:t>（11）</w:t>
            </w:r>
            <w:r>
              <w:rPr>
                <w:rFonts w:hint="default" w:ascii="Times New Roman" w:hAnsi="Times New Roman" w:eastAsia="宋体" w:cs="Times New Roman"/>
                <w:color w:val="auto"/>
                <w:spacing w:val="12"/>
                <w:sz w:val="21"/>
                <w:szCs w:val="21"/>
              </w:rPr>
              <w:t>使用电气元件达不到危险作业场所电</w:t>
            </w:r>
            <w:r>
              <w:rPr>
                <w:rFonts w:hint="default" w:ascii="Times New Roman" w:hAnsi="Times New Roman" w:eastAsia="宋体" w:cs="Times New Roman"/>
                <w:color w:val="auto"/>
                <w:spacing w:val="9"/>
                <w:sz w:val="21"/>
                <w:szCs w:val="21"/>
              </w:rPr>
              <w:t>气</w:t>
            </w:r>
            <w:r>
              <w:rPr>
                <w:rFonts w:hint="default" w:ascii="Times New Roman" w:hAnsi="Times New Roman" w:eastAsia="宋体" w:cs="Times New Roman"/>
                <w:color w:val="auto"/>
                <w:spacing w:val="6"/>
                <w:sz w:val="21"/>
                <w:szCs w:val="21"/>
              </w:rPr>
              <w:t>防爆要求；</w:t>
            </w:r>
          </w:p>
          <w:p w14:paraId="28F9593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3"/>
                <w:sz w:val="21"/>
                <w:szCs w:val="21"/>
                <w:lang w:eastAsia="zh-CN"/>
              </w:rPr>
              <w:t>（12）</w:t>
            </w:r>
            <w:r>
              <w:rPr>
                <w:rFonts w:hint="default" w:ascii="Times New Roman" w:hAnsi="Times New Roman" w:eastAsia="宋体" w:cs="Times New Roman"/>
                <w:color w:val="auto"/>
                <w:spacing w:val="13"/>
                <w:sz w:val="21"/>
                <w:szCs w:val="21"/>
              </w:rPr>
              <w:t>设备内炸药未清理，违章使用电、</w:t>
            </w:r>
            <w:r>
              <w:rPr>
                <w:rFonts w:hint="default" w:ascii="Times New Roman" w:hAnsi="Times New Roman" w:eastAsia="宋体" w:cs="Times New Roman"/>
                <w:color w:val="auto"/>
                <w:spacing w:val="10"/>
                <w:sz w:val="21"/>
                <w:szCs w:val="21"/>
              </w:rPr>
              <w:t>气</w:t>
            </w:r>
            <w:r>
              <w:rPr>
                <w:rFonts w:hint="default" w:ascii="Times New Roman" w:hAnsi="Times New Roman" w:eastAsia="宋体" w:cs="Times New Roman"/>
                <w:color w:val="auto"/>
                <w:spacing w:val="9"/>
                <w:sz w:val="21"/>
                <w:szCs w:val="21"/>
              </w:rPr>
              <w:t>焊</w:t>
            </w:r>
            <w:r>
              <w:rPr>
                <w:rFonts w:hint="default" w:ascii="Times New Roman" w:hAnsi="Times New Roman" w:eastAsia="宋体" w:cs="Times New Roman"/>
                <w:color w:val="auto"/>
                <w:spacing w:val="6"/>
                <w:sz w:val="21"/>
                <w:szCs w:val="21"/>
              </w:rPr>
              <w:t>维修设备；</w:t>
            </w:r>
          </w:p>
          <w:p w14:paraId="76417E8E">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3"/>
                <w:sz w:val="21"/>
                <w:szCs w:val="21"/>
                <w:lang w:eastAsia="zh-CN"/>
              </w:rPr>
              <w:t>（13）</w:t>
            </w:r>
            <w:r>
              <w:rPr>
                <w:rFonts w:hint="default" w:ascii="Times New Roman" w:hAnsi="Times New Roman" w:eastAsia="宋体" w:cs="Times New Roman"/>
                <w:color w:val="auto"/>
                <w:spacing w:val="13"/>
                <w:sz w:val="21"/>
                <w:szCs w:val="21"/>
              </w:rPr>
              <w:t>其它工序发生火灾、爆炸事故，殉</w:t>
            </w:r>
            <w:r>
              <w:rPr>
                <w:rFonts w:hint="default" w:ascii="Times New Roman" w:hAnsi="Times New Roman" w:eastAsia="宋体" w:cs="Times New Roman"/>
                <w:color w:val="auto"/>
                <w:spacing w:val="10"/>
                <w:sz w:val="21"/>
                <w:szCs w:val="21"/>
              </w:rPr>
              <w:t>爆</w:t>
            </w:r>
            <w:r>
              <w:rPr>
                <w:rFonts w:hint="default" w:ascii="Times New Roman" w:hAnsi="Times New Roman" w:eastAsia="宋体" w:cs="Times New Roman"/>
                <w:color w:val="auto"/>
                <w:spacing w:val="7"/>
                <w:sz w:val="21"/>
                <w:szCs w:val="21"/>
              </w:rPr>
              <w:t>装药机内炸药；</w:t>
            </w:r>
          </w:p>
          <w:p w14:paraId="05BE51A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pacing w:val="13"/>
                <w:sz w:val="21"/>
                <w:szCs w:val="21"/>
                <w:lang w:eastAsia="zh-CN"/>
              </w:rPr>
              <w:t>（14）</w:t>
            </w:r>
            <w:r>
              <w:rPr>
                <w:rFonts w:hint="default" w:ascii="Times New Roman" w:hAnsi="Times New Roman" w:eastAsia="宋体" w:cs="Times New Roman"/>
                <w:color w:val="auto"/>
                <w:spacing w:val="13"/>
                <w:sz w:val="21"/>
                <w:szCs w:val="21"/>
              </w:rPr>
              <w:t>不合格品、废料管理不善，现场危</w:t>
            </w:r>
            <w:r>
              <w:rPr>
                <w:rFonts w:hint="default" w:ascii="Times New Roman" w:hAnsi="Times New Roman" w:eastAsia="宋体" w:cs="Times New Roman"/>
                <w:color w:val="auto"/>
                <w:spacing w:val="10"/>
                <w:sz w:val="21"/>
                <w:szCs w:val="21"/>
              </w:rPr>
              <w:t>险</w:t>
            </w:r>
            <w:r>
              <w:rPr>
                <w:rFonts w:hint="default" w:ascii="Times New Roman" w:hAnsi="Times New Roman" w:eastAsia="宋体" w:cs="Times New Roman"/>
                <w:color w:val="auto"/>
                <w:spacing w:val="7"/>
                <w:sz w:val="21"/>
                <w:szCs w:val="21"/>
              </w:rPr>
              <w:t>品超量，意外事故扩大化</w:t>
            </w:r>
            <w:r>
              <w:rPr>
                <w:rFonts w:hint="default" w:ascii="Times New Roman" w:hAnsi="Times New Roman" w:eastAsia="宋体" w:cs="Times New Roman"/>
                <w:color w:val="auto"/>
                <w:spacing w:val="6"/>
                <w:sz w:val="21"/>
                <w:szCs w:val="21"/>
              </w:rPr>
              <w:t>。</w:t>
            </w:r>
          </w:p>
        </w:tc>
        <w:tc>
          <w:tcPr>
            <w:tcW w:w="396" w:type="pct"/>
            <w:noWrap w:val="0"/>
            <w:vAlign w:val="center"/>
          </w:tcPr>
          <w:p w14:paraId="2150E4F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火</w:t>
            </w:r>
            <w:r>
              <w:rPr>
                <w:rFonts w:hint="default" w:ascii="Times New Roman" w:hAnsi="Times New Roman" w:eastAsia="宋体" w:cs="Times New Roman"/>
                <w:color w:val="auto"/>
                <w:spacing w:val="3"/>
                <w:position w:val="7"/>
                <w:sz w:val="21"/>
                <w:szCs w:val="21"/>
              </w:rPr>
              <w:t>灾</w:t>
            </w:r>
          </w:p>
          <w:p w14:paraId="5D21E5D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tr w14:paraId="3F1E09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jc w:val="center"/>
        </w:trPr>
        <w:tc>
          <w:tcPr>
            <w:tcW w:w="281" w:type="pct"/>
            <w:noWrap w:val="0"/>
            <w:vAlign w:val="center"/>
          </w:tcPr>
          <w:p w14:paraId="7518EADF">
            <w:pPr>
              <w:autoSpaceDE w:val="0"/>
              <w:autoSpaceDN w:val="0"/>
              <w:spacing w:before="58" w:line="195" w:lineRule="auto"/>
              <w:ind w:left="120"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5</w:t>
            </w:r>
          </w:p>
        </w:tc>
        <w:tc>
          <w:tcPr>
            <w:tcW w:w="693" w:type="pct"/>
            <w:noWrap w:val="0"/>
            <w:vAlign w:val="center"/>
          </w:tcPr>
          <w:p w14:paraId="491DEA55">
            <w:pPr>
              <w:autoSpaceDE w:val="0"/>
              <w:autoSpaceDN w:val="0"/>
              <w:spacing w:before="65" w:line="228" w:lineRule="auto"/>
              <w:ind w:left="384"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包</w:t>
            </w:r>
            <w:r>
              <w:rPr>
                <w:rFonts w:hint="default" w:ascii="Times New Roman" w:hAnsi="Times New Roman" w:eastAsia="宋体" w:cs="Times New Roman"/>
                <w:color w:val="auto"/>
                <w:spacing w:val="4"/>
                <w:sz w:val="21"/>
                <w:szCs w:val="21"/>
              </w:rPr>
              <w:t>装</w:t>
            </w:r>
          </w:p>
        </w:tc>
        <w:tc>
          <w:tcPr>
            <w:tcW w:w="1120" w:type="pct"/>
            <w:noWrap w:val="0"/>
            <w:vAlign w:val="center"/>
          </w:tcPr>
          <w:p w14:paraId="2BC715C5">
            <w:pPr>
              <w:autoSpaceDE w:val="0"/>
              <w:autoSpaceDN w:val="0"/>
              <w:spacing w:before="57" w:line="268" w:lineRule="auto"/>
              <w:ind w:left="113" w:leftChars="0" w:right="124"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1"/>
                <w:sz w:val="21"/>
                <w:szCs w:val="21"/>
              </w:rPr>
              <w:t>用</w:t>
            </w:r>
            <w:r>
              <w:rPr>
                <w:rFonts w:hint="default" w:ascii="Times New Roman" w:hAnsi="Times New Roman" w:eastAsia="宋体" w:cs="Times New Roman"/>
                <w:color w:val="auto"/>
                <w:spacing w:val="8"/>
                <w:sz w:val="21"/>
                <w:szCs w:val="21"/>
              </w:rPr>
              <w:t>机械手自动抓取</w:t>
            </w:r>
            <w:r>
              <w:rPr>
                <w:rFonts w:hint="default" w:ascii="Times New Roman" w:hAnsi="Times New Roman" w:cs="Times New Roman"/>
                <w:color w:val="auto"/>
                <w:spacing w:val="11"/>
                <w:sz w:val="21"/>
                <w:szCs w:val="21"/>
                <w:lang w:val="en-US" w:eastAsia="zh-CN"/>
              </w:rPr>
              <w:t>药柱</w:t>
            </w:r>
            <w:r>
              <w:rPr>
                <w:rFonts w:hint="default" w:ascii="Times New Roman" w:hAnsi="Times New Roman" w:eastAsia="宋体" w:cs="Times New Roman"/>
                <w:color w:val="auto"/>
                <w:spacing w:val="8"/>
                <w:sz w:val="21"/>
                <w:szCs w:val="21"/>
              </w:rPr>
              <w:t>，码放整齐</w:t>
            </w:r>
            <w:r>
              <w:rPr>
                <w:rFonts w:hint="default" w:ascii="Times New Roman" w:hAnsi="Times New Roman" w:eastAsia="宋体" w:cs="Times New Roman"/>
                <w:color w:val="auto"/>
                <w:spacing w:val="6"/>
                <w:sz w:val="21"/>
                <w:szCs w:val="21"/>
              </w:rPr>
              <w:t>，</w:t>
            </w:r>
            <w:r>
              <w:rPr>
                <w:rFonts w:hint="default" w:ascii="Times New Roman" w:hAnsi="Times New Roman" w:eastAsia="宋体" w:cs="Times New Roman"/>
                <w:color w:val="auto"/>
                <w:spacing w:val="-8"/>
                <w:sz w:val="21"/>
                <w:szCs w:val="21"/>
              </w:rPr>
              <w:t>装</w:t>
            </w:r>
            <w:r>
              <w:rPr>
                <w:rFonts w:hint="default" w:ascii="Times New Roman" w:hAnsi="Times New Roman" w:eastAsia="宋体" w:cs="Times New Roman"/>
                <w:color w:val="auto"/>
                <w:spacing w:val="-7"/>
                <w:sz w:val="21"/>
                <w:szCs w:val="21"/>
              </w:rPr>
              <w:t>入</w:t>
            </w:r>
            <w:r>
              <w:rPr>
                <w:rFonts w:hint="default" w:ascii="Times New Roman" w:hAnsi="Times New Roman" w:eastAsia="宋体" w:cs="Times New Roman"/>
                <w:color w:val="auto"/>
                <w:spacing w:val="-4"/>
                <w:sz w:val="21"/>
                <w:szCs w:val="21"/>
              </w:rPr>
              <w:t>包装箱、称量、</w:t>
            </w:r>
            <w:r>
              <w:rPr>
                <w:rFonts w:hint="default" w:ascii="Times New Roman" w:hAnsi="Times New Roman" w:eastAsia="宋体" w:cs="Times New Roman"/>
                <w:color w:val="auto"/>
                <w:spacing w:val="5"/>
                <w:sz w:val="21"/>
                <w:szCs w:val="21"/>
              </w:rPr>
              <w:t>捆</w:t>
            </w:r>
            <w:r>
              <w:rPr>
                <w:rFonts w:hint="default" w:ascii="Times New Roman" w:hAnsi="Times New Roman" w:eastAsia="宋体" w:cs="Times New Roman"/>
                <w:color w:val="auto"/>
                <w:spacing w:val="4"/>
                <w:sz w:val="21"/>
                <w:szCs w:val="21"/>
              </w:rPr>
              <w:t>扎</w:t>
            </w:r>
          </w:p>
        </w:tc>
        <w:tc>
          <w:tcPr>
            <w:tcW w:w="2508" w:type="pct"/>
            <w:noWrap w:val="0"/>
            <w:vAlign w:val="center"/>
          </w:tcPr>
          <w:p w14:paraId="416C6611">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4"/>
                <w:sz w:val="21"/>
                <w:szCs w:val="21"/>
                <w:lang w:val="en-US" w:eastAsia="zh-CN"/>
              </w:rPr>
              <w:t>（1）</w:t>
            </w:r>
            <w:r>
              <w:rPr>
                <w:rFonts w:hint="default" w:ascii="Times New Roman" w:hAnsi="Times New Roman" w:eastAsia="宋体" w:cs="Times New Roman"/>
                <w:color w:val="auto"/>
                <w:spacing w:val="11"/>
                <w:sz w:val="21"/>
                <w:szCs w:val="21"/>
              </w:rPr>
              <w:t>违章操作，机械装置咬、卡衣物、手指</w:t>
            </w:r>
            <w:r>
              <w:rPr>
                <w:rFonts w:hint="default" w:ascii="Times New Roman" w:hAnsi="Times New Roman" w:eastAsia="宋体" w:cs="Times New Roman"/>
                <w:color w:val="auto"/>
                <w:spacing w:val="3"/>
                <w:sz w:val="21"/>
                <w:szCs w:val="21"/>
              </w:rPr>
              <w:t>等</w:t>
            </w:r>
            <w:r>
              <w:rPr>
                <w:rFonts w:hint="default" w:ascii="Times New Roman" w:hAnsi="Times New Roman" w:eastAsia="宋体" w:cs="Times New Roman"/>
                <w:color w:val="auto"/>
                <w:spacing w:val="2"/>
                <w:sz w:val="21"/>
                <w:szCs w:val="21"/>
              </w:rPr>
              <w:t>处；</w:t>
            </w:r>
          </w:p>
          <w:p w14:paraId="10D00BAB">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3"/>
                <w:sz w:val="21"/>
                <w:szCs w:val="21"/>
                <w:lang w:eastAsia="zh-CN"/>
              </w:rPr>
              <w:t>（2）</w:t>
            </w:r>
            <w:r>
              <w:rPr>
                <w:rFonts w:hint="default" w:ascii="Times New Roman" w:hAnsi="Times New Roman" w:eastAsia="宋体" w:cs="Times New Roman"/>
                <w:color w:val="auto"/>
                <w:spacing w:val="13"/>
                <w:sz w:val="21"/>
                <w:szCs w:val="21"/>
              </w:rPr>
              <w:t>设备未接地或接地电阻不符合要求</w:t>
            </w:r>
            <w:r>
              <w:rPr>
                <w:rFonts w:hint="default" w:ascii="Times New Roman" w:hAnsi="Times New Roman" w:eastAsia="宋体" w:cs="Times New Roman"/>
                <w:color w:val="auto"/>
                <w:spacing w:val="9"/>
                <w:sz w:val="21"/>
                <w:szCs w:val="21"/>
              </w:rPr>
              <w:t>；</w:t>
            </w:r>
          </w:p>
          <w:p w14:paraId="4865C41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（3）</w:t>
            </w:r>
            <w:r>
              <w:rPr>
                <w:rFonts w:hint="default" w:ascii="Times New Roman" w:hAnsi="Times New Roman" w:eastAsia="宋体" w:cs="Times New Roman"/>
                <w:color w:val="auto"/>
                <w:spacing w:val="11"/>
                <w:sz w:val="21"/>
                <w:szCs w:val="21"/>
              </w:rPr>
              <w:t>电器漏电，配电系统未安装漏电保护装</w:t>
            </w:r>
            <w:r>
              <w:rPr>
                <w:rFonts w:hint="default" w:ascii="Times New Roman" w:hAnsi="Times New Roman" w:eastAsia="宋体" w:cs="Times New Roman"/>
                <w:color w:val="auto"/>
                <w:spacing w:val="7"/>
                <w:sz w:val="21"/>
                <w:szCs w:val="21"/>
              </w:rPr>
              <w:t>置</w:t>
            </w:r>
            <w:r>
              <w:rPr>
                <w:rFonts w:hint="default" w:ascii="Times New Roman" w:hAnsi="Times New Roman" w:eastAsia="宋体" w:cs="Times New Roman"/>
                <w:color w:val="auto"/>
                <w:spacing w:val="6"/>
                <w:sz w:val="21"/>
                <w:szCs w:val="21"/>
              </w:rPr>
              <w:t>或失灵；</w:t>
            </w:r>
          </w:p>
          <w:p w14:paraId="02A636D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3"/>
                <w:sz w:val="21"/>
                <w:szCs w:val="21"/>
                <w:lang w:eastAsia="zh-CN"/>
              </w:rPr>
              <w:t>（4）</w:t>
            </w:r>
            <w:r>
              <w:rPr>
                <w:rFonts w:hint="default" w:ascii="Times New Roman" w:hAnsi="Times New Roman" w:eastAsia="宋体" w:cs="Times New Roman"/>
                <w:color w:val="auto"/>
                <w:spacing w:val="13"/>
                <w:sz w:val="21"/>
                <w:szCs w:val="21"/>
              </w:rPr>
              <w:t>电气设施未达到危险场所防爆要求</w:t>
            </w:r>
            <w:r>
              <w:rPr>
                <w:rFonts w:hint="default" w:ascii="Times New Roman" w:hAnsi="Times New Roman" w:eastAsia="宋体" w:cs="Times New Roman"/>
                <w:color w:val="auto"/>
                <w:spacing w:val="9"/>
                <w:sz w:val="21"/>
                <w:szCs w:val="21"/>
              </w:rPr>
              <w:t>；</w:t>
            </w:r>
          </w:p>
          <w:p w14:paraId="3AC2BF26">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（5）</w:t>
            </w:r>
            <w:r>
              <w:rPr>
                <w:rFonts w:hint="default" w:ascii="Times New Roman" w:hAnsi="Times New Roman" w:eastAsia="宋体" w:cs="Times New Roman"/>
                <w:color w:val="auto"/>
                <w:spacing w:val="11"/>
                <w:sz w:val="21"/>
                <w:szCs w:val="21"/>
              </w:rPr>
              <w:t>其它工序发生火灾、爆炸事故，传爆或</w:t>
            </w:r>
            <w:r>
              <w:rPr>
                <w:rFonts w:hint="default" w:ascii="Times New Roman" w:hAnsi="Times New Roman" w:eastAsia="宋体" w:cs="Times New Roman"/>
                <w:color w:val="auto"/>
                <w:spacing w:val="7"/>
                <w:sz w:val="21"/>
                <w:szCs w:val="21"/>
              </w:rPr>
              <w:t>波及包装工序</w:t>
            </w:r>
            <w:r>
              <w:rPr>
                <w:rFonts w:hint="default" w:ascii="Times New Roman" w:hAnsi="Times New Roman" w:eastAsia="宋体" w:cs="Times New Roman"/>
                <w:color w:val="auto"/>
                <w:spacing w:val="6"/>
                <w:sz w:val="21"/>
                <w:szCs w:val="21"/>
              </w:rPr>
              <w:t>；</w:t>
            </w:r>
          </w:p>
          <w:p w14:paraId="61201E48">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0"/>
                <w:sz w:val="21"/>
                <w:szCs w:val="21"/>
                <w:lang w:eastAsia="zh-CN"/>
              </w:rPr>
              <w:t>（6）</w:t>
            </w:r>
            <w:r>
              <w:rPr>
                <w:rFonts w:hint="default" w:ascii="Times New Roman" w:hAnsi="Times New Roman" w:eastAsia="宋体" w:cs="Times New Roman"/>
                <w:color w:val="auto"/>
                <w:spacing w:val="10"/>
                <w:sz w:val="21"/>
                <w:szCs w:val="21"/>
              </w:rPr>
              <w:t>皮带输送机、链板输送机长时间运行，</w:t>
            </w:r>
            <w:r>
              <w:rPr>
                <w:rFonts w:hint="default" w:ascii="Times New Roman" w:hAnsi="Times New Roman" w:eastAsia="宋体" w:cs="Times New Roman"/>
                <w:color w:val="auto"/>
                <w:spacing w:val="7"/>
                <w:sz w:val="21"/>
                <w:szCs w:val="21"/>
              </w:rPr>
              <w:t>静电积累放电</w:t>
            </w:r>
            <w:r>
              <w:rPr>
                <w:rFonts w:hint="default" w:ascii="Times New Roman" w:hAnsi="Times New Roman" w:eastAsia="宋体" w:cs="Times New Roman"/>
                <w:color w:val="auto"/>
                <w:spacing w:val="6"/>
                <w:sz w:val="21"/>
                <w:szCs w:val="21"/>
              </w:rPr>
              <w:t>；</w:t>
            </w:r>
          </w:p>
          <w:p w14:paraId="7F852F8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0"/>
                <w:sz w:val="21"/>
                <w:szCs w:val="21"/>
                <w:lang w:eastAsia="zh-CN"/>
              </w:rPr>
              <w:t>（7）</w:t>
            </w:r>
            <w:r>
              <w:rPr>
                <w:rFonts w:hint="default" w:ascii="Times New Roman" w:hAnsi="Times New Roman" w:eastAsia="宋体" w:cs="Times New Roman"/>
                <w:color w:val="auto"/>
                <w:spacing w:val="10"/>
                <w:sz w:val="21"/>
                <w:szCs w:val="21"/>
              </w:rPr>
              <w:t>传感器、电磁换向阀、控制程序失灵</w:t>
            </w:r>
            <w:r>
              <w:rPr>
                <w:rFonts w:hint="default" w:ascii="Times New Roman" w:hAnsi="Times New Roman" w:eastAsia="宋体" w:cs="Times New Roman"/>
                <w:color w:val="auto"/>
                <w:spacing w:val="10"/>
                <w:sz w:val="21"/>
                <w:szCs w:val="21"/>
                <w:lang w:eastAsia="zh-CN"/>
              </w:rPr>
              <w:t>，导</w:t>
            </w:r>
            <w:r>
              <w:rPr>
                <w:rFonts w:hint="default" w:ascii="Times New Roman" w:hAnsi="Times New Roman" w:eastAsia="宋体" w:cs="Times New Roman"/>
                <w:color w:val="auto"/>
                <w:spacing w:val="13"/>
                <w:sz w:val="21"/>
                <w:szCs w:val="21"/>
              </w:rPr>
              <w:t>致</w:t>
            </w:r>
            <w:r>
              <w:rPr>
                <w:rFonts w:hint="default" w:ascii="Times New Roman" w:hAnsi="Times New Roman" w:eastAsia="宋体" w:cs="Times New Roman"/>
                <w:color w:val="auto"/>
                <w:spacing w:val="7"/>
                <w:sz w:val="21"/>
                <w:szCs w:val="21"/>
              </w:rPr>
              <w:t>机械机构误动作；</w:t>
            </w:r>
          </w:p>
          <w:p w14:paraId="04E18EBD">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1"/>
                <w:sz w:val="21"/>
                <w:szCs w:val="21"/>
                <w:lang w:eastAsia="zh-CN"/>
              </w:rPr>
              <w:t>（8）</w:t>
            </w:r>
            <w:r>
              <w:rPr>
                <w:rFonts w:hint="default" w:ascii="Times New Roman" w:hAnsi="Times New Roman" w:eastAsia="宋体" w:cs="Times New Roman"/>
                <w:color w:val="auto"/>
                <w:spacing w:val="11"/>
                <w:sz w:val="21"/>
                <w:szCs w:val="21"/>
              </w:rPr>
              <w:t>设备故障或部件疲劳断裂，冲击摩擦</w:t>
            </w:r>
            <w:r>
              <w:rPr>
                <w:rFonts w:hint="default" w:ascii="Times New Roman" w:hAnsi="Times New Roman" w:eastAsia="宋体" w:cs="Times New Roman"/>
                <w:color w:val="auto"/>
                <w:spacing w:val="8"/>
                <w:sz w:val="21"/>
                <w:szCs w:val="21"/>
              </w:rPr>
              <w:t>；</w:t>
            </w:r>
          </w:p>
          <w:p w14:paraId="0E01862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1"/>
                <w:sz w:val="21"/>
                <w:szCs w:val="21"/>
                <w:lang w:eastAsia="zh-CN"/>
              </w:rPr>
              <w:t>（9）</w:t>
            </w:r>
            <w:r>
              <w:rPr>
                <w:rFonts w:hint="default" w:ascii="Times New Roman" w:hAnsi="Times New Roman" w:eastAsia="宋体" w:cs="Times New Roman"/>
                <w:color w:val="auto"/>
                <w:spacing w:val="11"/>
                <w:sz w:val="21"/>
                <w:szCs w:val="21"/>
              </w:rPr>
              <w:t>中包间距不足，发生意外事故，殉爆</w:t>
            </w:r>
            <w:r>
              <w:rPr>
                <w:rFonts w:hint="default" w:ascii="Times New Roman" w:hAnsi="Times New Roman" w:eastAsia="宋体" w:cs="Times New Roman"/>
                <w:color w:val="auto"/>
                <w:spacing w:val="8"/>
                <w:sz w:val="21"/>
                <w:szCs w:val="21"/>
              </w:rPr>
              <w:t>；</w:t>
            </w:r>
          </w:p>
          <w:p w14:paraId="607A25D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both"/>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pacing w:val="13"/>
                <w:sz w:val="21"/>
                <w:szCs w:val="21"/>
                <w:lang w:eastAsia="zh-CN"/>
              </w:rPr>
              <w:t>（10）</w:t>
            </w:r>
            <w:r>
              <w:rPr>
                <w:rFonts w:hint="default" w:ascii="Times New Roman" w:hAnsi="Times New Roman" w:eastAsia="宋体" w:cs="Times New Roman"/>
                <w:color w:val="auto"/>
                <w:spacing w:val="13"/>
                <w:sz w:val="21"/>
                <w:szCs w:val="21"/>
              </w:rPr>
              <w:t>不合格品、废料管理不善，现场危</w:t>
            </w:r>
            <w:r>
              <w:rPr>
                <w:rFonts w:hint="default" w:ascii="Times New Roman" w:hAnsi="Times New Roman" w:eastAsia="宋体" w:cs="Times New Roman"/>
                <w:color w:val="auto"/>
                <w:spacing w:val="10"/>
                <w:sz w:val="21"/>
                <w:szCs w:val="21"/>
              </w:rPr>
              <w:t>险</w:t>
            </w:r>
            <w:r>
              <w:rPr>
                <w:rFonts w:hint="default" w:ascii="Times New Roman" w:hAnsi="Times New Roman" w:eastAsia="宋体" w:cs="Times New Roman"/>
                <w:color w:val="auto"/>
                <w:spacing w:val="7"/>
                <w:sz w:val="21"/>
                <w:szCs w:val="21"/>
              </w:rPr>
              <w:t>品超量，意外事故扩大化</w:t>
            </w:r>
            <w:r>
              <w:rPr>
                <w:rFonts w:hint="default" w:ascii="Times New Roman" w:hAnsi="Times New Roman" w:eastAsia="宋体" w:cs="Times New Roman"/>
                <w:color w:val="auto"/>
                <w:spacing w:val="6"/>
                <w:sz w:val="21"/>
                <w:szCs w:val="21"/>
              </w:rPr>
              <w:t>。</w:t>
            </w:r>
          </w:p>
        </w:tc>
        <w:tc>
          <w:tcPr>
            <w:tcW w:w="396" w:type="pct"/>
            <w:noWrap w:val="0"/>
            <w:vAlign w:val="center"/>
          </w:tcPr>
          <w:p w14:paraId="61E09DD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火</w:t>
            </w:r>
            <w:r>
              <w:rPr>
                <w:rFonts w:hint="default" w:ascii="Times New Roman" w:hAnsi="Times New Roman" w:eastAsia="宋体" w:cs="Times New Roman"/>
                <w:color w:val="auto"/>
                <w:spacing w:val="3"/>
                <w:position w:val="7"/>
                <w:sz w:val="21"/>
                <w:szCs w:val="21"/>
              </w:rPr>
              <w:t>灾</w:t>
            </w:r>
          </w:p>
          <w:p w14:paraId="7516BF2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tr w14:paraId="0E8A5D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jc w:val="center"/>
        </w:trPr>
        <w:tc>
          <w:tcPr>
            <w:tcW w:w="281" w:type="pct"/>
            <w:noWrap w:val="0"/>
            <w:vAlign w:val="center"/>
          </w:tcPr>
          <w:p w14:paraId="6D4683B4">
            <w:pPr>
              <w:autoSpaceDE w:val="0"/>
              <w:autoSpaceDN w:val="0"/>
              <w:spacing w:before="57" w:line="195" w:lineRule="auto"/>
              <w:ind w:left="116"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6</w:t>
            </w:r>
          </w:p>
        </w:tc>
        <w:tc>
          <w:tcPr>
            <w:tcW w:w="693" w:type="pct"/>
            <w:noWrap w:val="0"/>
            <w:vAlign w:val="center"/>
          </w:tcPr>
          <w:p w14:paraId="71298E98">
            <w:pPr>
              <w:autoSpaceDE w:val="0"/>
              <w:autoSpaceDN w:val="0"/>
              <w:spacing w:before="65" w:line="228" w:lineRule="auto"/>
              <w:ind w:left="177"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成品转</w:t>
            </w:r>
            <w:r>
              <w:rPr>
                <w:rFonts w:hint="default" w:ascii="Times New Roman" w:hAnsi="Times New Roman" w:eastAsia="宋体" w:cs="Times New Roman"/>
                <w:color w:val="auto"/>
                <w:spacing w:val="6"/>
                <w:sz w:val="21"/>
                <w:szCs w:val="21"/>
              </w:rPr>
              <w:t>运</w:t>
            </w:r>
          </w:p>
        </w:tc>
        <w:tc>
          <w:tcPr>
            <w:tcW w:w="1120" w:type="pct"/>
            <w:noWrap w:val="0"/>
            <w:vAlign w:val="center"/>
          </w:tcPr>
          <w:p w14:paraId="7BFDADAB">
            <w:pPr>
              <w:autoSpaceDE w:val="0"/>
              <w:autoSpaceDN w:val="0"/>
              <w:spacing w:before="65" w:line="294" w:lineRule="auto"/>
              <w:ind w:left="110" w:leftChars="0" w:right="124" w:rightChars="0" w:firstLine="4"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0"/>
                <w:sz w:val="21"/>
                <w:szCs w:val="21"/>
              </w:rPr>
              <w:t>皮</w:t>
            </w:r>
            <w:r>
              <w:rPr>
                <w:rFonts w:hint="default" w:ascii="Times New Roman" w:hAnsi="Times New Roman" w:eastAsia="宋体" w:cs="Times New Roman"/>
                <w:color w:val="auto"/>
                <w:spacing w:val="8"/>
                <w:sz w:val="21"/>
                <w:szCs w:val="21"/>
              </w:rPr>
              <w:t>带输送机将成品</w:t>
            </w:r>
            <w:r>
              <w:rPr>
                <w:rFonts w:hint="default" w:ascii="Times New Roman" w:hAnsi="Times New Roman" w:eastAsia="宋体" w:cs="Times New Roman"/>
                <w:color w:val="auto"/>
                <w:spacing w:val="9"/>
                <w:sz w:val="21"/>
                <w:szCs w:val="21"/>
              </w:rPr>
              <w:t>箱转运至成品中</w:t>
            </w:r>
            <w:r>
              <w:rPr>
                <w:rFonts w:hint="default" w:ascii="Times New Roman" w:hAnsi="Times New Roman" w:eastAsia="宋体" w:cs="Times New Roman"/>
                <w:color w:val="auto"/>
                <w:spacing w:val="7"/>
                <w:sz w:val="21"/>
                <w:szCs w:val="21"/>
              </w:rPr>
              <w:t>转</w:t>
            </w:r>
            <w:r>
              <w:rPr>
                <w:rFonts w:hint="default" w:ascii="Times New Roman" w:hAnsi="Times New Roman" w:eastAsia="宋体" w:cs="Times New Roman"/>
                <w:color w:val="auto"/>
                <w:spacing w:val="7"/>
                <w:sz w:val="21"/>
                <w:szCs w:val="21"/>
                <w:lang w:val="en-US" w:eastAsia="zh-CN"/>
              </w:rPr>
              <w:t>站台</w:t>
            </w:r>
            <w:r>
              <w:rPr>
                <w:rFonts w:hint="default" w:ascii="Times New Roman" w:hAnsi="Times New Roman" w:eastAsia="宋体" w:cs="Times New Roman"/>
                <w:color w:val="auto"/>
                <w:spacing w:val="7"/>
                <w:sz w:val="21"/>
                <w:szCs w:val="21"/>
                <w:lang w:eastAsia="zh-CN"/>
              </w:rPr>
              <w:t>（</w:t>
            </w:r>
            <w:r>
              <w:rPr>
                <w:rFonts w:hint="default" w:ascii="Times New Roman" w:hAnsi="Times New Roman" w:eastAsia="宋体" w:cs="Times New Roman"/>
                <w:color w:val="auto"/>
                <w:spacing w:val="7"/>
                <w:sz w:val="21"/>
                <w:szCs w:val="21"/>
              </w:rPr>
              <w:t>装车站台</w:t>
            </w:r>
            <w:r>
              <w:rPr>
                <w:rFonts w:hint="default" w:ascii="Times New Roman" w:hAnsi="Times New Roman" w:eastAsia="宋体" w:cs="Times New Roman"/>
                <w:color w:val="auto"/>
                <w:spacing w:val="7"/>
                <w:sz w:val="21"/>
                <w:szCs w:val="21"/>
                <w:lang w:eastAsia="zh-CN"/>
              </w:rPr>
              <w:t>）</w:t>
            </w:r>
            <w:r>
              <w:rPr>
                <w:rFonts w:hint="default" w:ascii="Times New Roman" w:hAnsi="Times New Roman" w:eastAsia="宋体" w:cs="Times New Roman"/>
                <w:color w:val="auto"/>
                <w:spacing w:val="7"/>
                <w:sz w:val="21"/>
                <w:szCs w:val="21"/>
              </w:rPr>
              <w:t>，</w:t>
            </w:r>
            <w:r>
              <w:rPr>
                <w:rFonts w:hint="default" w:ascii="Times New Roman" w:hAnsi="Times New Roman" w:eastAsia="宋体" w:cs="Times New Roman"/>
                <w:color w:val="auto"/>
                <w:spacing w:val="12"/>
                <w:sz w:val="21"/>
                <w:szCs w:val="21"/>
              </w:rPr>
              <w:t>机</w:t>
            </w:r>
            <w:r>
              <w:rPr>
                <w:rFonts w:hint="default" w:ascii="Times New Roman" w:hAnsi="Times New Roman" w:eastAsia="宋体" w:cs="Times New Roman"/>
                <w:color w:val="auto"/>
                <w:spacing w:val="7"/>
                <w:sz w:val="21"/>
                <w:szCs w:val="21"/>
              </w:rPr>
              <w:t>器人自动装车。</w:t>
            </w:r>
          </w:p>
        </w:tc>
        <w:tc>
          <w:tcPr>
            <w:tcW w:w="2508" w:type="pct"/>
            <w:noWrap w:val="0"/>
            <w:vAlign w:val="center"/>
          </w:tcPr>
          <w:p w14:paraId="53A50661">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（1）</w:t>
            </w:r>
            <w:r>
              <w:rPr>
                <w:rFonts w:hint="default" w:ascii="Times New Roman" w:hAnsi="Times New Roman" w:eastAsia="宋体" w:cs="Times New Roman"/>
                <w:color w:val="auto"/>
                <w:spacing w:val="11"/>
                <w:sz w:val="21"/>
                <w:szCs w:val="21"/>
              </w:rPr>
              <w:t>箱间距过小，意外爆炸事故时皮带输送</w:t>
            </w:r>
            <w:r>
              <w:rPr>
                <w:rFonts w:hint="default" w:ascii="Times New Roman" w:hAnsi="Times New Roman" w:eastAsia="宋体" w:cs="Times New Roman"/>
                <w:color w:val="auto"/>
                <w:spacing w:val="6"/>
                <w:sz w:val="21"/>
                <w:szCs w:val="21"/>
              </w:rPr>
              <w:t>机</w:t>
            </w:r>
            <w:r>
              <w:rPr>
                <w:rFonts w:hint="default" w:ascii="Times New Roman" w:hAnsi="Times New Roman" w:eastAsia="宋体" w:cs="Times New Roman"/>
                <w:color w:val="auto"/>
                <w:spacing w:val="5"/>
                <w:sz w:val="21"/>
                <w:szCs w:val="21"/>
              </w:rPr>
              <w:t>传爆；</w:t>
            </w:r>
          </w:p>
          <w:p w14:paraId="58C49F93">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（2）</w:t>
            </w:r>
            <w:r>
              <w:rPr>
                <w:rFonts w:hint="default" w:ascii="Times New Roman" w:hAnsi="Times New Roman" w:eastAsia="宋体" w:cs="Times New Roman"/>
                <w:color w:val="auto"/>
                <w:spacing w:val="11"/>
                <w:sz w:val="21"/>
                <w:szCs w:val="21"/>
              </w:rPr>
              <w:t>设备未接地或接地电阻不符合要求，遭</w:t>
            </w:r>
            <w:r>
              <w:rPr>
                <w:rFonts w:hint="default" w:ascii="Times New Roman" w:hAnsi="Times New Roman" w:eastAsia="宋体" w:cs="Times New Roman"/>
                <w:color w:val="auto"/>
                <w:spacing w:val="4"/>
                <w:sz w:val="21"/>
                <w:szCs w:val="21"/>
              </w:rPr>
              <w:t>受雷击；</w:t>
            </w:r>
          </w:p>
          <w:p w14:paraId="60B95D0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（3）</w:t>
            </w:r>
            <w:r>
              <w:rPr>
                <w:rFonts w:hint="default" w:ascii="Times New Roman" w:hAnsi="Times New Roman" w:eastAsia="宋体" w:cs="Times New Roman"/>
                <w:color w:val="auto"/>
                <w:spacing w:val="11"/>
                <w:sz w:val="21"/>
                <w:szCs w:val="21"/>
              </w:rPr>
              <w:t>电器漏电，配电系统未安装漏电保护装</w:t>
            </w:r>
            <w:r>
              <w:rPr>
                <w:rFonts w:hint="default" w:ascii="Times New Roman" w:hAnsi="Times New Roman" w:eastAsia="宋体" w:cs="Times New Roman"/>
                <w:color w:val="auto"/>
                <w:spacing w:val="7"/>
                <w:sz w:val="21"/>
                <w:szCs w:val="21"/>
              </w:rPr>
              <w:t>置</w:t>
            </w:r>
            <w:r>
              <w:rPr>
                <w:rFonts w:hint="default" w:ascii="Times New Roman" w:hAnsi="Times New Roman" w:eastAsia="宋体" w:cs="Times New Roman"/>
                <w:color w:val="auto"/>
                <w:spacing w:val="6"/>
                <w:sz w:val="21"/>
                <w:szCs w:val="21"/>
              </w:rPr>
              <w:t>或失灵；</w:t>
            </w:r>
          </w:p>
          <w:p w14:paraId="03109652">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3"/>
                <w:sz w:val="21"/>
                <w:szCs w:val="21"/>
                <w:lang w:eastAsia="zh-CN"/>
              </w:rPr>
              <w:t>（4）</w:t>
            </w:r>
            <w:r>
              <w:rPr>
                <w:rFonts w:hint="default" w:ascii="Times New Roman" w:hAnsi="Times New Roman" w:eastAsia="宋体" w:cs="Times New Roman"/>
                <w:color w:val="auto"/>
                <w:spacing w:val="13"/>
                <w:sz w:val="21"/>
                <w:szCs w:val="21"/>
              </w:rPr>
              <w:t>电气设施未达到危险场所防爆要求</w:t>
            </w:r>
            <w:r>
              <w:rPr>
                <w:rFonts w:hint="default" w:ascii="Times New Roman" w:hAnsi="Times New Roman" w:eastAsia="宋体" w:cs="Times New Roman"/>
                <w:color w:val="auto"/>
                <w:spacing w:val="9"/>
                <w:sz w:val="21"/>
                <w:szCs w:val="21"/>
              </w:rPr>
              <w:t>；</w:t>
            </w:r>
          </w:p>
          <w:p w14:paraId="5385E05E">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15"/>
                <w:sz w:val="21"/>
                <w:szCs w:val="21"/>
                <w:lang w:eastAsia="zh-CN"/>
              </w:rPr>
              <w:t>（5）</w:t>
            </w:r>
            <w:r>
              <w:rPr>
                <w:rFonts w:hint="default" w:ascii="Times New Roman" w:hAnsi="Times New Roman" w:eastAsia="宋体" w:cs="Times New Roman"/>
                <w:color w:val="auto"/>
                <w:spacing w:val="13"/>
                <w:sz w:val="21"/>
                <w:szCs w:val="21"/>
              </w:rPr>
              <w:t>电气线路破损漏电，产生火花；</w:t>
            </w:r>
          </w:p>
          <w:p w14:paraId="673A96A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both"/>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pacing w:val="15"/>
                <w:sz w:val="21"/>
                <w:szCs w:val="21"/>
                <w:lang w:eastAsia="zh-CN"/>
              </w:rPr>
              <w:t>（6）</w:t>
            </w:r>
            <w:r>
              <w:rPr>
                <w:rFonts w:hint="default" w:ascii="Times New Roman" w:hAnsi="Times New Roman" w:eastAsia="宋体" w:cs="Times New Roman"/>
                <w:color w:val="auto"/>
                <w:spacing w:val="13"/>
                <w:sz w:val="21"/>
                <w:szCs w:val="21"/>
              </w:rPr>
              <w:t>危险品超量，意外事故扩大化。</w:t>
            </w:r>
          </w:p>
        </w:tc>
        <w:tc>
          <w:tcPr>
            <w:tcW w:w="396" w:type="pct"/>
            <w:noWrap w:val="0"/>
            <w:vAlign w:val="center"/>
          </w:tcPr>
          <w:p w14:paraId="3526B85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火</w:t>
            </w:r>
            <w:r>
              <w:rPr>
                <w:rFonts w:hint="default" w:ascii="Times New Roman" w:hAnsi="Times New Roman" w:eastAsia="宋体" w:cs="Times New Roman"/>
                <w:color w:val="auto"/>
                <w:spacing w:val="3"/>
                <w:position w:val="7"/>
                <w:sz w:val="21"/>
                <w:szCs w:val="21"/>
              </w:rPr>
              <w:t>灾</w:t>
            </w:r>
          </w:p>
          <w:p w14:paraId="5D84912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tr w14:paraId="1BEFAC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jc w:val="center"/>
        </w:trPr>
        <w:tc>
          <w:tcPr>
            <w:tcW w:w="281" w:type="pct"/>
            <w:noWrap w:val="0"/>
            <w:vAlign w:val="center"/>
          </w:tcPr>
          <w:p w14:paraId="38C90A0F">
            <w:pPr>
              <w:autoSpaceDE w:val="0"/>
              <w:autoSpaceDN w:val="0"/>
              <w:spacing w:before="58" w:line="195" w:lineRule="auto"/>
              <w:ind w:left="132"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8"/>
                <w:sz w:val="21"/>
                <w:szCs w:val="21"/>
                <w:lang w:val="en-US" w:eastAsia="zh-CN"/>
              </w:rPr>
              <w:t>7</w:t>
            </w:r>
          </w:p>
        </w:tc>
        <w:tc>
          <w:tcPr>
            <w:tcW w:w="693" w:type="pct"/>
            <w:noWrap w:val="0"/>
            <w:vAlign w:val="center"/>
          </w:tcPr>
          <w:p w14:paraId="66DF4E09">
            <w:pPr>
              <w:autoSpaceDE w:val="0"/>
              <w:autoSpaceDN w:val="0"/>
              <w:spacing w:before="65" w:line="228" w:lineRule="auto"/>
              <w:ind w:left="210"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自</w:t>
            </w:r>
            <w:r>
              <w:rPr>
                <w:rFonts w:hint="default" w:ascii="Times New Roman" w:hAnsi="Times New Roman" w:eastAsia="宋体" w:cs="Times New Roman"/>
                <w:color w:val="auto"/>
                <w:spacing w:val="-1"/>
                <w:sz w:val="21"/>
                <w:szCs w:val="21"/>
              </w:rPr>
              <w:t>动控制</w:t>
            </w:r>
          </w:p>
        </w:tc>
        <w:tc>
          <w:tcPr>
            <w:tcW w:w="1120" w:type="pct"/>
            <w:noWrap w:val="0"/>
            <w:vAlign w:val="center"/>
          </w:tcPr>
          <w:p w14:paraId="2E3B1D61">
            <w:pPr>
              <w:autoSpaceDE w:val="0"/>
              <w:autoSpaceDN w:val="0"/>
              <w:spacing w:before="65" w:line="294" w:lineRule="auto"/>
              <w:ind w:left="110" w:leftChars="0" w:right="124"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9"/>
                <w:sz w:val="21"/>
                <w:szCs w:val="21"/>
              </w:rPr>
              <w:t>对生产过程各工</w:t>
            </w:r>
            <w:r>
              <w:rPr>
                <w:rFonts w:hint="default" w:ascii="Times New Roman" w:hAnsi="Times New Roman" w:eastAsia="宋体" w:cs="Times New Roman"/>
                <w:color w:val="auto"/>
                <w:spacing w:val="7"/>
                <w:sz w:val="21"/>
                <w:szCs w:val="21"/>
              </w:rPr>
              <w:t>序</w:t>
            </w:r>
            <w:r>
              <w:rPr>
                <w:rFonts w:hint="default" w:ascii="Times New Roman" w:hAnsi="Times New Roman" w:eastAsia="宋体" w:cs="Times New Roman"/>
                <w:color w:val="auto"/>
                <w:spacing w:val="9"/>
                <w:sz w:val="21"/>
                <w:szCs w:val="21"/>
              </w:rPr>
              <w:t>安全工艺参数自</w:t>
            </w:r>
            <w:r>
              <w:rPr>
                <w:rFonts w:hint="default" w:ascii="Times New Roman" w:hAnsi="Times New Roman" w:eastAsia="宋体" w:cs="Times New Roman"/>
                <w:color w:val="auto"/>
                <w:spacing w:val="7"/>
                <w:sz w:val="21"/>
                <w:szCs w:val="21"/>
              </w:rPr>
              <w:t>动</w:t>
            </w:r>
            <w:r>
              <w:rPr>
                <w:rFonts w:hint="default" w:ascii="Times New Roman" w:hAnsi="Times New Roman" w:eastAsia="宋体" w:cs="Times New Roman"/>
                <w:color w:val="auto"/>
                <w:spacing w:val="9"/>
                <w:sz w:val="21"/>
                <w:szCs w:val="21"/>
              </w:rPr>
              <w:t>控制，超限报警</w:t>
            </w:r>
            <w:r>
              <w:rPr>
                <w:rFonts w:hint="default" w:ascii="Times New Roman" w:hAnsi="Times New Roman" w:eastAsia="宋体" w:cs="Times New Roman"/>
                <w:color w:val="auto"/>
                <w:spacing w:val="7"/>
                <w:sz w:val="21"/>
                <w:szCs w:val="21"/>
              </w:rPr>
              <w:t>、</w:t>
            </w:r>
            <w:r>
              <w:rPr>
                <w:rFonts w:hint="default" w:ascii="Times New Roman" w:hAnsi="Times New Roman" w:eastAsia="宋体" w:cs="Times New Roman"/>
                <w:color w:val="auto"/>
                <w:spacing w:val="4"/>
                <w:sz w:val="21"/>
                <w:szCs w:val="21"/>
              </w:rPr>
              <w:t>停</w:t>
            </w:r>
            <w:r>
              <w:rPr>
                <w:rFonts w:hint="default" w:ascii="Times New Roman" w:hAnsi="Times New Roman" w:eastAsia="宋体" w:cs="Times New Roman"/>
                <w:color w:val="auto"/>
                <w:spacing w:val="3"/>
                <w:sz w:val="21"/>
                <w:szCs w:val="21"/>
              </w:rPr>
              <w:t>车。</w:t>
            </w:r>
          </w:p>
        </w:tc>
        <w:tc>
          <w:tcPr>
            <w:tcW w:w="2508" w:type="pct"/>
            <w:noWrap w:val="0"/>
            <w:vAlign w:val="center"/>
          </w:tcPr>
          <w:p w14:paraId="278591F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（1）</w:t>
            </w:r>
            <w:r>
              <w:rPr>
                <w:rFonts w:hint="default" w:ascii="Times New Roman" w:hAnsi="Times New Roman" w:eastAsia="宋体" w:cs="Times New Roman"/>
                <w:color w:val="auto"/>
                <w:spacing w:val="11"/>
                <w:sz w:val="21"/>
                <w:szCs w:val="21"/>
              </w:rPr>
              <w:t>控制系统未进行权限设置，控制参数被</w:t>
            </w:r>
            <w:r>
              <w:rPr>
                <w:rFonts w:hint="default" w:ascii="Times New Roman" w:hAnsi="Times New Roman" w:eastAsia="宋体" w:cs="Times New Roman"/>
                <w:color w:val="auto"/>
                <w:spacing w:val="6"/>
                <w:sz w:val="21"/>
                <w:szCs w:val="21"/>
              </w:rPr>
              <w:t>随</w:t>
            </w:r>
            <w:r>
              <w:rPr>
                <w:rFonts w:hint="default" w:ascii="Times New Roman" w:hAnsi="Times New Roman" w:eastAsia="宋体" w:cs="Times New Roman"/>
                <w:color w:val="auto"/>
                <w:spacing w:val="4"/>
                <w:sz w:val="21"/>
                <w:szCs w:val="21"/>
              </w:rPr>
              <w:t>意更改</w:t>
            </w:r>
          </w:p>
          <w:p w14:paraId="5ADA16C8">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z w:val="21"/>
                <w:szCs w:val="21"/>
              </w:rPr>
            </w:pPr>
            <w:r>
              <w:rPr>
                <w:rFonts w:hint="eastAsia" w:cs="Times New Roman"/>
                <w:color w:val="auto"/>
                <w:spacing w:val="22"/>
                <w:sz w:val="21"/>
                <w:szCs w:val="21"/>
                <w:lang w:eastAsia="zh-CN"/>
              </w:rPr>
              <w:t>（2）</w:t>
            </w:r>
            <w:r>
              <w:rPr>
                <w:rFonts w:hint="default" w:ascii="Times New Roman" w:hAnsi="Times New Roman" w:eastAsia="宋体" w:cs="Times New Roman"/>
                <w:color w:val="auto"/>
                <w:spacing w:val="11"/>
                <w:sz w:val="21"/>
                <w:szCs w:val="21"/>
              </w:rPr>
              <w:t>系统计量仪器、仪表未经过检定或计量</w:t>
            </w:r>
            <w:r>
              <w:rPr>
                <w:rFonts w:hint="default" w:ascii="Times New Roman" w:hAnsi="Times New Roman" w:eastAsia="宋体" w:cs="Times New Roman"/>
                <w:color w:val="auto"/>
                <w:spacing w:val="4"/>
                <w:sz w:val="21"/>
                <w:szCs w:val="21"/>
              </w:rPr>
              <w:t>有误</w:t>
            </w:r>
          </w:p>
          <w:p w14:paraId="6D8DD71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pacing w:val="12"/>
                <w:sz w:val="21"/>
                <w:szCs w:val="21"/>
                <w:lang w:eastAsia="zh-CN"/>
              </w:rPr>
              <w:t>（3）</w:t>
            </w:r>
            <w:r>
              <w:rPr>
                <w:rFonts w:hint="default" w:ascii="Times New Roman" w:hAnsi="Times New Roman" w:eastAsia="宋体" w:cs="Times New Roman"/>
                <w:color w:val="auto"/>
                <w:spacing w:val="6"/>
                <w:sz w:val="21"/>
                <w:szCs w:val="21"/>
              </w:rPr>
              <w:t>自动系统故障、失效，手动、自控操作</w:t>
            </w:r>
            <w:r>
              <w:rPr>
                <w:rFonts w:hint="default" w:ascii="Times New Roman" w:hAnsi="Times New Roman" w:eastAsia="宋体" w:cs="Times New Roman"/>
                <w:color w:val="auto"/>
                <w:spacing w:val="2"/>
                <w:sz w:val="21"/>
                <w:szCs w:val="21"/>
              </w:rPr>
              <w:t>失误</w:t>
            </w:r>
          </w:p>
        </w:tc>
        <w:tc>
          <w:tcPr>
            <w:tcW w:w="396" w:type="pct"/>
            <w:noWrap w:val="0"/>
            <w:vAlign w:val="center"/>
          </w:tcPr>
          <w:p w14:paraId="1ED0610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7"/>
                <w:sz w:val="21"/>
                <w:szCs w:val="21"/>
              </w:rPr>
              <w:t>火</w:t>
            </w:r>
            <w:r>
              <w:rPr>
                <w:rFonts w:hint="default" w:ascii="Times New Roman" w:hAnsi="Times New Roman" w:eastAsia="宋体" w:cs="Times New Roman"/>
                <w:color w:val="auto"/>
                <w:spacing w:val="3"/>
                <w:position w:val="7"/>
                <w:sz w:val="21"/>
                <w:szCs w:val="21"/>
              </w:rPr>
              <w:t>灾</w:t>
            </w:r>
          </w:p>
          <w:p w14:paraId="0F6D8D0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tr w14:paraId="6574E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7" w:hRule="atLeast"/>
          <w:jc w:val="center"/>
        </w:trPr>
        <w:tc>
          <w:tcPr>
            <w:tcW w:w="281" w:type="pct"/>
            <w:noWrap w:val="0"/>
            <w:vAlign w:val="center"/>
          </w:tcPr>
          <w:p w14:paraId="362F3B61">
            <w:pPr>
              <w:autoSpaceDE w:val="0"/>
              <w:autoSpaceDN w:val="0"/>
              <w:spacing w:before="58" w:line="195" w:lineRule="auto"/>
              <w:ind w:left="132"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1"/>
                <w:sz w:val="21"/>
                <w:szCs w:val="21"/>
                <w:lang w:val="en-US" w:eastAsia="zh-CN"/>
              </w:rPr>
              <w:t>8</w:t>
            </w:r>
          </w:p>
        </w:tc>
        <w:tc>
          <w:tcPr>
            <w:tcW w:w="693" w:type="pct"/>
            <w:noWrap w:val="0"/>
            <w:vAlign w:val="center"/>
          </w:tcPr>
          <w:p w14:paraId="31349B42">
            <w:pPr>
              <w:autoSpaceDE w:val="0"/>
              <w:autoSpaceDN w:val="0"/>
              <w:spacing w:before="65" w:line="228" w:lineRule="auto"/>
              <w:ind w:left="210" w:leftChars="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不合格品处理</w:t>
            </w:r>
          </w:p>
        </w:tc>
        <w:tc>
          <w:tcPr>
            <w:tcW w:w="1120" w:type="pct"/>
            <w:noWrap w:val="0"/>
            <w:vAlign w:val="center"/>
          </w:tcPr>
          <w:p w14:paraId="10990E25">
            <w:pPr>
              <w:autoSpaceDE w:val="0"/>
              <w:autoSpaceDN w:val="0"/>
              <w:spacing w:before="56" w:line="278" w:lineRule="auto"/>
              <w:ind w:left="106" w:leftChars="0" w:right="119" w:rightChars="0" w:firstLine="8"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0"/>
                <w:sz w:val="21"/>
                <w:szCs w:val="21"/>
              </w:rPr>
              <w:t>不</w:t>
            </w:r>
            <w:r>
              <w:rPr>
                <w:rFonts w:hint="default" w:ascii="Times New Roman" w:hAnsi="Times New Roman" w:eastAsia="宋体" w:cs="Times New Roman"/>
                <w:color w:val="auto"/>
                <w:spacing w:val="8"/>
                <w:sz w:val="21"/>
                <w:szCs w:val="21"/>
              </w:rPr>
              <w:t>合格品进入不合</w:t>
            </w:r>
            <w:r>
              <w:rPr>
                <w:rFonts w:hint="default" w:ascii="Times New Roman" w:hAnsi="Times New Roman" w:eastAsia="宋体" w:cs="Times New Roman"/>
                <w:color w:val="auto"/>
                <w:spacing w:val="11"/>
                <w:sz w:val="21"/>
                <w:szCs w:val="21"/>
              </w:rPr>
              <w:t>格</w:t>
            </w:r>
            <w:r>
              <w:rPr>
                <w:rFonts w:hint="default" w:ascii="Times New Roman" w:hAnsi="Times New Roman" w:eastAsia="宋体" w:cs="Times New Roman"/>
                <w:color w:val="auto"/>
                <w:spacing w:val="9"/>
                <w:sz w:val="21"/>
                <w:szCs w:val="21"/>
              </w:rPr>
              <w:t>品处理工房进行</w:t>
            </w:r>
            <w:r>
              <w:rPr>
                <w:rFonts w:hint="default" w:ascii="Times New Roman" w:hAnsi="Times New Roman" w:eastAsia="宋体" w:cs="Times New Roman"/>
                <w:color w:val="auto"/>
                <w:spacing w:val="12"/>
                <w:sz w:val="21"/>
                <w:szCs w:val="21"/>
              </w:rPr>
              <w:t>搅</w:t>
            </w:r>
            <w:r>
              <w:rPr>
                <w:rFonts w:hint="default" w:ascii="Times New Roman" w:hAnsi="Times New Roman" w:eastAsia="宋体" w:cs="Times New Roman"/>
                <w:color w:val="auto"/>
                <w:spacing w:val="8"/>
                <w:sz w:val="21"/>
                <w:szCs w:val="21"/>
              </w:rPr>
              <w:t>拌敏化</w:t>
            </w:r>
            <w:r>
              <w:rPr>
                <w:rFonts w:hint="default" w:ascii="Times New Roman" w:hAnsi="Times New Roman" w:eastAsia="宋体" w:cs="Times New Roman"/>
                <w:color w:val="auto"/>
                <w:spacing w:val="8"/>
                <w:sz w:val="21"/>
                <w:szCs w:val="21"/>
                <w:lang w:eastAsia="zh-CN"/>
              </w:rPr>
              <w:t>（</w:t>
            </w:r>
            <w:r>
              <w:rPr>
                <w:rFonts w:hint="default" w:ascii="Times New Roman" w:hAnsi="Times New Roman" w:eastAsia="宋体" w:cs="Times New Roman"/>
                <w:color w:val="auto"/>
                <w:spacing w:val="8"/>
                <w:sz w:val="21"/>
                <w:szCs w:val="21"/>
              </w:rPr>
              <w:t>温度约</w:t>
            </w:r>
            <w:r>
              <w:rPr>
                <w:rFonts w:hint="default" w:ascii="Times New Roman" w:hAnsi="Times New Roman" w:eastAsia="Times New Roman" w:cs="Times New Roman"/>
                <w:color w:val="auto"/>
                <w:spacing w:val="11"/>
                <w:sz w:val="21"/>
                <w:szCs w:val="21"/>
              </w:rPr>
              <w:t>4</w:t>
            </w:r>
            <w:r>
              <w:rPr>
                <w:rFonts w:hint="default" w:ascii="Times New Roman" w:hAnsi="Times New Roman" w:eastAsia="Times New Roman" w:cs="Times New Roman"/>
                <w:color w:val="auto"/>
                <w:spacing w:val="7"/>
                <w:sz w:val="21"/>
                <w:szCs w:val="21"/>
              </w:rPr>
              <w:t>0℃</w:t>
            </w:r>
            <w:r>
              <w:rPr>
                <w:rFonts w:hint="default" w:ascii="Times New Roman" w:hAnsi="Times New Roman" w:eastAsia="宋体" w:cs="Times New Roman"/>
                <w:color w:val="auto"/>
                <w:spacing w:val="7"/>
                <w:sz w:val="21"/>
                <w:szCs w:val="21"/>
                <w:lang w:eastAsia="zh-CN"/>
              </w:rPr>
              <w:t>）</w:t>
            </w:r>
            <w:r>
              <w:rPr>
                <w:rFonts w:hint="default" w:ascii="Times New Roman" w:hAnsi="Times New Roman" w:eastAsia="宋体" w:cs="Times New Roman"/>
                <w:color w:val="auto"/>
                <w:spacing w:val="7"/>
                <w:sz w:val="21"/>
                <w:szCs w:val="21"/>
              </w:rPr>
              <w:t>、</w:t>
            </w:r>
            <w:r>
              <w:rPr>
                <w:rFonts w:hint="default" w:ascii="Times New Roman" w:hAnsi="Times New Roman" w:cs="Times New Roman"/>
                <w:color w:val="auto"/>
                <w:spacing w:val="7"/>
                <w:sz w:val="21"/>
                <w:szCs w:val="21"/>
                <w:lang w:val="en-US" w:eastAsia="zh-CN"/>
              </w:rPr>
              <w:t>重新</w:t>
            </w:r>
            <w:r>
              <w:rPr>
                <w:rFonts w:hint="default" w:ascii="Times New Roman" w:hAnsi="Times New Roman" w:eastAsia="宋体" w:cs="Times New Roman"/>
                <w:color w:val="auto"/>
                <w:spacing w:val="7"/>
                <w:sz w:val="21"/>
                <w:szCs w:val="21"/>
              </w:rPr>
              <w:t>装药处理</w:t>
            </w:r>
            <w:r>
              <w:rPr>
                <w:rFonts w:hint="default" w:ascii="Times New Roman" w:hAnsi="Times New Roman" w:eastAsia="宋体" w:cs="Times New Roman"/>
                <w:color w:val="auto"/>
                <w:spacing w:val="11"/>
                <w:sz w:val="21"/>
                <w:szCs w:val="21"/>
              </w:rPr>
              <w:t>后</w:t>
            </w:r>
            <w:r>
              <w:rPr>
                <w:rFonts w:hint="default" w:ascii="Times New Roman" w:hAnsi="Times New Roman" w:eastAsia="宋体" w:cs="Times New Roman"/>
                <w:color w:val="auto"/>
                <w:spacing w:val="9"/>
                <w:sz w:val="21"/>
                <w:szCs w:val="21"/>
              </w:rPr>
              <w:t>包装</w:t>
            </w:r>
            <w:r>
              <w:rPr>
                <w:rFonts w:hint="default" w:ascii="Times New Roman" w:hAnsi="Times New Roman" w:cs="Times New Roman"/>
                <w:color w:val="auto"/>
                <w:spacing w:val="9"/>
                <w:sz w:val="21"/>
                <w:szCs w:val="21"/>
                <w:lang w:val="en-US" w:eastAsia="zh-CN"/>
              </w:rPr>
              <w:t>入库</w:t>
            </w:r>
          </w:p>
        </w:tc>
        <w:tc>
          <w:tcPr>
            <w:tcW w:w="2508" w:type="pct"/>
            <w:noWrap w:val="0"/>
            <w:vAlign w:val="center"/>
          </w:tcPr>
          <w:p w14:paraId="0E27CA8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8"/>
                <w:sz w:val="21"/>
                <w:szCs w:val="21"/>
              </w:rPr>
              <w:t>超</w:t>
            </w:r>
            <w:r>
              <w:rPr>
                <w:rFonts w:hint="default" w:ascii="Times New Roman" w:hAnsi="Times New Roman" w:eastAsia="宋体" w:cs="Times New Roman"/>
                <w:color w:val="auto"/>
                <w:spacing w:val="10"/>
                <w:sz w:val="21"/>
                <w:szCs w:val="21"/>
              </w:rPr>
              <w:t>速</w:t>
            </w:r>
            <w:r>
              <w:rPr>
                <w:rFonts w:hint="default" w:ascii="Times New Roman" w:hAnsi="Times New Roman" w:eastAsia="宋体" w:cs="Times New Roman"/>
                <w:color w:val="auto"/>
                <w:spacing w:val="9"/>
                <w:sz w:val="21"/>
                <w:szCs w:val="21"/>
              </w:rPr>
              <w:t>、超量处理；未清除塑膜和卡扣，卡扣</w:t>
            </w:r>
            <w:r>
              <w:rPr>
                <w:rFonts w:hint="default" w:ascii="Times New Roman" w:hAnsi="Times New Roman" w:eastAsia="宋体" w:cs="Times New Roman"/>
                <w:color w:val="auto"/>
                <w:spacing w:val="10"/>
                <w:sz w:val="21"/>
                <w:szCs w:val="21"/>
              </w:rPr>
              <w:t>混</w:t>
            </w:r>
            <w:r>
              <w:rPr>
                <w:rFonts w:hint="default" w:ascii="Times New Roman" w:hAnsi="Times New Roman" w:eastAsia="宋体" w:cs="Times New Roman"/>
                <w:color w:val="auto"/>
                <w:spacing w:val="7"/>
                <w:sz w:val="21"/>
                <w:szCs w:val="21"/>
              </w:rPr>
              <w:t>入返工药</w:t>
            </w:r>
          </w:p>
        </w:tc>
        <w:tc>
          <w:tcPr>
            <w:tcW w:w="396" w:type="pct"/>
            <w:noWrap w:val="0"/>
            <w:vAlign w:val="center"/>
          </w:tcPr>
          <w:p w14:paraId="66C6665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r>
    </w:tbl>
    <w:p w14:paraId="494C16D4">
      <w:pPr>
        <w:rPr>
          <w:rFonts w:hint="default" w:ascii="Times New Roman" w:hAnsi="Times New Roman" w:cs="Times New Roman"/>
          <w:snapToGrid/>
          <w:color w:val="auto"/>
          <w:spacing w:val="-3"/>
          <w:sz w:val="24"/>
          <w:szCs w:val="24"/>
        </w:rPr>
      </w:pPr>
    </w:p>
    <w:p w14:paraId="66B8BB6A">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表5-</w:t>
      </w:r>
      <w:r>
        <w:rPr>
          <w:rFonts w:hint="eastAsia" w:cs="Times New Roman"/>
          <w:b/>
          <w:bCs/>
          <w:color w:val="auto"/>
          <w:kern w:val="0"/>
          <w:sz w:val="21"/>
          <w:szCs w:val="21"/>
          <w:lang w:val="en-US" w:eastAsia="zh-CN" w:bidi="ar"/>
        </w:rPr>
        <w:t>7</w:t>
      </w:r>
      <w:r>
        <w:rPr>
          <w:rFonts w:hint="default" w:ascii="Times New Roman" w:hAnsi="Times New Roman" w:eastAsia="宋体" w:cs="Times New Roman"/>
          <w:b/>
          <w:bCs/>
          <w:color w:val="auto"/>
          <w:kern w:val="0"/>
          <w:sz w:val="21"/>
          <w:szCs w:val="21"/>
          <w:lang w:val="en-US" w:eastAsia="zh-CN" w:bidi="ar"/>
        </w:rPr>
        <w:t xml:space="preserve">  物料贮存、运输过程危险性识别</w:t>
      </w:r>
    </w:p>
    <w:tbl>
      <w:tblPr>
        <w:tblStyle w:val="85"/>
        <w:tblW w:w="501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58"/>
        <w:gridCol w:w="1069"/>
        <w:gridCol w:w="905"/>
        <w:gridCol w:w="1469"/>
        <w:gridCol w:w="3638"/>
        <w:gridCol w:w="792"/>
      </w:tblGrid>
      <w:tr w14:paraId="3F0AED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275" w:type="pct"/>
            <w:noWrap w:val="0"/>
            <w:vAlign w:val="center"/>
          </w:tcPr>
          <w:p w14:paraId="66DE3BBF">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序 号</w:t>
            </w:r>
          </w:p>
        </w:tc>
        <w:tc>
          <w:tcPr>
            <w:tcW w:w="641" w:type="pct"/>
            <w:noWrap w:val="0"/>
            <w:vAlign w:val="center"/>
          </w:tcPr>
          <w:p w14:paraId="3169144D">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危险因素</w:t>
            </w:r>
          </w:p>
          <w:p w14:paraId="2634B3AE">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存在部位</w:t>
            </w:r>
          </w:p>
        </w:tc>
        <w:tc>
          <w:tcPr>
            <w:tcW w:w="543" w:type="pct"/>
            <w:noWrap w:val="0"/>
            <w:vAlign w:val="center"/>
          </w:tcPr>
          <w:p w14:paraId="4369071E">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生产作</w:t>
            </w:r>
          </w:p>
          <w:p w14:paraId="76330CED">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业过程</w:t>
            </w:r>
          </w:p>
        </w:tc>
        <w:tc>
          <w:tcPr>
            <w:tcW w:w="881" w:type="pct"/>
            <w:noWrap w:val="0"/>
            <w:vAlign w:val="center"/>
          </w:tcPr>
          <w:p w14:paraId="152BDF74">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产生危险、有害因素的原因</w:t>
            </w:r>
          </w:p>
        </w:tc>
        <w:tc>
          <w:tcPr>
            <w:tcW w:w="2182" w:type="pct"/>
            <w:noWrap w:val="0"/>
            <w:vAlign w:val="center"/>
          </w:tcPr>
          <w:p w14:paraId="1492C744">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发生作用的途径和变化规律</w:t>
            </w:r>
          </w:p>
        </w:tc>
        <w:tc>
          <w:tcPr>
            <w:tcW w:w="475" w:type="pct"/>
            <w:noWrap w:val="0"/>
            <w:vAlign w:val="center"/>
          </w:tcPr>
          <w:p w14:paraId="200E901F">
            <w:pPr>
              <w:autoSpaceDE w:val="0"/>
              <w:autoSpaceDN w:val="0"/>
              <w:spacing w:line="240" w:lineRule="auto"/>
              <w:ind w:left="0" w:right="0" w:firstLine="0"/>
              <w:jc w:val="center"/>
              <w:rPr>
                <w:rFonts w:hint="default" w:ascii="Times New Roman" w:hAnsi="Times New Roman" w:eastAsia="宋体" w:cs="Times New Roman"/>
                <w:b/>
                <w:bCs/>
                <w:color w:val="auto"/>
                <w:spacing w:val="8"/>
                <w:sz w:val="21"/>
                <w:szCs w:val="21"/>
              </w:rPr>
            </w:pPr>
            <w:r>
              <w:rPr>
                <w:rFonts w:hint="default" w:ascii="Times New Roman" w:hAnsi="Times New Roman" w:eastAsia="宋体" w:cs="Times New Roman"/>
                <w:b/>
                <w:bCs/>
                <w:color w:val="auto"/>
                <w:spacing w:val="8"/>
                <w:sz w:val="21"/>
                <w:szCs w:val="21"/>
              </w:rPr>
              <w:t>后果</w:t>
            </w:r>
          </w:p>
        </w:tc>
      </w:tr>
      <w:tr w14:paraId="205E87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6" w:hRule="atLeast"/>
        </w:trPr>
        <w:tc>
          <w:tcPr>
            <w:tcW w:w="275" w:type="pct"/>
            <w:vMerge w:val="restart"/>
            <w:tcBorders>
              <w:bottom w:val="nil"/>
            </w:tcBorders>
            <w:noWrap w:val="0"/>
            <w:vAlign w:val="center"/>
          </w:tcPr>
          <w:p w14:paraId="5FA17982">
            <w:pPr>
              <w:autoSpaceDE w:val="0"/>
              <w:autoSpaceDN w:val="0"/>
              <w:spacing w:before="57" w:line="195" w:lineRule="auto"/>
              <w:ind w:left="132"/>
              <w:jc w:val="center"/>
              <w:outlineLvl w:val="2"/>
              <w:rPr>
                <w:rFonts w:hint="default" w:ascii="Times New Roman" w:hAnsi="Times New Roman" w:eastAsia="Times New Roman" w:cs="Times New Roman"/>
                <w:color w:val="auto"/>
                <w:sz w:val="21"/>
                <w:szCs w:val="21"/>
              </w:rPr>
            </w:pPr>
            <w:bookmarkStart w:id="525" w:name="_Toc4090"/>
            <w:bookmarkStart w:id="526" w:name="_Toc32224"/>
            <w:bookmarkStart w:id="527" w:name="_Toc17398"/>
            <w:bookmarkStart w:id="528" w:name="_Toc32663"/>
            <w:r>
              <w:rPr>
                <w:rFonts w:hint="default" w:ascii="Times New Roman" w:hAnsi="Times New Roman" w:eastAsia="Times New Roman" w:cs="Times New Roman"/>
                <w:color w:val="auto"/>
                <w:sz w:val="21"/>
                <w:szCs w:val="21"/>
              </w:rPr>
              <w:t>1</w:t>
            </w:r>
            <w:bookmarkEnd w:id="525"/>
            <w:bookmarkEnd w:id="526"/>
            <w:bookmarkEnd w:id="527"/>
            <w:bookmarkEnd w:id="528"/>
          </w:p>
        </w:tc>
        <w:tc>
          <w:tcPr>
            <w:tcW w:w="641" w:type="pct"/>
            <w:vMerge w:val="restart"/>
            <w:tcBorders>
              <w:bottom w:val="nil"/>
            </w:tcBorders>
            <w:noWrap w:val="0"/>
            <w:vAlign w:val="center"/>
          </w:tcPr>
          <w:p w14:paraId="3505FB15">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成品中转</w:t>
            </w:r>
            <w:r>
              <w:rPr>
                <w:rFonts w:hint="default" w:ascii="Times New Roman" w:hAnsi="Times New Roman" w:eastAsia="宋体" w:cs="Times New Roman"/>
                <w:color w:val="auto"/>
                <w:spacing w:val="9"/>
                <w:sz w:val="21"/>
                <w:szCs w:val="21"/>
                <w:lang w:val="en-US" w:eastAsia="zh-CN"/>
              </w:rPr>
              <w:t>站台及炸药总库</w:t>
            </w:r>
          </w:p>
        </w:tc>
        <w:tc>
          <w:tcPr>
            <w:tcW w:w="543" w:type="pct"/>
            <w:vMerge w:val="restart"/>
            <w:tcBorders>
              <w:bottom w:val="nil"/>
            </w:tcBorders>
            <w:noWrap w:val="0"/>
            <w:vAlign w:val="center"/>
          </w:tcPr>
          <w:p w14:paraId="284DDCC7">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贮存</w:t>
            </w:r>
          </w:p>
        </w:tc>
        <w:tc>
          <w:tcPr>
            <w:tcW w:w="881" w:type="pct"/>
            <w:noWrap w:val="0"/>
            <w:vAlign w:val="center"/>
          </w:tcPr>
          <w:p w14:paraId="6133DB2F">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库内危险品放置违反规定</w:t>
            </w:r>
          </w:p>
        </w:tc>
        <w:tc>
          <w:tcPr>
            <w:tcW w:w="2182" w:type="pct"/>
            <w:noWrap w:val="0"/>
            <w:vAlign w:val="center"/>
          </w:tcPr>
          <w:p w14:paraId="0807569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危险品堆垛不符合要求，超高、未留足够安全通道、运输通道及堆垛间距；库房散热较差。由于包装后的炸药仍具有一定的温度，其组分中的氧化剂和可燃剂会缓慢反应，当热量得不到及时散发时易发生燃烧，乃至引起爆炸。</w:t>
            </w:r>
          </w:p>
        </w:tc>
        <w:tc>
          <w:tcPr>
            <w:tcW w:w="475" w:type="pct"/>
            <w:noWrap w:val="0"/>
            <w:vAlign w:val="center"/>
          </w:tcPr>
          <w:p w14:paraId="5FD3A65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火灾爆炸</w:t>
            </w:r>
          </w:p>
        </w:tc>
      </w:tr>
      <w:tr w14:paraId="659F75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275" w:type="pct"/>
            <w:vMerge w:val="continue"/>
            <w:tcBorders>
              <w:top w:val="nil"/>
              <w:bottom w:val="nil"/>
            </w:tcBorders>
            <w:noWrap w:val="0"/>
            <w:vAlign w:val="center"/>
          </w:tcPr>
          <w:p w14:paraId="1B6E58A7">
            <w:pPr>
              <w:autoSpaceDE w:val="0"/>
              <w:autoSpaceDN w:val="0"/>
              <w:jc w:val="center"/>
              <w:rPr>
                <w:rFonts w:hint="default" w:ascii="Times New Roman" w:hAnsi="Times New Roman" w:cs="Times New Roman"/>
                <w:color w:val="auto"/>
                <w:sz w:val="21"/>
                <w:szCs w:val="21"/>
              </w:rPr>
            </w:pPr>
          </w:p>
        </w:tc>
        <w:tc>
          <w:tcPr>
            <w:tcW w:w="641" w:type="pct"/>
            <w:vMerge w:val="continue"/>
            <w:tcBorders>
              <w:top w:val="nil"/>
              <w:bottom w:val="nil"/>
            </w:tcBorders>
            <w:noWrap w:val="0"/>
            <w:vAlign w:val="center"/>
          </w:tcPr>
          <w:p w14:paraId="1A9B55F5">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tcBorders>
              <w:top w:val="nil"/>
              <w:bottom w:val="nil"/>
            </w:tcBorders>
            <w:noWrap w:val="0"/>
            <w:vAlign w:val="center"/>
          </w:tcPr>
          <w:p w14:paraId="13097FEC">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52FA6AA6">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违反同库存放原则</w:t>
            </w:r>
          </w:p>
        </w:tc>
        <w:tc>
          <w:tcPr>
            <w:tcW w:w="2182" w:type="pct"/>
            <w:noWrap w:val="0"/>
            <w:vAlign w:val="center"/>
          </w:tcPr>
          <w:p w14:paraId="0A4752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未执行同库储存规定，废品、情况不明及互相抵触的危险品同库存放，易发生燃烧、爆炸。</w:t>
            </w:r>
          </w:p>
        </w:tc>
        <w:tc>
          <w:tcPr>
            <w:tcW w:w="475" w:type="pct"/>
            <w:noWrap w:val="0"/>
            <w:vAlign w:val="center"/>
          </w:tcPr>
          <w:p w14:paraId="368792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火灾爆炸</w:t>
            </w:r>
          </w:p>
        </w:tc>
      </w:tr>
      <w:tr w14:paraId="66723F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275" w:type="pct"/>
            <w:vMerge w:val="continue"/>
            <w:tcBorders>
              <w:top w:val="nil"/>
              <w:bottom w:val="nil"/>
            </w:tcBorders>
            <w:noWrap w:val="0"/>
            <w:vAlign w:val="center"/>
          </w:tcPr>
          <w:p w14:paraId="5EF38991">
            <w:pPr>
              <w:autoSpaceDE w:val="0"/>
              <w:autoSpaceDN w:val="0"/>
              <w:jc w:val="center"/>
              <w:rPr>
                <w:rFonts w:hint="default" w:ascii="Times New Roman" w:hAnsi="Times New Roman" w:cs="Times New Roman"/>
                <w:color w:val="auto"/>
                <w:sz w:val="21"/>
                <w:szCs w:val="21"/>
              </w:rPr>
            </w:pPr>
          </w:p>
        </w:tc>
        <w:tc>
          <w:tcPr>
            <w:tcW w:w="641" w:type="pct"/>
            <w:vMerge w:val="continue"/>
            <w:tcBorders>
              <w:top w:val="nil"/>
              <w:bottom w:val="nil"/>
            </w:tcBorders>
            <w:noWrap w:val="0"/>
            <w:vAlign w:val="center"/>
          </w:tcPr>
          <w:p w14:paraId="1B182368">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tcBorders>
              <w:top w:val="nil"/>
              <w:bottom w:val="nil"/>
            </w:tcBorders>
            <w:noWrap w:val="0"/>
            <w:vAlign w:val="center"/>
          </w:tcPr>
          <w:p w14:paraId="3C467350">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395DA5EB">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违反搬运操作规定</w:t>
            </w:r>
          </w:p>
        </w:tc>
        <w:tc>
          <w:tcPr>
            <w:tcW w:w="2182" w:type="pct"/>
            <w:noWrap w:val="0"/>
            <w:vAlign w:val="center"/>
          </w:tcPr>
          <w:p w14:paraId="6286FE5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未执行轻拿、轻放，稳步慢行规定，野蛮装卸，危险品装车不稳，发生坠落，易发生燃烧、爆炸。</w:t>
            </w:r>
          </w:p>
        </w:tc>
        <w:tc>
          <w:tcPr>
            <w:tcW w:w="475" w:type="pct"/>
            <w:noWrap w:val="0"/>
            <w:vAlign w:val="center"/>
          </w:tcPr>
          <w:p w14:paraId="266768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4CE159C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爆炸</w:t>
            </w:r>
          </w:p>
        </w:tc>
      </w:tr>
      <w:tr w14:paraId="66C831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275" w:type="pct"/>
            <w:vMerge w:val="continue"/>
            <w:tcBorders>
              <w:top w:val="nil"/>
              <w:bottom w:val="nil"/>
            </w:tcBorders>
            <w:noWrap w:val="0"/>
            <w:vAlign w:val="center"/>
          </w:tcPr>
          <w:p w14:paraId="13ED44AC">
            <w:pPr>
              <w:autoSpaceDE w:val="0"/>
              <w:autoSpaceDN w:val="0"/>
              <w:jc w:val="center"/>
              <w:rPr>
                <w:rFonts w:hint="default" w:ascii="Times New Roman" w:hAnsi="Times New Roman" w:cs="Times New Roman"/>
                <w:color w:val="auto"/>
                <w:sz w:val="21"/>
                <w:szCs w:val="21"/>
              </w:rPr>
            </w:pPr>
          </w:p>
        </w:tc>
        <w:tc>
          <w:tcPr>
            <w:tcW w:w="641" w:type="pct"/>
            <w:vMerge w:val="continue"/>
            <w:tcBorders>
              <w:top w:val="nil"/>
              <w:bottom w:val="nil"/>
            </w:tcBorders>
            <w:noWrap w:val="0"/>
            <w:vAlign w:val="center"/>
          </w:tcPr>
          <w:p w14:paraId="6DADBA15">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tcBorders>
              <w:top w:val="nil"/>
              <w:bottom w:val="nil"/>
            </w:tcBorders>
            <w:noWrap w:val="0"/>
            <w:vAlign w:val="center"/>
          </w:tcPr>
          <w:p w14:paraId="30E31F3A">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0C5EB215">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人防、技防及犬防不到位</w:t>
            </w:r>
          </w:p>
        </w:tc>
        <w:tc>
          <w:tcPr>
            <w:tcW w:w="2182" w:type="pct"/>
            <w:noWrap w:val="0"/>
            <w:vAlign w:val="center"/>
          </w:tcPr>
          <w:p w14:paraId="57FFA5E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易造成破坏或危险流失带来社会危害。</w:t>
            </w:r>
          </w:p>
        </w:tc>
        <w:tc>
          <w:tcPr>
            <w:tcW w:w="475" w:type="pct"/>
            <w:noWrap w:val="0"/>
            <w:vAlign w:val="center"/>
          </w:tcPr>
          <w:p w14:paraId="61F6B1E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7025559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爆炸</w:t>
            </w:r>
          </w:p>
        </w:tc>
      </w:tr>
      <w:tr w14:paraId="7357E2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275" w:type="pct"/>
            <w:vMerge w:val="continue"/>
            <w:tcBorders>
              <w:top w:val="nil"/>
              <w:bottom w:val="nil"/>
            </w:tcBorders>
            <w:noWrap w:val="0"/>
            <w:vAlign w:val="center"/>
          </w:tcPr>
          <w:p w14:paraId="6479FD08">
            <w:pPr>
              <w:autoSpaceDE w:val="0"/>
              <w:autoSpaceDN w:val="0"/>
              <w:jc w:val="center"/>
              <w:rPr>
                <w:rFonts w:hint="default" w:ascii="Times New Roman" w:hAnsi="Times New Roman" w:cs="Times New Roman"/>
                <w:color w:val="auto"/>
                <w:sz w:val="21"/>
                <w:szCs w:val="21"/>
              </w:rPr>
            </w:pPr>
          </w:p>
        </w:tc>
        <w:tc>
          <w:tcPr>
            <w:tcW w:w="641" w:type="pct"/>
            <w:vMerge w:val="continue"/>
            <w:tcBorders>
              <w:top w:val="nil"/>
              <w:bottom w:val="nil"/>
            </w:tcBorders>
            <w:noWrap w:val="0"/>
            <w:vAlign w:val="center"/>
          </w:tcPr>
          <w:p w14:paraId="48E09D30">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tcBorders>
              <w:top w:val="nil"/>
              <w:bottom w:val="nil"/>
            </w:tcBorders>
            <w:noWrap w:val="0"/>
            <w:vAlign w:val="center"/>
          </w:tcPr>
          <w:p w14:paraId="61CE393C">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7D4A99F9">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在库房内违规开箱拆袋发放</w:t>
            </w:r>
          </w:p>
        </w:tc>
        <w:tc>
          <w:tcPr>
            <w:tcW w:w="2182" w:type="pct"/>
            <w:noWrap w:val="0"/>
            <w:vAlign w:val="center"/>
          </w:tcPr>
          <w:p w14:paraId="1274FA0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会因为操作失误，产生碰撞、掉落、静电等，易造成爆炸事故，并导致事故影响扩大。</w:t>
            </w:r>
          </w:p>
        </w:tc>
        <w:tc>
          <w:tcPr>
            <w:tcW w:w="475" w:type="pct"/>
            <w:noWrap w:val="0"/>
            <w:vAlign w:val="center"/>
          </w:tcPr>
          <w:p w14:paraId="42C600F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3E192E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爆炸</w:t>
            </w:r>
          </w:p>
        </w:tc>
      </w:tr>
      <w:tr w14:paraId="4FBCE9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275" w:type="pct"/>
            <w:vMerge w:val="continue"/>
            <w:tcBorders>
              <w:top w:val="nil"/>
              <w:bottom w:val="nil"/>
            </w:tcBorders>
            <w:noWrap w:val="0"/>
            <w:vAlign w:val="center"/>
          </w:tcPr>
          <w:p w14:paraId="54800A0D">
            <w:pPr>
              <w:autoSpaceDE w:val="0"/>
              <w:autoSpaceDN w:val="0"/>
              <w:jc w:val="center"/>
              <w:rPr>
                <w:rFonts w:hint="default" w:ascii="Times New Roman" w:hAnsi="Times New Roman" w:cs="Times New Roman"/>
                <w:color w:val="auto"/>
                <w:sz w:val="21"/>
                <w:szCs w:val="21"/>
              </w:rPr>
            </w:pPr>
          </w:p>
        </w:tc>
        <w:tc>
          <w:tcPr>
            <w:tcW w:w="641" w:type="pct"/>
            <w:vMerge w:val="continue"/>
            <w:tcBorders>
              <w:top w:val="nil"/>
              <w:bottom w:val="nil"/>
            </w:tcBorders>
            <w:noWrap w:val="0"/>
            <w:vAlign w:val="center"/>
          </w:tcPr>
          <w:p w14:paraId="185191FB">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tcBorders>
              <w:top w:val="nil"/>
              <w:bottom w:val="nil"/>
            </w:tcBorders>
            <w:noWrap w:val="0"/>
            <w:vAlign w:val="center"/>
          </w:tcPr>
          <w:p w14:paraId="7ABFA1C1">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5CB6F848">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库房管理不善</w:t>
            </w:r>
          </w:p>
        </w:tc>
        <w:tc>
          <w:tcPr>
            <w:tcW w:w="2182" w:type="pct"/>
            <w:noWrap w:val="0"/>
            <w:vAlign w:val="center"/>
          </w:tcPr>
          <w:p w14:paraId="4304855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鼠咬、水浸、油浸、潮湿、雨淋等直接危害爆炸物品的性能，会产生不安全因素，会导致燃烧、爆炸事故的发生。</w:t>
            </w:r>
          </w:p>
        </w:tc>
        <w:tc>
          <w:tcPr>
            <w:tcW w:w="475" w:type="pct"/>
            <w:noWrap w:val="0"/>
            <w:vAlign w:val="center"/>
          </w:tcPr>
          <w:p w14:paraId="2667DE3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0547BD0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04C067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continue"/>
            <w:tcBorders>
              <w:top w:val="nil"/>
              <w:bottom w:val="single" w:color="000000" w:sz="2" w:space="0"/>
            </w:tcBorders>
            <w:noWrap w:val="0"/>
            <w:vAlign w:val="center"/>
          </w:tcPr>
          <w:p w14:paraId="4AF72B7F">
            <w:pPr>
              <w:autoSpaceDE w:val="0"/>
              <w:autoSpaceDN w:val="0"/>
              <w:jc w:val="center"/>
              <w:rPr>
                <w:rFonts w:hint="default" w:ascii="Times New Roman" w:hAnsi="Times New Roman" w:cs="Times New Roman"/>
                <w:color w:val="auto"/>
                <w:sz w:val="21"/>
                <w:szCs w:val="21"/>
              </w:rPr>
            </w:pPr>
          </w:p>
        </w:tc>
        <w:tc>
          <w:tcPr>
            <w:tcW w:w="641" w:type="pct"/>
            <w:vMerge w:val="continue"/>
            <w:tcBorders>
              <w:top w:val="nil"/>
              <w:bottom w:val="single" w:color="000000" w:sz="2" w:space="0"/>
            </w:tcBorders>
            <w:noWrap w:val="0"/>
            <w:vAlign w:val="center"/>
          </w:tcPr>
          <w:p w14:paraId="24FA0209">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tcBorders>
              <w:top w:val="nil"/>
              <w:bottom w:val="single" w:color="000000" w:sz="2" w:space="0"/>
            </w:tcBorders>
            <w:noWrap w:val="0"/>
            <w:vAlign w:val="center"/>
          </w:tcPr>
          <w:p w14:paraId="4BCA5807">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02734FFD">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外部冲击波、静电、明火及雷击</w:t>
            </w:r>
          </w:p>
        </w:tc>
        <w:tc>
          <w:tcPr>
            <w:tcW w:w="2182" w:type="pct"/>
            <w:noWrap w:val="0"/>
            <w:vAlign w:val="center"/>
          </w:tcPr>
          <w:p w14:paraId="2CB3AB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均可能引起爆炸物品的燃烧或</w:t>
            </w:r>
            <w:r>
              <w:rPr>
                <w:rFonts w:hint="default" w:ascii="Times New Roman" w:hAnsi="Times New Roman" w:cs="Times New Roman"/>
                <w:color w:val="auto"/>
                <w:spacing w:val="9"/>
                <w:sz w:val="21"/>
                <w:szCs w:val="21"/>
                <w:lang w:val="en-US" w:eastAsia="zh-CN"/>
              </w:rPr>
              <w:t>爆炸</w:t>
            </w:r>
            <w:r>
              <w:rPr>
                <w:rFonts w:hint="default" w:ascii="Times New Roman" w:hAnsi="Times New Roman" w:eastAsia="宋体" w:cs="Times New Roman"/>
                <w:color w:val="auto"/>
                <w:spacing w:val="9"/>
                <w:sz w:val="21"/>
                <w:szCs w:val="21"/>
              </w:rPr>
              <w:t>。</w:t>
            </w:r>
          </w:p>
        </w:tc>
        <w:tc>
          <w:tcPr>
            <w:tcW w:w="475" w:type="pct"/>
            <w:noWrap w:val="0"/>
            <w:vAlign w:val="center"/>
          </w:tcPr>
          <w:p w14:paraId="1339100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6E514B9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5705D5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restart"/>
            <w:tcBorders>
              <w:top w:val="single" w:color="000000" w:sz="2" w:space="0"/>
            </w:tcBorders>
            <w:noWrap w:val="0"/>
            <w:vAlign w:val="center"/>
          </w:tcPr>
          <w:p w14:paraId="22E61ADE">
            <w:pPr>
              <w:autoSpaceDE w:val="0"/>
              <w:autoSpaceDN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641" w:type="pct"/>
            <w:vMerge w:val="restart"/>
            <w:tcBorders>
              <w:top w:val="single" w:color="000000" w:sz="2" w:space="0"/>
            </w:tcBorders>
            <w:noWrap w:val="0"/>
            <w:vAlign w:val="center"/>
          </w:tcPr>
          <w:p w14:paraId="09E7BFB0">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lang w:val="en-US" w:eastAsia="zh-CN"/>
              </w:rPr>
              <w:t>硝酸铵溶液储罐</w:t>
            </w:r>
          </w:p>
        </w:tc>
        <w:tc>
          <w:tcPr>
            <w:tcW w:w="543" w:type="pct"/>
            <w:vMerge w:val="restart"/>
            <w:tcBorders>
              <w:top w:val="single" w:color="000000" w:sz="2" w:space="0"/>
            </w:tcBorders>
            <w:noWrap w:val="0"/>
            <w:vAlign w:val="center"/>
          </w:tcPr>
          <w:p w14:paraId="5683DE6A">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贮存</w:t>
            </w:r>
          </w:p>
        </w:tc>
        <w:tc>
          <w:tcPr>
            <w:tcW w:w="881" w:type="pct"/>
            <w:noWrap w:val="0"/>
            <w:vAlign w:val="center"/>
          </w:tcPr>
          <w:p w14:paraId="28E35231">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lang w:val="en-US" w:eastAsia="zh-CN"/>
              </w:rPr>
              <w:t>违反卸料作业规定</w:t>
            </w:r>
          </w:p>
        </w:tc>
        <w:tc>
          <w:tcPr>
            <w:tcW w:w="2182" w:type="pct"/>
            <w:noWrap w:val="0"/>
            <w:vAlign w:val="center"/>
          </w:tcPr>
          <w:p w14:paraId="5824AE2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eastAsia" w:cs="Times New Roman"/>
                <w:color w:val="auto"/>
                <w:spacing w:val="9"/>
                <w:sz w:val="21"/>
                <w:szCs w:val="21"/>
                <w:lang w:eastAsia="zh-CN"/>
              </w:rPr>
              <w:t>（1）</w:t>
            </w:r>
            <w:r>
              <w:rPr>
                <w:rFonts w:hint="default" w:ascii="Times New Roman" w:hAnsi="Times New Roman" w:eastAsia="宋体" w:cs="Times New Roman"/>
                <w:color w:val="auto"/>
                <w:spacing w:val="9"/>
                <w:sz w:val="21"/>
                <w:szCs w:val="21"/>
              </w:rPr>
              <w:t>管路、阀门、密封件泄漏；</w:t>
            </w:r>
          </w:p>
          <w:p w14:paraId="415BAA5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eastAsia" w:cs="Times New Roman"/>
                <w:color w:val="auto"/>
                <w:spacing w:val="9"/>
                <w:sz w:val="21"/>
                <w:szCs w:val="21"/>
                <w:lang w:eastAsia="zh-CN"/>
              </w:rPr>
              <w:t>（2）</w:t>
            </w:r>
            <w:r>
              <w:rPr>
                <w:rFonts w:hint="default" w:ascii="Times New Roman" w:hAnsi="Times New Roman" w:eastAsia="宋体" w:cs="Times New Roman"/>
                <w:color w:val="auto"/>
                <w:spacing w:val="9"/>
                <w:sz w:val="21"/>
                <w:szCs w:val="21"/>
                <w:lang w:val="en-US" w:eastAsia="zh-CN"/>
              </w:rPr>
              <w:t>操作过程中</w:t>
            </w:r>
            <w:r>
              <w:rPr>
                <w:rFonts w:hint="default" w:ascii="Times New Roman" w:hAnsi="Times New Roman" w:eastAsia="宋体" w:cs="Times New Roman"/>
                <w:color w:val="auto"/>
                <w:spacing w:val="9"/>
                <w:sz w:val="21"/>
                <w:szCs w:val="21"/>
              </w:rPr>
              <w:t>遇明火；</w:t>
            </w:r>
          </w:p>
          <w:p w14:paraId="20683DD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eastAsia" w:cs="Times New Roman"/>
                <w:color w:val="auto"/>
                <w:spacing w:val="9"/>
                <w:sz w:val="21"/>
                <w:szCs w:val="21"/>
                <w:lang w:eastAsia="zh-CN"/>
              </w:rPr>
              <w:t>（3）</w:t>
            </w:r>
            <w:r>
              <w:rPr>
                <w:rFonts w:hint="default" w:ascii="Times New Roman" w:hAnsi="Times New Roman" w:eastAsia="宋体" w:cs="Times New Roman"/>
                <w:color w:val="auto"/>
                <w:spacing w:val="9"/>
                <w:sz w:val="21"/>
                <w:szCs w:val="21"/>
                <w:lang w:val="en-US" w:eastAsia="zh-CN"/>
              </w:rPr>
              <w:t>运输的槽车、</w:t>
            </w:r>
            <w:r>
              <w:rPr>
                <w:rFonts w:hint="default" w:ascii="Times New Roman" w:hAnsi="Times New Roman" w:eastAsia="宋体" w:cs="Times New Roman"/>
                <w:color w:val="auto"/>
                <w:spacing w:val="9"/>
                <w:sz w:val="21"/>
                <w:szCs w:val="21"/>
              </w:rPr>
              <w:t>管路未接地，静电聚积放电；</w:t>
            </w:r>
          </w:p>
          <w:p w14:paraId="5768389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eastAsia" w:cs="Times New Roman"/>
                <w:color w:val="auto"/>
                <w:spacing w:val="9"/>
                <w:sz w:val="21"/>
                <w:szCs w:val="21"/>
                <w:lang w:eastAsia="zh-CN"/>
              </w:rPr>
              <w:t>（4）</w:t>
            </w:r>
            <w:r>
              <w:rPr>
                <w:rFonts w:hint="default" w:ascii="Times New Roman" w:hAnsi="Times New Roman" w:eastAsia="宋体" w:cs="Times New Roman"/>
                <w:color w:val="auto"/>
                <w:spacing w:val="9"/>
                <w:sz w:val="21"/>
                <w:szCs w:val="21"/>
              </w:rPr>
              <w:t>卸料管结晶的硝酸铵使用发火工具处理；</w:t>
            </w:r>
          </w:p>
          <w:p w14:paraId="6E289F3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eastAsia" w:cs="Times New Roman"/>
                <w:color w:val="auto"/>
                <w:spacing w:val="9"/>
                <w:sz w:val="21"/>
                <w:szCs w:val="21"/>
                <w:lang w:eastAsia="zh-CN"/>
              </w:rPr>
              <w:t>（5）</w:t>
            </w:r>
            <w:r>
              <w:rPr>
                <w:rFonts w:hint="default" w:ascii="Times New Roman" w:hAnsi="Times New Roman" w:eastAsia="宋体" w:cs="Times New Roman"/>
                <w:color w:val="auto"/>
                <w:spacing w:val="9"/>
                <w:sz w:val="21"/>
                <w:szCs w:val="21"/>
              </w:rPr>
              <w:t>与运输车连接的快速接头未固定牢靠，硝酸铵水溶液泄漏；</w:t>
            </w:r>
          </w:p>
          <w:p w14:paraId="1EFFE32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rPr>
            </w:pPr>
            <w:r>
              <w:rPr>
                <w:rFonts w:hint="eastAsia" w:cs="Times New Roman"/>
                <w:color w:val="auto"/>
                <w:spacing w:val="9"/>
                <w:sz w:val="21"/>
                <w:szCs w:val="21"/>
                <w:lang w:eastAsia="zh-CN"/>
              </w:rPr>
              <w:t>（6）</w:t>
            </w:r>
            <w:r>
              <w:rPr>
                <w:rFonts w:hint="default" w:ascii="Times New Roman" w:hAnsi="Times New Roman" w:eastAsia="宋体" w:cs="Times New Roman"/>
                <w:color w:val="auto"/>
                <w:spacing w:val="9"/>
                <w:sz w:val="21"/>
                <w:szCs w:val="21"/>
              </w:rPr>
              <w:t>卸料时运输车发动机未熄火；</w:t>
            </w:r>
          </w:p>
          <w:p w14:paraId="3CA70F8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eastAsia" w:cs="Times New Roman"/>
                <w:color w:val="auto"/>
                <w:spacing w:val="9"/>
                <w:sz w:val="21"/>
                <w:szCs w:val="21"/>
                <w:lang w:eastAsia="zh-CN"/>
              </w:rPr>
              <w:t>（7）</w:t>
            </w:r>
            <w:r>
              <w:rPr>
                <w:rFonts w:hint="default" w:ascii="Times New Roman" w:hAnsi="Times New Roman" w:eastAsia="宋体" w:cs="Times New Roman"/>
                <w:color w:val="auto"/>
                <w:spacing w:val="9"/>
                <w:sz w:val="21"/>
                <w:szCs w:val="21"/>
              </w:rPr>
              <w:t>车辆未停稳或卸料时车辆移动、溜车，硝酸铵水溶液泄漏；</w:t>
            </w:r>
          </w:p>
        </w:tc>
        <w:tc>
          <w:tcPr>
            <w:tcW w:w="475" w:type="pct"/>
            <w:noWrap w:val="0"/>
            <w:vAlign w:val="center"/>
          </w:tcPr>
          <w:p w14:paraId="0C99204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2BB8D61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38B308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continue"/>
            <w:tcBorders>
              <w:bottom w:val="single" w:color="000000" w:sz="2" w:space="0"/>
            </w:tcBorders>
            <w:noWrap w:val="0"/>
            <w:vAlign w:val="center"/>
          </w:tcPr>
          <w:p w14:paraId="2D19B4BE">
            <w:pPr>
              <w:autoSpaceDE w:val="0"/>
              <w:autoSpaceDN w:val="0"/>
              <w:jc w:val="center"/>
              <w:rPr>
                <w:rFonts w:hint="default" w:ascii="Times New Roman" w:hAnsi="Times New Roman" w:cs="Times New Roman"/>
                <w:color w:val="auto"/>
                <w:sz w:val="21"/>
                <w:szCs w:val="21"/>
                <w:lang w:val="en-US" w:eastAsia="zh-CN"/>
              </w:rPr>
            </w:pPr>
          </w:p>
        </w:tc>
        <w:tc>
          <w:tcPr>
            <w:tcW w:w="641" w:type="pct"/>
            <w:vMerge w:val="continue"/>
            <w:tcBorders>
              <w:bottom w:val="single" w:color="000000" w:sz="2" w:space="0"/>
            </w:tcBorders>
            <w:noWrap w:val="0"/>
            <w:vAlign w:val="center"/>
          </w:tcPr>
          <w:p w14:paraId="0402F94F">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tcBorders>
              <w:bottom w:val="single" w:color="000000" w:sz="2" w:space="0"/>
            </w:tcBorders>
            <w:noWrap w:val="0"/>
            <w:vAlign w:val="center"/>
          </w:tcPr>
          <w:p w14:paraId="4253F70C">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1C3CBCF6">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lang w:val="en-US" w:eastAsia="zh-CN"/>
              </w:rPr>
              <w:t>违反日常管理规定</w:t>
            </w:r>
          </w:p>
        </w:tc>
        <w:tc>
          <w:tcPr>
            <w:tcW w:w="2182" w:type="pct"/>
            <w:noWrap w:val="0"/>
            <w:vAlign w:val="center"/>
          </w:tcPr>
          <w:p w14:paraId="0A257A5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eastAsia" w:cs="Times New Roman"/>
                <w:color w:val="auto"/>
                <w:spacing w:val="9"/>
                <w:sz w:val="21"/>
                <w:szCs w:val="21"/>
                <w:lang w:eastAsia="zh-CN"/>
              </w:rPr>
              <w:t>（1）</w:t>
            </w:r>
            <w:r>
              <w:rPr>
                <w:rFonts w:hint="default" w:ascii="Times New Roman" w:hAnsi="Times New Roman" w:eastAsia="宋体" w:cs="Times New Roman"/>
                <w:color w:val="auto"/>
                <w:spacing w:val="9"/>
                <w:sz w:val="21"/>
                <w:szCs w:val="21"/>
                <w:lang w:val="en-US" w:eastAsia="zh-CN"/>
              </w:rPr>
              <w:t>未进行日常检修维护，管路、阀门、密封件老化导致泄漏；</w:t>
            </w:r>
          </w:p>
          <w:p w14:paraId="2DE9A72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eastAsia" w:cs="Times New Roman"/>
                <w:color w:val="auto"/>
                <w:spacing w:val="9"/>
                <w:sz w:val="21"/>
                <w:szCs w:val="21"/>
                <w:lang w:eastAsia="zh-CN"/>
              </w:rPr>
              <w:t>（2）</w:t>
            </w:r>
            <w:r>
              <w:rPr>
                <w:rFonts w:hint="default" w:ascii="Times New Roman" w:hAnsi="Times New Roman" w:eastAsia="宋体" w:cs="Times New Roman"/>
                <w:color w:val="auto"/>
                <w:spacing w:val="9"/>
                <w:sz w:val="21"/>
                <w:szCs w:val="21"/>
                <w:lang w:val="en-US" w:eastAsia="zh-CN"/>
              </w:rPr>
              <w:t>未及时清理卸料管口的结晶；</w:t>
            </w:r>
          </w:p>
          <w:p w14:paraId="5B2A9A0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eastAsia" w:cs="Times New Roman"/>
                <w:color w:val="auto"/>
                <w:spacing w:val="9"/>
                <w:sz w:val="21"/>
                <w:szCs w:val="21"/>
                <w:lang w:eastAsia="zh-CN"/>
              </w:rPr>
              <w:t>（3）</w:t>
            </w:r>
            <w:r>
              <w:rPr>
                <w:rFonts w:hint="default" w:ascii="Times New Roman" w:hAnsi="Times New Roman" w:eastAsia="宋体" w:cs="Times New Roman"/>
                <w:color w:val="auto"/>
                <w:spacing w:val="9"/>
                <w:sz w:val="21"/>
                <w:szCs w:val="21"/>
                <w:lang w:val="en-US" w:eastAsia="zh-CN"/>
              </w:rPr>
              <w:t>罐区范围未按要求执行防火规定。</w:t>
            </w:r>
          </w:p>
        </w:tc>
        <w:tc>
          <w:tcPr>
            <w:tcW w:w="475" w:type="pct"/>
            <w:noWrap w:val="0"/>
            <w:vAlign w:val="center"/>
          </w:tcPr>
          <w:p w14:paraId="49748F3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1B2EFA0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爆炸</w:t>
            </w:r>
          </w:p>
        </w:tc>
      </w:tr>
      <w:tr w14:paraId="42DD60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restart"/>
            <w:tcBorders>
              <w:top w:val="single" w:color="000000" w:sz="2" w:space="0"/>
            </w:tcBorders>
            <w:noWrap w:val="0"/>
            <w:vAlign w:val="center"/>
          </w:tcPr>
          <w:p w14:paraId="55FB6454">
            <w:pPr>
              <w:autoSpaceDE w:val="0"/>
              <w:autoSpaceDN w:val="0"/>
              <w:spacing w:before="58" w:line="195" w:lineRule="auto"/>
              <w:ind w:left="111" w:leftChars="0"/>
              <w:jc w:val="center"/>
              <w:outlineLvl w:val="2"/>
              <w:rPr>
                <w:rFonts w:hint="default" w:ascii="Times New Roman" w:hAnsi="Times New Roman" w:eastAsia="宋体" w:cs="Times New Roman"/>
                <w:color w:val="auto"/>
                <w:kern w:val="2"/>
                <w:sz w:val="21"/>
                <w:szCs w:val="21"/>
                <w:lang w:val="en-US" w:eastAsia="zh-CN" w:bidi="ar-SA"/>
              </w:rPr>
            </w:pPr>
            <w:bookmarkStart w:id="529" w:name="_Toc21915"/>
            <w:bookmarkStart w:id="530" w:name="_Toc26129"/>
            <w:bookmarkStart w:id="531" w:name="_Toc2108"/>
            <w:bookmarkStart w:id="532" w:name="_Toc30226"/>
            <w:r>
              <w:rPr>
                <w:rFonts w:hint="default" w:ascii="Times New Roman" w:hAnsi="Times New Roman" w:eastAsia="宋体" w:cs="Times New Roman"/>
                <w:color w:val="auto"/>
                <w:spacing w:val="1"/>
                <w:sz w:val="21"/>
                <w:szCs w:val="21"/>
                <w:lang w:val="en-US" w:eastAsia="zh-CN"/>
              </w:rPr>
              <w:t>3</w:t>
            </w:r>
            <w:bookmarkEnd w:id="529"/>
            <w:bookmarkEnd w:id="530"/>
            <w:bookmarkEnd w:id="531"/>
            <w:bookmarkEnd w:id="532"/>
          </w:p>
        </w:tc>
        <w:tc>
          <w:tcPr>
            <w:tcW w:w="641" w:type="pct"/>
            <w:vMerge w:val="restart"/>
            <w:tcBorders>
              <w:top w:val="single" w:color="000000" w:sz="2" w:space="0"/>
            </w:tcBorders>
            <w:noWrap w:val="0"/>
            <w:vAlign w:val="center"/>
          </w:tcPr>
          <w:p w14:paraId="035670A5">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成品运输及混装车行驶</w:t>
            </w:r>
          </w:p>
        </w:tc>
        <w:tc>
          <w:tcPr>
            <w:tcW w:w="543" w:type="pct"/>
            <w:vMerge w:val="restart"/>
            <w:tcBorders>
              <w:top w:val="single" w:color="000000" w:sz="2" w:space="0"/>
            </w:tcBorders>
            <w:noWrap w:val="0"/>
            <w:vAlign w:val="center"/>
          </w:tcPr>
          <w:p w14:paraId="71CBF8E5">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运输</w:t>
            </w:r>
          </w:p>
        </w:tc>
        <w:tc>
          <w:tcPr>
            <w:tcW w:w="881" w:type="pct"/>
            <w:noWrap w:val="0"/>
            <w:vAlign w:val="center"/>
          </w:tcPr>
          <w:p w14:paraId="1E7CD542">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违规使用运输车辆</w:t>
            </w:r>
          </w:p>
        </w:tc>
        <w:tc>
          <w:tcPr>
            <w:tcW w:w="2182" w:type="pct"/>
            <w:noWrap w:val="0"/>
            <w:vAlign w:val="center"/>
          </w:tcPr>
          <w:p w14:paraId="57BC924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未使用符合要求的运输车，而使用三轮汽车、畜力车、翻斗车和挂车、独轮人力车和自行车等运输，易发生危险品丢失或交通意外引发燃烧、爆炸。</w:t>
            </w:r>
          </w:p>
        </w:tc>
        <w:tc>
          <w:tcPr>
            <w:tcW w:w="475" w:type="pct"/>
            <w:noWrap w:val="0"/>
            <w:vAlign w:val="center"/>
          </w:tcPr>
          <w:p w14:paraId="0B8348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713F208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16385A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continue"/>
            <w:noWrap w:val="0"/>
            <w:vAlign w:val="center"/>
          </w:tcPr>
          <w:p w14:paraId="50DB0032">
            <w:pPr>
              <w:autoSpaceDE w:val="0"/>
              <w:autoSpaceDN w:val="0"/>
              <w:jc w:val="center"/>
              <w:rPr>
                <w:rFonts w:hint="default" w:ascii="Times New Roman" w:hAnsi="Times New Roman" w:cs="Times New Roman"/>
                <w:color w:val="auto"/>
                <w:sz w:val="21"/>
                <w:szCs w:val="21"/>
              </w:rPr>
            </w:pPr>
          </w:p>
        </w:tc>
        <w:tc>
          <w:tcPr>
            <w:tcW w:w="641" w:type="pct"/>
            <w:vMerge w:val="continue"/>
            <w:noWrap w:val="0"/>
            <w:vAlign w:val="center"/>
          </w:tcPr>
          <w:p w14:paraId="66195973">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noWrap w:val="0"/>
            <w:vAlign w:val="center"/>
          </w:tcPr>
          <w:p w14:paraId="3A4EA90E">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21D82BAB">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违反同车运输规定</w:t>
            </w:r>
          </w:p>
        </w:tc>
        <w:tc>
          <w:tcPr>
            <w:tcW w:w="2182" w:type="pct"/>
            <w:noWrap w:val="0"/>
            <w:vAlign w:val="center"/>
          </w:tcPr>
          <w:p w14:paraId="60884C8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性质相抵触的危险品或与其他性质相抵触的危险品、不合格品等同车运输，易发生燃烧、爆炸事故。</w:t>
            </w:r>
          </w:p>
        </w:tc>
        <w:tc>
          <w:tcPr>
            <w:tcW w:w="475" w:type="pct"/>
            <w:noWrap w:val="0"/>
            <w:vAlign w:val="center"/>
          </w:tcPr>
          <w:p w14:paraId="228A42C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0151953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20EEA5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continue"/>
            <w:noWrap w:val="0"/>
            <w:vAlign w:val="center"/>
          </w:tcPr>
          <w:p w14:paraId="2146FB2C">
            <w:pPr>
              <w:autoSpaceDE w:val="0"/>
              <w:autoSpaceDN w:val="0"/>
              <w:jc w:val="center"/>
              <w:rPr>
                <w:rFonts w:hint="default" w:ascii="Times New Roman" w:hAnsi="Times New Roman" w:cs="Times New Roman"/>
                <w:color w:val="auto"/>
                <w:sz w:val="21"/>
                <w:szCs w:val="21"/>
              </w:rPr>
            </w:pPr>
          </w:p>
        </w:tc>
        <w:tc>
          <w:tcPr>
            <w:tcW w:w="641" w:type="pct"/>
            <w:vMerge w:val="continue"/>
            <w:noWrap w:val="0"/>
            <w:vAlign w:val="center"/>
          </w:tcPr>
          <w:p w14:paraId="43DF4231">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noWrap w:val="0"/>
            <w:vAlign w:val="center"/>
          </w:tcPr>
          <w:p w14:paraId="6388A429">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6D4623A9">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装车不符合要求</w:t>
            </w:r>
          </w:p>
        </w:tc>
        <w:tc>
          <w:tcPr>
            <w:tcW w:w="2182" w:type="pct"/>
            <w:noWrap w:val="0"/>
            <w:vAlign w:val="center"/>
          </w:tcPr>
          <w:p w14:paraId="1FF9FC6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装车不牢固，堆放不规范等，发生坠落、撞击和摩擦易导致运输爆炸物品发生意外。</w:t>
            </w:r>
          </w:p>
        </w:tc>
        <w:tc>
          <w:tcPr>
            <w:tcW w:w="475" w:type="pct"/>
            <w:noWrap w:val="0"/>
            <w:vAlign w:val="center"/>
          </w:tcPr>
          <w:p w14:paraId="58EC950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056406B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5928B8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continue"/>
            <w:noWrap w:val="0"/>
            <w:vAlign w:val="center"/>
          </w:tcPr>
          <w:p w14:paraId="5D040AC2">
            <w:pPr>
              <w:autoSpaceDE w:val="0"/>
              <w:autoSpaceDN w:val="0"/>
              <w:spacing w:before="58" w:line="195" w:lineRule="auto"/>
              <w:ind w:left="111" w:leftChars="0"/>
              <w:jc w:val="center"/>
              <w:outlineLvl w:val="2"/>
              <w:rPr>
                <w:rFonts w:hint="default" w:ascii="Times New Roman" w:hAnsi="Times New Roman" w:eastAsia="宋体" w:cs="Times New Roman"/>
                <w:color w:val="auto"/>
                <w:kern w:val="2"/>
                <w:sz w:val="21"/>
                <w:szCs w:val="21"/>
                <w:lang w:val="en-US" w:eastAsia="zh-CN" w:bidi="ar-SA"/>
              </w:rPr>
            </w:pPr>
          </w:p>
        </w:tc>
        <w:tc>
          <w:tcPr>
            <w:tcW w:w="641" w:type="pct"/>
            <w:vMerge w:val="continue"/>
            <w:noWrap w:val="0"/>
            <w:vAlign w:val="center"/>
          </w:tcPr>
          <w:p w14:paraId="70F41BB1">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p>
        </w:tc>
        <w:tc>
          <w:tcPr>
            <w:tcW w:w="543" w:type="pct"/>
            <w:vMerge w:val="continue"/>
            <w:noWrap w:val="0"/>
            <w:vAlign w:val="center"/>
          </w:tcPr>
          <w:p w14:paraId="6599F9CB">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p>
        </w:tc>
        <w:tc>
          <w:tcPr>
            <w:tcW w:w="881" w:type="pct"/>
            <w:noWrap w:val="0"/>
            <w:vAlign w:val="center"/>
          </w:tcPr>
          <w:p w14:paraId="7B870F55">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违反行车规定</w:t>
            </w:r>
          </w:p>
        </w:tc>
        <w:tc>
          <w:tcPr>
            <w:tcW w:w="2182" w:type="pct"/>
            <w:noWrap w:val="0"/>
            <w:vAlign w:val="center"/>
          </w:tcPr>
          <w:p w14:paraId="7E185A4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车辆超载、车辆故障、车速过快、运输路线不符及违规停车</w:t>
            </w:r>
            <w:r>
              <w:rPr>
                <w:rFonts w:hint="default" w:ascii="Times New Roman" w:hAnsi="Times New Roman" w:eastAsia="宋体" w:cs="Times New Roman"/>
                <w:color w:val="auto"/>
                <w:spacing w:val="9"/>
                <w:sz w:val="21"/>
                <w:szCs w:val="21"/>
                <w:lang w:eastAsia="zh-CN"/>
              </w:rPr>
              <w:t>（</w:t>
            </w:r>
            <w:r>
              <w:rPr>
                <w:rFonts w:hint="default" w:ascii="Times New Roman" w:hAnsi="Times New Roman" w:eastAsia="宋体" w:cs="Times New Roman"/>
                <w:color w:val="auto"/>
                <w:spacing w:val="9"/>
                <w:sz w:val="21"/>
                <w:szCs w:val="21"/>
              </w:rPr>
              <w:t>在人员集中处或不稳定处等</w:t>
            </w:r>
            <w:r>
              <w:rPr>
                <w:rFonts w:hint="default" w:ascii="Times New Roman" w:hAnsi="Times New Roman" w:eastAsia="宋体" w:cs="Times New Roman"/>
                <w:color w:val="auto"/>
                <w:spacing w:val="9"/>
                <w:sz w:val="21"/>
                <w:szCs w:val="21"/>
                <w:lang w:eastAsia="zh-CN"/>
              </w:rPr>
              <w:t>）</w:t>
            </w:r>
            <w:r>
              <w:rPr>
                <w:rFonts w:hint="default" w:ascii="Times New Roman" w:hAnsi="Times New Roman" w:eastAsia="宋体" w:cs="Times New Roman"/>
                <w:color w:val="auto"/>
                <w:spacing w:val="9"/>
                <w:sz w:val="21"/>
                <w:szCs w:val="21"/>
              </w:rPr>
              <w:t>，易造成车辆受损、人员伤害及燃烧，甚至爆炸事故。</w:t>
            </w:r>
          </w:p>
        </w:tc>
        <w:tc>
          <w:tcPr>
            <w:tcW w:w="475" w:type="pct"/>
            <w:noWrap w:val="0"/>
            <w:vAlign w:val="center"/>
          </w:tcPr>
          <w:p w14:paraId="7996BF9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132284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2EDDA6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vMerge w:val="continue"/>
            <w:noWrap w:val="0"/>
            <w:vAlign w:val="center"/>
          </w:tcPr>
          <w:p w14:paraId="05FDDDDE">
            <w:pPr>
              <w:autoSpaceDE w:val="0"/>
              <w:autoSpaceDN w:val="0"/>
              <w:jc w:val="center"/>
              <w:rPr>
                <w:rFonts w:hint="default" w:ascii="Times New Roman" w:hAnsi="Times New Roman" w:cs="Times New Roman"/>
                <w:color w:val="auto"/>
                <w:sz w:val="21"/>
                <w:szCs w:val="21"/>
              </w:rPr>
            </w:pPr>
          </w:p>
        </w:tc>
        <w:tc>
          <w:tcPr>
            <w:tcW w:w="641" w:type="pct"/>
            <w:vMerge w:val="continue"/>
            <w:noWrap w:val="0"/>
            <w:vAlign w:val="center"/>
          </w:tcPr>
          <w:p w14:paraId="2977BCE7">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543" w:type="pct"/>
            <w:vMerge w:val="continue"/>
            <w:noWrap w:val="0"/>
            <w:vAlign w:val="center"/>
          </w:tcPr>
          <w:p w14:paraId="26EA9F0D">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p>
        </w:tc>
        <w:tc>
          <w:tcPr>
            <w:tcW w:w="881" w:type="pct"/>
            <w:noWrap w:val="0"/>
            <w:vAlign w:val="center"/>
          </w:tcPr>
          <w:p w14:paraId="0B358F6F">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外部的冲击波、静电、明火及雷</w:t>
            </w:r>
          </w:p>
          <w:p w14:paraId="5E842AF3">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击等自然灾害</w:t>
            </w:r>
          </w:p>
        </w:tc>
        <w:tc>
          <w:tcPr>
            <w:tcW w:w="2182" w:type="pct"/>
            <w:noWrap w:val="0"/>
            <w:vAlign w:val="center"/>
          </w:tcPr>
          <w:p w14:paraId="73DB38B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外部的冲击波、静电、明火及雷击 等自然灾害的影响，均可能引起危险品 的燃烧或爆炸。</w:t>
            </w:r>
          </w:p>
        </w:tc>
        <w:tc>
          <w:tcPr>
            <w:tcW w:w="475" w:type="pct"/>
            <w:noWrap w:val="0"/>
            <w:vAlign w:val="center"/>
          </w:tcPr>
          <w:p w14:paraId="67E8D67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71536EE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rPr>
              <w:t>爆炸</w:t>
            </w:r>
          </w:p>
        </w:tc>
      </w:tr>
      <w:tr w14:paraId="109E27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275" w:type="pct"/>
            <w:noWrap w:val="0"/>
            <w:vAlign w:val="center"/>
          </w:tcPr>
          <w:p w14:paraId="1A378DFC">
            <w:pPr>
              <w:autoSpaceDE w:val="0"/>
              <w:autoSpaceDN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641" w:type="pct"/>
            <w:noWrap w:val="0"/>
            <w:vAlign w:val="center"/>
          </w:tcPr>
          <w:p w14:paraId="38AA943E">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lang w:val="en-US" w:eastAsia="zh-CN"/>
              </w:rPr>
              <w:t>危险废物贮存</w:t>
            </w:r>
          </w:p>
        </w:tc>
        <w:tc>
          <w:tcPr>
            <w:tcW w:w="543" w:type="pct"/>
            <w:noWrap w:val="0"/>
            <w:vAlign w:val="center"/>
          </w:tcPr>
          <w:p w14:paraId="78BF0141">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lang w:val="en-US" w:eastAsia="zh-CN"/>
              </w:rPr>
              <w:t>贮存</w:t>
            </w:r>
          </w:p>
        </w:tc>
        <w:tc>
          <w:tcPr>
            <w:tcW w:w="881" w:type="pct"/>
            <w:noWrap w:val="0"/>
            <w:vAlign w:val="center"/>
          </w:tcPr>
          <w:p w14:paraId="12B219BC">
            <w:pPr>
              <w:autoSpaceDE w:val="0"/>
              <w:autoSpaceDN w:val="0"/>
              <w:spacing w:before="65" w:line="294" w:lineRule="auto"/>
              <w:ind w:left="110" w:leftChars="0" w:right="124" w:rightChars="0"/>
              <w:jc w:val="center"/>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lang w:val="en-US" w:eastAsia="zh-CN"/>
              </w:rPr>
              <w:t>未按要求对危险废物进行管理</w:t>
            </w:r>
          </w:p>
        </w:tc>
        <w:tc>
          <w:tcPr>
            <w:tcW w:w="2182" w:type="pct"/>
            <w:noWrap w:val="0"/>
            <w:vAlign w:val="center"/>
          </w:tcPr>
          <w:p w14:paraId="0DDD15B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left"/>
              <w:textAlignment w:val="auto"/>
              <w:rPr>
                <w:rFonts w:hint="default" w:ascii="Times New Roman" w:hAnsi="Times New Roman" w:eastAsia="宋体" w:cs="Times New Roman"/>
                <w:color w:val="auto"/>
                <w:spacing w:val="9"/>
                <w:sz w:val="21"/>
                <w:szCs w:val="21"/>
                <w:lang w:val="en-US" w:eastAsia="zh-CN"/>
              </w:rPr>
            </w:pPr>
            <w:r>
              <w:rPr>
                <w:rFonts w:hint="default" w:ascii="Times New Roman" w:hAnsi="Times New Roman" w:eastAsia="宋体" w:cs="Times New Roman"/>
                <w:color w:val="auto"/>
                <w:spacing w:val="9"/>
                <w:sz w:val="21"/>
                <w:szCs w:val="21"/>
                <w:lang w:val="en-US" w:eastAsia="zh-CN"/>
              </w:rPr>
              <w:t>超量贮存、防渗地面破损、包装破裂泄漏，未严禁明火。</w:t>
            </w:r>
          </w:p>
        </w:tc>
        <w:tc>
          <w:tcPr>
            <w:tcW w:w="475" w:type="pct"/>
            <w:noWrap w:val="0"/>
            <w:vAlign w:val="center"/>
          </w:tcPr>
          <w:p w14:paraId="297D22C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rPr>
              <w:t>火灾</w:t>
            </w:r>
          </w:p>
          <w:p w14:paraId="045861D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9"/>
                <w:sz w:val="21"/>
                <w:szCs w:val="21"/>
              </w:rPr>
            </w:pPr>
            <w:r>
              <w:rPr>
                <w:rFonts w:hint="default" w:ascii="Times New Roman" w:hAnsi="Times New Roman" w:eastAsia="宋体" w:cs="Times New Roman"/>
                <w:color w:val="auto"/>
                <w:spacing w:val="9"/>
                <w:sz w:val="21"/>
                <w:szCs w:val="21"/>
                <w:lang w:val="en-US" w:eastAsia="zh-CN"/>
              </w:rPr>
              <w:t>泄漏</w:t>
            </w:r>
          </w:p>
        </w:tc>
      </w:tr>
      <w:bookmarkEnd w:id="518"/>
    </w:tbl>
    <w:p w14:paraId="5F1EF9DC">
      <w:pPr>
        <w:keepNext w:val="0"/>
        <w:keepLines w:val="0"/>
        <w:widowControl/>
        <w:suppressLineNumbers w:val="0"/>
        <w:spacing w:line="360" w:lineRule="auto"/>
        <w:jc w:val="left"/>
        <w:outlineLvl w:val="9"/>
        <w:rPr>
          <w:rFonts w:hint="default" w:ascii="Times New Roman" w:hAnsi="Times New Roman" w:eastAsia="宋体" w:cs="Times New Roman"/>
          <w:b/>
          <w:bCs/>
          <w:color w:val="auto"/>
          <w:kern w:val="0"/>
          <w:sz w:val="28"/>
          <w:szCs w:val="28"/>
          <w:lang w:val="en-US" w:eastAsia="zh-CN" w:bidi="ar"/>
        </w:rPr>
      </w:pPr>
    </w:p>
    <w:p w14:paraId="22220628">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33" w:name="_Toc27343"/>
      <w:bookmarkStart w:id="534" w:name="_Toc18227"/>
      <w:bookmarkStart w:id="535" w:name="_Toc29035"/>
      <w:bookmarkStart w:id="536" w:name="_Toc18733"/>
      <w:bookmarkStart w:id="537" w:name="_Toc32260"/>
      <w:r>
        <w:rPr>
          <w:rFonts w:hint="default" w:ascii="Times New Roman" w:hAnsi="Times New Roman" w:eastAsia="宋体" w:cs="Times New Roman"/>
          <w:b/>
          <w:bCs/>
          <w:color w:val="auto"/>
          <w:kern w:val="0"/>
          <w:sz w:val="28"/>
          <w:szCs w:val="28"/>
          <w:lang w:val="en-US" w:eastAsia="zh-CN" w:bidi="ar"/>
        </w:rPr>
        <w:t>5.3风险识别结果</w:t>
      </w:r>
      <w:bookmarkEnd w:id="533"/>
      <w:bookmarkEnd w:id="534"/>
      <w:bookmarkEnd w:id="535"/>
      <w:bookmarkEnd w:id="536"/>
      <w:bookmarkEnd w:id="537"/>
    </w:p>
    <w:p w14:paraId="6FDE43C3">
      <w:pPr>
        <w:widowControl/>
        <w:adjustRightInd w:val="0"/>
        <w:snapToGrid w:val="0"/>
        <w:spacing w:line="360" w:lineRule="auto"/>
        <w:ind w:firstLine="480" w:firstLineChars="200"/>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sz w:val="24"/>
          <w:szCs w:val="24"/>
        </w:rPr>
        <w:t>根据物质、生产系统的危险性识别，本项目存在的环境风险类型主要为危险物质泄漏以及火灾爆炸引发的次生污染物排放。空气、水体和土壤等环境要素是危险性物质向环境转移最基本的途径，同时这三种要素之间又随时发生着物质和能量的传递，污染物进入环境后，随着空气和水体环境发生推流迁移、分散稀释和降解转化运动。本项目环境风险类型汇总见下</w:t>
      </w:r>
      <w:r>
        <w:rPr>
          <w:rFonts w:hint="eastAsia" w:ascii="Times New Roman" w:hAnsi="Times New Roman" w:cs="Times New Roman"/>
          <w:color w:val="auto"/>
          <w:sz w:val="24"/>
          <w:szCs w:val="24"/>
          <w:lang w:eastAsia="zh-CN"/>
        </w:rPr>
        <w:t>表</w:t>
      </w:r>
      <w:r>
        <w:rPr>
          <w:rFonts w:hint="eastAsia" w:cs="Times New Roman"/>
          <w:color w:val="auto"/>
          <w:sz w:val="24"/>
          <w:szCs w:val="24"/>
          <w:highlight w:val="none"/>
          <w:lang w:val="en-US" w:eastAsia="zh-CN"/>
        </w:rPr>
        <w:t>5-8</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lang w:val="zh-CN"/>
        </w:rPr>
        <w:t>危险单元分</w:t>
      </w:r>
      <w:r>
        <w:rPr>
          <w:rFonts w:hint="default" w:ascii="Times New Roman" w:hAnsi="Times New Roman" w:cs="Times New Roman"/>
          <w:color w:val="auto"/>
          <w:sz w:val="24"/>
          <w:szCs w:val="24"/>
          <w:highlight w:val="none"/>
          <w:lang w:val="zh-CN"/>
        </w:rPr>
        <w:t>布见图</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zh-CN"/>
        </w:rPr>
        <w:t>-</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zh-CN"/>
        </w:rPr>
        <w:t>。</w:t>
      </w:r>
    </w:p>
    <w:p w14:paraId="205B07BE">
      <w:pPr>
        <w:keepNext w:val="0"/>
        <w:keepLines w:val="0"/>
        <w:widowControl/>
        <w:suppressLineNumbers w:val="0"/>
        <w:spacing w:line="240" w:lineRule="auto"/>
        <w:ind w:firstLine="422" w:firstLineChars="200"/>
        <w:jc w:val="center"/>
        <w:rPr>
          <w:rFonts w:hint="default" w:ascii="宋体" w:hAnsi="宋体" w:eastAsia="宋体" w:cs="宋体"/>
          <w:b/>
          <w:bCs/>
          <w:color w:val="auto"/>
          <w:kern w:val="0"/>
          <w:sz w:val="21"/>
          <w:szCs w:val="21"/>
          <w:lang w:val="en-US" w:eastAsia="zh-CN" w:bidi="ar"/>
        </w:rPr>
      </w:pPr>
      <w:r>
        <w:rPr>
          <w:rFonts w:hint="default" w:ascii="宋体" w:hAnsi="宋体" w:eastAsia="宋体" w:cs="宋体"/>
          <w:b/>
          <w:bCs/>
          <w:color w:val="auto"/>
          <w:kern w:val="0"/>
          <w:sz w:val="21"/>
          <w:szCs w:val="21"/>
          <w:lang w:val="en-US" w:eastAsia="zh-CN" w:bidi="ar"/>
        </w:rPr>
        <w:t>表</w:t>
      </w:r>
      <w:r>
        <w:rPr>
          <w:rFonts w:hint="eastAsia" w:ascii="宋体" w:hAnsi="宋体" w:eastAsia="宋体" w:cs="宋体"/>
          <w:b/>
          <w:bCs/>
          <w:color w:val="auto"/>
          <w:kern w:val="0"/>
          <w:sz w:val="21"/>
          <w:szCs w:val="21"/>
          <w:lang w:val="en-US" w:eastAsia="zh-CN" w:bidi="ar"/>
        </w:rPr>
        <w:t>5-</w:t>
      </w:r>
      <w:r>
        <w:rPr>
          <w:rFonts w:hint="eastAsia" w:ascii="宋体" w:hAnsi="宋体" w:cs="宋体"/>
          <w:b/>
          <w:bCs/>
          <w:color w:val="auto"/>
          <w:kern w:val="0"/>
          <w:sz w:val="21"/>
          <w:szCs w:val="21"/>
          <w:lang w:val="en-US" w:eastAsia="zh-CN" w:bidi="ar"/>
        </w:rPr>
        <w:t>8</w:t>
      </w:r>
      <w:r>
        <w:rPr>
          <w:rFonts w:hint="default" w:ascii="宋体" w:hAnsi="宋体" w:eastAsia="宋体" w:cs="宋体"/>
          <w:b/>
          <w:bCs/>
          <w:color w:val="auto"/>
          <w:kern w:val="0"/>
          <w:sz w:val="21"/>
          <w:szCs w:val="21"/>
          <w:lang w:val="en-US" w:eastAsia="zh-CN" w:bidi="ar"/>
        </w:rPr>
        <w:t xml:space="preserve">   风险识别结果</w:t>
      </w:r>
    </w:p>
    <w:tbl>
      <w:tblPr>
        <w:tblStyle w:val="85"/>
        <w:tblW w:w="852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8"/>
        <w:gridCol w:w="1897"/>
        <w:gridCol w:w="1494"/>
        <w:gridCol w:w="869"/>
        <w:gridCol w:w="913"/>
        <w:gridCol w:w="1485"/>
        <w:gridCol w:w="1360"/>
      </w:tblGrid>
      <w:tr w14:paraId="0B0750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7" w:hRule="atLeast"/>
        </w:trPr>
        <w:tc>
          <w:tcPr>
            <w:tcW w:w="508" w:type="dxa"/>
            <w:noWrap w:val="0"/>
            <w:vAlign w:val="center"/>
          </w:tcPr>
          <w:p w14:paraId="25560C81">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序</w:t>
            </w:r>
          </w:p>
          <w:p w14:paraId="510D070D">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号</w:t>
            </w:r>
          </w:p>
        </w:tc>
        <w:tc>
          <w:tcPr>
            <w:tcW w:w="1897" w:type="dxa"/>
            <w:noWrap w:val="0"/>
            <w:vAlign w:val="center"/>
          </w:tcPr>
          <w:p w14:paraId="3B4B253F">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危险单元</w:t>
            </w:r>
          </w:p>
        </w:tc>
        <w:tc>
          <w:tcPr>
            <w:tcW w:w="1494" w:type="dxa"/>
            <w:noWrap w:val="0"/>
            <w:vAlign w:val="center"/>
          </w:tcPr>
          <w:p w14:paraId="04F57389">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风险源</w:t>
            </w:r>
          </w:p>
        </w:tc>
        <w:tc>
          <w:tcPr>
            <w:tcW w:w="869" w:type="dxa"/>
            <w:noWrap w:val="0"/>
            <w:textDirection w:val="tbRlV"/>
            <w:vAlign w:val="center"/>
          </w:tcPr>
          <w:p w14:paraId="687248D2">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要险质 主危物</w:t>
            </w:r>
          </w:p>
        </w:tc>
        <w:tc>
          <w:tcPr>
            <w:tcW w:w="913" w:type="dxa"/>
            <w:noWrap w:val="0"/>
            <w:vAlign w:val="center"/>
          </w:tcPr>
          <w:p w14:paraId="6B27FFB8">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环境风险类型</w:t>
            </w:r>
          </w:p>
        </w:tc>
        <w:tc>
          <w:tcPr>
            <w:tcW w:w="1485" w:type="dxa"/>
            <w:noWrap w:val="0"/>
            <w:vAlign w:val="center"/>
          </w:tcPr>
          <w:p w14:paraId="01F252B3">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环境影响途径</w:t>
            </w:r>
          </w:p>
        </w:tc>
        <w:tc>
          <w:tcPr>
            <w:tcW w:w="1360" w:type="dxa"/>
            <w:noWrap w:val="0"/>
            <w:vAlign w:val="center"/>
          </w:tcPr>
          <w:p w14:paraId="523E9D4D">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可能受影响</w:t>
            </w:r>
          </w:p>
          <w:p w14:paraId="5FF8A735">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的环境敏感</w:t>
            </w:r>
          </w:p>
          <w:p w14:paraId="07ED0456">
            <w:pPr>
              <w:autoSpaceDE w:val="0"/>
              <w:autoSpaceDN w:val="0"/>
              <w:spacing w:line="240" w:lineRule="auto"/>
              <w:ind w:left="0"/>
              <w:jc w:val="center"/>
              <w:rPr>
                <w:rFonts w:hint="default" w:ascii="Times New Roman" w:hAnsi="Times New Roman" w:eastAsia="宋体" w:cs="Times New Roman"/>
                <w:b/>
                <w:bCs/>
                <w:color w:val="auto"/>
                <w:spacing w:val="7"/>
                <w:sz w:val="21"/>
                <w:szCs w:val="21"/>
              </w:rPr>
            </w:pPr>
            <w:r>
              <w:rPr>
                <w:rFonts w:hint="default" w:ascii="Times New Roman" w:hAnsi="Times New Roman" w:eastAsia="宋体" w:cs="Times New Roman"/>
                <w:b/>
                <w:bCs/>
                <w:color w:val="auto"/>
                <w:spacing w:val="7"/>
                <w:sz w:val="21"/>
                <w:szCs w:val="21"/>
              </w:rPr>
              <w:t>目标</w:t>
            </w:r>
          </w:p>
        </w:tc>
      </w:tr>
      <w:tr w14:paraId="49E4FA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508" w:type="dxa"/>
            <w:noWrap w:val="0"/>
            <w:vAlign w:val="center"/>
          </w:tcPr>
          <w:p w14:paraId="120F2768">
            <w:pPr>
              <w:autoSpaceDE w:val="0"/>
              <w:autoSpaceDN w:val="0"/>
              <w:spacing w:line="240" w:lineRule="auto"/>
              <w:ind w:left="0"/>
              <w:jc w:val="center"/>
              <w:rPr>
                <w:rFonts w:hint="default" w:ascii="Times New Roman" w:hAnsi="Times New Roman" w:eastAsia="宋体" w:cs="Times New Roman"/>
                <w:color w:val="auto"/>
                <w:sz w:val="21"/>
                <w:szCs w:val="21"/>
                <w:lang w:val="en-US" w:eastAsia="zh-CN"/>
              </w:rPr>
            </w:pPr>
            <w:bookmarkStart w:id="538" w:name="OLE_LINK149" w:colFirst="5" w:colLast="6"/>
            <w:r>
              <w:rPr>
                <w:rFonts w:hint="eastAsia" w:cs="Times New Roman"/>
                <w:color w:val="auto"/>
                <w:sz w:val="21"/>
                <w:szCs w:val="21"/>
                <w:lang w:val="en-US" w:eastAsia="zh-CN"/>
              </w:rPr>
              <w:t>1</w:t>
            </w:r>
          </w:p>
        </w:tc>
        <w:tc>
          <w:tcPr>
            <w:tcW w:w="1897" w:type="dxa"/>
            <w:noWrap w:val="0"/>
            <w:vAlign w:val="center"/>
          </w:tcPr>
          <w:p w14:paraId="2FC9D7E9">
            <w:pPr>
              <w:keepNext w:val="0"/>
              <w:keepLines w:val="0"/>
              <w:pageBreakBefore w:val="0"/>
              <w:widowControl w:val="0"/>
              <w:kinsoku/>
              <w:wordWrap/>
              <w:overflowPunct/>
              <w:topLinePunct w:val="0"/>
              <w:autoSpaceDE w:val="0"/>
              <w:autoSpaceDN w:val="0"/>
              <w:bidi w:val="0"/>
              <w:adjustRightInd/>
              <w:snapToGrid/>
              <w:spacing w:line="228"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水</w:t>
            </w:r>
            <w:r>
              <w:rPr>
                <w:rFonts w:hint="eastAsia" w:cs="Times New Roman"/>
                <w:color w:val="auto"/>
                <w:spacing w:val="8"/>
                <w:sz w:val="21"/>
                <w:szCs w:val="21"/>
                <w:lang w:val="en-US" w:eastAsia="zh-CN"/>
              </w:rPr>
              <w:t>油</w:t>
            </w:r>
            <w:r>
              <w:rPr>
                <w:rFonts w:hint="default" w:ascii="Times New Roman" w:hAnsi="Times New Roman" w:eastAsia="宋体" w:cs="Times New Roman"/>
                <w:color w:val="auto"/>
                <w:spacing w:val="8"/>
                <w:sz w:val="21"/>
                <w:szCs w:val="21"/>
              </w:rPr>
              <w:t>相制备工房</w:t>
            </w:r>
          </w:p>
        </w:tc>
        <w:tc>
          <w:tcPr>
            <w:tcW w:w="1494" w:type="dxa"/>
            <w:noWrap w:val="0"/>
            <w:vAlign w:val="center"/>
          </w:tcPr>
          <w:p w14:paraId="358FCE95">
            <w:pPr>
              <w:keepNext w:val="0"/>
              <w:keepLines w:val="0"/>
              <w:pageBreakBefore w:val="0"/>
              <w:widowControl w:val="0"/>
              <w:kinsoku/>
              <w:wordWrap/>
              <w:overflowPunct/>
              <w:topLinePunct w:val="0"/>
              <w:autoSpaceDE w:val="0"/>
              <w:autoSpaceDN w:val="0"/>
              <w:bidi w:val="0"/>
              <w:adjustRightInd/>
              <w:snapToGrid/>
              <w:spacing w:line="22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生产线水相制</w:t>
            </w:r>
          </w:p>
          <w:p w14:paraId="335FDEE9">
            <w:pPr>
              <w:keepNext w:val="0"/>
              <w:keepLines w:val="0"/>
              <w:pageBreakBefore w:val="0"/>
              <w:widowControl w:val="0"/>
              <w:kinsoku/>
              <w:wordWrap/>
              <w:overflowPunct/>
              <w:topLinePunct w:val="0"/>
              <w:autoSpaceDE w:val="0"/>
              <w:autoSpaceDN w:val="0"/>
              <w:bidi w:val="0"/>
              <w:adjustRightInd/>
              <w:snapToGrid/>
              <w:spacing w:line="229"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6"/>
                <w:sz w:val="21"/>
                <w:szCs w:val="21"/>
              </w:rPr>
              <w:t>备工序</w:t>
            </w:r>
          </w:p>
        </w:tc>
        <w:tc>
          <w:tcPr>
            <w:tcW w:w="869" w:type="dxa"/>
            <w:noWrap w:val="0"/>
            <w:vAlign w:val="center"/>
          </w:tcPr>
          <w:p w14:paraId="2D1A7D0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硝</w:t>
            </w:r>
            <w:r>
              <w:rPr>
                <w:rFonts w:hint="default" w:ascii="Times New Roman" w:hAnsi="Times New Roman" w:eastAsia="宋体" w:cs="Times New Roman"/>
                <w:color w:val="auto"/>
                <w:spacing w:val="3"/>
                <w:sz w:val="21"/>
                <w:szCs w:val="21"/>
              </w:rPr>
              <w:t>酸</w:t>
            </w:r>
            <w:r>
              <w:rPr>
                <w:rFonts w:hint="default" w:ascii="Times New Roman" w:hAnsi="Times New Roman" w:eastAsia="宋体" w:cs="Times New Roman"/>
                <w:color w:val="auto"/>
                <w:sz w:val="21"/>
                <w:szCs w:val="21"/>
              </w:rPr>
              <w:t>铵</w:t>
            </w:r>
          </w:p>
        </w:tc>
        <w:tc>
          <w:tcPr>
            <w:tcW w:w="913" w:type="dxa"/>
            <w:noWrap w:val="0"/>
            <w:vAlign w:val="center"/>
          </w:tcPr>
          <w:p w14:paraId="520F25F9">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5"/>
                <w:sz w:val="21"/>
                <w:szCs w:val="21"/>
                <w:lang w:val="en-US" w:eastAsia="zh-CN"/>
              </w:rPr>
              <w:t>火灾</w:t>
            </w: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c>
          <w:tcPr>
            <w:tcW w:w="1485" w:type="dxa"/>
            <w:noWrap w:val="0"/>
            <w:vAlign w:val="center"/>
          </w:tcPr>
          <w:p w14:paraId="792908F2">
            <w:pPr>
              <w:keepNext w:val="0"/>
              <w:keepLines w:val="0"/>
              <w:pageBreakBefore w:val="0"/>
              <w:widowControl w:val="0"/>
              <w:kinsoku/>
              <w:wordWrap/>
              <w:overflowPunct/>
              <w:topLinePunct w:val="0"/>
              <w:autoSpaceDE w:val="0"/>
              <w:autoSpaceDN w:val="0"/>
              <w:bidi w:val="0"/>
              <w:adjustRightInd/>
              <w:snapToGrid/>
              <w:spacing w:line="222"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环</w:t>
            </w:r>
            <w:r>
              <w:rPr>
                <w:rFonts w:hint="default" w:ascii="Times New Roman" w:hAnsi="Times New Roman" w:eastAsia="宋体" w:cs="Times New Roman"/>
                <w:color w:val="auto"/>
                <w:spacing w:val="8"/>
                <w:sz w:val="21"/>
                <w:szCs w:val="21"/>
              </w:rPr>
              <w:t>境空气、地</w:t>
            </w:r>
          </w:p>
          <w:p w14:paraId="5234040E">
            <w:pPr>
              <w:keepNext w:val="0"/>
              <w:keepLines w:val="0"/>
              <w:pageBreakBefore w:val="0"/>
              <w:widowControl w:val="0"/>
              <w:kinsoku/>
              <w:wordWrap/>
              <w:overflowPunct/>
              <w:topLinePunct w:val="0"/>
              <w:autoSpaceDE w:val="0"/>
              <w:autoSpaceDN w:val="0"/>
              <w:bidi w:val="0"/>
              <w:adjustRightInd/>
              <w:snapToGrid/>
              <w:spacing w:line="22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表</w:t>
            </w:r>
            <w:r>
              <w:rPr>
                <w:rFonts w:hint="default" w:ascii="Times New Roman" w:hAnsi="Times New Roman" w:eastAsia="宋体" w:cs="Times New Roman"/>
                <w:color w:val="auto"/>
                <w:spacing w:val="-6"/>
                <w:sz w:val="21"/>
                <w:szCs w:val="21"/>
              </w:rPr>
              <w:t>水、地下水、</w:t>
            </w:r>
          </w:p>
          <w:p w14:paraId="1C6A0F2F">
            <w:pPr>
              <w:keepNext w:val="0"/>
              <w:keepLines w:val="0"/>
              <w:pageBreakBefore w:val="0"/>
              <w:widowControl w:val="0"/>
              <w:kinsoku/>
              <w:wordWrap/>
              <w:overflowPunct/>
              <w:topLinePunct w:val="0"/>
              <w:autoSpaceDE w:val="0"/>
              <w:autoSpaceDN w:val="0"/>
              <w:bidi w:val="0"/>
              <w:adjustRightInd/>
              <w:snapToGrid/>
              <w:spacing w:line="229"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土壤</w:t>
            </w:r>
          </w:p>
        </w:tc>
        <w:tc>
          <w:tcPr>
            <w:tcW w:w="1360" w:type="dxa"/>
            <w:noWrap w:val="0"/>
            <w:vAlign w:val="center"/>
          </w:tcPr>
          <w:p w14:paraId="1B94D0C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周边居民</w:t>
            </w:r>
            <w:r>
              <w:rPr>
                <w:rFonts w:hint="default" w:ascii="Times New Roman" w:hAnsi="Times New Roman" w:eastAsia="宋体" w:cs="Times New Roman"/>
                <w:color w:val="auto"/>
                <w:spacing w:val="5"/>
                <w:sz w:val="21"/>
                <w:szCs w:val="21"/>
              </w:rPr>
              <w:t>区、附近水</w:t>
            </w:r>
            <w:r>
              <w:rPr>
                <w:rFonts w:hint="default" w:ascii="Times New Roman" w:hAnsi="Times New Roman" w:eastAsia="宋体" w:cs="Times New Roman"/>
                <w:color w:val="auto"/>
                <w:spacing w:val="8"/>
                <w:sz w:val="21"/>
                <w:szCs w:val="21"/>
              </w:rPr>
              <w:t>体</w:t>
            </w:r>
            <w:r>
              <w:rPr>
                <w:rFonts w:hint="default" w:ascii="Times New Roman" w:hAnsi="Times New Roman" w:eastAsia="宋体" w:cs="Times New Roman"/>
                <w:color w:val="auto"/>
                <w:spacing w:val="7"/>
                <w:sz w:val="21"/>
                <w:szCs w:val="21"/>
              </w:rPr>
              <w:t>、土壤</w:t>
            </w:r>
          </w:p>
        </w:tc>
      </w:tr>
      <w:bookmarkEnd w:id="538"/>
      <w:tr w14:paraId="73C468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508" w:type="dxa"/>
            <w:noWrap w:val="0"/>
            <w:vAlign w:val="center"/>
          </w:tcPr>
          <w:p w14:paraId="3420D773">
            <w:pPr>
              <w:autoSpaceDE w:val="0"/>
              <w:autoSpaceDN w:val="0"/>
              <w:spacing w:line="240" w:lineRule="auto"/>
              <w:ind w:left="0" w:lef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1897" w:type="dxa"/>
            <w:noWrap w:val="0"/>
            <w:vAlign w:val="center"/>
          </w:tcPr>
          <w:p w14:paraId="10F67270">
            <w:pPr>
              <w:keepNext w:val="0"/>
              <w:keepLines w:val="0"/>
              <w:pageBreakBefore w:val="0"/>
              <w:widowControl w:val="0"/>
              <w:kinsoku/>
              <w:wordWrap/>
              <w:overflowPunct/>
              <w:topLinePunct w:val="0"/>
              <w:autoSpaceDE w:val="0"/>
              <w:autoSpaceDN w:val="0"/>
              <w:bidi w:val="0"/>
              <w:adjustRightInd/>
              <w:snapToGrid/>
              <w:spacing w:line="228"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1"/>
                <w:sz w:val="21"/>
                <w:szCs w:val="21"/>
              </w:rPr>
              <w:t>乳</w:t>
            </w:r>
            <w:r>
              <w:rPr>
                <w:rFonts w:hint="default" w:ascii="Times New Roman" w:hAnsi="Times New Roman" w:eastAsia="宋体" w:cs="Times New Roman"/>
                <w:color w:val="auto"/>
                <w:spacing w:val="8"/>
                <w:sz w:val="21"/>
                <w:szCs w:val="21"/>
              </w:rPr>
              <w:t>化炸药</w:t>
            </w:r>
            <w:r>
              <w:rPr>
                <w:rFonts w:hint="eastAsia" w:cs="Times New Roman"/>
                <w:color w:val="auto"/>
                <w:spacing w:val="8"/>
                <w:sz w:val="21"/>
                <w:szCs w:val="21"/>
                <w:lang w:val="en-US" w:eastAsia="zh-CN"/>
              </w:rPr>
              <w:t>震源药柱</w:t>
            </w:r>
            <w:r>
              <w:rPr>
                <w:rFonts w:hint="default" w:ascii="Times New Roman" w:hAnsi="Times New Roman" w:eastAsia="宋体" w:cs="Times New Roman"/>
                <w:color w:val="auto"/>
                <w:spacing w:val="8"/>
                <w:sz w:val="21"/>
                <w:szCs w:val="21"/>
              </w:rPr>
              <w:t>生产工房</w:t>
            </w:r>
          </w:p>
        </w:tc>
        <w:tc>
          <w:tcPr>
            <w:tcW w:w="1494" w:type="dxa"/>
            <w:noWrap w:val="0"/>
            <w:vAlign w:val="center"/>
          </w:tcPr>
          <w:p w14:paraId="25E809CD">
            <w:pPr>
              <w:keepNext w:val="0"/>
              <w:keepLines w:val="0"/>
              <w:pageBreakBefore w:val="0"/>
              <w:widowControl w:val="0"/>
              <w:kinsoku/>
              <w:wordWrap/>
              <w:overflowPunct/>
              <w:topLinePunct w:val="0"/>
              <w:autoSpaceDE w:val="0"/>
              <w:autoSpaceDN w:val="0"/>
              <w:bidi w:val="0"/>
              <w:adjustRightInd/>
              <w:snapToGrid/>
              <w:spacing w:line="222" w:lineRule="auto"/>
              <w:ind w:left="0" w:right="116" w:firstLine="1"/>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生产线制药</w:t>
            </w:r>
            <w:r>
              <w:rPr>
                <w:rFonts w:hint="default" w:ascii="Times New Roman" w:hAnsi="Times New Roman" w:eastAsia="宋体" w:cs="Times New Roman"/>
                <w:color w:val="auto"/>
                <w:spacing w:val="7"/>
                <w:sz w:val="21"/>
                <w:szCs w:val="21"/>
              </w:rPr>
              <w:t>、</w:t>
            </w:r>
            <w:r>
              <w:rPr>
                <w:rFonts w:hint="default" w:ascii="Times New Roman" w:hAnsi="Times New Roman" w:eastAsia="宋体" w:cs="Times New Roman"/>
                <w:color w:val="auto"/>
                <w:spacing w:val="8"/>
                <w:sz w:val="21"/>
                <w:szCs w:val="21"/>
              </w:rPr>
              <w:t>冷却</w:t>
            </w:r>
            <w:r>
              <w:rPr>
                <w:rFonts w:hint="eastAsia" w:cs="Times New Roman"/>
                <w:color w:val="auto"/>
                <w:spacing w:val="8"/>
                <w:sz w:val="21"/>
                <w:szCs w:val="21"/>
                <w:lang w:eastAsia="zh-CN"/>
              </w:rPr>
              <w:t>、</w:t>
            </w:r>
            <w:r>
              <w:rPr>
                <w:rFonts w:hint="default" w:ascii="Times New Roman" w:hAnsi="Times New Roman" w:eastAsia="宋体" w:cs="Times New Roman"/>
                <w:color w:val="auto"/>
                <w:spacing w:val="9"/>
                <w:sz w:val="21"/>
                <w:szCs w:val="21"/>
              </w:rPr>
              <w:t>装</w:t>
            </w:r>
            <w:r>
              <w:rPr>
                <w:rFonts w:hint="default" w:ascii="Times New Roman" w:hAnsi="Times New Roman" w:eastAsia="宋体" w:cs="Times New Roman"/>
                <w:color w:val="auto"/>
                <w:spacing w:val="8"/>
                <w:sz w:val="21"/>
                <w:szCs w:val="21"/>
              </w:rPr>
              <w:t>药、包</w:t>
            </w:r>
            <w:r>
              <w:rPr>
                <w:rFonts w:hint="default" w:ascii="Times New Roman" w:hAnsi="Times New Roman" w:eastAsia="宋体" w:cs="Times New Roman"/>
                <w:color w:val="auto"/>
                <w:spacing w:val="7"/>
                <w:sz w:val="21"/>
                <w:szCs w:val="21"/>
              </w:rPr>
              <w:t>装工</w:t>
            </w:r>
            <w:r>
              <w:rPr>
                <w:rFonts w:hint="default" w:ascii="Times New Roman" w:hAnsi="Times New Roman" w:eastAsia="宋体" w:cs="Times New Roman"/>
                <w:color w:val="auto"/>
                <w:spacing w:val="6"/>
                <w:sz w:val="21"/>
                <w:szCs w:val="21"/>
              </w:rPr>
              <w:t>序</w:t>
            </w:r>
          </w:p>
        </w:tc>
        <w:tc>
          <w:tcPr>
            <w:tcW w:w="869" w:type="dxa"/>
            <w:noWrap w:val="0"/>
            <w:vAlign w:val="center"/>
          </w:tcPr>
          <w:p w14:paraId="2B71643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硝</w:t>
            </w:r>
            <w:r>
              <w:rPr>
                <w:rFonts w:hint="default" w:ascii="Times New Roman" w:hAnsi="Times New Roman" w:eastAsia="宋体" w:cs="Times New Roman"/>
                <w:color w:val="auto"/>
                <w:spacing w:val="3"/>
                <w:sz w:val="21"/>
                <w:szCs w:val="21"/>
              </w:rPr>
              <w:t>酸</w:t>
            </w:r>
            <w:r>
              <w:rPr>
                <w:rFonts w:hint="default" w:ascii="Times New Roman" w:hAnsi="Times New Roman" w:eastAsia="宋体" w:cs="Times New Roman"/>
                <w:color w:val="auto"/>
                <w:sz w:val="21"/>
                <w:szCs w:val="21"/>
              </w:rPr>
              <w:t>铵</w:t>
            </w:r>
          </w:p>
        </w:tc>
        <w:tc>
          <w:tcPr>
            <w:tcW w:w="913" w:type="dxa"/>
            <w:noWrap w:val="0"/>
            <w:vAlign w:val="center"/>
          </w:tcPr>
          <w:p w14:paraId="001DF767">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5"/>
                <w:sz w:val="21"/>
                <w:szCs w:val="21"/>
                <w:lang w:val="en-US" w:eastAsia="zh-CN"/>
              </w:rPr>
              <w:t>火灾</w:t>
            </w: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c>
          <w:tcPr>
            <w:tcW w:w="1485" w:type="dxa"/>
            <w:noWrap w:val="0"/>
            <w:vAlign w:val="center"/>
          </w:tcPr>
          <w:p w14:paraId="285E8017">
            <w:pPr>
              <w:keepNext w:val="0"/>
              <w:keepLines w:val="0"/>
              <w:pageBreakBefore w:val="0"/>
              <w:widowControl w:val="0"/>
              <w:kinsoku/>
              <w:wordWrap/>
              <w:overflowPunct/>
              <w:topLinePunct w:val="0"/>
              <w:autoSpaceDE w:val="0"/>
              <w:autoSpaceDN w:val="0"/>
              <w:bidi w:val="0"/>
              <w:adjustRightInd/>
              <w:snapToGrid/>
              <w:spacing w:line="222"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环</w:t>
            </w:r>
            <w:r>
              <w:rPr>
                <w:rFonts w:hint="default" w:ascii="Times New Roman" w:hAnsi="Times New Roman" w:eastAsia="宋体" w:cs="Times New Roman"/>
                <w:color w:val="auto"/>
                <w:spacing w:val="8"/>
                <w:sz w:val="21"/>
                <w:szCs w:val="21"/>
              </w:rPr>
              <w:t>境空气、地</w:t>
            </w:r>
          </w:p>
          <w:p w14:paraId="22F8356F">
            <w:pPr>
              <w:keepNext w:val="0"/>
              <w:keepLines w:val="0"/>
              <w:pageBreakBefore w:val="0"/>
              <w:widowControl w:val="0"/>
              <w:kinsoku/>
              <w:wordWrap/>
              <w:overflowPunct/>
              <w:topLinePunct w:val="0"/>
              <w:autoSpaceDE w:val="0"/>
              <w:autoSpaceDN w:val="0"/>
              <w:bidi w:val="0"/>
              <w:adjustRightInd/>
              <w:snapToGrid/>
              <w:spacing w:line="22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表</w:t>
            </w:r>
            <w:r>
              <w:rPr>
                <w:rFonts w:hint="default" w:ascii="Times New Roman" w:hAnsi="Times New Roman" w:eastAsia="宋体" w:cs="Times New Roman"/>
                <w:color w:val="auto"/>
                <w:spacing w:val="-6"/>
                <w:sz w:val="21"/>
                <w:szCs w:val="21"/>
              </w:rPr>
              <w:t>水、地下水、</w:t>
            </w:r>
          </w:p>
          <w:p w14:paraId="68A321A3">
            <w:pPr>
              <w:keepNext w:val="0"/>
              <w:keepLines w:val="0"/>
              <w:pageBreakBefore w:val="0"/>
              <w:widowControl w:val="0"/>
              <w:kinsoku/>
              <w:wordWrap/>
              <w:overflowPunct/>
              <w:topLinePunct w:val="0"/>
              <w:autoSpaceDE w:val="0"/>
              <w:autoSpaceDN w:val="0"/>
              <w:bidi w:val="0"/>
              <w:adjustRightInd/>
              <w:snapToGrid/>
              <w:spacing w:line="229"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土壤</w:t>
            </w:r>
          </w:p>
        </w:tc>
        <w:tc>
          <w:tcPr>
            <w:tcW w:w="1360" w:type="dxa"/>
            <w:noWrap w:val="0"/>
            <w:vAlign w:val="center"/>
          </w:tcPr>
          <w:p w14:paraId="60DF0A4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周边居民</w:t>
            </w:r>
            <w:r>
              <w:rPr>
                <w:rFonts w:hint="default" w:ascii="Times New Roman" w:hAnsi="Times New Roman" w:eastAsia="宋体" w:cs="Times New Roman"/>
                <w:color w:val="auto"/>
                <w:spacing w:val="5"/>
                <w:sz w:val="21"/>
                <w:szCs w:val="21"/>
              </w:rPr>
              <w:t>区、附近水</w:t>
            </w:r>
            <w:r>
              <w:rPr>
                <w:rFonts w:hint="default" w:ascii="Times New Roman" w:hAnsi="Times New Roman" w:eastAsia="宋体" w:cs="Times New Roman"/>
                <w:color w:val="auto"/>
                <w:spacing w:val="8"/>
                <w:sz w:val="21"/>
                <w:szCs w:val="21"/>
              </w:rPr>
              <w:t>体</w:t>
            </w:r>
            <w:r>
              <w:rPr>
                <w:rFonts w:hint="default" w:ascii="Times New Roman" w:hAnsi="Times New Roman" w:eastAsia="宋体" w:cs="Times New Roman"/>
                <w:color w:val="auto"/>
                <w:spacing w:val="7"/>
                <w:sz w:val="21"/>
                <w:szCs w:val="21"/>
              </w:rPr>
              <w:t>、土壤</w:t>
            </w:r>
          </w:p>
        </w:tc>
      </w:tr>
      <w:tr w14:paraId="1F6448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508" w:type="dxa"/>
            <w:noWrap w:val="0"/>
            <w:vAlign w:val="center"/>
          </w:tcPr>
          <w:p w14:paraId="792646C5">
            <w:pPr>
              <w:autoSpaceDE w:val="0"/>
              <w:autoSpaceDN w:val="0"/>
              <w:spacing w:before="58" w:line="195" w:lineRule="auto"/>
              <w:ind w:left="203" w:leftChars="0"/>
              <w:rPr>
                <w:rFonts w:hint="default" w:ascii="Times New Roman" w:hAnsi="Times New Roman" w:eastAsia="Times New Roman"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3</w:t>
            </w:r>
          </w:p>
        </w:tc>
        <w:tc>
          <w:tcPr>
            <w:tcW w:w="1897" w:type="dxa"/>
            <w:noWrap w:val="0"/>
            <w:vAlign w:val="center"/>
          </w:tcPr>
          <w:p w14:paraId="36C8A787">
            <w:pPr>
              <w:keepNext w:val="0"/>
              <w:keepLines w:val="0"/>
              <w:pageBreakBefore w:val="0"/>
              <w:widowControl w:val="0"/>
              <w:kinsoku/>
              <w:wordWrap/>
              <w:overflowPunct/>
              <w:topLinePunct w:val="0"/>
              <w:autoSpaceDE w:val="0"/>
              <w:autoSpaceDN w:val="0"/>
              <w:bidi w:val="0"/>
              <w:adjustRightInd/>
              <w:snapToGrid/>
              <w:spacing w:line="228"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0"/>
                <w:sz w:val="21"/>
                <w:szCs w:val="21"/>
              </w:rPr>
              <w:t>不</w:t>
            </w:r>
            <w:r>
              <w:rPr>
                <w:rFonts w:hint="default" w:ascii="Times New Roman" w:hAnsi="Times New Roman" w:eastAsia="宋体" w:cs="Times New Roman"/>
                <w:color w:val="auto"/>
                <w:spacing w:val="8"/>
                <w:sz w:val="21"/>
                <w:szCs w:val="21"/>
              </w:rPr>
              <w:t>合格品处理工房</w:t>
            </w:r>
          </w:p>
        </w:tc>
        <w:tc>
          <w:tcPr>
            <w:tcW w:w="1494" w:type="dxa"/>
            <w:noWrap w:val="0"/>
            <w:vAlign w:val="center"/>
          </w:tcPr>
          <w:p w14:paraId="6851834C">
            <w:pPr>
              <w:keepNext w:val="0"/>
              <w:keepLines w:val="0"/>
              <w:pageBreakBefore w:val="0"/>
              <w:widowControl w:val="0"/>
              <w:kinsoku/>
              <w:wordWrap/>
              <w:overflowPunct/>
              <w:topLinePunct w:val="0"/>
              <w:autoSpaceDE w:val="0"/>
              <w:autoSpaceDN w:val="0"/>
              <w:bidi w:val="0"/>
              <w:adjustRightInd/>
              <w:snapToGrid/>
              <w:spacing w:line="238" w:lineRule="auto"/>
              <w:ind w:left="0" w:leftChars="0" w:right="116" w:rightChars="0" w:hanging="419"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1"/>
                <w:sz w:val="21"/>
                <w:szCs w:val="21"/>
              </w:rPr>
              <w:t>不</w:t>
            </w:r>
            <w:r>
              <w:rPr>
                <w:rFonts w:hint="default" w:ascii="Times New Roman" w:hAnsi="Times New Roman" w:eastAsia="宋体" w:cs="Times New Roman"/>
                <w:color w:val="auto"/>
                <w:spacing w:val="7"/>
                <w:sz w:val="21"/>
                <w:szCs w:val="21"/>
              </w:rPr>
              <w:t>合格品处理</w:t>
            </w:r>
            <w:r>
              <w:rPr>
                <w:rFonts w:hint="default" w:ascii="Times New Roman" w:hAnsi="Times New Roman" w:eastAsia="宋体" w:cs="Times New Roman"/>
                <w:color w:val="auto"/>
                <w:spacing w:val="4"/>
                <w:sz w:val="21"/>
                <w:szCs w:val="21"/>
              </w:rPr>
              <w:t>工</w:t>
            </w:r>
            <w:r>
              <w:rPr>
                <w:rFonts w:hint="default" w:ascii="Times New Roman" w:hAnsi="Times New Roman" w:eastAsia="宋体" w:cs="Times New Roman"/>
                <w:color w:val="auto"/>
                <w:spacing w:val="3"/>
                <w:sz w:val="21"/>
                <w:szCs w:val="21"/>
              </w:rPr>
              <w:t>序</w:t>
            </w:r>
          </w:p>
        </w:tc>
        <w:tc>
          <w:tcPr>
            <w:tcW w:w="869" w:type="dxa"/>
            <w:noWrap w:val="0"/>
            <w:vAlign w:val="center"/>
          </w:tcPr>
          <w:p w14:paraId="0EF579C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硝</w:t>
            </w:r>
            <w:r>
              <w:rPr>
                <w:rFonts w:hint="default" w:ascii="Times New Roman" w:hAnsi="Times New Roman" w:eastAsia="宋体" w:cs="Times New Roman"/>
                <w:color w:val="auto"/>
                <w:spacing w:val="3"/>
                <w:sz w:val="21"/>
                <w:szCs w:val="21"/>
              </w:rPr>
              <w:t>酸</w:t>
            </w:r>
            <w:r>
              <w:rPr>
                <w:rFonts w:hint="default" w:ascii="Times New Roman" w:hAnsi="Times New Roman" w:eastAsia="宋体" w:cs="Times New Roman"/>
                <w:color w:val="auto"/>
                <w:sz w:val="21"/>
                <w:szCs w:val="21"/>
              </w:rPr>
              <w:t>铵</w:t>
            </w:r>
          </w:p>
        </w:tc>
        <w:tc>
          <w:tcPr>
            <w:tcW w:w="913" w:type="dxa"/>
            <w:noWrap w:val="0"/>
            <w:vAlign w:val="center"/>
          </w:tcPr>
          <w:p w14:paraId="2A693E04">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5"/>
                <w:sz w:val="21"/>
                <w:szCs w:val="21"/>
                <w:lang w:val="en-US" w:eastAsia="zh-CN"/>
              </w:rPr>
              <w:t>火灾</w:t>
            </w: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c>
          <w:tcPr>
            <w:tcW w:w="1485" w:type="dxa"/>
            <w:noWrap w:val="0"/>
            <w:vAlign w:val="center"/>
          </w:tcPr>
          <w:p w14:paraId="2BDABEE4">
            <w:pPr>
              <w:keepNext w:val="0"/>
              <w:keepLines w:val="0"/>
              <w:pageBreakBefore w:val="0"/>
              <w:widowControl w:val="0"/>
              <w:kinsoku/>
              <w:wordWrap/>
              <w:overflowPunct/>
              <w:topLinePunct w:val="0"/>
              <w:autoSpaceDE w:val="0"/>
              <w:autoSpaceDN w:val="0"/>
              <w:bidi w:val="0"/>
              <w:adjustRightInd/>
              <w:snapToGrid/>
              <w:spacing w:line="222"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环</w:t>
            </w:r>
            <w:r>
              <w:rPr>
                <w:rFonts w:hint="default" w:ascii="Times New Roman" w:hAnsi="Times New Roman" w:eastAsia="宋体" w:cs="Times New Roman"/>
                <w:color w:val="auto"/>
                <w:spacing w:val="8"/>
                <w:sz w:val="21"/>
                <w:szCs w:val="21"/>
              </w:rPr>
              <w:t>境空气、地</w:t>
            </w:r>
          </w:p>
          <w:p w14:paraId="6E5B99C6">
            <w:pPr>
              <w:keepNext w:val="0"/>
              <w:keepLines w:val="0"/>
              <w:pageBreakBefore w:val="0"/>
              <w:widowControl w:val="0"/>
              <w:kinsoku/>
              <w:wordWrap/>
              <w:overflowPunct/>
              <w:topLinePunct w:val="0"/>
              <w:autoSpaceDE w:val="0"/>
              <w:autoSpaceDN w:val="0"/>
              <w:bidi w:val="0"/>
              <w:adjustRightInd/>
              <w:snapToGrid/>
              <w:spacing w:line="221"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表</w:t>
            </w:r>
            <w:r>
              <w:rPr>
                <w:rFonts w:hint="default" w:ascii="Times New Roman" w:hAnsi="Times New Roman" w:eastAsia="宋体" w:cs="Times New Roman"/>
                <w:color w:val="auto"/>
                <w:spacing w:val="-6"/>
                <w:sz w:val="21"/>
                <w:szCs w:val="21"/>
              </w:rPr>
              <w:t>水、地下水、</w:t>
            </w:r>
          </w:p>
          <w:p w14:paraId="4BE1B486">
            <w:pPr>
              <w:keepNext w:val="0"/>
              <w:keepLines w:val="0"/>
              <w:pageBreakBefore w:val="0"/>
              <w:widowControl w:val="0"/>
              <w:kinsoku/>
              <w:wordWrap/>
              <w:overflowPunct/>
              <w:topLinePunct w:val="0"/>
              <w:autoSpaceDE w:val="0"/>
              <w:autoSpaceDN w:val="0"/>
              <w:bidi w:val="0"/>
              <w:adjustRightInd/>
              <w:snapToGrid/>
              <w:spacing w:line="229"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土壤</w:t>
            </w:r>
          </w:p>
        </w:tc>
        <w:tc>
          <w:tcPr>
            <w:tcW w:w="1360" w:type="dxa"/>
            <w:noWrap w:val="0"/>
            <w:vAlign w:val="center"/>
          </w:tcPr>
          <w:p w14:paraId="456588D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周边居民</w:t>
            </w:r>
            <w:r>
              <w:rPr>
                <w:rFonts w:hint="default" w:ascii="Times New Roman" w:hAnsi="Times New Roman" w:eastAsia="宋体" w:cs="Times New Roman"/>
                <w:color w:val="auto"/>
                <w:spacing w:val="5"/>
                <w:sz w:val="21"/>
                <w:szCs w:val="21"/>
              </w:rPr>
              <w:t>区、附近水</w:t>
            </w:r>
            <w:r>
              <w:rPr>
                <w:rFonts w:hint="default" w:ascii="Times New Roman" w:hAnsi="Times New Roman" w:eastAsia="宋体" w:cs="Times New Roman"/>
                <w:color w:val="auto"/>
                <w:spacing w:val="8"/>
                <w:sz w:val="21"/>
                <w:szCs w:val="21"/>
              </w:rPr>
              <w:t>体</w:t>
            </w:r>
            <w:r>
              <w:rPr>
                <w:rFonts w:hint="default" w:ascii="Times New Roman" w:hAnsi="Times New Roman" w:eastAsia="宋体" w:cs="Times New Roman"/>
                <w:color w:val="auto"/>
                <w:spacing w:val="7"/>
                <w:sz w:val="21"/>
                <w:szCs w:val="21"/>
              </w:rPr>
              <w:t>、土壤</w:t>
            </w:r>
          </w:p>
        </w:tc>
      </w:tr>
      <w:tr w14:paraId="2D64DB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508" w:type="dxa"/>
            <w:noWrap w:val="0"/>
            <w:vAlign w:val="center"/>
          </w:tcPr>
          <w:p w14:paraId="1A83073B">
            <w:pPr>
              <w:autoSpaceDE w:val="0"/>
              <w:autoSpaceDN w:val="0"/>
              <w:spacing w:before="58" w:line="195" w:lineRule="auto"/>
              <w:ind w:left="202" w:left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1"/>
                <w:sz w:val="21"/>
                <w:szCs w:val="21"/>
              </w:rPr>
              <w:t>4</w:t>
            </w:r>
          </w:p>
        </w:tc>
        <w:tc>
          <w:tcPr>
            <w:tcW w:w="1897" w:type="dxa"/>
            <w:noWrap w:val="0"/>
            <w:vAlign w:val="center"/>
          </w:tcPr>
          <w:p w14:paraId="7A7B2E79">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成品中转站台</w:t>
            </w:r>
          </w:p>
        </w:tc>
        <w:tc>
          <w:tcPr>
            <w:tcW w:w="1494" w:type="dxa"/>
            <w:noWrap w:val="0"/>
            <w:vAlign w:val="center"/>
          </w:tcPr>
          <w:p w14:paraId="508AAFE3">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成品炸药中转</w:t>
            </w:r>
          </w:p>
        </w:tc>
        <w:tc>
          <w:tcPr>
            <w:tcW w:w="869" w:type="dxa"/>
            <w:noWrap w:val="0"/>
            <w:vAlign w:val="center"/>
          </w:tcPr>
          <w:p w14:paraId="2EC49D7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硝</w:t>
            </w:r>
            <w:r>
              <w:rPr>
                <w:rFonts w:hint="default" w:ascii="Times New Roman" w:hAnsi="Times New Roman" w:eastAsia="宋体" w:cs="Times New Roman"/>
                <w:color w:val="auto"/>
                <w:spacing w:val="3"/>
                <w:sz w:val="21"/>
                <w:szCs w:val="21"/>
              </w:rPr>
              <w:t>酸</w:t>
            </w:r>
            <w:r>
              <w:rPr>
                <w:rFonts w:hint="default" w:ascii="Times New Roman" w:hAnsi="Times New Roman" w:eastAsia="宋体" w:cs="Times New Roman"/>
                <w:color w:val="auto"/>
                <w:sz w:val="21"/>
                <w:szCs w:val="21"/>
              </w:rPr>
              <w:t>铵</w:t>
            </w:r>
          </w:p>
        </w:tc>
        <w:tc>
          <w:tcPr>
            <w:tcW w:w="913" w:type="dxa"/>
            <w:noWrap w:val="0"/>
            <w:vAlign w:val="center"/>
          </w:tcPr>
          <w:p w14:paraId="7F00EF71">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5"/>
                <w:sz w:val="21"/>
                <w:szCs w:val="21"/>
                <w:lang w:val="en-US" w:eastAsia="zh-CN"/>
              </w:rPr>
              <w:t>火灾</w:t>
            </w: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c>
          <w:tcPr>
            <w:tcW w:w="1485" w:type="dxa"/>
            <w:noWrap w:val="0"/>
            <w:vAlign w:val="center"/>
          </w:tcPr>
          <w:p w14:paraId="10A5FB2F">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9"/>
                <w:sz w:val="21"/>
                <w:szCs w:val="21"/>
              </w:rPr>
              <w:t>环</w:t>
            </w:r>
            <w:r>
              <w:rPr>
                <w:rFonts w:hint="default" w:ascii="Times New Roman" w:hAnsi="Times New Roman" w:eastAsia="宋体" w:cs="Times New Roman"/>
                <w:color w:val="auto"/>
                <w:spacing w:val="8"/>
                <w:sz w:val="21"/>
                <w:szCs w:val="21"/>
              </w:rPr>
              <w:t>境空气</w:t>
            </w:r>
          </w:p>
        </w:tc>
        <w:tc>
          <w:tcPr>
            <w:tcW w:w="1360" w:type="dxa"/>
            <w:noWrap w:val="0"/>
            <w:vAlign w:val="center"/>
          </w:tcPr>
          <w:p w14:paraId="161D3B4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周边居民</w:t>
            </w:r>
            <w:r>
              <w:rPr>
                <w:rFonts w:hint="default" w:ascii="Times New Roman" w:hAnsi="Times New Roman" w:eastAsia="宋体" w:cs="Times New Roman"/>
                <w:color w:val="auto"/>
                <w:spacing w:val="7"/>
                <w:sz w:val="21"/>
                <w:szCs w:val="21"/>
              </w:rPr>
              <w:t>区</w:t>
            </w:r>
          </w:p>
        </w:tc>
      </w:tr>
      <w:tr w14:paraId="6F98DF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508" w:type="dxa"/>
            <w:noWrap w:val="0"/>
            <w:vAlign w:val="center"/>
          </w:tcPr>
          <w:p w14:paraId="479D494D">
            <w:pPr>
              <w:autoSpaceDE w:val="0"/>
              <w:autoSpaceDN w:val="0"/>
              <w:spacing w:before="58" w:line="192" w:lineRule="auto"/>
              <w:ind w:left="209" w:left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5</w:t>
            </w:r>
          </w:p>
        </w:tc>
        <w:tc>
          <w:tcPr>
            <w:tcW w:w="1897" w:type="dxa"/>
            <w:noWrap w:val="0"/>
            <w:vAlign w:val="center"/>
          </w:tcPr>
          <w:p w14:paraId="144913DF">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6"/>
                <w:sz w:val="21"/>
                <w:szCs w:val="21"/>
                <w:lang w:val="en-US" w:eastAsia="zh-CN"/>
              </w:rPr>
              <w:t>炸药总</w:t>
            </w:r>
            <w:r>
              <w:rPr>
                <w:rFonts w:hint="default" w:ascii="Times New Roman" w:hAnsi="Times New Roman" w:eastAsia="宋体" w:cs="Times New Roman"/>
                <w:color w:val="auto"/>
                <w:spacing w:val="6"/>
                <w:sz w:val="21"/>
                <w:szCs w:val="21"/>
              </w:rPr>
              <w:t>库</w:t>
            </w:r>
          </w:p>
        </w:tc>
        <w:tc>
          <w:tcPr>
            <w:tcW w:w="1494" w:type="dxa"/>
            <w:noWrap w:val="0"/>
            <w:vAlign w:val="center"/>
          </w:tcPr>
          <w:p w14:paraId="6818EBA0">
            <w:pPr>
              <w:keepNext w:val="0"/>
              <w:keepLines w:val="0"/>
              <w:pageBreakBefore w:val="0"/>
              <w:widowControl w:val="0"/>
              <w:kinsoku/>
              <w:wordWrap/>
              <w:overflowPunct/>
              <w:topLinePunct w:val="0"/>
              <w:autoSpaceDE w:val="0"/>
              <w:autoSpaceDN w:val="0"/>
              <w:bidi w:val="0"/>
              <w:adjustRightInd/>
              <w:snapToGrid/>
              <w:spacing w:line="228"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成</w:t>
            </w:r>
            <w:r>
              <w:rPr>
                <w:rFonts w:hint="default" w:ascii="Times New Roman" w:hAnsi="Times New Roman" w:eastAsia="宋体" w:cs="Times New Roman"/>
                <w:color w:val="auto"/>
                <w:spacing w:val="6"/>
                <w:sz w:val="21"/>
                <w:szCs w:val="21"/>
              </w:rPr>
              <w:t>品库</w:t>
            </w:r>
          </w:p>
        </w:tc>
        <w:tc>
          <w:tcPr>
            <w:tcW w:w="869" w:type="dxa"/>
            <w:noWrap w:val="0"/>
            <w:vAlign w:val="center"/>
          </w:tcPr>
          <w:p w14:paraId="0DBF3C3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硝</w:t>
            </w:r>
            <w:r>
              <w:rPr>
                <w:rFonts w:hint="default" w:ascii="Times New Roman" w:hAnsi="Times New Roman" w:eastAsia="宋体" w:cs="Times New Roman"/>
                <w:color w:val="auto"/>
                <w:spacing w:val="3"/>
                <w:sz w:val="21"/>
                <w:szCs w:val="21"/>
              </w:rPr>
              <w:t>酸</w:t>
            </w:r>
            <w:r>
              <w:rPr>
                <w:rFonts w:hint="default" w:ascii="Times New Roman" w:hAnsi="Times New Roman" w:eastAsia="宋体" w:cs="Times New Roman"/>
                <w:color w:val="auto"/>
                <w:sz w:val="21"/>
                <w:szCs w:val="21"/>
              </w:rPr>
              <w:t>铵</w:t>
            </w:r>
          </w:p>
        </w:tc>
        <w:tc>
          <w:tcPr>
            <w:tcW w:w="913" w:type="dxa"/>
            <w:noWrap w:val="0"/>
            <w:vAlign w:val="center"/>
          </w:tcPr>
          <w:p w14:paraId="21076DD3">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5"/>
                <w:sz w:val="21"/>
                <w:szCs w:val="21"/>
                <w:lang w:val="en-US" w:eastAsia="zh-CN"/>
              </w:rPr>
              <w:t>火灾</w:t>
            </w: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c>
          <w:tcPr>
            <w:tcW w:w="1485" w:type="dxa"/>
            <w:noWrap w:val="0"/>
            <w:vAlign w:val="center"/>
          </w:tcPr>
          <w:p w14:paraId="3509F2F9">
            <w:pPr>
              <w:keepNext w:val="0"/>
              <w:keepLines w:val="0"/>
              <w:pageBreakBefore w:val="0"/>
              <w:widowControl w:val="0"/>
              <w:kinsoku/>
              <w:wordWrap/>
              <w:overflowPunct/>
              <w:topLinePunct w:val="0"/>
              <w:autoSpaceDE w:val="0"/>
              <w:autoSpaceDN w:val="0"/>
              <w:bidi w:val="0"/>
              <w:adjustRightInd/>
              <w:snapToGrid/>
              <w:spacing w:line="228"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环</w:t>
            </w:r>
            <w:r>
              <w:rPr>
                <w:rFonts w:hint="default" w:ascii="Times New Roman" w:hAnsi="Times New Roman" w:eastAsia="宋体" w:cs="Times New Roman"/>
                <w:color w:val="auto"/>
                <w:spacing w:val="7"/>
                <w:sz w:val="21"/>
                <w:szCs w:val="21"/>
              </w:rPr>
              <w:t>境空气</w:t>
            </w:r>
          </w:p>
        </w:tc>
        <w:tc>
          <w:tcPr>
            <w:tcW w:w="1360" w:type="dxa"/>
            <w:noWrap w:val="0"/>
            <w:vAlign w:val="center"/>
          </w:tcPr>
          <w:p w14:paraId="4D824DD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周边居民</w:t>
            </w:r>
            <w:r>
              <w:rPr>
                <w:rFonts w:hint="default" w:ascii="Times New Roman" w:hAnsi="Times New Roman" w:eastAsia="宋体" w:cs="Times New Roman"/>
                <w:color w:val="auto"/>
                <w:spacing w:val="7"/>
                <w:sz w:val="21"/>
                <w:szCs w:val="21"/>
              </w:rPr>
              <w:t>区</w:t>
            </w:r>
          </w:p>
        </w:tc>
      </w:tr>
      <w:tr w14:paraId="05B2F1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39" w:hRule="atLeast"/>
        </w:trPr>
        <w:tc>
          <w:tcPr>
            <w:tcW w:w="508" w:type="dxa"/>
            <w:noWrap w:val="0"/>
            <w:vAlign w:val="center"/>
          </w:tcPr>
          <w:p w14:paraId="15B8AB43">
            <w:pPr>
              <w:autoSpaceDE w:val="0"/>
              <w:autoSpaceDN w:val="0"/>
              <w:spacing w:before="58" w:line="195" w:lineRule="auto"/>
              <w:ind w:left="207" w:leftChars="0"/>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z w:val="21"/>
                <w:szCs w:val="21"/>
              </w:rPr>
              <w:t>6</w:t>
            </w:r>
          </w:p>
        </w:tc>
        <w:tc>
          <w:tcPr>
            <w:tcW w:w="1897" w:type="dxa"/>
            <w:noWrap w:val="0"/>
            <w:vAlign w:val="center"/>
          </w:tcPr>
          <w:p w14:paraId="0FC2B6F6">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硝酸铵溶液储罐</w:t>
            </w:r>
          </w:p>
        </w:tc>
        <w:tc>
          <w:tcPr>
            <w:tcW w:w="1494" w:type="dxa"/>
            <w:noWrap w:val="0"/>
            <w:vAlign w:val="center"/>
          </w:tcPr>
          <w:p w14:paraId="632224D9">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硝酸铵溶液</w:t>
            </w:r>
          </w:p>
        </w:tc>
        <w:tc>
          <w:tcPr>
            <w:tcW w:w="869" w:type="dxa"/>
            <w:noWrap w:val="0"/>
            <w:vAlign w:val="center"/>
          </w:tcPr>
          <w:p w14:paraId="41F5D71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硝</w:t>
            </w:r>
            <w:r>
              <w:rPr>
                <w:rFonts w:hint="default" w:ascii="Times New Roman" w:hAnsi="Times New Roman" w:eastAsia="宋体" w:cs="Times New Roman"/>
                <w:color w:val="auto"/>
                <w:spacing w:val="3"/>
                <w:sz w:val="21"/>
                <w:szCs w:val="21"/>
              </w:rPr>
              <w:t>酸</w:t>
            </w:r>
            <w:r>
              <w:rPr>
                <w:rFonts w:hint="default" w:ascii="Times New Roman" w:hAnsi="Times New Roman" w:eastAsia="宋体" w:cs="Times New Roman"/>
                <w:color w:val="auto"/>
                <w:sz w:val="21"/>
                <w:szCs w:val="21"/>
              </w:rPr>
              <w:t>铵</w:t>
            </w:r>
          </w:p>
        </w:tc>
        <w:tc>
          <w:tcPr>
            <w:tcW w:w="913" w:type="dxa"/>
            <w:noWrap w:val="0"/>
            <w:vAlign w:val="center"/>
          </w:tcPr>
          <w:p w14:paraId="5164C522">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pacing w:val="5"/>
                <w:sz w:val="21"/>
                <w:szCs w:val="21"/>
                <w:lang w:val="en-US" w:eastAsia="zh-CN"/>
              </w:rPr>
              <w:t>泄漏、</w:t>
            </w:r>
            <w:r>
              <w:rPr>
                <w:rFonts w:hint="eastAsia" w:ascii="Times New Roman" w:hAnsi="Times New Roman" w:eastAsia="宋体" w:cs="Times New Roman"/>
                <w:color w:val="auto"/>
                <w:spacing w:val="5"/>
                <w:sz w:val="21"/>
                <w:szCs w:val="21"/>
                <w:lang w:val="en-US" w:eastAsia="zh-CN"/>
              </w:rPr>
              <w:t>火灾</w:t>
            </w:r>
            <w:r>
              <w:rPr>
                <w:rFonts w:hint="default" w:ascii="Times New Roman" w:hAnsi="Times New Roman" w:eastAsia="宋体" w:cs="Times New Roman"/>
                <w:color w:val="auto"/>
                <w:spacing w:val="5"/>
                <w:sz w:val="21"/>
                <w:szCs w:val="21"/>
              </w:rPr>
              <w:t>爆</w:t>
            </w:r>
            <w:r>
              <w:rPr>
                <w:rFonts w:hint="default" w:ascii="Times New Roman" w:hAnsi="Times New Roman" w:eastAsia="宋体" w:cs="Times New Roman"/>
                <w:color w:val="auto"/>
                <w:spacing w:val="4"/>
                <w:sz w:val="21"/>
                <w:szCs w:val="21"/>
              </w:rPr>
              <w:t>炸</w:t>
            </w:r>
          </w:p>
        </w:tc>
        <w:tc>
          <w:tcPr>
            <w:tcW w:w="1485" w:type="dxa"/>
            <w:noWrap w:val="0"/>
            <w:vAlign w:val="center"/>
          </w:tcPr>
          <w:p w14:paraId="11D4B5DE">
            <w:pPr>
              <w:keepNext w:val="0"/>
              <w:keepLines w:val="0"/>
              <w:pageBreakBefore w:val="0"/>
              <w:widowControl w:val="0"/>
              <w:kinsoku/>
              <w:wordWrap/>
              <w:overflowPunct/>
              <w:topLinePunct w:val="0"/>
              <w:autoSpaceDE w:val="0"/>
              <w:autoSpaceDN w:val="0"/>
              <w:bidi w:val="0"/>
              <w:adjustRightInd/>
              <w:snapToGrid/>
              <w:spacing w:line="222"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环</w:t>
            </w:r>
            <w:r>
              <w:rPr>
                <w:rFonts w:hint="default" w:ascii="Times New Roman" w:hAnsi="Times New Roman" w:eastAsia="宋体" w:cs="Times New Roman"/>
                <w:color w:val="auto"/>
                <w:spacing w:val="7"/>
                <w:sz w:val="21"/>
                <w:szCs w:val="21"/>
              </w:rPr>
              <w:t>境空气</w:t>
            </w:r>
            <w:r>
              <w:rPr>
                <w:rFonts w:hint="eastAsia" w:cs="Times New Roman"/>
                <w:color w:val="auto"/>
                <w:spacing w:val="7"/>
                <w:sz w:val="21"/>
                <w:szCs w:val="21"/>
                <w:lang w:eastAsia="zh-CN"/>
              </w:rPr>
              <w:t>、</w:t>
            </w:r>
            <w:r>
              <w:rPr>
                <w:rFonts w:hint="default" w:ascii="Times New Roman" w:hAnsi="Times New Roman" w:eastAsia="宋体" w:cs="Times New Roman"/>
                <w:color w:val="auto"/>
                <w:spacing w:val="8"/>
                <w:sz w:val="21"/>
                <w:szCs w:val="21"/>
              </w:rPr>
              <w:t>地</w:t>
            </w:r>
          </w:p>
          <w:p w14:paraId="768A2533">
            <w:pPr>
              <w:keepNext w:val="0"/>
              <w:keepLines w:val="0"/>
              <w:pageBreakBefore w:val="0"/>
              <w:widowControl w:val="0"/>
              <w:kinsoku/>
              <w:wordWrap/>
              <w:overflowPunct/>
              <w:topLinePunct w:val="0"/>
              <w:autoSpaceDE w:val="0"/>
              <w:autoSpaceDN w:val="0"/>
              <w:bidi w:val="0"/>
              <w:adjustRightInd/>
              <w:snapToGrid/>
              <w:spacing w:line="221"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表</w:t>
            </w:r>
            <w:r>
              <w:rPr>
                <w:rFonts w:hint="default" w:ascii="Times New Roman" w:hAnsi="Times New Roman" w:eastAsia="宋体" w:cs="Times New Roman"/>
                <w:color w:val="auto"/>
                <w:spacing w:val="-6"/>
                <w:sz w:val="21"/>
                <w:szCs w:val="21"/>
              </w:rPr>
              <w:t>水、</w:t>
            </w:r>
            <w:r>
              <w:rPr>
                <w:rFonts w:hint="eastAsia" w:cs="Times New Roman"/>
                <w:color w:val="auto"/>
                <w:spacing w:val="7"/>
                <w:sz w:val="21"/>
                <w:szCs w:val="21"/>
                <w:lang w:val="en-US" w:eastAsia="zh-CN"/>
              </w:rPr>
              <w:t>地下水、土壤</w:t>
            </w:r>
          </w:p>
        </w:tc>
        <w:tc>
          <w:tcPr>
            <w:tcW w:w="1360" w:type="dxa"/>
            <w:noWrap w:val="0"/>
            <w:vAlign w:val="center"/>
          </w:tcPr>
          <w:p w14:paraId="4CCD055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8"/>
                <w:sz w:val="21"/>
                <w:szCs w:val="21"/>
              </w:rPr>
              <w:t>周边居民区、附近地下水、土壤</w:t>
            </w:r>
          </w:p>
        </w:tc>
      </w:tr>
      <w:tr w14:paraId="2807FC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508" w:type="dxa"/>
            <w:noWrap w:val="0"/>
            <w:vAlign w:val="center"/>
          </w:tcPr>
          <w:p w14:paraId="35CEF358">
            <w:pPr>
              <w:autoSpaceDE w:val="0"/>
              <w:autoSpaceDN w:val="0"/>
              <w:spacing w:before="58" w:line="195" w:lineRule="auto"/>
              <w:ind w:left="207" w:leftChars="0"/>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7</w:t>
            </w:r>
          </w:p>
        </w:tc>
        <w:tc>
          <w:tcPr>
            <w:tcW w:w="1897" w:type="dxa"/>
            <w:noWrap w:val="0"/>
            <w:vAlign w:val="center"/>
          </w:tcPr>
          <w:p w14:paraId="0C0590B2">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危险废物贮存点（依托）</w:t>
            </w:r>
          </w:p>
        </w:tc>
        <w:tc>
          <w:tcPr>
            <w:tcW w:w="1494" w:type="dxa"/>
            <w:noWrap w:val="0"/>
            <w:vAlign w:val="center"/>
          </w:tcPr>
          <w:p w14:paraId="1237018E">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废机油</w:t>
            </w:r>
          </w:p>
        </w:tc>
        <w:tc>
          <w:tcPr>
            <w:tcW w:w="869" w:type="dxa"/>
            <w:noWrap w:val="0"/>
            <w:vAlign w:val="center"/>
          </w:tcPr>
          <w:p w14:paraId="7787CAB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油类物质</w:t>
            </w:r>
          </w:p>
        </w:tc>
        <w:tc>
          <w:tcPr>
            <w:tcW w:w="913" w:type="dxa"/>
            <w:noWrap w:val="0"/>
            <w:vAlign w:val="center"/>
          </w:tcPr>
          <w:p w14:paraId="418F4097">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泄漏、</w:t>
            </w:r>
            <w:r>
              <w:rPr>
                <w:rFonts w:hint="eastAsia" w:ascii="Times New Roman" w:hAnsi="Times New Roman" w:eastAsia="宋体" w:cs="Times New Roman"/>
                <w:color w:val="auto"/>
                <w:kern w:val="2"/>
                <w:sz w:val="21"/>
                <w:szCs w:val="21"/>
                <w:lang w:val="en-US" w:eastAsia="zh-CN" w:bidi="ar-SA"/>
              </w:rPr>
              <w:t>火灾、泄漏</w:t>
            </w:r>
          </w:p>
        </w:tc>
        <w:tc>
          <w:tcPr>
            <w:tcW w:w="1485" w:type="dxa"/>
            <w:noWrap w:val="0"/>
            <w:vAlign w:val="center"/>
          </w:tcPr>
          <w:p w14:paraId="0FC10033">
            <w:pPr>
              <w:keepNext w:val="0"/>
              <w:keepLines w:val="0"/>
              <w:pageBreakBefore w:val="0"/>
              <w:widowControl w:val="0"/>
              <w:kinsoku/>
              <w:wordWrap/>
              <w:overflowPunct/>
              <w:topLinePunct w:val="0"/>
              <w:autoSpaceDE w:val="0"/>
              <w:autoSpaceDN w:val="0"/>
              <w:bidi w:val="0"/>
              <w:adjustRightInd/>
              <w:snapToGrid/>
              <w:spacing w:line="240"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环境空气、地下水、土壤</w:t>
            </w:r>
          </w:p>
        </w:tc>
        <w:tc>
          <w:tcPr>
            <w:tcW w:w="1360" w:type="dxa"/>
            <w:noWrap w:val="0"/>
            <w:vAlign w:val="center"/>
          </w:tcPr>
          <w:p w14:paraId="1A98C8D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周边居民区、附近地下水、土壤</w:t>
            </w:r>
          </w:p>
        </w:tc>
      </w:tr>
      <w:bookmarkEnd w:id="501"/>
    </w:tbl>
    <w:p w14:paraId="7A90F05A">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rFonts w:hint="eastAsia"/>
          <w:b/>
          <w:bCs/>
          <w:color w:val="auto"/>
          <w:spacing w:val="6"/>
          <w:sz w:val="28"/>
          <w:szCs w:val="28"/>
          <w:lang w:val="en-US" w:eastAsia="zh-CN"/>
        </w:rPr>
      </w:pPr>
    </w:p>
    <w:p w14:paraId="427BF4E7">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rFonts w:hint="eastAsia"/>
          <w:b/>
          <w:bCs/>
          <w:color w:val="auto"/>
          <w:spacing w:val="6"/>
          <w:sz w:val="28"/>
          <w:szCs w:val="28"/>
          <w:lang w:val="en-US" w:eastAsia="zh-CN"/>
        </w:rPr>
        <w:sectPr>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p>
    <w:p w14:paraId="0B639F87">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both"/>
        <w:textAlignment w:val="auto"/>
        <w:rPr>
          <w:color w:val="auto"/>
        </w:rPr>
      </w:pPr>
      <w:r>
        <w:rPr>
          <w:color w:val="auto"/>
          <w:sz w:val="18"/>
        </w:rPr>
        <mc:AlternateContent>
          <mc:Choice Requires="wpg">
            <w:drawing>
              <wp:anchor distT="0" distB="0" distL="114300" distR="114300" simplePos="0" relativeHeight="251760640" behindDoc="0" locked="0" layoutInCell="1" allowOverlap="1">
                <wp:simplePos x="0" y="0"/>
                <wp:positionH relativeFrom="column">
                  <wp:posOffset>7030720</wp:posOffset>
                </wp:positionH>
                <wp:positionV relativeFrom="paragraph">
                  <wp:posOffset>3376930</wp:posOffset>
                </wp:positionV>
                <wp:extent cx="1536700" cy="920750"/>
                <wp:effectExtent l="4445" t="4445" r="20955" b="8255"/>
                <wp:wrapNone/>
                <wp:docPr id="366" name="组合 366"/>
                <wp:cNvGraphicFramePr/>
                <a:graphic xmlns:a="http://schemas.openxmlformats.org/drawingml/2006/main">
                  <a:graphicData uri="http://schemas.microsoft.com/office/word/2010/wordprocessingGroup">
                    <wpg:wgp>
                      <wpg:cNvGrpSpPr/>
                      <wpg:grpSpPr>
                        <a:xfrm>
                          <a:off x="0" y="0"/>
                          <a:ext cx="1536700" cy="920750"/>
                          <a:chOff x="12910" y="4831251"/>
                          <a:chExt cx="2420" cy="1450"/>
                        </a:xfrm>
                        <a:solidFill>
                          <a:srgbClr val="FFFF00"/>
                        </a:solidFill>
                      </wpg:grpSpPr>
                      <wps:wsp>
                        <wps:cNvPr id="361" name="任意多边形 361"/>
                        <wps:cNvSpPr/>
                        <wps:spPr>
                          <a:xfrm>
                            <a:off x="12980" y="4831251"/>
                            <a:ext cx="2350" cy="1290"/>
                          </a:xfrm>
                          <a:custGeom>
                            <a:avLst/>
                            <a:gdLst>
                              <a:gd name="connisteX0" fmla="*/ 6350 w 1492250"/>
                              <a:gd name="connsiteY0" fmla="*/ 349250 h 819150"/>
                              <a:gd name="connisteX1" fmla="*/ 0 w 1492250"/>
                              <a:gd name="connsiteY1" fmla="*/ 234950 h 819150"/>
                              <a:gd name="connisteX2" fmla="*/ 120650 w 1492250"/>
                              <a:gd name="connsiteY2" fmla="*/ 254000 h 819150"/>
                              <a:gd name="connisteX3" fmla="*/ 139700 w 1492250"/>
                              <a:gd name="connsiteY3" fmla="*/ 406400 h 819150"/>
                              <a:gd name="connisteX4" fmla="*/ 254000 w 1492250"/>
                              <a:gd name="connsiteY4" fmla="*/ 419100 h 819150"/>
                              <a:gd name="connisteX5" fmla="*/ 368300 w 1492250"/>
                              <a:gd name="connsiteY5" fmla="*/ 381000 h 819150"/>
                              <a:gd name="connisteX6" fmla="*/ 463550 w 1492250"/>
                              <a:gd name="connsiteY6" fmla="*/ 165100 h 819150"/>
                              <a:gd name="connisteX7" fmla="*/ 558800 w 1492250"/>
                              <a:gd name="connsiteY7" fmla="*/ 215900 h 819150"/>
                              <a:gd name="connisteX8" fmla="*/ 476250 w 1492250"/>
                              <a:gd name="connsiteY8" fmla="*/ 419100 h 819150"/>
                              <a:gd name="connisteX9" fmla="*/ 635000 w 1492250"/>
                              <a:gd name="connsiteY9" fmla="*/ 431800 h 819150"/>
                              <a:gd name="connisteX10" fmla="*/ 723900 w 1492250"/>
                              <a:gd name="connsiteY10" fmla="*/ 501650 h 819150"/>
                              <a:gd name="connisteX11" fmla="*/ 927100 w 1492250"/>
                              <a:gd name="connsiteY11" fmla="*/ 476250 h 819150"/>
                              <a:gd name="connisteX12" fmla="*/ 1047750 w 1492250"/>
                              <a:gd name="connsiteY12" fmla="*/ 393700 h 819150"/>
                              <a:gd name="connisteX13" fmla="*/ 1181100 w 1492250"/>
                              <a:gd name="connsiteY13" fmla="*/ 190500 h 819150"/>
                              <a:gd name="connisteX14" fmla="*/ 1155700 w 1492250"/>
                              <a:gd name="connsiteY14" fmla="*/ 114300 h 819150"/>
                              <a:gd name="connisteX15" fmla="*/ 1270000 w 1492250"/>
                              <a:gd name="connsiteY15" fmla="*/ 0 h 819150"/>
                              <a:gd name="connisteX16" fmla="*/ 1371600 w 1492250"/>
                              <a:gd name="connsiteY16" fmla="*/ 69850 h 819150"/>
                              <a:gd name="connisteX17" fmla="*/ 1282700 w 1492250"/>
                              <a:gd name="connsiteY17" fmla="*/ 228600 h 819150"/>
                              <a:gd name="connisteX18" fmla="*/ 1219200 w 1492250"/>
                              <a:gd name="connsiteY18" fmla="*/ 228600 h 819150"/>
                              <a:gd name="connisteX19" fmla="*/ 1085850 w 1492250"/>
                              <a:gd name="connsiteY19" fmla="*/ 425450 h 819150"/>
                              <a:gd name="connisteX20" fmla="*/ 1270000 w 1492250"/>
                              <a:gd name="connsiteY20" fmla="*/ 476250 h 819150"/>
                              <a:gd name="connisteX21" fmla="*/ 1308100 w 1492250"/>
                              <a:gd name="connsiteY21" fmla="*/ 457200 h 819150"/>
                              <a:gd name="connisteX22" fmla="*/ 1492250 w 1492250"/>
                              <a:gd name="connsiteY22" fmla="*/ 514350 h 819150"/>
                              <a:gd name="connisteX23" fmla="*/ 1454150 w 1492250"/>
                              <a:gd name="connsiteY23" fmla="*/ 590550 h 819150"/>
                              <a:gd name="connisteX24" fmla="*/ 1257300 w 1492250"/>
                              <a:gd name="connsiteY24" fmla="*/ 565150 h 819150"/>
                              <a:gd name="connisteX25" fmla="*/ 1200150 w 1492250"/>
                              <a:gd name="connsiteY25" fmla="*/ 514350 h 819150"/>
                              <a:gd name="connisteX26" fmla="*/ 1060450 w 1492250"/>
                              <a:gd name="connsiteY26" fmla="*/ 508000 h 819150"/>
                              <a:gd name="connisteX27" fmla="*/ 908050 w 1492250"/>
                              <a:gd name="connsiteY27" fmla="*/ 565150 h 819150"/>
                              <a:gd name="connisteX28" fmla="*/ 844550 w 1492250"/>
                              <a:gd name="connsiteY28" fmla="*/ 603250 h 819150"/>
                              <a:gd name="connisteX29" fmla="*/ 857250 w 1492250"/>
                              <a:gd name="connsiteY29" fmla="*/ 660400 h 819150"/>
                              <a:gd name="connisteX30" fmla="*/ 933450 w 1492250"/>
                              <a:gd name="connsiteY30" fmla="*/ 660400 h 819150"/>
                              <a:gd name="connisteX31" fmla="*/ 1028700 w 1492250"/>
                              <a:gd name="connsiteY31" fmla="*/ 749300 h 819150"/>
                              <a:gd name="connisteX32" fmla="*/ 971550 w 1492250"/>
                              <a:gd name="connsiteY32" fmla="*/ 819150 h 819150"/>
                              <a:gd name="connisteX33" fmla="*/ 838200 w 1492250"/>
                              <a:gd name="connsiteY33" fmla="*/ 698500 h 819150"/>
                              <a:gd name="connisteX34" fmla="*/ 641350 w 1492250"/>
                              <a:gd name="connsiteY34" fmla="*/ 609600 h 819150"/>
                              <a:gd name="connisteX35" fmla="*/ 501650 w 1492250"/>
                              <a:gd name="connsiteY35" fmla="*/ 622300 h 819150"/>
                              <a:gd name="connisteX36" fmla="*/ 304800 w 1492250"/>
                              <a:gd name="connsiteY36" fmla="*/ 666750 h 819150"/>
                              <a:gd name="connisteX37" fmla="*/ 304800 w 1492250"/>
                              <a:gd name="connsiteY37" fmla="*/ 679450 h 819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Lst>
                            <a:rect l="l" t="t" r="r" b="b"/>
                            <a:pathLst>
                              <a:path w="1492250" h="819150">
                                <a:moveTo>
                                  <a:pt x="6350" y="349250"/>
                                </a:moveTo>
                                <a:lnTo>
                                  <a:pt x="0" y="234950"/>
                                </a:lnTo>
                                <a:lnTo>
                                  <a:pt x="120650" y="254000"/>
                                </a:lnTo>
                                <a:lnTo>
                                  <a:pt x="139700" y="406400"/>
                                </a:lnTo>
                                <a:lnTo>
                                  <a:pt x="254000" y="419100"/>
                                </a:lnTo>
                                <a:lnTo>
                                  <a:pt x="368300" y="381000"/>
                                </a:lnTo>
                                <a:lnTo>
                                  <a:pt x="463550" y="165100"/>
                                </a:lnTo>
                                <a:lnTo>
                                  <a:pt x="558800" y="215900"/>
                                </a:lnTo>
                                <a:lnTo>
                                  <a:pt x="476250" y="419100"/>
                                </a:lnTo>
                                <a:lnTo>
                                  <a:pt x="635000" y="431800"/>
                                </a:lnTo>
                                <a:lnTo>
                                  <a:pt x="723900" y="501650"/>
                                </a:lnTo>
                                <a:lnTo>
                                  <a:pt x="927100" y="476250"/>
                                </a:lnTo>
                                <a:lnTo>
                                  <a:pt x="1047750" y="393700"/>
                                </a:lnTo>
                                <a:lnTo>
                                  <a:pt x="1181100" y="190500"/>
                                </a:lnTo>
                                <a:lnTo>
                                  <a:pt x="1155700" y="114300"/>
                                </a:lnTo>
                                <a:lnTo>
                                  <a:pt x="1270000" y="0"/>
                                </a:lnTo>
                                <a:lnTo>
                                  <a:pt x="1371600" y="69850"/>
                                </a:lnTo>
                                <a:lnTo>
                                  <a:pt x="1282700" y="228600"/>
                                </a:lnTo>
                                <a:lnTo>
                                  <a:pt x="1219200" y="228600"/>
                                </a:lnTo>
                                <a:lnTo>
                                  <a:pt x="1085850" y="425450"/>
                                </a:lnTo>
                                <a:lnTo>
                                  <a:pt x="1270000" y="476250"/>
                                </a:lnTo>
                                <a:lnTo>
                                  <a:pt x="1308100" y="457200"/>
                                </a:lnTo>
                                <a:lnTo>
                                  <a:pt x="1492250" y="514350"/>
                                </a:lnTo>
                                <a:lnTo>
                                  <a:pt x="1454150" y="590550"/>
                                </a:lnTo>
                                <a:lnTo>
                                  <a:pt x="1257300" y="565150"/>
                                </a:lnTo>
                                <a:lnTo>
                                  <a:pt x="1200150" y="514350"/>
                                </a:lnTo>
                                <a:lnTo>
                                  <a:pt x="1060450" y="508000"/>
                                </a:lnTo>
                                <a:lnTo>
                                  <a:pt x="908050" y="565150"/>
                                </a:lnTo>
                                <a:lnTo>
                                  <a:pt x="844550" y="603250"/>
                                </a:lnTo>
                                <a:lnTo>
                                  <a:pt x="857250" y="660400"/>
                                </a:lnTo>
                                <a:lnTo>
                                  <a:pt x="933450" y="660400"/>
                                </a:lnTo>
                                <a:lnTo>
                                  <a:pt x="1028700" y="749300"/>
                                </a:lnTo>
                                <a:lnTo>
                                  <a:pt x="971550" y="819150"/>
                                </a:lnTo>
                                <a:lnTo>
                                  <a:pt x="838200" y="698500"/>
                                </a:lnTo>
                                <a:lnTo>
                                  <a:pt x="641350" y="609600"/>
                                </a:lnTo>
                                <a:lnTo>
                                  <a:pt x="501650" y="622300"/>
                                </a:lnTo>
                                <a:lnTo>
                                  <a:pt x="304800" y="666750"/>
                                </a:lnTo>
                                <a:lnTo>
                                  <a:pt x="304800" y="679450"/>
                                </a:lnTo>
                              </a:path>
                            </a:pathLst>
                          </a:custGeom>
                          <a:grpFill/>
                          <a:ln w="9525">
                            <a:solidFill>
                              <a:schemeClr val="tx1"/>
                            </a:solidFill>
                            <a:tailEnd type="none"/>
                          </a:ln>
                        </wps:spPr>
                        <wps:style>
                          <a:lnRef idx="2">
                            <a:schemeClr val="accent1"/>
                          </a:lnRef>
                          <a:fillRef idx="0">
                            <a:srgbClr val="FFFFFF"/>
                          </a:fillRef>
                          <a:effectRef idx="0">
                            <a:srgbClr val="FFFFFF"/>
                          </a:effectRef>
                          <a:fontRef idx="minor">
                            <a:schemeClr val="tx1"/>
                          </a:fontRef>
                        </wps:style>
                        <wps:bodyPr rot="0" vertOverflow="overflow" horzOverflow="overflow" vert="horz" wrap="square" lIns="91440" tIns="45720" rIns="91440" bIns="45720" numCol="1" spcCol="0" rtlCol="0" fromWordArt="0" anchor="ctr" anchorCtr="0" compatLnSpc="1">
                          <a:noAutofit/>
                        </wps:bodyPr>
                      </wps:wsp>
                      <wps:wsp>
                        <wps:cNvPr id="364" name="任意多边形 364"/>
                        <wps:cNvSpPr/>
                        <wps:spPr>
                          <a:xfrm>
                            <a:off x="12910" y="4831801"/>
                            <a:ext cx="660" cy="900"/>
                          </a:xfrm>
                          <a:custGeom>
                            <a:avLst/>
                            <a:gdLst>
                              <a:gd name="connisteX0" fmla="*/ 374650 w 419100"/>
                              <a:gd name="connsiteY0" fmla="*/ 317500 h 571500"/>
                              <a:gd name="connisteX1" fmla="*/ 304800 w 419100"/>
                              <a:gd name="connsiteY1" fmla="*/ 374650 h 571500"/>
                              <a:gd name="connisteX2" fmla="*/ 419100 w 419100"/>
                              <a:gd name="connsiteY2" fmla="*/ 501650 h 571500"/>
                              <a:gd name="connisteX3" fmla="*/ 342900 w 419100"/>
                              <a:gd name="connsiteY3" fmla="*/ 571500 h 571500"/>
                              <a:gd name="connisteX4" fmla="*/ 50800 w 419100"/>
                              <a:gd name="connsiteY4" fmla="*/ 311150 h 571500"/>
                              <a:gd name="connisteX5" fmla="*/ 38100 w 419100"/>
                              <a:gd name="connsiteY5" fmla="*/ 196850 h 571500"/>
                              <a:gd name="connisteX6" fmla="*/ 0 w 419100"/>
                              <a:gd name="connsiteY6" fmla="*/ 152400 h 571500"/>
                              <a:gd name="connisteX7" fmla="*/ 12700 w 419100"/>
                              <a:gd name="connsiteY7" fmla="*/ 0 h 571500"/>
                              <a:gd name="connisteX8" fmla="*/ 50800 w 419100"/>
                              <a:gd name="connsiteY8" fmla="*/ 0 h 571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19100" h="571500">
                                <a:moveTo>
                                  <a:pt x="374650" y="317500"/>
                                </a:moveTo>
                                <a:lnTo>
                                  <a:pt x="304800" y="374650"/>
                                </a:lnTo>
                                <a:lnTo>
                                  <a:pt x="419100" y="501650"/>
                                </a:lnTo>
                                <a:lnTo>
                                  <a:pt x="342900" y="571500"/>
                                </a:lnTo>
                                <a:lnTo>
                                  <a:pt x="50800" y="311150"/>
                                </a:lnTo>
                                <a:lnTo>
                                  <a:pt x="38100" y="196850"/>
                                </a:lnTo>
                                <a:lnTo>
                                  <a:pt x="0" y="152400"/>
                                </a:lnTo>
                                <a:lnTo>
                                  <a:pt x="12700" y="0"/>
                                </a:lnTo>
                                <a:lnTo>
                                  <a:pt x="50800" y="0"/>
                                </a:lnTo>
                              </a:path>
                            </a:pathLst>
                          </a:custGeom>
                          <a:grpFill/>
                          <a:ln w="9525">
                            <a:solidFill>
                              <a:schemeClr val="tx1"/>
                            </a:solidFill>
                            <a:tailEnd type="none"/>
                          </a:ln>
                        </wps:spPr>
                        <wps:style>
                          <a:lnRef idx="2">
                            <a:schemeClr val="accent1"/>
                          </a:lnRef>
                          <a:fillRef idx="0">
                            <a:srgbClr val="FFFFFF"/>
                          </a:fillRef>
                          <a:effectRef idx="0">
                            <a:srgbClr val="FFFFFF"/>
                          </a:effectRef>
                          <a:fontRef idx="minor">
                            <a:schemeClr val="tx1"/>
                          </a:fontRef>
                        </wps:style>
                        <wps:bodyPr rot="0" vertOverflow="overflow" horzOverflow="overflow" vert="horz" wrap="square" lIns="91440" tIns="45720" rIns="91440" bIns="45720" numCol="1" spcCol="0" rtlCol="0" fromWordArt="0" anchor="ctr" anchorCtr="0" compatLnSpc="1">
                          <a:noAutofit/>
                        </wps:bodyPr>
                      </wps:wsp>
                    </wpg:wgp>
                  </a:graphicData>
                </a:graphic>
              </wp:anchor>
            </w:drawing>
          </mc:Choice>
          <mc:Fallback>
            <w:pict>
              <v:group id="_x0000_s1026" o:spid="_x0000_s1026" o:spt="203" style="position:absolute;left:0pt;margin-left:553.6pt;margin-top:265.9pt;height:72.5pt;width:121pt;z-index:251760640;mso-width-relative:page;mso-height-relative:page;" coordorigin="12910,4831251" coordsize="2420,1450" o:gfxdata="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">
                <o:lock v:ext="edit" aspectratio="f"/>
                <v:shape id="_x0000_s1026" o:spid="_x0000_s1026" o:spt="100" style="position:absolute;left:12980;top:4831251;height:1290;width:2350;v-text-anchor:middle;" filled="t" stroked="t" coordsize="1492250,819150" o:gfxdata="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84nK/&#10;AAAA3AAAAA8AAAAAAAAAAQAgAAAAIgAAAGRycy9kb3ducmV2LnhtbFBLAQIUABQAAAAIAIdO4kAz&#10;LwWeOwAAADkAAAAQAAAAAAAAAAEAIAAAAA4BAABkcnMvc2hhcGV4bWwueG1sUEsFBgAAAAAGAAYA&#10;WwEAALgDAAAAAA==&#10;" path="m6350,349250l0,234950,120650,254000,139700,406400,254000,419100,368300,381000,463550,165100,558800,215900,476250,419100,635000,431800,723900,501650,927100,476250,1047750,393700,1181100,190500,1155700,114300,1270000,0,1371600,69850,1282700,228600,1219200,228600,1085850,425450,1270000,476250,1308100,457200,1492250,514350,1454150,590550,1257300,565150,1200150,514350,1060450,508000,908050,565150,844550,603250,857250,660400,933450,660400,1028700,749300,971550,819150,838200,698500,641350,609600,501650,622300,304800,666750,304800,679450e">
                  <v:path o:connectlocs="10,550;0,370;190,400;220,640;400,660;580,600;730,260;880,340;750,660;1000,680;1140,790;1460,750;1650,620;1860,300;1820,180;2000,0;2160,110;2020,360;1920,360;1710,670;2000,750;2060,720;2350,810;2290,930;1980,890;1890,810;1670,800;1430,890;1330,950;1350,1040;1470,1040;1620,1180;1530,1290;1320,1100;1010,960;790,980;480,1050;480,1070" o:connectangles="0,0,0,0,0,0,0,0,0,0,0,0,0,0,0,0,0,0,0,0,0,0,0,0,0,0,0,0,0,0,0,0,0,0,0,0,0,0"/>
                  <v:fill on="t" focussize="0,0"/>
                  <v:stroke color="#000000 [3213]" joinstyle="round"/>
                  <v:imagedata o:title=""/>
                  <o:lock v:ext="edit" aspectratio="f"/>
                </v:shape>
                <v:shape id="_x0000_s1026" o:spid="_x0000_s1026" o:spt="100" style="position:absolute;left:12910;top:4831801;height:900;width:660;v-text-anchor:middle;" filled="t" stroked="t" coordsize="419100,571500" o:gfxdata="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x5l7vQAA&#10;ANwAAAAPAAAAAAAAAAEAIAAAACIAAABkcnMvZG93bnJldi54bWxQSwECFAAUAAAACACHTuJAMy8F&#10;njsAAAA5AAAAEAAAAAAAAAABACAAAAAMAQAAZHJzL3NoYXBleG1sLnhtbFBLBQYAAAAABgAGAFsB&#10;AAC2AwAAAAA=&#10;" path="m374650,317500l304800,374650,419100,501650,342900,571500,50800,311150,38100,196850,0,152400,12700,0,50800,0e">
                  <v:path o:connectlocs="590,500;480,590;660,790;540,900;80,490;60,310;0,240;20,0;80,0" o:connectangles="0,0,0,0,0,0,0,0,0"/>
                  <v:fill on="t" focussize="0,0"/>
                  <v:stroke color="#000000 [3213]" joinstyle="round"/>
                  <v:imagedata o:title=""/>
                  <o:lock v:ext="edit" aspectratio="f"/>
                </v:shape>
              </v:group>
            </w:pict>
          </mc:Fallback>
        </mc:AlternateContent>
      </w:r>
      <w:r>
        <w:rPr>
          <w:color w:val="auto"/>
          <w:sz w:val="18"/>
        </w:rPr>
        <mc:AlternateContent>
          <mc:Choice Requires="wps">
            <w:drawing>
              <wp:anchor distT="0" distB="0" distL="114300" distR="114300" simplePos="0" relativeHeight="251712512" behindDoc="0" locked="0" layoutInCell="1" allowOverlap="1">
                <wp:simplePos x="0" y="0"/>
                <wp:positionH relativeFrom="column">
                  <wp:posOffset>4872990</wp:posOffset>
                </wp:positionH>
                <wp:positionV relativeFrom="paragraph">
                  <wp:posOffset>1184275</wp:posOffset>
                </wp:positionV>
                <wp:extent cx="113665" cy="86995"/>
                <wp:effectExtent l="15875" t="20955" r="22860" b="25400"/>
                <wp:wrapNone/>
                <wp:docPr id="69" name="矩形 69"/>
                <wp:cNvGraphicFramePr/>
                <a:graphic xmlns:a="http://schemas.openxmlformats.org/drawingml/2006/main">
                  <a:graphicData uri="http://schemas.microsoft.com/office/word/2010/wordprocessingShape">
                    <wps:wsp>
                      <wps:cNvSpPr/>
                      <wps:spPr>
                        <a:xfrm rot="-1020000">
                          <a:off x="0" y="0"/>
                          <a:ext cx="113665" cy="86995"/>
                        </a:xfrm>
                        <a:prstGeom prst="rect">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83.7pt;margin-top:93.25pt;height:6.85pt;width:8.95pt;rotation:-1114112f;z-index:251712512;mso-width-relative:page;mso-height-relative:page;" fillcolor="#FFFF00" filled="t" stroked="t" coordsize="21600,21600" o:gfxdata="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tI80dgAAAALAQAADwAAAAAAAAABACAAAAAiAAAA&#10;ZHJzL2Rvd25yZXYueG1sUEsBAhQAFAAAAAgAh07iQD//2eAHAgAALQQAAA4AAAAAAAAAAQAgAAAA&#10;JwEAAGRycy9lMm9Eb2MueG1sUEsFBgAAAAAGAAYAWQEAAKAFAAAAAA==&#10;">
                <v:fill on="t" focussize="0,0"/>
                <v:stroke color="#000000" joinstyle="miter"/>
                <v:imagedata o:title=""/>
                <o:lock v:ext="edit" aspectratio="f"/>
              </v:rect>
            </w:pict>
          </mc:Fallback>
        </mc:AlternateContent>
      </w:r>
      <w:r>
        <w:rPr>
          <w:color w:val="auto"/>
          <w:sz w:val="18"/>
        </w:rPr>
        <mc:AlternateContent>
          <mc:Choice Requires="wps">
            <w:drawing>
              <wp:anchor distT="0" distB="0" distL="114300" distR="114300" simplePos="0" relativeHeight="251711488" behindDoc="0" locked="0" layoutInCell="1" allowOverlap="1">
                <wp:simplePos x="0" y="0"/>
                <wp:positionH relativeFrom="column">
                  <wp:posOffset>5579745</wp:posOffset>
                </wp:positionH>
                <wp:positionV relativeFrom="paragraph">
                  <wp:posOffset>501015</wp:posOffset>
                </wp:positionV>
                <wp:extent cx="108585" cy="81915"/>
                <wp:effectExtent l="7620" t="6985" r="24765" b="17780"/>
                <wp:wrapNone/>
                <wp:docPr id="71" name="文本框 71"/>
                <wp:cNvGraphicFramePr/>
                <a:graphic xmlns:a="http://schemas.openxmlformats.org/drawingml/2006/main">
                  <a:graphicData uri="http://schemas.microsoft.com/office/word/2010/wordprocessingShape">
                    <wps:wsp>
                      <wps:cNvSpPr txBox="1"/>
                      <wps:spPr>
                        <a:xfrm rot="5220000">
                          <a:off x="0" y="0"/>
                          <a:ext cx="108585" cy="81915"/>
                        </a:xfrm>
                        <a:prstGeom prst="rect">
                          <a:avLst/>
                        </a:prstGeom>
                        <a:solidFill>
                          <a:srgbClr val="FFFF00"/>
                        </a:solidFill>
                        <a:ln w="9525" cap="flat" cmpd="sng">
                          <a:solidFill>
                            <a:srgbClr val="000000"/>
                          </a:solidFill>
                          <a:prstDash val="solid"/>
                          <a:miter/>
                          <a:headEnd type="none" w="med" len="med"/>
                          <a:tailEnd type="none" w="med" len="med"/>
                        </a:ln>
                      </wps:spPr>
                      <wps:txbx>
                        <w:txbxContent>
                          <w:p w14:paraId="5AAB195D"/>
                        </w:txbxContent>
                      </wps:txbx>
                      <wps:bodyPr upright="1"/>
                    </wps:wsp>
                  </a:graphicData>
                </a:graphic>
              </wp:anchor>
            </w:drawing>
          </mc:Choice>
          <mc:Fallback>
            <w:pict>
              <v:shape id="_x0000_s1026" o:spid="_x0000_s1026" o:spt="202" type="#_x0000_t202" style="position:absolute;left:0pt;margin-left:439.35pt;margin-top:39.45pt;height:6.45pt;width:8.55pt;rotation:5701632f;z-index:251711488;mso-width-relative:page;mso-height-relative:page;" fillcolor="#FFFF00" filled="t" stroked="t" coordsize="21600,21600" o:gfxdata="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WLrVA2QAAAAkBAAAPAAAA&#10;AAAAAAEAIAAAACIAAABkcnMvZG93bnJldi54bWxQSwECFAAUAAAACACHTuJAO9QHDRQCAABEBAAA&#10;DgAAAAAAAAABACAAAAAoAQAAZHJzL2Uyb0RvYy54bWxQSwUGAAAAAAYABgBZAQAArgUAAAAA&#10;">
                <v:fill on="t" focussize="0,0"/>
                <v:stroke color="#000000" joinstyle="miter"/>
                <v:imagedata o:title=""/>
                <o:lock v:ext="edit" aspectratio="f"/>
                <v:textbox>
                  <w:txbxContent>
                    <w:p w14:paraId="5AAB195D"/>
                  </w:txbxContent>
                </v:textbox>
              </v:shape>
            </w:pict>
          </mc:Fallback>
        </mc:AlternateContent>
      </w:r>
      <w:r>
        <w:rPr>
          <w:color w:val="auto"/>
          <w:sz w:val="18"/>
        </w:rPr>
        <mc:AlternateContent>
          <mc:Choice Requires="wps">
            <w:drawing>
              <wp:anchor distT="0" distB="0" distL="114300" distR="114300" simplePos="0" relativeHeight="251710464" behindDoc="0" locked="0" layoutInCell="1" allowOverlap="1">
                <wp:simplePos x="0" y="0"/>
                <wp:positionH relativeFrom="column">
                  <wp:posOffset>5690870</wp:posOffset>
                </wp:positionH>
                <wp:positionV relativeFrom="paragraph">
                  <wp:posOffset>462280</wp:posOffset>
                </wp:positionV>
                <wp:extent cx="76200" cy="87630"/>
                <wp:effectExtent l="4445" t="4445" r="14605" b="22225"/>
                <wp:wrapNone/>
                <wp:docPr id="59" name="文本框 59"/>
                <wp:cNvGraphicFramePr/>
                <a:graphic xmlns:a="http://schemas.openxmlformats.org/drawingml/2006/main">
                  <a:graphicData uri="http://schemas.microsoft.com/office/word/2010/wordprocessingShape">
                    <wps:wsp>
                      <wps:cNvSpPr txBox="1"/>
                      <wps:spPr>
                        <a:xfrm>
                          <a:off x="0" y="0"/>
                          <a:ext cx="76200" cy="87630"/>
                        </a:xfrm>
                        <a:prstGeom prst="rect">
                          <a:avLst/>
                        </a:prstGeom>
                        <a:solidFill>
                          <a:srgbClr val="FFFF00"/>
                        </a:solidFill>
                        <a:ln w="9525" cap="flat" cmpd="sng">
                          <a:solidFill>
                            <a:srgbClr val="000000"/>
                          </a:solidFill>
                          <a:prstDash val="solid"/>
                          <a:miter/>
                          <a:headEnd type="none" w="med" len="med"/>
                          <a:tailEnd type="none" w="med" len="med"/>
                        </a:ln>
                      </wps:spPr>
                      <wps:txbx>
                        <w:txbxContent>
                          <w:p w14:paraId="4F7B4F1D"/>
                        </w:txbxContent>
                      </wps:txbx>
                      <wps:bodyPr upright="1"/>
                    </wps:wsp>
                  </a:graphicData>
                </a:graphic>
              </wp:anchor>
            </w:drawing>
          </mc:Choice>
          <mc:Fallback>
            <w:pict>
              <v:shape id="_x0000_s1026" o:spid="_x0000_s1026" o:spt="202" type="#_x0000_t202" style="position:absolute;left:0pt;margin-left:448.1pt;margin-top:36.4pt;height:6.9pt;width:6pt;z-index:251710464;mso-width-relative:page;mso-height-relative:page;" fillcolor="#FFFF00" filled="t" stroked="t" coordsize="21600,21600" o:gfxdata="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Lh5UNkAAAAJAQAADwAAAAAAAAABACAA&#10;AAAiAAAAZHJzL2Rvd25yZXYueG1sUEsBAhQAFAAAAAgAh07iQDVhqfMMAgAANQQAAA4AAAAAAAAA&#10;AQAgAAAAKAEAAGRycy9lMm9Eb2MueG1sUEsFBgAAAAAGAAYAWQEAAKYFAAAAAA==&#10;">
                <v:fill on="t" focussize="0,0"/>
                <v:stroke color="#000000" joinstyle="miter"/>
                <v:imagedata o:title=""/>
                <o:lock v:ext="edit" aspectratio="f"/>
                <v:textbox>
                  <w:txbxContent>
                    <w:p w14:paraId="4F7B4F1D"/>
                  </w:txbxContent>
                </v:textbox>
              </v:shape>
            </w:pict>
          </mc:Fallback>
        </mc:AlternateContent>
      </w:r>
      <w:r>
        <w:rPr>
          <w:color w:val="auto"/>
          <w:sz w:val="18"/>
        </w:rPr>
        <mc:AlternateContent>
          <mc:Choice Requires="wps">
            <w:drawing>
              <wp:anchor distT="0" distB="0" distL="114300" distR="114300" simplePos="0" relativeHeight="251713536" behindDoc="0" locked="0" layoutInCell="1" allowOverlap="1">
                <wp:simplePos x="0" y="0"/>
                <wp:positionH relativeFrom="column">
                  <wp:posOffset>5285105</wp:posOffset>
                </wp:positionH>
                <wp:positionV relativeFrom="paragraph">
                  <wp:posOffset>834390</wp:posOffset>
                </wp:positionV>
                <wp:extent cx="247015" cy="447675"/>
                <wp:effectExtent l="4445" t="4445" r="5080" b="15240"/>
                <wp:wrapNone/>
                <wp:docPr id="61" name="任意多边形 61"/>
                <wp:cNvGraphicFramePr/>
                <a:graphic xmlns:a="http://schemas.openxmlformats.org/drawingml/2006/main">
                  <a:graphicData uri="http://schemas.microsoft.com/office/word/2010/wordprocessingShape">
                    <wps:wsp>
                      <wps:cNvSpPr/>
                      <wps:spPr>
                        <a:xfrm rot="5400000">
                          <a:off x="0" y="0"/>
                          <a:ext cx="247015" cy="447675"/>
                        </a:xfrm>
                        <a:custGeom>
                          <a:avLst/>
                          <a:gdLst/>
                          <a:ahLst/>
                          <a:cxnLst/>
                          <a:pathLst>
                            <a:path w="379" h="695">
                              <a:moveTo>
                                <a:pt x="0" y="33"/>
                              </a:moveTo>
                              <a:lnTo>
                                <a:pt x="110" y="0"/>
                              </a:lnTo>
                              <a:lnTo>
                                <a:pt x="197" y="285"/>
                              </a:lnTo>
                              <a:lnTo>
                                <a:pt x="244" y="260"/>
                              </a:lnTo>
                              <a:lnTo>
                                <a:pt x="379" y="655"/>
                              </a:lnTo>
                              <a:lnTo>
                                <a:pt x="221" y="695"/>
                              </a:lnTo>
                              <a:lnTo>
                                <a:pt x="0" y="33"/>
                              </a:lnTo>
                              <a:close/>
                            </a:path>
                          </a:pathLst>
                        </a:cu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16.15pt;margin-top:65.7pt;height:35.25pt;width:19.45pt;rotation:5898240f;z-index:251713536;mso-width-relative:page;mso-height-relative:page;" fillcolor="#FFFF00" filled="t" stroked="t" coordsize="379,695" o:gfxdata="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I875nPXAAAACwEAAA8AAAAA&#10;AAAAAQAgAAAAIgAAAGRycy9kb3ducmV2LnhtbFBLAQIUABQAAAAIAIdO4kCwj636hwIAAJUFAAAO&#10;AAAAAAAAAAEAIAAAACYBAABkcnMvZTJvRG9jLnhtbFBLBQYAAAAABgAGAFkBAAAfBgAAAAA=&#10;" path="m0,33l110,0,197,285,244,260,379,655,221,695,0,33xe">
                <v:fill on="t" focussize="0,0"/>
                <v:stroke color="#000000" joinstyle="round"/>
                <v:imagedata o:title=""/>
                <o:lock v:ext="edit" aspectratio="f"/>
              </v:shape>
            </w:pict>
          </mc:Fallback>
        </mc:AlternateContent>
      </w:r>
      <w:r>
        <w:rPr>
          <w:color w:val="auto"/>
          <w:sz w:val="18"/>
        </w:rPr>
        <mc:AlternateContent>
          <mc:Choice Requires="wps">
            <w:drawing>
              <wp:anchor distT="0" distB="0" distL="114300" distR="114300" simplePos="0" relativeHeight="251728896" behindDoc="0" locked="0" layoutInCell="1" allowOverlap="1">
                <wp:simplePos x="0" y="0"/>
                <wp:positionH relativeFrom="column">
                  <wp:posOffset>2961005</wp:posOffset>
                </wp:positionH>
                <wp:positionV relativeFrom="paragraph">
                  <wp:posOffset>2466975</wp:posOffset>
                </wp:positionV>
                <wp:extent cx="76200" cy="81915"/>
                <wp:effectExtent l="19050" t="20955" r="32385" b="36195"/>
                <wp:wrapNone/>
                <wp:docPr id="64" name="文本框 64"/>
                <wp:cNvGraphicFramePr/>
                <a:graphic xmlns:a="http://schemas.openxmlformats.org/drawingml/2006/main">
                  <a:graphicData uri="http://schemas.microsoft.com/office/word/2010/wordprocessingShape">
                    <wps:wsp>
                      <wps:cNvSpPr txBox="1"/>
                      <wps:spPr>
                        <a:xfrm rot="-3840000">
                          <a:off x="0" y="0"/>
                          <a:ext cx="76200" cy="81915"/>
                        </a:xfrm>
                        <a:prstGeom prst="rect">
                          <a:avLst/>
                        </a:prstGeom>
                        <a:solidFill>
                          <a:srgbClr val="FFFF00"/>
                        </a:solidFill>
                        <a:ln w="9525" cap="flat" cmpd="sng">
                          <a:solidFill>
                            <a:srgbClr val="000000"/>
                          </a:solidFill>
                          <a:prstDash val="solid"/>
                          <a:miter/>
                          <a:headEnd type="none" w="med" len="med"/>
                          <a:tailEnd type="none" w="med" len="med"/>
                        </a:ln>
                      </wps:spPr>
                      <wps:txbx>
                        <w:txbxContent>
                          <w:p w14:paraId="26801F3A"/>
                        </w:txbxContent>
                      </wps:txbx>
                      <wps:bodyPr upright="1"/>
                    </wps:wsp>
                  </a:graphicData>
                </a:graphic>
              </wp:anchor>
            </w:drawing>
          </mc:Choice>
          <mc:Fallback>
            <w:pict>
              <v:shape id="_x0000_s1026" o:spid="_x0000_s1026" o:spt="202" type="#_x0000_t202" style="position:absolute;left:0pt;margin-left:233.15pt;margin-top:194.25pt;height:6.45pt;width:6pt;rotation:-4194304f;z-index:251728896;mso-width-relative:page;mso-height-relative:page;" fillcolor="#FFFF00" filled="t" stroked="t" coordsize="21600,21600" o:gfxdata="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oy6Q12gAAAAsBAAAP&#10;AAAAAAAAAAEAIAAAACIAAABkcnMvZG93bnJldi54bWxQSwECFAAUAAAACACHTuJAcyqUlxYCAABE&#10;BAAADgAAAAAAAAABACAAAAApAQAAZHJzL2Uyb0RvYy54bWxQSwUGAAAAAAYABgBZAQAAsQUAAAAA&#10;">
                <v:fill on="t" focussize="0,0"/>
                <v:stroke color="#000000" joinstyle="miter"/>
                <v:imagedata o:title=""/>
                <o:lock v:ext="edit" aspectratio="f"/>
                <v:textbox>
                  <w:txbxContent>
                    <w:p w14:paraId="26801F3A"/>
                  </w:txbxContent>
                </v:textbox>
              </v:shape>
            </w:pict>
          </mc:Fallback>
        </mc:AlternateContent>
      </w:r>
      <w:r>
        <w:rPr>
          <w:color w:val="auto"/>
          <w:sz w:val="18"/>
        </w:rPr>
        <mc:AlternateContent>
          <mc:Choice Requires="wps">
            <w:drawing>
              <wp:anchor distT="0" distB="0" distL="114300" distR="114300" simplePos="0" relativeHeight="251714560" behindDoc="0" locked="0" layoutInCell="1" allowOverlap="1">
                <wp:simplePos x="0" y="0"/>
                <wp:positionH relativeFrom="column">
                  <wp:posOffset>3822700</wp:posOffset>
                </wp:positionH>
                <wp:positionV relativeFrom="paragraph">
                  <wp:posOffset>1141095</wp:posOffset>
                </wp:positionV>
                <wp:extent cx="139700" cy="76200"/>
                <wp:effectExtent l="22860" t="13335" r="34290" b="18415"/>
                <wp:wrapNone/>
                <wp:docPr id="67" name="矩形 67"/>
                <wp:cNvGraphicFramePr/>
                <a:graphic xmlns:a="http://schemas.openxmlformats.org/drawingml/2006/main">
                  <a:graphicData uri="http://schemas.microsoft.com/office/word/2010/wordprocessingShape">
                    <wps:wsp>
                      <wps:cNvSpPr/>
                      <wps:spPr>
                        <a:xfrm rot="4500000">
                          <a:off x="0" y="0"/>
                          <a:ext cx="139700" cy="76200"/>
                        </a:xfrm>
                        <a:prstGeom prst="rect">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01pt;margin-top:89.85pt;height:6pt;width:11pt;rotation:4915200f;z-index:251714560;mso-width-relative:page;mso-height-relative:page;" fillcolor="#FFFF00" filled="t" stroked="t" coordsize="21600,21600" o:gfxdata="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ZPshx1QAAAAsBAAAPAAAAAAAAAAEAIAAAACIAAABkcnMvZG93&#10;bnJldi54bWxQSwECFAAUAAAACACHTuJAZa1NHgMCAAAsBAAADgAAAAAAAAABACAAAAAkAQAAZHJz&#10;L2Uyb0RvYy54bWxQSwUGAAAAAAYABgBZAQAAmQUAAAAA&#10;">
                <v:fill on="t" focussize="0,0"/>
                <v:stroke color="#000000" joinstyle="miter"/>
                <v:imagedata o:title=""/>
                <o:lock v:ext="edit" aspectratio="f"/>
              </v:rect>
            </w:pict>
          </mc:Fallback>
        </mc:AlternateContent>
      </w:r>
      <w:r>
        <w:rPr>
          <w:color w:val="auto"/>
          <w:sz w:val="24"/>
        </w:rPr>
        <mc:AlternateContent>
          <mc:Choice Requires="wps">
            <w:drawing>
              <wp:anchor distT="0" distB="0" distL="114300" distR="114300" simplePos="0" relativeHeight="251729920" behindDoc="0" locked="0" layoutInCell="1" allowOverlap="1">
                <wp:simplePos x="0" y="0"/>
                <wp:positionH relativeFrom="column">
                  <wp:posOffset>7910830</wp:posOffset>
                </wp:positionH>
                <wp:positionV relativeFrom="paragraph">
                  <wp:posOffset>4565015</wp:posOffset>
                </wp:positionV>
                <wp:extent cx="828040" cy="398145"/>
                <wp:effectExtent l="4445" t="4445" r="5715" b="16510"/>
                <wp:wrapNone/>
                <wp:docPr id="63" name="文本框 63"/>
                <wp:cNvGraphicFramePr/>
                <a:graphic xmlns:a="http://schemas.openxmlformats.org/drawingml/2006/main">
                  <a:graphicData uri="http://schemas.microsoft.com/office/word/2010/wordprocessingShape">
                    <wps:wsp>
                      <wps:cNvSpPr txBox="1"/>
                      <wps:spPr>
                        <a:xfrm>
                          <a:off x="0" y="0"/>
                          <a:ext cx="828040" cy="3981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B03D87">
                            <w:pPr>
                              <w:rPr>
                                <w:rFonts w:hint="eastAsia"/>
                                <w:sz w:val="18"/>
                                <w:szCs w:val="18"/>
                                <w:lang w:val="en-US" w:eastAsia="zh-CN"/>
                              </w:rPr>
                            </w:pPr>
                            <w:r>
                              <w:rPr>
                                <w:rFonts w:hint="eastAsia"/>
                                <w:sz w:val="18"/>
                                <w:szCs w:val="18"/>
                                <w:lang w:val="en-US" w:eastAsia="zh-CN"/>
                              </w:rPr>
                              <w:t>图例：</w:t>
                            </w:r>
                          </w:p>
                          <w:p w14:paraId="5BC430B6">
                            <w:pPr>
                              <w:ind w:firstLine="180" w:firstLineChars="100"/>
                              <w:rPr>
                                <w:rFonts w:hint="default"/>
                                <w:sz w:val="18"/>
                                <w:szCs w:val="18"/>
                                <w:lang w:val="en-US" w:eastAsia="zh-CN"/>
                              </w:rPr>
                            </w:pPr>
                            <w:r>
                              <w:rPr>
                                <w:rFonts w:hint="eastAsia"/>
                                <w:sz w:val="18"/>
                                <w:szCs w:val="18"/>
                                <w:lang w:val="en-US" w:eastAsia="zh-CN"/>
                              </w:rPr>
                              <w:t>危险单元</w:t>
                            </w:r>
                          </w:p>
                        </w:txbxContent>
                      </wps:txbx>
                      <wps:bodyPr upright="1"/>
                    </wps:wsp>
                  </a:graphicData>
                </a:graphic>
              </wp:anchor>
            </w:drawing>
          </mc:Choice>
          <mc:Fallback>
            <w:pict>
              <v:shape id="_x0000_s1026" o:spid="_x0000_s1026" o:spt="202" type="#_x0000_t202" style="position:absolute;left:0pt;margin-left:622.9pt;margin-top:359.45pt;height:31.35pt;width:65.2pt;z-index:251729920;mso-width-relative:page;mso-height-relative:page;" fillcolor="#FFFFFF" filled="t" stroked="t" coordsize="21600,21600" o:gfxdata="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XvQoy2wAAAA0BAAAPAAAAAAAAAAEA&#10;IAAAACIAAABkcnMvZG93bnJldi54bWxQSwECFAAUAAAACACHTuJA4OduqgwCAAA3BAAADgAAAAAA&#10;AAABACAAAAAqAQAAZHJzL2Uyb0RvYy54bWxQSwUGAAAAAAYABgBZAQAAqAUAAAAA&#10;">
                <v:fill on="t" focussize="0,0"/>
                <v:stroke color="#000000" joinstyle="miter"/>
                <v:imagedata o:title=""/>
                <o:lock v:ext="edit" aspectratio="f"/>
                <v:textbox>
                  <w:txbxContent>
                    <w:p w14:paraId="28B03D87">
                      <w:pPr>
                        <w:rPr>
                          <w:rFonts w:hint="eastAsia"/>
                          <w:sz w:val="18"/>
                          <w:szCs w:val="18"/>
                          <w:lang w:val="en-US" w:eastAsia="zh-CN"/>
                        </w:rPr>
                      </w:pPr>
                      <w:r>
                        <w:rPr>
                          <w:rFonts w:hint="eastAsia"/>
                          <w:sz w:val="18"/>
                          <w:szCs w:val="18"/>
                          <w:lang w:val="en-US" w:eastAsia="zh-CN"/>
                        </w:rPr>
                        <w:t>图例：</w:t>
                      </w:r>
                    </w:p>
                    <w:p w14:paraId="5BC430B6">
                      <w:pPr>
                        <w:ind w:firstLine="180" w:firstLineChars="100"/>
                        <w:rPr>
                          <w:rFonts w:hint="default"/>
                          <w:sz w:val="18"/>
                          <w:szCs w:val="18"/>
                          <w:lang w:val="en-US" w:eastAsia="zh-CN"/>
                        </w:rPr>
                      </w:pPr>
                      <w:r>
                        <w:rPr>
                          <w:rFonts w:hint="eastAsia"/>
                          <w:sz w:val="18"/>
                          <w:szCs w:val="18"/>
                          <w:lang w:val="en-US" w:eastAsia="zh-CN"/>
                        </w:rPr>
                        <w:t>危险单元</w:t>
                      </w:r>
                    </w:p>
                  </w:txbxContent>
                </v:textbox>
              </v:shape>
            </w:pict>
          </mc:Fallback>
        </mc:AlternateContent>
      </w:r>
      <w:r>
        <w:rPr>
          <w:color w:val="auto"/>
        </w:rPr>
        <w:drawing>
          <wp:inline distT="0" distB="0" distL="114300" distR="114300">
            <wp:extent cx="8768715" cy="4987925"/>
            <wp:effectExtent l="0" t="0" r="13335" b="3175"/>
            <wp:docPr id="3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24"/>
                    <pic:cNvPicPr>
                      <a:picLocks noChangeAspect="1"/>
                    </pic:cNvPicPr>
                  </pic:nvPicPr>
                  <pic:blipFill>
                    <a:blip r:embed="rId223"/>
                    <a:stretch>
                      <a:fillRect/>
                    </a:stretch>
                  </pic:blipFill>
                  <pic:spPr>
                    <a:xfrm>
                      <a:off x="0" y="0"/>
                      <a:ext cx="8768715" cy="4987925"/>
                    </a:xfrm>
                    <a:prstGeom prst="rect">
                      <a:avLst/>
                    </a:prstGeom>
                    <a:noFill/>
                    <a:ln>
                      <a:noFill/>
                    </a:ln>
                  </pic:spPr>
                </pic:pic>
              </a:graphicData>
            </a:graphic>
          </wp:inline>
        </w:drawing>
      </w:r>
      <w:r>
        <w:rPr>
          <w:color w:val="auto"/>
          <w:sz w:val="24"/>
        </w:rPr>
        <mc:AlternateContent>
          <mc:Choice Requires="wps">
            <w:drawing>
              <wp:anchor distT="0" distB="0" distL="114300" distR="114300" simplePos="0" relativeHeight="251730944" behindDoc="0" locked="0" layoutInCell="1" allowOverlap="1">
                <wp:simplePos x="0" y="0"/>
                <wp:positionH relativeFrom="column">
                  <wp:posOffset>7979410</wp:posOffset>
                </wp:positionH>
                <wp:positionV relativeFrom="paragraph">
                  <wp:posOffset>4789170</wp:posOffset>
                </wp:positionV>
                <wp:extent cx="99060" cy="75565"/>
                <wp:effectExtent l="4445" t="4445" r="10795" b="15240"/>
                <wp:wrapNone/>
                <wp:docPr id="62" name="矩形 62"/>
                <wp:cNvGraphicFramePr/>
                <a:graphic xmlns:a="http://schemas.openxmlformats.org/drawingml/2006/main">
                  <a:graphicData uri="http://schemas.microsoft.com/office/word/2010/wordprocessingShape">
                    <wps:wsp>
                      <wps:cNvSpPr/>
                      <wps:spPr>
                        <a:xfrm>
                          <a:off x="0" y="0"/>
                          <a:ext cx="99060" cy="75565"/>
                        </a:xfrm>
                        <a:prstGeom prst="rect">
                          <a:avLst/>
                        </a:prstGeom>
                        <a:solidFill>
                          <a:srgbClr val="FFFF00"/>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28.3pt;margin-top:377.1pt;height:5.95pt;width:7.8pt;z-index:251730944;mso-width-relative:page;mso-height-relative:page;" fillcolor="#FFFF00" filled="t" stroked="t" coordsize="21600,21600" o:gfxdata="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2KaqU2wAAAA0BAAAPAAAAAAAAAAEAIAAAACIAAABkcnMvZG93&#10;bnJldi54bWxQSwECFAAUAAAACACHTuJAItAiB/0BAAAdBAAADgAAAAAAAAABACAAAAAqAQAAZHJz&#10;L2Uyb0RvYy54bWxQSwUGAAAAAAYABgBZAQAAmQUAAAAA&#10;">
                <v:fill on="t" focussize="0,0"/>
                <v:stroke color="#000000" joinstyle="miter"/>
                <v:imagedata o:title=""/>
                <o:lock v:ext="edit" aspectratio="f"/>
              </v:rect>
            </w:pict>
          </mc:Fallback>
        </mc:AlternateContent>
      </w:r>
    </w:p>
    <w:p w14:paraId="127DA6D1">
      <w:pPr>
        <w:pStyle w:val="10"/>
        <w:keepNext w:val="0"/>
        <w:keepLines w:val="0"/>
        <w:pageBreakBefore w:val="0"/>
        <w:widowControl/>
        <w:kinsoku/>
        <w:wordWrap/>
        <w:overflowPunct/>
        <w:topLinePunct w:val="0"/>
        <w:autoSpaceDE/>
        <w:autoSpaceDN/>
        <w:bidi w:val="0"/>
        <w:adjustRightInd/>
        <w:snapToGrid w:val="0"/>
        <w:spacing w:before="0" w:after="0" w:line="360" w:lineRule="auto"/>
        <w:ind w:left="0" w:right="0"/>
        <w:jc w:val="center"/>
        <w:textAlignment w:val="auto"/>
        <w:rPr>
          <w:rFonts w:hint="default" w:ascii="Times New Roman" w:hAnsi="Times New Roman" w:eastAsia="宋体" w:cs="Times New Roman"/>
          <w:b/>
          <w:bCs/>
          <w:color w:val="auto"/>
          <w:sz w:val="24"/>
          <w:szCs w:val="24"/>
          <w:highlight w:val="yellow"/>
        </w:rPr>
      </w:pPr>
      <w:r>
        <w:rPr>
          <w:rFonts w:hint="default" w:ascii="Times New Roman" w:hAnsi="Times New Roman" w:eastAsia="宋体" w:cs="Times New Roman"/>
          <w:b/>
          <w:bCs/>
          <w:color w:val="auto"/>
          <w:kern w:val="0"/>
          <w:sz w:val="21"/>
          <w:szCs w:val="21"/>
          <w:lang w:val="en-US" w:eastAsia="zh-CN" w:bidi="ar"/>
        </w:rPr>
        <w:t>图</w:t>
      </w:r>
      <w:r>
        <w:rPr>
          <w:rFonts w:hint="default" w:ascii="Times New Roman" w:hAnsi="Times New Roman" w:cs="Times New Roman"/>
          <w:b/>
          <w:bCs/>
          <w:color w:val="auto"/>
          <w:kern w:val="0"/>
          <w:sz w:val="21"/>
          <w:szCs w:val="21"/>
          <w:lang w:val="en-US" w:eastAsia="zh-CN" w:bidi="ar"/>
        </w:rPr>
        <w:t>5</w:t>
      </w:r>
      <w:r>
        <w:rPr>
          <w:rFonts w:hint="default" w:ascii="Times New Roman" w:hAnsi="Times New Roman" w:eastAsia="宋体" w:cs="Times New Roman"/>
          <w:b/>
          <w:bCs/>
          <w:color w:val="auto"/>
          <w:kern w:val="0"/>
          <w:sz w:val="21"/>
          <w:szCs w:val="21"/>
          <w:lang w:val="en-US" w:eastAsia="zh-CN" w:bidi="ar"/>
        </w:rPr>
        <w:t>-1  本项目危险单元分布图</w:t>
      </w:r>
    </w:p>
    <w:p w14:paraId="68FA7F82">
      <w:pPr>
        <w:pStyle w:val="41"/>
        <w:ind w:left="0" w:leftChars="0" w:firstLine="0" w:firstLineChars="0"/>
        <w:rPr>
          <w:rFonts w:hint="default" w:ascii="Times New Roman" w:hAnsi="Times New Roman" w:cs="Times New Roman"/>
          <w:color w:val="auto"/>
        </w:rPr>
        <w:sectPr>
          <w:pgSz w:w="16840" w:h="11910" w:orient="landscape"/>
          <w:pgMar w:top="1800" w:right="1440" w:bottom="1800" w:left="1440" w:header="720" w:footer="720" w:gutter="0"/>
          <w:pgBorders>
            <w:top w:val="none" w:sz="0" w:space="0"/>
            <w:left w:val="none" w:sz="0" w:space="0"/>
            <w:bottom w:val="none" w:sz="0" w:space="0"/>
            <w:right w:val="none" w:sz="0" w:space="0"/>
          </w:pgBorders>
          <w:pgNumType w:fmt="decimal"/>
          <w:cols w:space="720" w:num="1"/>
          <w:rtlGutter w:val="0"/>
          <w:docGrid w:linePitch="1" w:charSpace="0"/>
        </w:sectPr>
      </w:pPr>
    </w:p>
    <w:p w14:paraId="5B9ACB01">
      <w:pPr>
        <w:keepNext w:val="0"/>
        <w:keepLines w:val="0"/>
        <w:widowControl/>
        <w:suppressLineNumbers w:val="0"/>
        <w:spacing w:line="360" w:lineRule="auto"/>
        <w:jc w:val="left"/>
        <w:outlineLvl w:val="0"/>
        <w:rPr>
          <w:rFonts w:hint="default" w:ascii="Times New Roman" w:hAnsi="Times New Roman" w:eastAsia="宋体" w:cs="Times New Roman"/>
          <w:b/>
          <w:bCs/>
          <w:color w:val="auto"/>
          <w:kern w:val="0"/>
          <w:sz w:val="30"/>
          <w:szCs w:val="30"/>
          <w:lang w:val="en-US" w:eastAsia="zh-CN" w:bidi="ar"/>
        </w:rPr>
      </w:pPr>
      <w:bookmarkStart w:id="539" w:name="_Toc32528"/>
      <w:bookmarkStart w:id="540" w:name="_Toc12992"/>
      <w:bookmarkStart w:id="541" w:name="_Toc25846"/>
      <w:bookmarkStart w:id="542" w:name="_Toc456035369"/>
      <w:bookmarkStart w:id="543" w:name="_Toc12345340"/>
      <w:bookmarkStart w:id="544" w:name="_Toc28418"/>
      <w:bookmarkStart w:id="545" w:name="_Toc29259"/>
      <w:r>
        <w:rPr>
          <w:rFonts w:hint="eastAsia" w:ascii="Times New Roman" w:hAnsi="Times New Roman" w:eastAsia="宋体" w:cs="Times New Roman"/>
          <w:b/>
          <w:bCs/>
          <w:color w:val="auto"/>
          <w:kern w:val="0"/>
          <w:sz w:val="30"/>
          <w:szCs w:val="30"/>
          <w:lang w:val="en-US" w:eastAsia="zh-CN" w:bidi="ar"/>
        </w:rPr>
        <w:t>6</w:t>
      </w:r>
      <w:r>
        <w:rPr>
          <w:rFonts w:hint="default" w:ascii="Times New Roman" w:hAnsi="Times New Roman" w:eastAsia="宋体" w:cs="Times New Roman"/>
          <w:b/>
          <w:bCs/>
          <w:color w:val="auto"/>
          <w:kern w:val="0"/>
          <w:sz w:val="30"/>
          <w:szCs w:val="30"/>
          <w:lang w:val="en-US" w:eastAsia="zh-CN" w:bidi="ar"/>
        </w:rPr>
        <w:t>突发环境事件情景分析</w:t>
      </w:r>
      <w:bookmarkEnd w:id="539"/>
      <w:bookmarkEnd w:id="540"/>
    </w:p>
    <w:p w14:paraId="6450BB20">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46" w:name="bookmark48"/>
      <w:bookmarkEnd w:id="546"/>
      <w:bookmarkStart w:id="547" w:name="_Toc17701"/>
      <w:bookmarkStart w:id="548" w:name="_Toc21106"/>
      <w:r>
        <w:rPr>
          <w:rFonts w:hint="eastAsia" w:ascii="Times New Roman" w:hAnsi="Times New Roman" w:eastAsia="宋体" w:cs="Times New Roman"/>
          <w:b/>
          <w:bCs/>
          <w:color w:val="auto"/>
          <w:kern w:val="0"/>
          <w:sz w:val="28"/>
          <w:szCs w:val="28"/>
          <w:lang w:val="en-US" w:eastAsia="zh-CN" w:bidi="ar"/>
        </w:rPr>
        <w:t>6.1</w:t>
      </w:r>
      <w:r>
        <w:rPr>
          <w:rFonts w:hint="default" w:ascii="Times New Roman" w:hAnsi="Times New Roman" w:eastAsia="宋体" w:cs="Times New Roman"/>
          <w:b/>
          <w:bCs/>
          <w:color w:val="auto"/>
          <w:kern w:val="0"/>
          <w:sz w:val="28"/>
          <w:szCs w:val="28"/>
          <w:lang w:val="en-US" w:eastAsia="zh-CN" w:bidi="ar"/>
        </w:rPr>
        <w:t xml:space="preserve"> 国内外同类企业突发环境事件资料</w:t>
      </w:r>
      <w:bookmarkEnd w:id="547"/>
      <w:bookmarkEnd w:id="548"/>
    </w:p>
    <w:p w14:paraId="1705BB68">
      <w:pPr>
        <w:spacing w:before="120" w:line="228" w:lineRule="auto"/>
        <w:ind w:left="2853"/>
        <w:rPr>
          <w:rFonts w:ascii="宋体" w:hAnsi="宋体" w:eastAsia="宋体" w:cs="宋体"/>
          <w:color w:val="auto"/>
          <w:sz w:val="20"/>
          <w:szCs w:val="20"/>
        </w:rPr>
      </w:pPr>
      <w:r>
        <w:rPr>
          <w:rFonts w:ascii="宋体" w:hAnsi="宋体" w:eastAsia="宋体" w:cs="宋体"/>
          <w:b/>
          <w:bCs/>
          <w:color w:val="auto"/>
          <w:spacing w:val="5"/>
          <w:sz w:val="20"/>
          <w:szCs w:val="20"/>
        </w:rPr>
        <w:t>表</w:t>
      </w:r>
      <w:r>
        <w:rPr>
          <w:rFonts w:ascii="宋体" w:hAnsi="宋体" w:eastAsia="宋体" w:cs="宋体"/>
          <w:color w:val="auto"/>
          <w:spacing w:val="-32"/>
          <w:sz w:val="20"/>
          <w:szCs w:val="20"/>
        </w:rPr>
        <w:t xml:space="preserve"> </w:t>
      </w:r>
      <w:r>
        <w:rPr>
          <w:rFonts w:hint="eastAsia" w:ascii="Times New Roman" w:hAnsi="Times New Roman" w:eastAsia="宋体" w:cs="Times New Roman"/>
          <w:b/>
          <w:bCs/>
          <w:color w:val="auto"/>
          <w:spacing w:val="5"/>
          <w:sz w:val="20"/>
          <w:szCs w:val="20"/>
          <w:lang w:val="en-US" w:eastAsia="zh-CN"/>
        </w:rPr>
        <w:t>6</w:t>
      </w:r>
      <w:r>
        <w:rPr>
          <w:rFonts w:ascii="Times New Roman" w:hAnsi="Times New Roman" w:eastAsia="Times New Roman" w:cs="Times New Roman"/>
          <w:b/>
          <w:bCs/>
          <w:color w:val="auto"/>
          <w:spacing w:val="5"/>
          <w:sz w:val="20"/>
          <w:szCs w:val="20"/>
        </w:rPr>
        <w:t>-1</w:t>
      </w:r>
      <w:r>
        <w:rPr>
          <w:rFonts w:ascii="Times New Roman" w:hAnsi="Times New Roman" w:eastAsia="Times New Roman" w:cs="Times New Roman"/>
          <w:b/>
          <w:bCs/>
          <w:color w:val="auto"/>
          <w:spacing w:val="30"/>
          <w:sz w:val="20"/>
          <w:szCs w:val="20"/>
        </w:rPr>
        <w:t xml:space="preserve"> </w:t>
      </w:r>
      <w:r>
        <w:rPr>
          <w:rFonts w:ascii="宋体" w:hAnsi="宋体" w:eastAsia="宋体" w:cs="宋体"/>
          <w:b/>
          <w:bCs/>
          <w:color w:val="auto"/>
          <w:spacing w:val="5"/>
          <w:sz w:val="20"/>
          <w:szCs w:val="20"/>
        </w:rPr>
        <w:t>国内外同类型事故突发环境事件</w:t>
      </w:r>
    </w:p>
    <w:p w14:paraId="73E4FD10">
      <w:pPr>
        <w:spacing w:line="15" w:lineRule="exact"/>
        <w:rPr>
          <w:color w:val="auto"/>
        </w:rPr>
      </w:pPr>
    </w:p>
    <w:tbl>
      <w:tblPr>
        <w:tblStyle w:val="85"/>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76"/>
        <w:gridCol w:w="1313"/>
        <w:gridCol w:w="5819"/>
      </w:tblGrid>
      <w:tr w14:paraId="5BE3D7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708" w:type="pct"/>
            <w:tcBorders>
              <w:tl2br w:val="nil"/>
              <w:tr2bl w:val="nil"/>
            </w:tcBorders>
            <w:vAlign w:val="center"/>
          </w:tcPr>
          <w:p w14:paraId="28928401">
            <w:pPr>
              <w:pStyle w:val="115"/>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color w:val="auto"/>
                <w:sz w:val="21"/>
                <w:szCs w:val="21"/>
              </w:rPr>
            </w:pPr>
            <w:r>
              <w:rPr>
                <w:b/>
                <w:bCs/>
                <w:color w:val="auto"/>
                <w:spacing w:val="3"/>
                <w:sz w:val="21"/>
                <w:szCs w:val="21"/>
              </w:rPr>
              <w:t>事件</w:t>
            </w:r>
          </w:p>
        </w:tc>
        <w:tc>
          <w:tcPr>
            <w:tcW w:w="790" w:type="pct"/>
            <w:tcBorders>
              <w:tl2br w:val="nil"/>
              <w:tr2bl w:val="nil"/>
            </w:tcBorders>
            <w:vAlign w:val="center"/>
          </w:tcPr>
          <w:p w14:paraId="5581FCF3">
            <w:pPr>
              <w:pStyle w:val="115"/>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color w:val="auto"/>
                <w:sz w:val="21"/>
                <w:szCs w:val="21"/>
              </w:rPr>
            </w:pPr>
            <w:r>
              <w:rPr>
                <w:b/>
                <w:bCs/>
                <w:color w:val="auto"/>
                <w:spacing w:val="2"/>
                <w:sz w:val="21"/>
                <w:szCs w:val="21"/>
              </w:rPr>
              <w:t>项目</w:t>
            </w:r>
          </w:p>
        </w:tc>
        <w:tc>
          <w:tcPr>
            <w:tcW w:w="3501" w:type="pct"/>
            <w:tcBorders>
              <w:tl2br w:val="nil"/>
              <w:tr2bl w:val="nil"/>
            </w:tcBorders>
            <w:vAlign w:val="center"/>
          </w:tcPr>
          <w:p w14:paraId="50CF4FB8">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b/>
                <w:bCs/>
                <w:color w:val="auto"/>
                <w:spacing w:val="-9"/>
                <w:sz w:val="21"/>
                <w:szCs w:val="21"/>
              </w:rPr>
              <w:t>内容</w:t>
            </w:r>
          </w:p>
        </w:tc>
      </w:tr>
      <w:tr w14:paraId="7C35D2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restart"/>
            <w:tcBorders>
              <w:tl2br w:val="nil"/>
              <w:tr2bl w:val="nil"/>
            </w:tcBorders>
            <w:vAlign w:val="center"/>
          </w:tcPr>
          <w:p w14:paraId="6B895E41">
            <w:pPr>
              <w:pStyle w:val="115"/>
              <w:keepNext w:val="0"/>
              <w:keepLines w:val="0"/>
              <w:pageBreakBefore w:val="0"/>
              <w:widowControl w:val="0"/>
              <w:kinsoku/>
              <w:wordWrap/>
              <w:overflowPunct/>
              <w:topLinePunct w:val="0"/>
              <w:autoSpaceDE/>
              <w:autoSpaceDN/>
              <w:bidi w:val="0"/>
              <w:adjustRightInd/>
              <w:snapToGrid/>
              <w:spacing w:line="226" w:lineRule="auto"/>
              <w:ind w:left="0" w:firstLine="0"/>
              <w:jc w:val="center"/>
              <w:textAlignment w:val="auto"/>
              <w:rPr>
                <w:color w:val="auto"/>
                <w:sz w:val="21"/>
                <w:szCs w:val="21"/>
              </w:rPr>
            </w:pPr>
            <w:r>
              <w:rPr>
                <w:color w:val="auto"/>
                <w:spacing w:val="7"/>
                <w:sz w:val="21"/>
                <w:szCs w:val="21"/>
              </w:rPr>
              <w:t>硝酸铵爆炸</w:t>
            </w:r>
          </w:p>
        </w:tc>
        <w:tc>
          <w:tcPr>
            <w:tcW w:w="790" w:type="pct"/>
            <w:tcBorders>
              <w:tl2br w:val="nil"/>
              <w:tr2bl w:val="nil"/>
            </w:tcBorders>
            <w:vAlign w:val="center"/>
          </w:tcPr>
          <w:p w14:paraId="71A5E321">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14"/>
                <w:sz w:val="21"/>
                <w:szCs w:val="21"/>
              </w:rPr>
              <w:t>日期</w:t>
            </w:r>
          </w:p>
        </w:tc>
        <w:tc>
          <w:tcPr>
            <w:tcW w:w="3501" w:type="pct"/>
            <w:tcBorders>
              <w:tl2br w:val="nil"/>
              <w:tr2bl w:val="nil"/>
            </w:tcBorders>
            <w:vAlign w:val="center"/>
          </w:tcPr>
          <w:p w14:paraId="5F6E8AC1">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rFonts w:ascii="Times New Roman" w:hAnsi="Times New Roman" w:eastAsia="Times New Roman" w:cs="Times New Roman"/>
                <w:color w:val="auto"/>
                <w:sz w:val="21"/>
                <w:szCs w:val="21"/>
              </w:rPr>
              <w:t xml:space="preserve">2020 </w:t>
            </w:r>
            <w:r>
              <w:rPr>
                <w:color w:val="auto"/>
                <w:sz w:val="21"/>
                <w:szCs w:val="21"/>
              </w:rPr>
              <w:t>年</w:t>
            </w:r>
            <w:r>
              <w:rPr>
                <w:color w:val="auto"/>
                <w:spacing w:val="-31"/>
                <w:sz w:val="21"/>
                <w:szCs w:val="21"/>
              </w:rPr>
              <w:t xml:space="preserve"> </w:t>
            </w:r>
            <w:r>
              <w:rPr>
                <w:rFonts w:ascii="Times New Roman" w:hAnsi="Times New Roman" w:eastAsia="Times New Roman" w:cs="Times New Roman"/>
                <w:color w:val="auto"/>
                <w:sz w:val="21"/>
                <w:szCs w:val="21"/>
              </w:rPr>
              <w:t>8</w:t>
            </w:r>
            <w:r>
              <w:rPr>
                <w:rFonts w:ascii="Times New Roman" w:hAnsi="Times New Roman" w:eastAsia="Times New Roman" w:cs="Times New Roman"/>
                <w:color w:val="auto"/>
                <w:spacing w:val="15"/>
                <w:w w:val="101"/>
                <w:sz w:val="21"/>
                <w:szCs w:val="21"/>
              </w:rPr>
              <w:t xml:space="preserve"> </w:t>
            </w:r>
            <w:r>
              <w:rPr>
                <w:color w:val="auto"/>
                <w:sz w:val="21"/>
                <w:szCs w:val="21"/>
              </w:rPr>
              <w:t>月</w:t>
            </w:r>
            <w:r>
              <w:rPr>
                <w:color w:val="auto"/>
                <w:spacing w:val="-42"/>
                <w:sz w:val="21"/>
                <w:szCs w:val="21"/>
              </w:rPr>
              <w:t xml:space="preserve"> </w:t>
            </w:r>
            <w:r>
              <w:rPr>
                <w:rFonts w:ascii="Times New Roman" w:hAnsi="Times New Roman" w:eastAsia="Times New Roman" w:cs="Times New Roman"/>
                <w:color w:val="auto"/>
                <w:sz w:val="21"/>
                <w:szCs w:val="21"/>
              </w:rPr>
              <w:t xml:space="preserve">4  </w:t>
            </w:r>
            <w:r>
              <w:rPr>
                <w:color w:val="auto"/>
                <w:sz w:val="21"/>
                <w:szCs w:val="21"/>
              </w:rPr>
              <w:t>日下午</w:t>
            </w:r>
            <w:r>
              <w:rPr>
                <w:color w:val="auto"/>
                <w:spacing w:val="-36"/>
                <w:sz w:val="21"/>
                <w:szCs w:val="21"/>
              </w:rPr>
              <w:t xml:space="preserve"> </w:t>
            </w:r>
            <w:r>
              <w:rPr>
                <w:rFonts w:ascii="Times New Roman" w:hAnsi="Times New Roman" w:eastAsia="Times New Roman" w:cs="Times New Roman"/>
                <w:color w:val="auto"/>
                <w:sz w:val="21"/>
                <w:szCs w:val="21"/>
              </w:rPr>
              <w:t>6</w:t>
            </w:r>
            <w:r>
              <w:rPr>
                <w:rFonts w:ascii="Times New Roman" w:hAnsi="Times New Roman" w:eastAsia="Times New Roman" w:cs="Times New Roman"/>
                <w:color w:val="auto"/>
                <w:spacing w:val="19"/>
                <w:w w:val="101"/>
                <w:sz w:val="21"/>
                <w:szCs w:val="21"/>
              </w:rPr>
              <w:t xml:space="preserve"> </w:t>
            </w:r>
            <w:r>
              <w:rPr>
                <w:color w:val="auto"/>
                <w:sz w:val="21"/>
                <w:szCs w:val="21"/>
              </w:rPr>
              <w:t>时左右</w:t>
            </w:r>
          </w:p>
        </w:tc>
      </w:tr>
      <w:tr w14:paraId="5BA7EE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4A849358">
            <w:pPr>
              <w:keepNext w:val="0"/>
              <w:keepLines w:val="0"/>
              <w:pageBreakBefore w:val="0"/>
              <w:widowControl w:val="0"/>
              <w:kinsoku/>
              <w:wordWrap/>
              <w:overflowPunct/>
              <w:topLinePunct w:val="0"/>
              <w:autoSpaceDE/>
              <w:autoSpaceDN/>
              <w:bidi w:val="0"/>
              <w:adjustRightInd/>
              <w:snapToGrid/>
              <w:ind w:left="0" w:firstLine="0"/>
              <w:jc w:val="center"/>
              <w:textAlignment w:val="auto"/>
              <w:rPr>
                <w:rFonts w:ascii="Arial"/>
                <w:color w:val="auto"/>
                <w:sz w:val="21"/>
                <w:szCs w:val="21"/>
              </w:rPr>
            </w:pPr>
          </w:p>
        </w:tc>
        <w:tc>
          <w:tcPr>
            <w:tcW w:w="790" w:type="pct"/>
            <w:tcBorders>
              <w:tl2br w:val="nil"/>
              <w:tr2bl w:val="nil"/>
            </w:tcBorders>
            <w:vAlign w:val="center"/>
          </w:tcPr>
          <w:p w14:paraId="32DB2B57">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4"/>
                <w:sz w:val="21"/>
                <w:szCs w:val="21"/>
              </w:rPr>
              <w:t>地点</w:t>
            </w:r>
          </w:p>
        </w:tc>
        <w:tc>
          <w:tcPr>
            <w:tcW w:w="3501" w:type="pct"/>
            <w:tcBorders>
              <w:tl2br w:val="nil"/>
              <w:tr2bl w:val="nil"/>
            </w:tcBorders>
            <w:vAlign w:val="center"/>
          </w:tcPr>
          <w:p w14:paraId="638C7B3C">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color w:val="auto"/>
                <w:spacing w:val="8"/>
                <w:sz w:val="21"/>
                <w:szCs w:val="21"/>
              </w:rPr>
              <w:t>黎巴嫩首都贝鲁特港口区</w:t>
            </w:r>
          </w:p>
        </w:tc>
      </w:tr>
      <w:tr w14:paraId="2D3CE7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jc w:val="center"/>
        </w:trPr>
        <w:tc>
          <w:tcPr>
            <w:tcW w:w="708" w:type="pct"/>
            <w:vMerge w:val="continue"/>
            <w:tcBorders>
              <w:tl2br w:val="nil"/>
              <w:tr2bl w:val="nil"/>
            </w:tcBorders>
            <w:vAlign w:val="center"/>
          </w:tcPr>
          <w:p w14:paraId="400EE280">
            <w:pPr>
              <w:keepNext w:val="0"/>
              <w:keepLines w:val="0"/>
              <w:pageBreakBefore w:val="0"/>
              <w:widowControl w:val="0"/>
              <w:kinsoku/>
              <w:wordWrap/>
              <w:overflowPunct/>
              <w:topLinePunct w:val="0"/>
              <w:autoSpaceDE/>
              <w:autoSpaceDN/>
              <w:bidi w:val="0"/>
              <w:adjustRightInd/>
              <w:snapToGrid/>
              <w:ind w:left="0" w:firstLine="0"/>
              <w:jc w:val="center"/>
              <w:textAlignment w:val="auto"/>
              <w:rPr>
                <w:rFonts w:ascii="Arial"/>
                <w:color w:val="auto"/>
                <w:sz w:val="21"/>
                <w:szCs w:val="21"/>
              </w:rPr>
            </w:pPr>
          </w:p>
        </w:tc>
        <w:tc>
          <w:tcPr>
            <w:tcW w:w="790" w:type="pct"/>
            <w:tcBorders>
              <w:tl2br w:val="nil"/>
              <w:tr2bl w:val="nil"/>
            </w:tcBorders>
            <w:vAlign w:val="center"/>
          </w:tcPr>
          <w:p w14:paraId="0A39F617">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7"/>
                <w:sz w:val="21"/>
                <w:szCs w:val="21"/>
              </w:rPr>
              <w:t>事件经过</w:t>
            </w:r>
          </w:p>
        </w:tc>
        <w:tc>
          <w:tcPr>
            <w:tcW w:w="3501" w:type="pct"/>
            <w:tcBorders>
              <w:tl2br w:val="nil"/>
              <w:tr2bl w:val="nil"/>
            </w:tcBorders>
            <w:vAlign w:val="center"/>
          </w:tcPr>
          <w:p w14:paraId="19F2AD8A">
            <w:pPr>
              <w:pStyle w:val="115"/>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color w:val="auto"/>
                <w:sz w:val="21"/>
                <w:szCs w:val="21"/>
              </w:rPr>
            </w:pPr>
            <w:r>
              <w:rPr>
                <w:rFonts w:ascii="Times New Roman" w:hAnsi="Times New Roman" w:eastAsia="Times New Roman" w:cs="Times New Roman"/>
                <w:color w:val="auto"/>
                <w:sz w:val="21"/>
                <w:szCs w:val="21"/>
              </w:rPr>
              <w:t>8</w:t>
            </w:r>
            <w:r>
              <w:rPr>
                <w:rFonts w:ascii="Times New Roman" w:hAnsi="Times New Roman" w:eastAsia="Times New Roman" w:cs="Times New Roman"/>
                <w:color w:val="auto"/>
                <w:spacing w:val="35"/>
                <w:w w:val="101"/>
                <w:sz w:val="21"/>
                <w:szCs w:val="21"/>
              </w:rPr>
              <w:t xml:space="preserve"> </w:t>
            </w:r>
            <w:r>
              <w:rPr>
                <w:color w:val="auto"/>
                <w:sz w:val="21"/>
                <w:szCs w:val="21"/>
              </w:rPr>
              <w:t>月</w:t>
            </w:r>
            <w:r>
              <w:rPr>
                <w:color w:val="auto"/>
                <w:spacing w:val="-45"/>
                <w:sz w:val="21"/>
                <w:szCs w:val="21"/>
              </w:rPr>
              <w:t xml:space="preserve"> </w:t>
            </w:r>
            <w:r>
              <w:rPr>
                <w:rFonts w:ascii="Times New Roman" w:hAnsi="Times New Roman" w:eastAsia="Times New Roman" w:cs="Times New Roman"/>
                <w:color w:val="auto"/>
                <w:sz w:val="21"/>
                <w:szCs w:val="21"/>
              </w:rPr>
              <w:t>4</w:t>
            </w:r>
            <w:r>
              <w:rPr>
                <w:rFonts w:ascii="Times New Roman" w:hAnsi="Times New Roman" w:eastAsia="Times New Roman" w:cs="Times New Roman"/>
                <w:color w:val="auto"/>
                <w:spacing w:val="48"/>
                <w:w w:val="101"/>
                <w:sz w:val="21"/>
                <w:szCs w:val="21"/>
              </w:rPr>
              <w:t xml:space="preserve"> </w:t>
            </w:r>
            <w:r>
              <w:rPr>
                <w:color w:val="auto"/>
                <w:sz w:val="21"/>
                <w:szCs w:val="21"/>
              </w:rPr>
              <w:t>日下午</w:t>
            </w:r>
            <w:r>
              <w:rPr>
                <w:color w:val="auto"/>
                <w:spacing w:val="-38"/>
                <w:sz w:val="21"/>
                <w:szCs w:val="21"/>
              </w:rPr>
              <w:t xml:space="preserve"> </w:t>
            </w:r>
            <w:r>
              <w:rPr>
                <w:rFonts w:ascii="Times New Roman" w:hAnsi="Times New Roman" w:eastAsia="Times New Roman" w:cs="Times New Roman"/>
                <w:color w:val="auto"/>
                <w:sz w:val="21"/>
                <w:szCs w:val="21"/>
              </w:rPr>
              <w:t>6</w:t>
            </w:r>
            <w:r>
              <w:rPr>
                <w:rFonts w:ascii="Times New Roman" w:hAnsi="Times New Roman" w:eastAsia="Times New Roman" w:cs="Times New Roman"/>
                <w:color w:val="auto"/>
                <w:spacing w:val="21"/>
                <w:w w:val="101"/>
                <w:sz w:val="21"/>
                <w:szCs w:val="21"/>
              </w:rPr>
              <w:t xml:space="preserve"> </w:t>
            </w:r>
            <w:r>
              <w:rPr>
                <w:color w:val="auto"/>
                <w:sz w:val="21"/>
                <w:szCs w:val="21"/>
              </w:rPr>
              <w:t>时左右，黎巴嫩首都贝鲁特港口区发生巨大爆炸，</w:t>
            </w:r>
            <w:r>
              <w:rPr>
                <w:color w:val="auto"/>
                <w:spacing w:val="8"/>
                <w:sz w:val="21"/>
                <w:szCs w:val="21"/>
              </w:rPr>
              <w:t>爆炸接连发生两次，导致多栋房屋受损，玻璃被震碎，天上升起红色</w:t>
            </w:r>
            <w:r>
              <w:rPr>
                <w:color w:val="auto"/>
                <w:spacing w:val="3"/>
                <w:sz w:val="21"/>
                <w:szCs w:val="21"/>
              </w:rPr>
              <w:t>烟雾。</w:t>
            </w:r>
          </w:p>
        </w:tc>
      </w:tr>
      <w:tr w14:paraId="6BD3BA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jc w:val="center"/>
        </w:trPr>
        <w:tc>
          <w:tcPr>
            <w:tcW w:w="708" w:type="pct"/>
            <w:vMerge w:val="continue"/>
            <w:tcBorders>
              <w:tl2br w:val="nil"/>
              <w:tr2bl w:val="nil"/>
            </w:tcBorders>
            <w:vAlign w:val="center"/>
          </w:tcPr>
          <w:p w14:paraId="1D5F58DE">
            <w:pPr>
              <w:keepNext w:val="0"/>
              <w:keepLines w:val="0"/>
              <w:pageBreakBefore w:val="0"/>
              <w:widowControl w:val="0"/>
              <w:kinsoku/>
              <w:wordWrap/>
              <w:overflowPunct/>
              <w:topLinePunct w:val="0"/>
              <w:autoSpaceDE/>
              <w:autoSpaceDN/>
              <w:bidi w:val="0"/>
              <w:adjustRightInd/>
              <w:snapToGrid/>
              <w:ind w:left="0" w:firstLine="0"/>
              <w:jc w:val="center"/>
              <w:textAlignment w:val="auto"/>
              <w:rPr>
                <w:rFonts w:ascii="Arial"/>
                <w:color w:val="auto"/>
                <w:sz w:val="21"/>
                <w:szCs w:val="21"/>
              </w:rPr>
            </w:pPr>
          </w:p>
        </w:tc>
        <w:tc>
          <w:tcPr>
            <w:tcW w:w="790" w:type="pct"/>
            <w:tcBorders>
              <w:tl2br w:val="nil"/>
              <w:tr2bl w:val="nil"/>
            </w:tcBorders>
            <w:vAlign w:val="center"/>
          </w:tcPr>
          <w:p w14:paraId="7E72426C">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3"/>
                <w:sz w:val="21"/>
                <w:szCs w:val="21"/>
              </w:rPr>
              <w:t>引发原因</w:t>
            </w:r>
          </w:p>
        </w:tc>
        <w:tc>
          <w:tcPr>
            <w:tcW w:w="3501" w:type="pct"/>
            <w:tcBorders>
              <w:tl2br w:val="nil"/>
              <w:tr2bl w:val="nil"/>
            </w:tcBorders>
            <w:vAlign w:val="center"/>
          </w:tcPr>
          <w:p w14:paraId="4C8501E1">
            <w:pPr>
              <w:pStyle w:val="115"/>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color w:val="auto"/>
                <w:sz w:val="21"/>
                <w:szCs w:val="21"/>
              </w:rPr>
            </w:pPr>
            <w:r>
              <w:rPr>
                <w:color w:val="auto"/>
                <w:spacing w:val="10"/>
                <w:sz w:val="21"/>
                <w:szCs w:val="21"/>
              </w:rPr>
              <w:t>黎巴嫩官方表示，初步信息显示，爆炸由</w:t>
            </w:r>
            <w:r>
              <w:rPr>
                <w:rFonts w:ascii="Times New Roman" w:hAnsi="Times New Roman" w:eastAsia="Times New Roman" w:cs="Times New Roman"/>
                <w:color w:val="auto"/>
                <w:spacing w:val="10"/>
                <w:sz w:val="21"/>
                <w:szCs w:val="21"/>
              </w:rPr>
              <w:t xml:space="preserve">2014 </w:t>
            </w:r>
            <w:r>
              <w:rPr>
                <w:color w:val="auto"/>
                <w:spacing w:val="10"/>
                <w:sz w:val="21"/>
                <w:szCs w:val="21"/>
              </w:rPr>
              <w:t>年即存放在港口</w:t>
            </w:r>
            <w:r>
              <w:rPr>
                <w:color w:val="auto"/>
                <w:spacing w:val="8"/>
                <w:sz w:val="21"/>
                <w:szCs w:val="21"/>
              </w:rPr>
              <w:t>仓库内的化学品硝酸铵引起。据一份安全报告显示，“工作人员在焊</w:t>
            </w:r>
            <w:r>
              <w:rPr>
                <w:color w:val="auto"/>
                <w:spacing w:val="7"/>
                <w:sz w:val="21"/>
                <w:szCs w:val="21"/>
              </w:rPr>
              <w:t>接存有炸药的库房门的过程中，焊接火花引燃了仓库中的炸药</w:t>
            </w:r>
            <w:r>
              <w:rPr>
                <w:color w:val="auto"/>
                <w:spacing w:val="-67"/>
                <w:sz w:val="21"/>
                <w:szCs w:val="21"/>
              </w:rPr>
              <w:t xml:space="preserve"> </w:t>
            </w:r>
            <w:r>
              <w:rPr>
                <w:color w:val="auto"/>
                <w:spacing w:val="7"/>
                <w:sz w:val="21"/>
                <w:szCs w:val="21"/>
              </w:rPr>
              <w:t>”，这</w:t>
            </w:r>
            <w:r>
              <w:rPr>
                <w:color w:val="auto"/>
                <w:spacing w:val="8"/>
                <w:sz w:val="21"/>
                <w:szCs w:val="21"/>
              </w:rPr>
              <w:t>导致在另一库房中存放的硝酸铵爆炸。</w:t>
            </w:r>
          </w:p>
        </w:tc>
      </w:tr>
      <w:tr w14:paraId="0A0F19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708" w:type="pct"/>
            <w:vMerge w:val="continue"/>
            <w:tcBorders>
              <w:tl2br w:val="nil"/>
              <w:tr2bl w:val="nil"/>
            </w:tcBorders>
            <w:vAlign w:val="center"/>
          </w:tcPr>
          <w:p w14:paraId="1C77962D">
            <w:pPr>
              <w:keepNext w:val="0"/>
              <w:keepLines w:val="0"/>
              <w:pageBreakBefore w:val="0"/>
              <w:widowControl w:val="0"/>
              <w:kinsoku/>
              <w:wordWrap/>
              <w:overflowPunct/>
              <w:topLinePunct w:val="0"/>
              <w:autoSpaceDE/>
              <w:autoSpaceDN/>
              <w:bidi w:val="0"/>
              <w:adjustRightInd/>
              <w:snapToGrid/>
              <w:ind w:left="0" w:firstLine="0"/>
              <w:jc w:val="center"/>
              <w:textAlignment w:val="auto"/>
              <w:rPr>
                <w:rFonts w:ascii="Arial"/>
                <w:color w:val="auto"/>
                <w:sz w:val="21"/>
                <w:szCs w:val="21"/>
              </w:rPr>
            </w:pPr>
          </w:p>
        </w:tc>
        <w:tc>
          <w:tcPr>
            <w:tcW w:w="790" w:type="pct"/>
            <w:tcBorders>
              <w:tl2br w:val="nil"/>
              <w:tr2bl w:val="nil"/>
            </w:tcBorders>
            <w:vAlign w:val="center"/>
          </w:tcPr>
          <w:p w14:paraId="7AF90F0B">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8"/>
                <w:sz w:val="21"/>
                <w:szCs w:val="21"/>
              </w:rPr>
              <w:t>采取的应急</w:t>
            </w:r>
            <w:r>
              <w:rPr>
                <w:color w:val="auto"/>
                <w:spacing w:val="4"/>
                <w:sz w:val="21"/>
                <w:szCs w:val="21"/>
              </w:rPr>
              <w:t>措施</w:t>
            </w:r>
          </w:p>
        </w:tc>
        <w:tc>
          <w:tcPr>
            <w:tcW w:w="3501" w:type="pct"/>
            <w:tcBorders>
              <w:tl2br w:val="nil"/>
              <w:tr2bl w:val="nil"/>
            </w:tcBorders>
            <w:vAlign w:val="center"/>
          </w:tcPr>
          <w:p w14:paraId="72925C05">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r>
      <w:tr w14:paraId="0E992C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08" w:type="pct"/>
            <w:vMerge w:val="continue"/>
            <w:tcBorders>
              <w:tl2br w:val="nil"/>
              <w:tr2bl w:val="nil"/>
            </w:tcBorders>
            <w:vAlign w:val="center"/>
          </w:tcPr>
          <w:p w14:paraId="006DF925">
            <w:pPr>
              <w:keepNext w:val="0"/>
              <w:keepLines w:val="0"/>
              <w:pageBreakBefore w:val="0"/>
              <w:widowControl w:val="0"/>
              <w:kinsoku/>
              <w:wordWrap/>
              <w:overflowPunct/>
              <w:topLinePunct w:val="0"/>
              <w:autoSpaceDE/>
              <w:autoSpaceDN/>
              <w:bidi w:val="0"/>
              <w:adjustRightInd/>
              <w:snapToGrid/>
              <w:ind w:left="0"/>
              <w:jc w:val="center"/>
              <w:textAlignment w:val="auto"/>
              <w:rPr>
                <w:rFonts w:ascii="Arial"/>
                <w:color w:val="auto"/>
                <w:sz w:val="21"/>
                <w:szCs w:val="21"/>
              </w:rPr>
            </w:pPr>
          </w:p>
        </w:tc>
        <w:tc>
          <w:tcPr>
            <w:tcW w:w="790" w:type="pct"/>
            <w:tcBorders>
              <w:tl2br w:val="nil"/>
              <w:tr2bl w:val="nil"/>
            </w:tcBorders>
            <w:vAlign w:val="center"/>
          </w:tcPr>
          <w:p w14:paraId="5A80DDE3">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7"/>
                <w:sz w:val="21"/>
                <w:szCs w:val="21"/>
              </w:rPr>
              <w:t>事件影响</w:t>
            </w:r>
          </w:p>
        </w:tc>
        <w:tc>
          <w:tcPr>
            <w:tcW w:w="3501" w:type="pct"/>
            <w:tcBorders>
              <w:tl2br w:val="nil"/>
              <w:tr2bl w:val="nil"/>
            </w:tcBorders>
            <w:vAlign w:val="center"/>
          </w:tcPr>
          <w:p w14:paraId="42C19BAD">
            <w:pPr>
              <w:pStyle w:val="115"/>
              <w:keepNext w:val="0"/>
              <w:keepLines w:val="0"/>
              <w:pageBreakBefore w:val="0"/>
              <w:widowControl w:val="0"/>
              <w:kinsoku/>
              <w:wordWrap/>
              <w:overflowPunct/>
              <w:topLinePunct w:val="0"/>
              <w:autoSpaceDE/>
              <w:autoSpaceDN/>
              <w:bidi w:val="0"/>
              <w:adjustRightInd/>
              <w:snapToGrid/>
              <w:spacing w:line="240" w:lineRule="auto"/>
              <w:ind w:right="0"/>
              <w:textAlignment w:val="auto"/>
              <w:rPr>
                <w:color w:val="auto"/>
                <w:sz w:val="21"/>
                <w:szCs w:val="21"/>
              </w:rPr>
            </w:pPr>
            <w:r>
              <w:rPr>
                <w:color w:val="auto"/>
                <w:spacing w:val="5"/>
                <w:sz w:val="21"/>
                <w:szCs w:val="21"/>
              </w:rPr>
              <w:t>此次爆炸造成至少</w:t>
            </w:r>
            <w:r>
              <w:rPr>
                <w:color w:val="auto"/>
                <w:spacing w:val="-13"/>
                <w:sz w:val="21"/>
                <w:szCs w:val="21"/>
              </w:rPr>
              <w:t xml:space="preserve"> </w:t>
            </w:r>
            <w:r>
              <w:rPr>
                <w:rFonts w:ascii="Times New Roman" w:hAnsi="Times New Roman" w:eastAsia="Times New Roman" w:cs="Times New Roman"/>
                <w:color w:val="auto"/>
                <w:spacing w:val="5"/>
                <w:sz w:val="21"/>
                <w:szCs w:val="21"/>
              </w:rPr>
              <w:t xml:space="preserve">190 </w:t>
            </w:r>
            <w:r>
              <w:rPr>
                <w:color w:val="auto"/>
                <w:spacing w:val="5"/>
                <w:sz w:val="21"/>
                <w:szCs w:val="21"/>
              </w:rPr>
              <w:t>人死亡、</w:t>
            </w:r>
            <w:r>
              <w:rPr>
                <w:rFonts w:ascii="Times New Roman" w:hAnsi="Times New Roman" w:eastAsia="Times New Roman" w:cs="Times New Roman"/>
                <w:color w:val="auto"/>
                <w:spacing w:val="5"/>
                <w:sz w:val="21"/>
                <w:szCs w:val="21"/>
              </w:rPr>
              <w:t>6500</w:t>
            </w:r>
            <w:r>
              <w:rPr>
                <w:rFonts w:ascii="Times New Roman" w:hAnsi="Times New Roman" w:eastAsia="Times New Roman" w:cs="Times New Roman"/>
                <w:color w:val="auto"/>
                <w:spacing w:val="20"/>
                <w:sz w:val="21"/>
                <w:szCs w:val="21"/>
              </w:rPr>
              <w:t xml:space="preserve"> </w:t>
            </w:r>
            <w:r>
              <w:rPr>
                <w:color w:val="auto"/>
                <w:spacing w:val="5"/>
                <w:sz w:val="21"/>
                <w:szCs w:val="21"/>
              </w:rPr>
              <w:t>多人受伤，</w:t>
            </w:r>
            <w:r>
              <w:rPr>
                <w:rFonts w:ascii="Times New Roman" w:hAnsi="Times New Roman" w:eastAsia="Times New Roman" w:cs="Times New Roman"/>
                <w:color w:val="auto"/>
                <w:spacing w:val="5"/>
                <w:sz w:val="21"/>
                <w:szCs w:val="21"/>
              </w:rPr>
              <w:t xml:space="preserve">3 </w:t>
            </w:r>
            <w:r>
              <w:rPr>
                <w:color w:val="auto"/>
                <w:spacing w:val="5"/>
                <w:sz w:val="21"/>
                <w:szCs w:val="21"/>
              </w:rPr>
              <w:t>人失踪，财产</w:t>
            </w:r>
            <w:r>
              <w:rPr>
                <w:color w:val="auto"/>
                <w:spacing w:val="4"/>
                <w:sz w:val="21"/>
                <w:szCs w:val="21"/>
              </w:rPr>
              <w:t>损失高达</w:t>
            </w:r>
            <w:r>
              <w:rPr>
                <w:color w:val="auto"/>
                <w:spacing w:val="-19"/>
                <w:sz w:val="21"/>
                <w:szCs w:val="21"/>
              </w:rPr>
              <w:t xml:space="preserve"> </w:t>
            </w:r>
            <w:r>
              <w:rPr>
                <w:rFonts w:ascii="Times New Roman" w:hAnsi="Times New Roman" w:eastAsia="Times New Roman" w:cs="Times New Roman"/>
                <w:color w:val="auto"/>
                <w:spacing w:val="4"/>
                <w:sz w:val="21"/>
                <w:szCs w:val="21"/>
              </w:rPr>
              <w:t xml:space="preserve">150 </w:t>
            </w:r>
            <w:r>
              <w:rPr>
                <w:color w:val="auto"/>
                <w:spacing w:val="4"/>
                <w:sz w:val="21"/>
                <w:szCs w:val="21"/>
              </w:rPr>
              <w:t>亿美金。</w:t>
            </w:r>
          </w:p>
        </w:tc>
      </w:tr>
      <w:tr w14:paraId="0A2BBB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restart"/>
            <w:tcBorders>
              <w:tl2br w:val="nil"/>
              <w:tr2bl w:val="nil"/>
            </w:tcBorders>
            <w:vAlign w:val="center"/>
          </w:tcPr>
          <w:p w14:paraId="1176BD82">
            <w:pPr>
              <w:pStyle w:val="115"/>
              <w:keepNext w:val="0"/>
              <w:keepLines w:val="0"/>
              <w:pageBreakBefore w:val="0"/>
              <w:widowControl w:val="0"/>
              <w:kinsoku/>
              <w:wordWrap/>
              <w:overflowPunct/>
              <w:topLinePunct w:val="0"/>
              <w:autoSpaceDE/>
              <w:autoSpaceDN/>
              <w:bidi w:val="0"/>
              <w:adjustRightInd/>
              <w:snapToGrid/>
              <w:spacing w:line="289" w:lineRule="auto"/>
              <w:ind w:left="0" w:right="129" w:hanging="119"/>
              <w:jc w:val="center"/>
              <w:textAlignment w:val="auto"/>
              <w:rPr>
                <w:color w:val="auto"/>
                <w:sz w:val="21"/>
                <w:szCs w:val="21"/>
              </w:rPr>
            </w:pPr>
            <w:r>
              <w:rPr>
                <w:color w:val="auto"/>
                <w:spacing w:val="7"/>
                <w:sz w:val="21"/>
                <w:szCs w:val="21"/>
              </w:rPr>
              <w:t>润滑油起火</w:t>
            </w:r>
            <w:r>
              <w:rPr>
                <w:color w:val="auto"/>
                <w:spacing w:val="3"/>
                <w:sz w:val="21"/>
                <w:szCs w:val="21"/>
              </w:rPr>
              <w:t>引起火灾</w:t>
            </w:r>
          </w:p>
        </w:tc>
        <w:tc>
          <w:tcPr>
            <w:tcW w:w="790" w:type="pct"/>
            <w:tcBorders>
              <w:tl2br w:val="nil"/>
              <w:tr2bl w:val="nil"/>
            </w:tcBorders>
            <w:vAlign w:val="center"/>
          </w:tcPr>
          <w:p w14:paraId="048FD1E4">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14"/>
                <w:sz w:val="21"/>
                <w:szCs w:val="21"/>
              </w:rPr>
              <w:t>日期</w:t>
            </w:r>
          </w:p>
        </w:tc>
        <w:tc>
          <w:tcPr>
            <w:tcW w:w="3501" w:type="pct"/>
            <w:tcBorders>
              <w:tl2br w:val="nil"/>
              <w:tr2bl w:val="nil"/>
            </w:tcBorders>
            <w:vAlign w:val="center"/>
          </w:tcPr>
          <w:p w14:paraId="52138CA2">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rFonts w:ascii="Times New Roman" w:hAnsi="Times New Roman" w:eastAsia="Times New Roman" w:cs="Times New Roman"/>
                <w:color w:val="auto"/>
                <w:sz w:val="21"/>
                <w:szCs w:val="21"/>
              </w:rPr>
              <w:t xml:space="preserve">2018 </w:t>
            </w:r>
            <w:r>
              <w:rPr>
                <w:color w:val="auto"/>
                <w:sz w:val="21"/>
                <w:szCs w:val="21"/>
              </w:rPr>
              <w:t>年</w:t>
            </w:r>
            <w:r>
              <w:rPr>
                <w:color w:val="auto"/>
                <w:spacing w:val="-14"/>
                <w:sz w:val="21"/>
                <w:szCs w:val="21"/>
              </w:rPr>
              <w:t xml:space="preserve"> </w:t>
            </w:r>
            <w:r>
              <w:rPr>
                <w:rFonts w:ascii="Times New Roman" w:hAnsi="Times New Roman" w:eastAsia="Times New Roman" w:cs="Times New Roman"/>
                <w:color w:val="auto"/>
                <w:sz w:val="21"/>
                <w:szCs w:val="21"/>
              </w:rPr>
              <w:t>10</w:t>
            </w:r>
            <w:r>
              <w:rPr>
                <w:rFonts w:ascii="Times New Roman" w:hAnsi="Times New Roman" w:eastAsia="Times New Roman" w:cs="Times New Roman"/>
                <w:color w:val="auto"/>
                <w:spacing w:val="14"/>
                <w:w w:val="101"/>
                <w:sz w:val="21"/>
                <w:szCs w:val="21"/>
              </w:rPr>
              <w:t xml:space="preserve"> </w:t>
            </w:r>
            <w:r>
              <w:rPr>
                <w:color w:val="auto"/>
                <w:sz w:val="21"/>
                <w:szCs w:val="21"/>
              </w:rPr>
              <w:t>月</w:t>
            </w:r>
            <w:r>
              <w:rPr>
                <w:color w:val="auto"/>
                <w:spacing w:val="-41"/>
                <w:sz w:val="21"/>
                <w:szCs w:val="21"/>
              </w:rPr>
              <w:t xml:space="preserve"> </w:t>
            </w:r>
            <w:r>
              <w:rPr>
                <w:rFonts w:ascii="Times New Roman" w:hAnsi="Times New Roman" w:eastAsia="Times New Roman" w:cs="Times New Roman"/>
                <w:color w:val="auto"/>
                <w:sz w:val="21"/>
                <w:szCs w:val="21"/>
              </w:rPr>
              <w:t xml:space="preserve">28  </w:t>
            </w:r>
            <w:r>
              <w:rPr>
                <w:color w:val="auto"/>
                <w:sz w:val="21"/>
                <w:szCs w:val="21"/>
              </w:rPr>
              <w:t>日</w:t>
            </w:r>
          </w:p>
        </w:tc>
      </w:tr>
      <w:tr w14:paraId="24D88F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51CECC70">
            <w:pPr>
              <w:keepNext w:val="0"/>
              <w:keepLines w:val="0"/>
              <w:pageBreakBefore w:val="0"/>
              <w:widowControl w:val="0"/>
              <w:kinsoku/>
              <w:wordWrap/>
              <w:overflowPunct/>
              <w:topLinePunct w:val="0"/>
              <w:autoSpaceDE/>
              <w:autoSpaceDN/>
              <w:bidi w:val="0"/>
              <w:adjustRightInd/>
              <w:snapToGrid/>
              <w:ind w:left="0"/>
              <w:jc w:val="center"/>
              <w:textAlignment w:val="auto"/>
              <w:rPr>
                <w:rFonts w:ascii="Arial"/>
                <w:color w:val="auto"/>
                <w:sz w:val="21"/>
                <w:szCs w:val="21"/>
              </w:rPr>
            </w:pPr>
          </w:p>
        </w:tc>
        <w:tc>
          <w:tcPr>
            <w:tcW w:w="790" w:type="pct"/>
            <w:tcBorders>
              <w:tl2br w:val="nil"/>
              <w:tr2bl w:val="nil"/>
            </w:tcBorders>
            <w:vAlign w:val="center"/>
          </w:tcPr>
          <w:p w14:paraId="0B1FE716">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4"/>
                <w:sz w:val="21"/>
                <w:szCs w:val="21"/>
              </w:rPr>
              <w:t>地点</w:t>
            </w:r>
          </w:p>
        </w:tc>
        <w:tc>
          <w:tcPr>
            <w:tcW w:w="3501" w:type="pct"/>
            <w:tcBorders>
              <w:tl2br w:val="nil"/>
              <w:tr2bl w:val="nil"/>
            </w:tcBorders>
            <w:vAlign w:val="center"/>
          </w:tcPr>
          <w:p w14:paraId="498AEED8">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color w:val="auto"/>
                <w:spacing w:val="8"/>
                <w:sz w:val="21"/>
                <w:szCs w:val="21"/>
              </w:rPr>
              <w:t>天津大港中塘镇安河路</w:t>
            </w:r>
          </w:p>
        </w:tc>
      </w:tr>
      <w:tr w14:paraId="3484C4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jc w:val="center"/>
        </w:trPr>
        <w:tc>
          <w:tcPr>
            <w:tcW w:w="708" w:type="pct"/>
            <w:vMerge w:val="continue"/>
            <w:tcBorders>
              <w:tl2br w:val="nil"/>
              <w:tr2bl w:val="nil"/>
            </w:tcBorders>
            <w:vAlign w:val="center"/>
          </w:tcPr>
          <w:p w14:paraId="63C458D4">
            <w:pPr>
              <w:keepNext w:val="0"/>
              <w:keepLines w:val="0"/>
              <w:pageBreakBefore w:val="0"/>
              <w:widowControl w:val="0"/>
              <w:kinsoku/>
              <w:wordWrap/>
              <w:overflowPunct/>
              <w:topLinePunct w:val="0"/>
              <w:autoSpaceDE/>
              <w:autoSpaceDN/>
              <w:bidi w:val="0"/>
              <w:adjustRightInd/>
              <w:snapToGrid/>
              <w:ind w:left="0"/>
              <w:jc w:val="center"/>
              <w:textAlignment w:val="auto"/>
              <w:rPr>
                <w:rFonts w:ascii="Arial"/>
                <w:color w:val="auto"/>
                <w:sz w:val="21"/>
                <w:szCs w:val="21"/>
              </w:rPr>
            </w:pPr>
          </w:p>
        </w:tc>
        <w:tc>
          <w:tcPr>
            <w:tcW w:w="790" w:type="pct"/>
            <w:tcBorders>
              <w:tl2br w:val="nil"/>
              <w:tr2bl w:val="nil"/>
            </w:tcBorders>
            <w:vAlign w:val="center"/>
          </w:tcPr>
          <w:p w14:paraId="42856332">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7"/>
                <w:sz w:val="21"/>
                <w:szCs w:val="21"/>
              </w:rPr>
              <w:t>事件经过</w:t>
            </w:r>
          </w:p>
        </w:tc>
        <w:tc>
          <w:tcPr>
            <w:tcW w:w="3501" w:type="pct"/>
            <w:tcBorders>
              <w:tl2br w:val="nil"/>
              <w:tr2bl w:val="nil"/>
            </w:tcBorders>
            <w:vAlign w:val="center"/>
          </w:tcPr>
          <w:p w14:paraId="5B5DAE3A">
            <w:pPr>
              <w:pStyle w:val="115"/>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color w:val="auto"/>
                <w:sz w:val="21"/>
                <w:szCs w:val="21"/>
              </w:rPr>
            </w:pPr>
            <w:r>
              <w:rPr>
                <w:color w:val="auto"/>
                <w:spacing w:val="4"/>
                <w:sz w:val="21"/>
                <w:szCs w:val="21"/>
              </w:rPr>
              <w:t>晚</w:t>
            </w:r>
            <w:r>
              <w:rPr>
                <w:color w:val="auto"/>
                <w:spacing w:val="-21"/>
                <w:sz w:val="21"/>
                <w:szCs w:val="21"/>
              </w:rPr>
              <w:t xml:space="preserve"> </w:t>
            </w:r>
            <w:r>
              <w:rPr>
                <w:rFonts w:ascii="Times New Roman" w:hAnsi="Times New Roman" w:eastAsia="Times New Roman" w:cs="Times New Roman"/>
                <w:color w:val="auto"/>
                <w:spacing w:val="4"/>
                <w:sz w:val="21"/>
                <w:szCs w:val="21"/>
              </w:rPr>
              <w:t>18</w:t>
            </w:r>
            <w:r>
              <w:rPr>
                <w:rFonts w:ascii="Times New Roman" w:hAnsi="Times New Roman" w:eastAsia="Times New Roman" w:cs="Times New Roman"/>
                <w:color w:val="auto"/>
                <w:spacing w:val="20"/>
                <w:sz w:val="21"/>
                <w:szCs w:val="21"/>
              </w:rPr>
              <w:t xml:space="preserve"> </w:t>
            </w:r>
            <w:r>
              <w:rPr>
                <w:color w:val="auto"/>
                <w:spacing w:val="4"/>
                <w:sz w:val="21"/>
                <w:szCs w:val="21"/>
              </w:rPr>
              <w:t>时</w:t>
            </w:r>
            <w:r>
              <w:rPr>
                <w:color w:val="auto"/>
                <w:spacing w:val="-38"/>
                <w:sz w:val="21"/>
                <w:szCs w:val="21"/>
              </w:rPr>
              <w:t xml:space="preserve"> </w:t>
            </w:r>
            <w:r>
              <w:rPr>
                <w:rFonts w:ascii="Times New Roman" w:hAnsi="Times New Roman" w:eastAsia="Times New Roman" w:cs="Times New Roman"/>
                <w:color w:val="auto"/>
                <w:spacing w:val="4"/>
                <w:sz w:val="21"/>
                <w:szCs w:val="21"/>
              </w:rPr>
              <w:t>50</w:t>
            </w:r>
            <w:r>
              <w:rPr>
                <w:rFonts w:ascii="Times New Roman" w:hAnsi="Times New Roman" w:eastAsia="Times New Roman" w:cs="Times New Roman"/>
                <w:color w:val="auto"/>
                <w:spacing w:val="15"/>
                <w:w w:val="101"/>
                <w:sz w:val="21"/>
                <w:szCs w:val="21"/>
              </w:rPr>
              <w:t xml:space="preserve"> </w:t>
            </w:r>
            <w:r>
              <w:rPr>
                <w:color w:val="auto"/>
                <w:spacing w:val="4"/>
                <w:sz w:val="21"/>
                <w:szCs w:val="21"/>
              </w:rPr>
              <w:t>分左右，位于天津大港中塘镇</w:t>
            </w:r>
            <w:r>
              <w:rPr>
                <w:color w:val="auto"/>
                <w:spacing w:val="3"/>
                <w:sz w:val="21"/>
                <w:szCs w:val="21"/>
              </w:rPr>
              <w:t>安河路中外运长航</w:t>
            </w:r>
            <w:r>
              <w:rPr>
                <w:color w:val="auto"/>
                <w:spacing w:val="-38"/>
                <w:sz w:val="21"/>
                <w:szCs w:val="21"/>
              </w:rPr>
              <w:t xml:space="preserve"> </w:t>
            </w:r>
            <w:r>
              <w:rPr>
                <w:rFonts w:ascii="Times New Roman" w:hAnsi="Times New Roman" w:eastAsia="Times New Roman" w:cs="Times New Roman"/>
                <w:color w:val="auto"/>
                <w:spacing w:val="3"/>
                <w:sz w:val="21"/>
                <w:szCs w:val="21"/>
              </w:rPr>
              <w:t>5</w:t>
            </w:r>
            <w:r>
              <w:rPr>
                <w:rFonts w:ascii="Times New Roman" w:hAnsi="Times New Roman" w:eastAsia="Times New Roman" w:cs="Times New Roman"/>
                <w:color w:val="auto"/>
                <w:spacing w:val="17"/>
                <w:w w:val="101"/>
                <w:sz w:val="21"/>
                <w:szCs w:val="21"/>
              </w:rPr>
              <w:t xml:space="preserve"> </w:t>
            </w:r>
            <w:r>
              <w:rPr>
                <w:color w:val="auto"/>
                <w:spacing w:val="3"/>
                <w:sz w:val="21"/>
                <w:szCs w:val="21"/>
              </w:rPr>
              <w:t>号</w:t>
            </w:r>
            <w:r>
              <w:rPr>
                <w:color w:val="auto"/>
                <w:spacing w:val="8"/>
                <w:sz w:val="21"/>
                <w:szCs w:val="21"/>
              </w:rPr>
              <w:t>仓库发生火灾。经查，系存放润滑油桶起火，燃烧物为桶装工业润滑</w:t>
            </w:r>
            <w:r>
              <w:rPr>
                <w:color w:val="auto"/>
                <w:spacing w:val="9"/>
                <w:sz w:val="21"/>
                <w:szCs w:val="21"/>
              </w:rPr>
              <w:t>油和少量塑料颗粒，现场无人员伤亡。起火原因仍在调查之中。</w:t>
            </w:r>
          </w:p>
        </w:tc>
      </w:tr>
      <w:tr w14:paraId="089FF9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7BB44252">
            <w:pPr>
              <w:keepNext w:val="0"/>
              <w:keepLines w:val="0"/>
              <w:pageBreakBefore w:val="0"/>
              <w:widowControl w:val="0"/>
              <w:kinsoku/>
              <w:wordWrap/>
              <w:overflowPunct/>
              <w:topLinePunct w:val="0"/>
              <w:autoSpaceDE/>
              <w:autoSpaceDN/>
              <w:bidi w:val="0"/>
              <w:adjustRightInd/>
              <w:snapToGrid/>
              <w:ind w:left="0"/>
              <w:jc w:val="center"/>
              <w:textAlignment w:val="auto"/>
              <w:rPr>
                <w:rFonts w:ascii="Arial"/>
                <w:color w:val="auto"/>
                <w:sz w:val="21"/>
                <w:szCs w:val="21"/>
              </w:rPr>
            </w:pPr>
          </w:p>
        </w:tc>
        <w:tc>
          <w:tcPr>
            <w:tcW w:w="790" w:type="pct"/>
            <w:tcBorders>
              <w:tl2br w:val="nil"/>
              <w:tr2bl w:val="nil"/>
            </w:tcBorders>
            <w:vAlign w:val="center"/>
          </w:tcPr>
          <w:p w14:paraId="737BF22F">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3"/>
                <w:sz w:val="21"/>
                <w:szCs w:val="21"/>
              </w:rPr>
              <w:t>引发原因</w:t>
            </w:r>
          </w:p>
        </w:tc>
        <w:tc>
          <w:tcPr>
            <w:tcW w:w="3501" w:type="pct"/>
            <w:tcBorders>
              <w:tl2br w:val="nil"/>
              <w:tr2bl w:val="nil"/>
            </w:tcBorders>
            <w:vAlign w:val="center"/>
          </w:tcPr>
          <w:p w14:paraId="50403FD7">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color w:val="auto"/>
                <w:spacing w:val="7"/>
                <w:sz w:val="21"/>
                <w:szCs w:val="21"/>
              </w:rPr>
              <w:t>润滑油起火</w:t>
            </w:r>
          </w:p>
        </w:tc>
      </w:tr>
      <w:tr w14:paraId="24D1E5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708" w:type="pct"/>
            <w:vMerge w:val="continue"/>
            <w:tcBorders>
              <w:tl2br w:val="nil"/>
              <w:tr2bl w:val="nil"/>
            </w:tcBorders>
            <w:vAlign w:val="center"/>
          </w:tcPr>
          <w:p w14:paraId="378AEFE7">
            <w:pPr>
              <w:keepNext w:val="0"/>
              <w:keepLines w:val="0"/>
              <w:pageBreakBefore w:val="0"/>
              <w:widowControl w:val="0"/>
              <w:kinsoku/>
              <w:wordWrap/>
              <w:overflowPunct/>
              <w:topLinePunct w:val="0"/>
              <w:autoSpaceDE/>
              <w:autoSpaceDN/>
              <w:bidi w:val="0"/>
              <w:adjustRightInd/>
              <w:snapToGrid/>
              <w:ind w:left="0"/>
              <w:jc w:val="center"/>
              <w:textAlignment w:val="auto"/>
              <w:rPr>
                <w:rFonts w:ascii="Arial"/>
                <w:color w:val="auto"/>
                <w:sz w:val="21"/>
                <w:szCs w:val="21"/>
              </w:rPr>
            </w:pPr>
          </w:p>
        </w:tc>
        <w:tc>
          <w:tcPr>
            <w:tcW w:w="790" w:type="pct"/>
            <w:tcBorders>
              <w:tl2br w:val="nil"/>
              <w:tr2bl w:val="nil"/>
            </w:tcBorders>
            <w:vAlign w:val="center"/>
          </w:tcPr>
          <w:p w14:paraId="6124FE8E">
            <w:pPr>
              <w:pStyle w:val="115"/>
              <w:keepNext w:val="0"/>
              <w:keepLines w:val="0"/>
              <w:pageBreakBefore w:val="0"/>
              <w:widowControl w:val="0"/>
              <w:kinsoku/>
              <w:wordWrap/>
              <w:overflowPunct/>
              <w:topLinePunct w:val="0"/>
              <w:autoSpaceDE/>
              <w:autoSpaceDN/>
              <w:bidi w:val="0"/>
              <w:adjustRightInd/>
              <w:snapToGrid/>
              <w:spacing w:line="240" w:lineRule="auto"/>
              <w:ind w:left="0" w:right="0" w:hanging="315"/>
              <w:jc w:val="center"/>
              <w:textAlignment w:val="auto"/>
              <w:rPr>
                <w:color w:val="auto"/>
                <w:sz w:val="21"/>
                <w:szCs w:val="21"/>
              </w:rPr>
            </w:pPr>
            <w:r>
              <w:rPr>
                <w:color w:val="auto"/>
                <w:spacing w:val="8"/>
                <w:sz w:val="21"/>
                <w:szCs w:val="21"/>
              </w:rPr>
              <w:t>采取的应急</w:t>
            </w:r>
            <w:r>
              <w:rPr>
                <w:color w:val="auto"/>
                <w:spacing w:val="4"/>
                <w:sz w:val="21"/>
                <w:szCs w:val="21"/>
              </w:rPr>
              <w:t>措施</w:t>
            </w:r>
          </w:p>
        </w:tc>
        <w:tc>
          <w:tcPr>
            <w:tcW w:w="3501" w:type="pct"/>
            <w:tcBorders>
              <w:tl2br w:val="nil"/>
              <w:tr2bl w:val="nil"/>
            </w:tcBorders>
            <w:vAlign w:val="center"/>
          </w:tcPr>
          <w:p w14:paraId="5CC838E8">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r>
      <w:tr w14:paraId="2B684F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5583F426">
            <w:pPr>
              <w:keepNext w:val="0"/>
              <w:keepLines w:val="0"/>
              <w:pageBreakBefore w:val="0"/>
              <w:widowControl w:val="0"/>
              <w:kinsoku/>
              <w:wordWrap/>
              <w:overflowPunct/>
              <w:topLinePunct w:val="0"/>
              <w:autoSpaceDE/>
              <w:autoSpaceDN/>
              <w:bidi w:val="0"/>
              <w:adjustRightInd/>
              <w:snapToGrid/>
              <w:ind w:left="0"/>
              <w:jc w:val="center"/>
              <w:textAlignment w:val="auto"/>
              <w:rPr>
                <w:rFonts w:ascii="Arial"/>
                <w:color w:val="auto"/>
                <w:sz w:val="21"/>
                <w:szCs w:val="21"/>
              </w:rPr>
            </w:pPr>
          </w:p>
        </w:tc>
        <w:tc>
          <w:tcPr>
            <w:tcW w:w="790" w:type="pct"/>
            <w:tcBorders>
              <w:tl2br w:val="nil"/>
              <w:tr2bl w:val="nil"/>
            </w:tcBorders>
            <w:vAlign w:val="center"/>
          </w:tcPr>
          <w:p w14:paraId="35117C24">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7"/>
                <w:sz w:val="21"/>
                <w:szCs w:val="21"/>
              </w:rPr>
              <w:t>事件影响</w:t>
            </w:r>
          </w:p>
        </w:tc>
        <w:tc>
          <w:tcPr>
            <w:tcW w:w="3501" w:type="pct"/>
            <w:tcBorders>
              <w:tl2br w:val="nil"/>
              <w:tr2bl w:val="nil"/>
            </w:tcBorders>
            <w:vAlign w:val="center"/>
          </w:tcPr>
          <w:p w14:paraId="727DCB78">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color w:val="auto"/>
                <w:spacing w:val="3"/>
                <w:sz w:val="21"/>
                <w:szCs w:val="21"/>
              </w:rPr>
              <w:t>导致损失</w:t>
            </w:r>
            <w:r>
              <w:rPr>
                <w:color w:val="auto"/>
                <w:spacing w:val="-24"/>
                <w:sz w:val="21"/>
                <w:szCs w:val="21"/>
              </w:rPr>
              <w:t xml:space="preserve"> </w:t>
            </w:r>
            <w:r>
              <w:rPr>
                <w:rFonts w:ascii="Times New Roman" w:hAnsi="Times New Roman" w:eastAsia="Times New Roman" w:cs="Times New Roman"/>
                <w:color w:val="auto"/>
                <w:spacing w:val="3"/>
                <w:sz w:val="21"/>
                <w:szCs w:val="21"/>
              </w:rPr>
              <w:t>8944.95</w:t>
            </w:r>
            <w:r>
              <w:rPr>
                <w:rFonts w:ascii="Times New Roman" w:hAnsi="Times New Roman" w:eastAsia="Times New Roman" w:cs="Times New Roman"/>
                <w:color w:val="auto"/>
                <w:spacing w:val="15"/>
                <w:sz w:val="21"/>
                <w:szCs w:val="21"/>
              </w:rPr>
              <w:t xml:space="preserve"> </w:t>
            </w:r>
            <w:r>
              <w:rPr>
                <w:color w:val="auto"/>
                <w:spacing w:val="3"/>
                <w:sz w:val="21"/>
                <w:szCs w:val="21"/>
              </w:rPr>
              <w:t>万元</w:t>
            </w:r>
          </w:p>
        </w:tc>
      </w:tr>
      <w:tr w14:paraId="76F39C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restart"/>
            <w:tcBorders>
              <w:tl2br w:val="nil"/>
              <w:tr2bl w:val="nil"/>
            </w:tcBorders>
            <w:vAlign w:val="center"/>
          </w:tcPr>
          <w:p w14:paraId="1EBE63E2">
            <w:pPr>
              <w:pStyle w:val="115"/>
              <w:keepNext w:val="0"/>
              <w:keepLines w:val="0"/>
              <w:pageBreakBefore w:val="0"/>
              <w:widowControl w:val="0"/>
              <w:kinsoku/>
              <w:wordWrap/>
              <w:overflowPunct/>
              <w:topLinePunct w:val="0"/>
              <w:autoSpaceDE/>
              <w:autoSpaceDN/>
              <w:bidi w:val="0"/>
              <w:adjustRightInd/>
              <w:snapToGrid/>
              <w:spacing w:line="289" w:lineRule="auto"/>
              <w:ind w:left="0" w:right="129" w:hanging="105"/>
              <w:jc w:val="center"/>
              <w:textAlignment w:val="auto"/>
              <w:rPr>
                <w:color w:val="auto"/>
                <w:sz w:val="21"/>
                <w:szCs w:val="21"/>
              </w:rPr>
            </w:pPr>
            <w:r>
              <w:rPr>
                <w:color w:val="auto"/>
                <w:spacing w:val="7"/>
                <w:sz w:val="21"/>
                <w:szCs w:val="21"/>
              </w:rPr>
              <w:t>非法拆解废</w:t>
            </w:r>
            <w:r>
              <w:rPr>
                <w:color w:val="auto"/>
                <w:spacing w:val="6"/>
                <w:sz w:val="21"/>
                <w:szCs w:val="21"/>
              </w:rPr>
              <w:t>油桶事件</w:t>
            </w:r>
          </w:p>
        </w:tc>
        <w:tc>
          <w:tcPr>
            <w:tcW w:w="790" w:type="pct"/>
            <w:tcBorders>
              <w:tl2br w:val="nil"/>
              <w:tr2bl w:val="nil"/>
            </w:tcBorders>
            <w:vAlign w:val="center"/>
          </w:tcPr>
          <w:p w14:paraId="254F47F8">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14"/>
                <w:sz w:val="21"/>
                <w:szCs w:val="21"/>
              </w:rPr>
              <w:t>日期</w:t>
            </w:r>
          </w:p>
        </w:tc>
        <w:tc>
          <w:tcPr>
            <w:tcW w:w="3501" w:type="pct"/>
            <w:tcBorders>
              <w:tl2br w:val="nil"/>
              <w:tr2bl w:val="nil"/>
            </w:tcBorders>
            <w:vAlign w:val="center"/>
          </w:tcPr>
          <w:p w14:paraId="5E6A3F16">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rFonts w:ascii="Times New Roman" w:hAnsi="Times New Roman" w:eastAsia="Times New Roman" w:cs="Times New Roman"/>
                <w:color w:val="auto"/>
                <w:spacing w:val="2"/>
                <w:sz w:val="21"/>
                <w:szCs w:val="21"/>
              </w:rPr>
              <w:t>2017</w:t>
            </w:r>
            <w:r>
              <w:rPr>
                <w:rFonts w:ascii="Times New Roman" w:hAnsi="Times New Roman" w:eastAsia="Times New Roman" w:cs="Times New Roman"/>
                <w:color w:val="auto"/>
                <w:spacing w:val="12"/>
                <w:w w:val="101"/>
                <w:sz w:val="21"/>
                <w:szCs w:val="21"/>
              </w:rPr>
              <w:t xml:space="preserve"> </w:t>
            </w:r>
            <w:r>
              <w:rPr>
                <w:color w:val="auto"/>
                <w:spacing w:val="2"/>
                <w:sz w:val="21"/>
                <w:szCs w:val="21"/>
              </w:rPr>
              <w:t>年</w:t>
            </w:r>
            <w:r>
              <w:rPr>
                <w:color w:val="auto"/>
                <w:spacing w:val="-41"/>
                <w:sz w:val="21"/>
                <w:szCs w:val="21"/>
              </w:rPr>
              <w:t xml:space="preserve"> </w:t>
            </w:r>
            <w:r>
              <w:rPr>
                <w:rFonts w:ascii="Times New Roman" w:hAnsi="Times New Roman" w:eastAsia="Times New Roman" w:cs="Times New Roman"/>
                <w:color w:val="auto"/>
                <w:spacing w:val="2"/>
                <w:sz w:val="21"/>
                <w:szCs w:val="21"/>
              </w:rPr>
              <w:t>2</w:t>
            </w:r>
            <w:r>
              <w:rPr>
                <w:rFonts w:ascii="Times New Roman" w:hAnsi="Times New Roman" w:eastAsia="Times New Roman" w:cs="Times New Roman"/>
                <w:color w:val="auto"/>
                <w:spacing w:val="15"/>
                <w:sz w:val="21"/>
                <w:szCs w:val="21"/>
              </w:rPr>
              <w:t xml:space="preserve"> </w:t>
            </w:r>
            <w:r>
              <w:rPr>
                <w:color w:val="auto"/>
                <w:spacing w:val="2"/>
                <w:sz w:val="21"/>
                <w:szCs w:val="21"/>
              </w:rPr>
              <w:t>月</w:t>
            </w:r>
          </w:p>
        </w:tc>
      </w:tr>
      <w:tr w14:paraId="0DA37D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1936054C">
            <w:pPr>
              <w:keepNext w:val="0"/>
              <w:keepLines w:val="0"/>
              <w:pageBreakBefore w:val="0"/>
              <w:widowControl w:val="0"/>
              <w:kinsoku/>
              <w:wordWrap/>
              <w:overflowPunct/>
              <w:topLinePunct w:val="0"/>
              <w:autoSpaceDE/>
              <w:autoSpaceDN/>
              <w:bidi w:val="0"/>
              <w:adjustRightInd/>
              <w:snapToGrid/>
              <w:ind w:left="0"/>
              <w:jc w:val="center"/>
              <w:textAlignment w:val="auto"/>
              <w:rPr>
                <w:rFonts w:ascii="Arial"/>
                <w:color w:val="auto"/>
                <w:sz w:val="21"/>
                <w:szCs w:val="21"/>
              </w:rPr>
            </w:pPr>
          </w:p>
        </w:tc>
        <w:tc>
          <w:tcPr>
            <w:tcW w:w="790" w:type="pct"/>
            <w:tcBorders>
              <w:tl2br w:val="nil"/>
              <w:tr2bl w:val="nil"/>
            </w:tcBorders>
            <w:vAlign w:val="center"/>
          </w:tcPr>
          <w:p w14:paraId="663142BA">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4"/>
                <w:sz w:val="21"/>
                <w:szCs w:val="21"/>
              </w:rPr>
              <w:t>地点</w:t>
            </w:r>
          </w:p>
        </w:tc>
        <w:tc>
          <w:tcPr>
            <w:tcW w:w="3501" w:type="pct"/>
            <w:tcBorders>
              <w:tl2br w:val="nil"/>
              <w:tr2bl w:val="nil"/>
            </w:tcBorders>
            <w:vAlign w:val="center"/>
          </w:tcPr>
          <w:p w14:paraId="3C973DC2">
            <w:pPr>
              <w:pStyle w:val="11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szCs w:val="21"/>
              </w:rPr>
            </w:pPr>
            <w:r>
              <w:rPr>
                <w:color w:val="auto"/>
                <w:spacing w:val="9"/>
                <w:sz w:val="21"/>
                <w:szCs w:val="21"/>
              </w:rPr>
              <w:t>唐山市滦南县胡各庄镇某村</w:t>
            </w:r>
          </w:p>
        </w:tc>
      </w:tr>
      <w:tr w14:paraId="70D780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98" w:hRule="atLeast"/>
          <w:jc w:val="center"/>
        </w:trPr>
        <w:tc>
          <w:tcPr>
            <w:tcW w:w="708" w:type="pct"/>
            <w:vMerge w:val="continue"/>
            <w:tcBorders>
              <w:tl2br w:val="nil"/>
              <w:tr2bl w:val="nil"/>
            </w:tcBorders>
            <w:vAlign w:val="center"/>
          </w:tcPr>
          <w:p w14:paraId="787A5EE1">
            <w:pPr>
              <w:autoSpaceDE w:val="0"/>
              <w:autoSpaceDN w:val="0"/>
              <w:jc w:val="center"/>
              <w:rPr>
                <w:rFonts w:ascii="Arial"/>
                <w:color w:val="auto"/>
                <w:sz w:val="21"/>
                <w:szCs w:val="21"/>
              </w:rPr>
            </w:pPr>
          </w:p>
        </w:tc>
        <w:tc>
          <w:tcPr>
            <w:tcW w:w="790" w:type="pct"/>
            <w:tcBorders>
              <w:tl2br w:val="nil"/>
              <w:tr2bl w:val="nil"/>
            </w:tcBorders>
            <w:vAlign w:val="center"/>
          </w:tcPr>
          <w:p w14:paraId="19E9011C">
            <w:pPr>
              <w:pStyle w:val="115"/>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color w:val="auto"/>
                <w:sz w:val="21"/>
                <w:szCs w:val="21"/>
              </w:rPr>
            </w:pPr>
            <w:r>
              <w:rPr>
                <w:color w:val="auto"/>
                <w:spacing w:val="7"/>
                <w:sz w:val="21"/>
                <w:szCs w:val="21"/>
              </w:rPr>
              <w:t>事件经过</w:t>
            </w:r>
          </w:p>
        </w:tc>
        <w:tc>
          <w:tcPr>
            <w:tcW w:w="3501" w:type="pct"/>
            <w:tcBorders>
              <w:tl2br w:val="nil"/>
              <w:tr2bl w:val="nil"/>
            </w:tcBorders>
            <w:vAlign w:val="center"/>
          </w:tcPr>
          <w:p w14:paraId="688D9FAE">
            <w:pPr>
              <w:pStyle w:val="115"/>
              <w:autoSpaceDE w:val="0"/>
              <w:autoSpaceDN w:val="0"/>
              <w:spacing w:before="55" w:line="282" w:lineRule="auto"/>
              <w:ind w:right="107"/>
              <w:jc w:val="both"/>
              <w:rPr>
                <w:rFonts w:ascii="Times New Roman" w:hAnsi="Times New Roman" w:eastAsia="Times New Roman" w:cs="Times New Roman"/>
                <w:color w:val="auto"/>
                <w:sz w:val="21"/>
                <w:szCs w:val="21"/>
              </w:rPr>
            </w:pPr>
            <w:r>
              <w:rPr>
                <w:color w:val="auto"/>
                <w:spacing w:val="8"/>
                <w:sz w:val="21"/>
                <w:szCs w:val="21"/>
              </w:rPr>
              <w:t>市公安局环安支队及滦南县公安局环安大队民警在</w:t>
            </w:r>
            <w:r>
              <w:rPr>
                <w:color w:val="auto"/>
                <w:spacing w:val="7"/>
                <w:sz w:val="21"/>
                <w:szCs w:val="21"/>
              </w:rPr>
              <w:t>工作中发现，</w:t>
            </w:r>
            <w:r>
              <w:rPr>
                <w:color w:val="auto"/>
                <w:spacing w:val="8"/>
                <w:sz w:val="21"/>
                <w:szCs w:val="21"/>
              </w:rPr>
              <w:t>滦南县胡各庄镇某村村民史姓父子在无危险废物处置资质的情况下，在家中非法拆解废油桶，造成废矿物质油的飞溅，导致土地和池塘的污染。经鉴定，该案造成环境损失达</w:t>
            </w:r>
            <w:r>
              <w:rPr>
                <w:color w:val="auto"/>
                <w:spacing w:val="-25"/>
                <w:sz w:val="21"/>
                <w:szCs w:val="21"/>
              </w:rPr>
              <w:t xml:space="preserve"> </w:t>
            </w:r>
            <w:r>
              <w:rPr>
                <w:rFonts w:ascii="Times New Roman" w:hAnsi="Times New Roman" w:eastAsia="Times New Roman" w:cs="Times New Roman"/>
                <w:color w:val="auto"/>
                <w:spacing w:val="8"/>
                <w:sz w:val="21"/>
                <w:szCs w:val="21"/>
              </w:rPr>
              <w:t xml:space="preserve">318.9 </w:t>
            </w:r>
            <w:r>
              <w:rPr>
                <w:color w:val="auto"/>
                <w:spacing w:val="8"/>
                <w:sz w:val="21"/>
                <w:szCs w:val="21"/>
              </w:rPr>
              <w:t>万元。滦南县公安局以涉嫌非法运输危险物质对史姓父子予以刑事拘留。现经滦南县环保局认</w:t>
            </w:r>
            <w:r>
              <w:rPr>
                <w:color w:val="auto"/>
                <w:sz w:val="21"/>
                <w:szCs w:val="21"/>
              </w:rPr>
              <w:t>定，废矿物油桶、废矿物油为危险废物，共计拆解废矿物油桶总重</w:t>
            </w:r>
            <w:r>
              <w:rPr>
                <w:color w:val="auto"/>
                <w:spacing w:val="-6"/>
                <w:sz w:val="21"/>
                <w:szCs w:val="21"/>
              </w:rPr>
              <w:t xml:space="preserve"> </w:t>
            </w:r>
            <w:r>
              <w:rPr>
                <w:rFonts w:ascii="Times New Roman" w:hAnsi="Times New Roman" w:eastAsia="Times New Roman" w:cs="Times New Roman"/>
                <w:color w:val="auto"/>
                <w:sz w:val="21"/>
                <w:szCs w:val="21"/>
              </w:rPr>
              <w:t>19.2</w:t>
            </w:r>
            <w:r>
              <w:rPr>
                <w:color w:val="auto"/>
                <w:spacing w:val="8"/>
                <w:sz w:val="21"/>
                <w:szCs w:val="21"/>
              </w:rPr>
              <w:t>吨。目前，案件已经移送起诉，市检察院作为公益诉</w:t>
            </w:r>
            <w:r>
              <w:rPr>
                <w:color w:val="auto"/>
                <w:spacing w:val="7"/>
                <w:sz w:val="21"/>
                <w:szCs w:val="21"/>
              </w:rPr>
              <w:t>讼对该案进行附</w:t>
            </w:r>
            <w:r>
              <w:rPr>
                <w:color w:val="auto"/>
                <w:spacing w:val="6"/>
                <w:sz w:val="21"/>
                <w:szCs w:val="21"/>
              </w:rPr>
              <w:t>带民事公益诉讼。</w:t>
            </w:r>
          </w:p>
        </w:tc>
      </w:tr>
      <w:tr w14:paraId="01359B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08" w:type="pct"/>
            <w:vMerge w:val="continue"/>
            <w:tcBorders>
              <w:tl2br w:val="nil"/>
              <w:tr2bl w:val="nil"/>
            </w:tcBorders>
            <w:vAlign w:val="center"/>
          </w:tcPr>
          <w:p w14:paraId="0955DAA8">
            <w:pPr>
              <w:autoSpaceDE w:val="0"/>
              <w:autoSpaceDN w:val="0"/>
              <w:rPr>
                <w:rFonts w:ascii="Arial"/>
                <w:color w:val="auto"/>
                <w:sz w:val="21"/>
                <w:szCs w:val="21"/>
              </w:rPr>
            </w:pPr>
          </w:p>
        </w:tc>
        <w:tc>
          <w:tcPr>
            <w:tcW w:w="790" w:type="pct"/>
            <w:tcBorders>
              <w:tl2br w:val="nil"/>
              <w:tr2bl w:val="nil"/>
            </w:tcBorders>
            <w:vAlign w:val="center"/>
          </w:tcPr>
          <w:p w14:paraId="3C4B33E5">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3"/>
                <w:sz w:val="21"/>
                <w:szCs w:val="21"/>
              </w:rPr>
              <w:t>引发原因</w:t>
            </w:r>
          </w:p>
        </w:tc>
        <w:tc>
          <w:tcPr>
            <w:tcW w:w="3501" w:type="pct"/>
            <w:tcBorders>
              <w:tl2br w:val="nil"/>
              <w:tr2bl w:val="nil"/>
            </w:tcBorders>
            <w:vAlign w:val="center"/>
          </w:tcPr>
          <w:p w14:paraId="24D8296E">
            <w:pPr>
              <w:pStyle w:val="115"/>
              <w:keepNext w:val="0"/>
              <w:keepLines w:val="0"/>
              <w:pageBreakBefore w:val="0"/>
              <w:widowControl w:val="0"/>
              <w:kinsoku/>
              <w:wordWrap/>
              <w:overflowPunct/>
              <w:topLinePunct w:val="0"/>
              <w:autoSpaceDE/>
              <w:autoSpaceDN/>
              <w:bidi w:val="0"/>
              <w:adjustRightInd/>
              <w:snapToGrid/>
              <w:spacing w:line="240" w:lineRule="auto"/>
              <w:ind w:left="0"/>
              <w:textAlignment w:val="auto"/>
              <w:rPr>
                <w:color w:val="auto"/>
                <w:sz w:val="21"/>
                <w:szCs w:val="21"/>
              </w:rPr>
            </w:pPr>
            <w:r>
              <w:rPr>
                <w:color w:val="auto"/>
                <w:spacing w:val="9"/>
                <w:sz w:val="21"/>
                <w:szCs w:val="21"/>
              </w:rPr>
              <w:t>非法拆解废油桶，造成废矿物质油的飞溅，导致土地和池塘的污染。</w:t>
            </w:r>
          </w:p>
        </w:tc>
      </w:tr>
      <w:tr w14:paraId="21A474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708" w:type="pct"/>
            <w:vMerge w:val="continue"/>
            <w:tcBorders>
              <w:tl2br w:val="nil"/>
              <w:tr2bl w:val="nil"/>
            </w:tcBorders>
            <w:vAlign w:val="center"/>
          </w:tcPr>
          <w:p w14:paraId="2C941ACB">
            <w:pPr>
              <w:autoSpaceDE w:val="0"/>
              <w:autoSpaceDN w:val="0"/>
              <w:rPr>
                <w:rFonts w:ascii="Arial"/>
                <w:color w:val="auto"/>
                <w:sz w:val="21"/>
                <w:szCs w:val="21"/>
              </w:rPr>
            </w:pPr>
          </w:p>
        </w:tc>
        <w:tc>
          <w:tcPr>
            <w:tcW w:w="790" w:type="pct"/>
            <w:tcBorders>
              <w:tl2br w:val="nil"/>
              <w:tr2bl w:val="nil"/>
            </w:tcBorders>
            <w:vAlign w:val="center"/>
          </w:tcPr>
          <w:p w14:paraId="61395193">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8"/>
                <w:sz w:val="21"/>
                <w:szCs w:val="21"/>
              </w:rPr>
              <w:t>采取的应急</w:t>
            </w:r>
            <w:r>
              <w:rPr>
                <w:color w:val="auto"/>
                <w:spacing w:val="4"/>
                <w:sz w:val="21"/>
                <w:szCs w:val="21"/>
              </w:rPr>
              <w:t>措施</w:t>
            </w:r>
          </w:p>
        </w:tc>
        <w:tc>
          <w:tcPr>
            <w:tcW w:w="3501" w:type="pct"/>
            <w:tcBorders>
              <w:tl2br w:val="nil"/>
              <w:tr2bl w:val="nil"/>
            </w:tcBorders>
            <w:vAlign w:val="center"/>
          </w:tcPr>
          <w:p w14:paraId="61CBC7EA">
            <w:pPr>
              <w:keepNext w:val="0"/>
              <w:keepLines w:val="0"/>
              <w:pageBreakBefore w:val="0"/>
              <w:widowControl w:val="0"/>
              <w:kinsoku/>
              <w:wordWrap/>
              <w:overflowPunct/>
              <w:topLinePunct w:val="0"/>
              <w:autoSpaceDE/>
              <w:autoSpaceDN/>
              <w:bidi w:val="0"/>
              <w:adjustRightInd/>
              <w:snapToGrid/>
              <w:spacing w:line="240" w:lineRule="auto"/>
              <w:ind w:left="0"/>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r>
      <w:tr w14:paraId="4113BF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5E5D09C2">
            <w:pPr>
              <w:autoSpaceDE w:val="0"/>
              <w:autoSpaceDN w:val="0"/>
              <w:rPr>
                <w:rFonts w:ascii="Arial"/>
                <w:color w:val="auto"/>
                <w:sz w:val="21"/>
                <w:szCs w:val="21"/>
              </w:rPr>
            </w:pPr>
          </w:p>
        </w:tc>
        <w:tc>
          <w:tcPr>
            <w:tcW w:w="790" w:type="pct"/>
            <w:tcBorders>
              <w:tl2br w:val="nil"/>
              <w:tr2bl w:val="nil"/>
            </w:tcBorders>
            <w:vAlign w:val="center"/>
          </w:tcPr>
          <w:p w14:paraId="2F933D4E">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7"/>
                <w:sz w:val="21"/>
                <w:szCs w:val="21"/>
              </w:rPr>
              <w:t>事件影响</w:t>
            </w:r>
          </w:p>
        </w:tc>
        <w:tc>
          <w:tcPr>
            <w:tcW w:w="3501" w:type="pct"/>
            <w:tcBorders>
              <w:tl2br w:val="nil"/>
              <w:tr2bl w:val="nil"/>
            </w:tcBorders>
            <w:vAlign w:val="center"/>
          </w:tcPr>
          <w:p w14:paraId="53BBB5BE">
            <w:pPr>
              <w:pStyle w:val="115"/>
              <w:keepNext w:val="0"/>
              <w:keepLines w:val="0"/>
              <w:pageBreakBefore w:val="0"/>
              <w:widowControl w:val="0"/>
              <w:kinsoku/>
              <w:wordWrap/>
              <w:overflowPunct/>
              <w:topLinePunct w:val="0"/>
              <w:autoSpaceDE/>
              <w:autoSpaceDN/>
              <w:bidi w:val="0"/>
              <w:adjustRightInd/>
              <w:snapToGrid/>
              <w:spacing w:line="240" w:lineRule="auto"/>
              <w:ind w:left="0"/>
              <w:textAlignment w:val="auto"/>
              <w:rPr>
                <w:color w:val="auto"/>
                <w:sz w:val="21"/>
                <w:szCs w:val="21"/>
              </w:rPr>
            </w:pPr>
            <w:r>
              <w:rPr>
                <w:color w:val="auto"/>
                <w:spacing w:val="8"/>
                <w:sz w:val="21"/>
                <w:szCs w:val="21"/>
              </w:rPr>
              <w:t>导致土地和池塘的污染。经鉴定，该案造成环境损失达</w:t>
            </w:r>
            <w:r>
              <w:rPr>
                <w:color w:val="auto"/>
                <w:spacing w:val="-36"/>
                <w:sz w:val="21"/>
                <w:szCs w:val="21"/>
              </w:rPr>
              <w:t xml:space="preserve"> </w:t>
            </w:r>
            <w:r>
              <w:rPr>
                <w:rFonts w:ascii="Times New Roman" w:hAnsi="Times New Roman" w:eastAsia="Times New Roman" w:cs="Times New Roman"/>
                <w:color w:val="auto"/>
                <w:spacing w:val="8"/>
                <w:sz w:val="21"/>
                <w:szCs w:val="21"/>
              </w:rPr>
              <w:t>31</w:t>
            </w:r>
            <w:r>
              <w:rPr>
                <w:rFonts w:ascii="Times New Roman" w:hAnsi="Times New Roman" w:eastAsia="Times New Roman" w:cs="Times New Roman"/>
                <w:color w:val="auto"/>
                <w:spacing w:val="7"/>
                <w:sz w:val="21"/>
                <w:szCs w:val="21"/>
              </w:rPr>
              <w:t xml:space="preserve">8.9 </w:t>
            </w:r>
            <w:r>
              <w:rPr>
                <w:color w:val="auto"/>
                <w:spacing w:val="7"/>
                <w:sz w:val="21"/>
                <w:szCs w:val="21"/>
              </w:rPr>
              <w:t>万元。</w:t>
            </w:r>
          </w:p>
        </w:tc>
      </w:tr>
      <w:tr w14:paraId="5C9EE6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restart"/>
            <w:tcBorders>
              <w:tl2br w:val="nil"/>
              <w:tr2bl w:val="nil"/>
            </w:tcBorders>
            <w:vAlign w:val="center"/>
          </w:tcPr>
          <w:p w14:paraId="579375C8">
            <w:pPr>
              <w:pStyle w:val="115"/>
              <w:autoSpaceDE w:val="0"/>
              <w:autoSpaceDN w:val="0"/>
              <w:spacing w:before="65" w:line="228" w:lineRule="auto"/>
              <w:rPr>
                <w:color w:val="auto"/>
                <w:sz w:val="21"/>
                <w:szCs w:val="21"/>
              </w:rPr>
            </w:pPr>
            <w:r>
              <w:rPr>
                <w:color w:val="auto"/>
                <w:spacing w:val="7"/>
                <w:sz w:val="21"/>
                <w:szCs w:val="21"/>
              </w:rPr>
              <w:t>废油</w:t>
            </w:r>
            <w:r>
              <w:rPr>
                <w:rFonts w:hint="eastAsia"/>
                <w:color w:val="auto"/>
                <w:spacing w:val="7"/>
                <w:sz w:val="21"/>
                <w:szCs w:val="21"/>
                <w:lang w:eastAsia="zh-CN"/>
              </w:rPr>
              <w:t>泄漏</w:t>
            </w:r>
          </w:p>
        </w:tc>
        <w:tc>
          <w:tcPr>
            <w:tcW w:w="790" w:type="pct"/>
            <w:tcBorders>
              <w:tl2br w:val="nil"/>
              <w:tr2bl w:val="nil"/>
            </w:tcBorders>
            <w:vAlign w:val="center"/>
          </w:tcPr>
          <w:p w14:paraId="3B9DFEA9">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14"/>
                <w:sz w:val="21"/>
                <w:szCs w:val="21"/>
              </w:rPr>
              <w:t>日期</w:t>
            </w:r>
          </w:p>
        </w:tc>
        <w:tc>
          <w:tcPr>
            <w:tcW w:w="3501" w:type="pct"/>
            <w:tcBorders>
              <w:tl2br w:val="nil"/>
              <w:tr2bl w:val="nil"/>
            </w:tcBorders>
            <w:vAlign w:val="center"/>
          </w:tcPr>
          <w:p w14:paraId="34473217">
            <w:pPr>
              <w:pStyle w:val="115"/>
              <w:keepNext w:val="0"/>
              <w:keepLines w:val="0"/>
              <w:pageBreakBefore w:val="0"/>
              <w:widowControl w:val="0"/>
              <w:kinsoku/>
              <w:wordWrap/>
              <w:overflowPunct/>
              <w:topLinePunct w:val="0"/>
              <w:autoSpaceDE/>
              <w:autoSpaceDN/>
              <w:bidi w:val="0"/>
              <w:adjustRightInd/>
              <w:snapToGrid/>
              <w:spacing w:line="240" w:lineRule="auto"/>
              <w:ind w:left="0"/>
              <w:textAlignment w:val="auto"/>
              <w:rPr>
                <w:color w:val="auto"/>
                <w:sz w:val="21"/>
                <w:szCs w:val="21"/>
              </w:rPr>
            </w:pPr>
            <w:r>
              <w:rPr>
                <w:rFonts w:ascii="Times New Roman" w:hAnsi="Times New Roman" w:eastAsia="Times New Roman" w:cs="Times New Roman"/>
                <w:color w:val="auto"/>
                <w:spacing w:val="-1"/>
                <w:sz w:val="21"/>
                <w:szCs w:val="21"/>
              </w:rPr>
              <w:t>2016</w:t>
            </w:r>
            <w:r>
              <w:rPr>
                <w:rFonts w:ascii="Times New Roman" w:hAnsi="Times New Roman" w:eastAsia="Times New Roman" w:cs="Times New Roman"/>
                <w:color w:val="auto"/>
                <w:spacing w:val="13"/>
                <w:sz w:val="21"/>
                <w:szCs w:val="21"/>
              </w:rPr>
              <w:t xml:space="preserve"> </w:t>
            </w:r>
            <w:r>
              <w:rPr>
                <w:color w:val="auto"/>
                <w:spacing w:val="-1"/>
                <w:sz w:val="21"/>
                <w:szCs w:val="21"/>
              </w:rPr>
              <w:t>年</w:t>
            </w:r>
            <w:r>
              <w:rPr>
                <w:color w:val="auto"/>
                <w:spacing w:val="-21"/>
                <w:sz w:val="21"/>
                <w:szCs w:val="21"/>
              </w:rPr>
              <w:t xml:space="preserve"> </w:t>
            </w:r>
            <w:r>
              <w:rPr>
                <w:rFonts w:ascii="Times New Roman" w:hAnsi="Times New Roman" w:eastAsia="Times New Roman" w:cs="Times New Roman"/>
                <w:color w:val="auto"/>
                <w:spacing w:val="-1"/>
                <w:sz w:val="21"/>
                <w:szCs w:val="21"/>
              </w:rPr>
              <w:t>1</w:t>
            </w:r>
            <w:r>
              <w:rPr>
                <w:rFonts w:ascii="Times New Roman" w:hAnsi="Times New Roman" w:eastAsia="Times New Roman" w:cs="Times New Roman"/>
                <w:color w:val="auto"/>
                <w:spacing w:val="15"/>
                <w:w w:val="101"/>
                <w:sz w:val="21"/>
                <w:szCs w:val="21"/>
              </w:rPr>
              <w:t xml:space="preserve"> </w:t>
            </w:r>
            <w:r>
              <w:rPr>
                <w:color w:val="auto"/>
                <w:spacing w:val="-1"/>
                <w:sz w:val="21"/>
                <w:szCs w:val="21"/>
              </w:rPr>
              <w:t>月</w:t>
            </w:r>
          </w:p>
        </w:tc>
      </w:tr>
      <w:tr w14:paraId="313658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3CA238A8">
            <w:pPr>
              <w:autoSpaceDE w:val="0"/>
              <w:autoSpaceDN w:val="0"/>
              <w:rPr>
                <w:rFonts w:ascii="Arial"/>
                <w:color w:val="auto"/>
                <w:sz w:val="21"/>
                <w:szCs w:val="21"/>
              </w:rPr>
            </w:pPr>
          </w:p>
        </w:tc>
        <w:tc>
          <w:tcPr>
            <w:tcW w:w="790" w:type="pct"/>
            <w:tcBorders>
              <w:tl2br w:val="nil"/>
              <w:tr2bl w:val="nil"/>
            </w:tcBorders>
            <w:vAlign w:val="center"/>
          </w:tcPr>
          <w:p w14:paraId="5D478EC0">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4"/>
                <w:sz w:val="21"/>
                <w:szCs w:val="21"/>
              </w:rPr>
              <w:t>地点</w:t>
            </w:r>
          </w:p>
        </w:tc>
        <w:tc>
          <w:tcPr>
            <w:tcW w:w="3501" w:type="pct"/>
            <w:tcBorders>
              <w:tl2br w:val="nil"/>
              <w:tr2bl w:val="nil"/>
            </w:tcBorders>
            <w:vAlign w:val="center"/>
          </w:tcPr>
          <w:p w14:paraId="6952B92C">
            <w:pPr>
              <w:pStyle w:val="115"/>
              <w:keepNext w:val="0"/>
              <w:keepLines w:val="0"/>
              <w:pageBreakBefore w:val="0"/>
              <w:widowControl w:val="0"/>
              <w:kinsoku/>
              <w:wordWrap/>
              <w:overflowPunct/>
              <w:topLinePunct w:val="0"/>
              <w:autoSpaceDE/>
              <w:autoSpaceDN/>
              <w:bidi w:val="0"/>
              <w:adjustRightInd/>
              <w:snapToGrid/>
              <w:spacing w:line="240" w:lineRule="auto"/>
              <w:ind w:left="0"/>
              <w:textAlignment w:val="auto"/>
              <w:rPr>
                <w:color w:val="auto"/>
                <w:sz w:val="21"/>
                <w:szCs w:val="21"/>
              </w:rPr>
            </w:pPr>
            <w:r>
              <w:rPr>
                <w:color w:val="auto"/>
                <w:spacing w:val="9"/>
                <w:sz w:val="21"/>
                <w:szCs w:val="21"/>
              </w:rPr>
              <w:t>长沙市天心区南托街道牛角塘村</w:t>
            </w:r>
          </w:p>
        </w:tc>
      </w:tr>
      <w:tr w14:paraId="4B0077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708" w:type="pct"/>
            <w:vMerge w:val="continue"/>
            <w:tcBorders>
              <w:tl2br w:val="nil"/>
              <w:tr2bl w:val="nil"/>
            </w:tcBorders>
            <w:vAlign w:val="center"/>
          </w:tcPr>
          <w:p w14:paraId="05807F7D">
            <w:pPr>
              <w:autoSpaceDE w:val="0"/>
              <w:autoSpaceDN w:val="0"/>
              <w:rPr>
                <w:rFonts w:ascii="Arial"/>
                <w:color w:val="auto"/>
                <w:sz w:val="21"/>
                <w:szCs w:val="21"/>
              </w:rPr>
            </w:pPr>
          </w:p>
        </w:tc>
        <w:tc>
          <w:tcPr>
            <w:tcW w:w="790" w:type="pct"/>
            <w:tcBorders>
              <w:tl2br w:val="nil"/>
              <w:tr2bl w:val="nil"/>
            </w:tcBorders>
            <w:vAlign w:val="center"/>
          </w:tcPr>
          <w:p w14:paraId="3C2882ED">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7"/>
                <w:sz w:val="21"/>
                <w:szCs w:val="21"/>
              </w:rPr>
              <w:t>事件经过</w:t>
            </w:r>
          </w:p>
        </w:tc>
        <w:tc>
          <w:tcPr>
            <w:tcW w:w="3501" w:type="pct"/>
            <w:tcBorders>
              <w:tl2br w:val="nil"/>
              <w:tr2bl w:val="nil"/>
            </w:tcBorders>
            <w:vAlign w:val="center"/>
          </w:tcPr>
          <w:p w14:paraId="6EA3C8C8">
            <w:pPr>
              <w:pStyle w:val="115"/>
              <w:keepNext w:val="0"/>
              <w:keepLines w:val="0"/>
              <w:pageBreakBefore w:val="0"/>
              <w:widowControl w:val="0"/>
              <w:kinsoku/>
              <w:wordWrap/>
              <w:overflowPunct/>
              <w:topLinePunct w:val="0"/>
              <w:autoSpaceDE/>
              <w:autoSpaceDN/>
              <w:bidi w:val="0"/>
              <w:adjustRightInd/>
              <w:snapToGrid/>
              <w:spacing w:line="240" w:lineRule="auto"/>
              <w:ind w:left="0" w:right="108"/>
              <w:jc w:val="both"/>
              <w:textAlignment w:val="auto"/>
              <w:rPr>
                <w:color w:val="auto"/>
                <w:sz w:val="21"/>
                <w:szCs w:val="21"/>
              </w:rPr>
            </w:pPr>
            <w:r>
              <w:rPr>
                <w:color w:val="auto"/>
                <w:spacing w:val="8"/>
                <w:sz w:val="21"/>
                <w:szCs w:val="21"/>
              </w:rPr>
              <w:t>汤某亮在长沙市天心区南托街道牛角塘村开办了一家汽车修理厂，办厂以来，除化粪池外无其他污水处理系统，平时处理废机油，会将废</w:t>
            </w:r>
            <w:r>
              <w:rPr>
                <w:color w:val="auto"/>
                <w:spacing w:val="7"/>
                <w:sz w:val="21"/>
                <w:szCs w:val="21"/>
              </w:rPr>
              <w:t>油暂时存放在铁皮桶内，并将废油桶放置在厂房空地上。今年</w:t>
            </w:r>
            <w:r>
              <w:rPr>
                <w:color w:val="auto"/>
                <w:spacing w:val="-36"/>
                <w:sz w:val="21"/>
                <w:szCs w:val="21"/>
              </w:rPr>
              <w:t xml:space="preserve"> </w:t>
            </w:r>
            <w:r>
              <w:rPr>
                <w:rFonts w:ascii="Times New Roman" w:hAnsi="Times New Roman" w:eastAsia="Times New Roman" w:cs="Times New Roman"/>
                <w:color w:val="auto"/>
                <w:spacing w:val="7"/>
                <w:sz w:val="21"/>
                <w:szCs w:val="21"/>
              </w:rPr>
              <w:t>6</w:t>
            </w:r>
            <w:r>
              <w:rPr>
                <w:rFonts w:ascii="Times New Roman" w:hAnsi="Times New Roman" w:eastAsia="Times New Roman" w:cs="Times New Roman"/>
                <w:color w:val="auto"/>
                <w:spacing w:val="17"/>
                <w:sz w:val="21"/>
                <w:szCs w:val="21"/>
              </w:rPr>
              <w:t xml:space="preserve"> </w:t>
            </w:r>
            <w:r>
              <w:rPr>
                <w:color w:val="auto"/>
                <w:spacing w:val="7"/>
                <w:sz w:val="21"/>
                <w:szCs w:val="21"/>
              </w:rPr>
              <w:t>月的</w:t>
            </w:r>
            <w:r>
              <w:rPr>
                <w:color w:val="auto"/>
                <w:spacing w:val="8"/>
                <w:sz w:val="21"/>
                <w:szCs w:val="21"/>
              </w:rPr>
              <w:t>几天暴雨，将废油桶灌满，大量废机油溢出了桶外，部分废机油等污染物从堆放地内流出，经过场内低洼渠道、路边的沟渠直接排放到城市下水管网，对城市的环境造成污染。</w:t>
            </w:r>
          </w:p>
        </w:tc>
      </w:tr>
      <w:tr w14:paraId="37F4A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708" w:type="pct"/>
            <w:vMerge w:val="continue"/>
            <w:tcBorders>
              <w:tl2br w:val="nil"/>
              <w:tr2bl w:val="nil"/>
            </w:tcBorders>
            <w:vAlign w:val="center"/>
          </w:tcPr>
          <w:p w14:paraId="2B1215F1">
            <w:pPr>
              <w:autoSpaceDE w:val="0"/>
              <w:autoSpaceDN w:val="0"/>
              <w:rPr>
                <w:rFonts w:ascii="Arial"/>
                <w:color w:val="auto"/>
                <w:sz w:val="21"/>
                <w:szCs w:val="21"/>
              </w:rPr>
            </w:pPr>
          </w:p>
        </w:tc>
        <w:tc>
          <w:tcPr>
            <w:tcW w:w="790" w:type="pct"/>
            <w:tcBorders>
              <w:tl2br w:val="nil"/>
              <w:tr2bl w:val="nil"/>
            </w:tcBorders>
            <w:vAlign w:val="center"/>
          </w:tcPr>
          <w:p w14:paraId="63BE78F3">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3"/>
                <w:sz w:val="21"/>
                <w:szCs w:val="21"/>
              </w:rPr>
              <w:t>引发原因</w:t>
            </w:r>
          </w:p>
        </w:tc>
        <w:tc>
          <w:tcPr>
            <w:tcW w:w="3501" w:type="pct"/>
            <w:tcBorders>
              <w:tl2br w:val="nil"/>
              <w:tr2bl w:val="nil"/>
            </w:tcBorders>
            <w:vAlign w:val="center"/>
          </w:tcPr>
          <w:p w14:paraId="2CA6E31E">
            <w:pPr>
              <w:pStyle w:val="115"/>
              <w:keepNext w:val="0"/>
              <w:keepLines w:val="0"/>
              <w:pageBreakBefore w:val="0"/>
              <w:widowControl w:val="0"/>
              <w:kinsoku/>
              <w:wordWrap/>
              <w:overflowPunct/>
              <w:topLinePunct w:val="0"/>
              <w:autoSpaceDE/>
              <w:autoSpaceDN/>
              <w:bidi w:val="0"/>
              <w:adjustRightInd/>
              <w:snapToGrid/>
              <w:spacing w:line="240" w:lineRule="auto"/>
              <w:ind w:left="0"/>
              <w:textAlignment w:val="auto"/>
              <w:rPr>
                <w:color w:val="auto"/>
                <w:sz w:val="21"/>
                <w:szCs w:val="21"/>
              </w:rPr>
            </w:pPr>
            <w:r>
              <w:rPr>
                <w:color w:val="auto"/>
                <w:spacing w:val="9"/>
                <w:sz w:val="21"/>
                <w:szCs w:val="21"/>
              </w:rPr>
              <w:t>将废油暂时存放在铁皮桶内，并将废油桶放置在厂房空地上。</w:t>
            </w:r>
          </w:p>
        </w:tc>
      </w:tr>
      <w:tr w14:paraId="550B47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708" w:type="pct"/>
            <w:vMerge w:val="continue"/>
            <w:tcBorders>
              <w:tl2br w:val="nil"/>
              <w:tr2bl w:val="nil"/>
            </w:tcBorders>
            <w:vAlign w:val="center"/>
          </w:tcPr>
          <w:p w14:paraId="47E04FF7">
            <w:pPr>
              <w:autoSpaceDE w:val="0"/>
              <w:autoSpaceDN w:val="0"/>
              <w:rPr>
                <w:rFonts w:ascii="Arial"/>
                <w:color w:val="auto"/>
                <w:sz w:val="21"/>
                <w:szCs w:val="21"/>
              </w:rPr>
            </w:pPr>
          </w:p>
        </w:tc>
        <w:tc>
          <w:tcPr>
            <w:tcW w:w="790" w:type="pct"/>
            <w:tcBorders>
              <w:tl2br w:val="nil"/>
              <w:tr2bl w:val="nil"/>
            </w:tcBorders>
            <w:vAlign w:val="center"/>
          </w:tcPr>
          <w:p w14:paraId="12C7E574">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7"/>
                <w:sz w:val="21"/>
                <w:szCs w:val="21"/>
              </w:rPr>
              <w:t>事件影响</w:t>
            </w:r>
          </w:p>
        </w:tc>
        <w:tc>
          <w:tcPr>
            <w:tcW w:w="3501" w:type="pct"/>
            <w:tcBorders>
              <w:tl2br w:val="nil"/>
              <w:tr2bl w:val="nil"/>
            </w:tcBorders>
            <w:vAlign w:val="center"/>
          </w:tcPr>
          <w:p w14:paraId="385CEDE9">
            <w:pPr>
              <w:pStyle w:val="115"/>
              <w:keepNext w:val="0"/>
              <w:keepLines w:val="0"/>
              <w:pageBreakBefore w:val="0"/>
              <w:widowControl w:val="0"/>
              <w:kinsoku/>
              <w:wordWrap/>
              <w:overflowPunct/>
              <w:topLinePunct w:val="0"/>
              <w:autoSpaceDE/>
              <w:autoSpaceDN/>
              <w:bidi w:val="0"/>
              <w:adjustRightInd/>
              <w:snapToGrid/>
              <w:spacing w:line="240" w:lineRule="auto"/>
              <w:ind w:left="0" w:right="108" w:firstLine="3"/>
              <w:jc w:val="both"/>
              <w:textAlignment w:val="auto"/>
              <w:rPr>
                <w:color w:val="auto"/>
                <w:sz w:val="21"/>
                <w:szCs w:val="21"/>
              </w:rPr>
            </w:pPr>
            <w:r>
              <w:rPr>
                <w:color w:val="auto"/>
                <w:spacing w:val="8"/>
                <w:sz w:val="21"/>
                <w:szCs w:val="21"/>
              </w:rPr>
              <w:t>大量废机油溢出了桶外，部分废机油等污染物从堆放地内流出，经过场内低洼渠道、路边的沟渠直接排放到城市下水管网，对城市的环境</w:t>
            </w:r>
            <w:r>
              <w:rPr>
                <w:color w:val="auto"/>
                <w:spacing w:val="6"/>
                <w:sz w:val="21"/>
                <w:szCs w:val="21"/>
              </w:rPr>
              <w:t>造成污染。</w:t>
            </w:r>
          </w:p>
        </w:tc>
      </w:tr>
    </w:tbl>
    <w:p w14:paraId="3A79FF44">
      <w:pPr>
        <w:keepNext w:val="0"/>
        <w:keepLines w:val="0"/>
        <w:widowControl/>
        <w:suppressLineNumbers w:val="0"/>
        <w:spacing w:line="360" w:lineRule="auto"/>
        <w:jc w:val="left"/>
        <w:outlineLvl w:val="1"/>
        <w:rPr>
          <w:rFonts w:hint="eastAsia" w:ascii="Times New Roman" w:hAnsi="Times New Roman" w:eastAsia="宋体" w:cs="Times New Roman"/>
          <w:b/>
          <w:bCs/>
          <w:color w:val="auto"/>
          <w:kern w:val="0"/>
          <w:sz w:val="28"/>
          <w:szCs w:val="28"/>
          <w:lang w:val="en-US" w:eastAsia="zh-CN" w:bidi="ar"/>
        </w:rPr>
      </w:pPr>
      <w:bookmarkStart w:id="549" w:name="_Toc6552"/>
      <w:bookmarkStart w:id="550" w:name="_Toc8761"/>
      <w:r>
        <w:rPr>
          <w:rFonts w:hint="eastAsia" w:ascii="Times New Roman" w:hAnsi="Times New Roman" w:eastAsia="宋体" w:cs="Times New Roman"/>
          <w:b/>
          <w:bCs/>
          <w:color w:val="auto"/>
          <w:kern w:val="0"/>
          <w:sz w:val="28"/>
          <w:szCs w:val="28"/>
          <w:lang w:val="en-US" w:eastAsia="zh-CN" w:bidi="ar"/>
        </w:rPr>
        <w:t>6.2 可能发生的突发环境事件情景</w:t>
      </w:r>
      <w:bookmarkEnd w:id="549"/>
      <w:bookmarkEnd w:id="550"/>
    </w:p>
    <w:p w14:paraId="16CC10ED">
      <w:pPr>
        <w:spacing w:before="183" w:line="219" w:lineRule="auto"/>
        <w:ind w:left="596"/>
        <w:rPr>
          <w:rFonts w:ascii="宋体" w:hAnsi="宋体" w:eastAsia="宋体" w:cs="宋体"/>
          <w:color w:val="auto"/>
          <w:sz w:val="24"/>
          <w:szCs w:val="24"/>
        </w:rPr>
      </w:pPr>
      <w:r>
        <w:rPr>
          <w:rFonts w:ascii="宋体" w:hAnsi="宋体" w:eastAsia="宋体" w:cs="宋体"/>
          <w:color w:val="auto"/>
          <w:sz w:val="24"/>
          <w:szCs w:val="24"/>
        </w:rPr>
        <w:t>可能发生的突发环境</w:t>
      </w:r>
      <w:r>
        <w:rPr>
          <w:rFonts w:ascii="宋体" w:hAnsi="宋体" w:eastAsia="宋体" w:cs="宋体"/>
          <w:color w:val="auto"/>
          <w:spacing w:val="-1"/>
          <w:sz w:val="24"/>
          <w:szCs w:val="24"/>
        </w:rPr>
        <w:t>事件的最坏情景列于表</w:t>
      </w:r>
      <w:r>
        <w:rPr>
          <w:rFonts w:ascii="宋体" w:hAnsi="宋体" w:eastAsia="宋体" w:cs="宋体"/>
          <w:color w:val="auto"/>
          <w:spacing w:val="-57"/>
          <w:sz w:val="24"/>
          <w:szCs w:val="24"/>
        </w:rPr>
        <w:t xml:space="preserve"> </w:t>
      </w:r>
      <w:r>
        <w:rPr>
          <w:rFonts w:hint="eastAsia" w:ascii="Times New Roman" w:hAnsi="Times New Roman" w:eastAsia="宋体" w:cs="Times New Roman"/>
          <w:color w:val="auto"/>
          <w:spacing w:val="-1"/>
          <w:sz w:val="24"/>
          <w:szCs w:val="24"/>
          <w:lang w:val="en-US" w:eastAsia="zh-CN"/>
        </w:rPr>
        <w:t>6</w:t>
      </w:r>
      <w:r>
        <w:rPr>
          <w:rFonts w:ascii="Times New Roman" w:hAnsi="Times New Roman" w:eastAsia="Times New Roman" w:cs="Times New Roman"/>
          <w:color w:val="auto"/>
          <w:spacing w:val="-1"/>
          <w:sz w:val="24"/>
          <w:szCs w:val="24"/>
        </w:rPr>
        <w:t>-2</w:t>
      </w:r>
      <w:r>
        <w:rPr>
          <w:rFonts w:ascii="宋体" w:hAnsi="宋体" w:eastAsia="宋体" w:cs="宋体"/>
          <w:color w:val="auto"/>
          <w:spacing w:val="-1"/>
          <w:sz w:val="24"/>
          <w:szCs w:val="24"/>
        </w:rPr>
        <w:t>。</w:t>
      </w:r>
    </w:p>
    <w:p w14:paraId="2C3CFBD3">
      <w:pPr>
        <w:spacing w:before="117" w:line="228" w:lineRule="auto"/>
        <w:ind w:left="2748"/>
        <w:rPr>
          <w:rFonts w:ascii="宋体" w:hAnsi="宋体" w:eastAsia="宋体" w:cs="宋体"/>
          <w:color w:val="auto"/>
          <w:sz w:val="20"/>
          <w:szCs w:val="20"/>
        </w:rPr>
      </w:pPr>
      <w:r>
        <w:rPr>
          <w:rFonts w:ascii="宋体" w:hAnsi="宋体" w:eastAsia="宋体" w:cs="宋体"/>
          <w:b/>
          <w:bCs/>
          <w:color w:val="auto"/>
          <w:spacing w:val="6"/>
          <w:sz w:val="20"/>
          <w:szCs w:val="20"/>
        </w:rPr>
        <w:t>表</w:t>
      </w:r>
      <w:r>
        <w:rPr>
          <w:rFonts w:ascii="宋体" w:hAnsi="宋体" w:eastAsia="宋体" w:cs="宋体"/>
          <w:color w:val="auto"/>
          <w:spacing w:val="-23"/>
          <w:sz w:val="20"/>
          <w:szCs w:val="20"/>
        </w:rPr>
        <w:t xml:space="preserve"> </w:t>
      </w:r>
      <w:r>
        <w:rPr>
          <w:rFonts w:hint="eastAsia" w:ascii="Times New Roman" w:hAnsi="Times New Roman" w:eastAsia="宋体" w:cs="Times New Roman"/>
          <w:b/>
          <w:bCs/>
          <w:color w:val="auto"/>
          <w:spacing w:val="6"/>
          <w:sz w:val="20"/>
          <w:szCs w:val="20"/>
          <w:lang w:val="en-US" w:eastAsia="zh-CN"/>
        </w:rPr>
        <w:t>6</w:t>
      </w:r>
      <w:r>
        <w:rPr>
          <w:rFonts w:ascii="Times New Roman" w:hAnsi="Times New Roman" w:eastAsia="Times New Roman" w:cs="Times New Roman"/>
          <w:b/>
          <w:bCs/>
          <w:color w:val="auto"/>
          <w:spacing w:val="6"/>
          <w:sz w:val="20"/>
          <w:szCs w:val="20"/>
        </w:rPr>
        <w:t xml:space="preserve">-2 </w:t>
      </w:r>
      <w:r>
        <w:rPr>
          <w:rFonts w:ascii="宋体" w:hAnsi="宋体" w:eastAsia="宋体" w:cs="宋体"/>
          <w:b/>
          <w:bCs/>
          <w:color w:val="auto"/>
          <w:spacing w:val="6"/>
          <w:sz w:val="20"/>
          <w:szCs w:val="20"/>
        </w:rPr>
        <w:t>可能发生的突发环境事件情景分析</w:t>
      </w:r>
    </w:p>
    <w:p w14:paraId="66E91386">
      <w:pPr>
        <w:spacing w:line="15" w:lineRule="exact"/>
        <w:rPr>
          <w:color w:val="auto"/>
        </w:rPr>
      </w:pPr>
    </w:p>
    <w:tbl>
      <w:tblPr>
        <w:tblStyle w:val="85"/>
        <w:tblW w:w="5004"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11"/>
        <w:gridCol w:w="1859"/>
        <w:gridCol w:w="5848"/>
      </w:tblGrid>
      <w:tr w14:paraId="03DD46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trPr>
        <w:tc>
          <w:tcPr>
            <w:tcW w:w="367" w:type="pct"/>
            <w:tcBorders>
              <w:tl2br w:val="nil"/>
              <w:tr2bl w:val="nil"/>
            </w:tcBorders>
            <w:vAlign w:val="center"/>
          </w:tcPr>
          <w:p w14:paraId="4EFAF024">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b/>
                <w:bCs/>
                <w:color w:val="auto"/>
                <w:spacing w:val="4"/>
                <w:sz w:val="21"/>
                <w:szCs w:val="21"/>
              </w:rPr>
              <w:t>序号</w:t>
            </w:r>
          </w:p>
        </w:tc>
        <w:tc>
          <w:tcPr>
            <w:tcW w:w="1117" w:type="pct"/>
            <w:tcBorders>
              <w:tl2br w:val="nil"/>
              <w:tr2bl w:val="nil"/>
            </w:tcBorders>
            <w:vAlign w:val="center"/>
          </w:tcPr>
          <w:p w14:paraId="163992EC">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b/>
                <w:bCs/>
                <w:color w:val="auto"/>
                <w:spacing w:val="6"/>
                <w:sz w:val="21"/>
                <w:szCs w:val="21"/>
              </w:rPr>
              <w:t>突发环境事件类型</w:t>
            </w:r>
          </w:p>
        </w:tc>
        <w:tc>
          <w:tcPr>
            <w:tcW w:w="3514" w:type="pct"/>
            <w:tcBorders>
              <w:tl2br w:val="nil"/>
              <w:tr2bl w:val="nil"/>
            </w:tcBorders>
            <w:vAlign w:val="center"/>
          </w:tcPr>
          <w:p w14:paraId="1D4138A4">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b/>
                <w:bCs/>
                <w:color w:val="auto"/>
                <w:spacing w:val="8"/>
                <w:sz w:val="21"/>
                <w:szCs w:val="21"/>
              </w:rPr>
              <w:t>事件引发或次生突发环境事件的最坏情景</w:t>
            </w:r>
          </w:p>
        </w:tc>
      </w:tr>
      <w:tr w14:paraId="798982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4" w:hRule="atLeast"/>
        </w:trPr>
        <w:tc>
          <w:tcPr>
            <w:tcW w:w="367" w:type="pct"/>
            <w:tcBorders>
              <w:tl2br w:val="nil"/>
              <w:tr2bl w:val="nil"/>
            </w:tcBorders>
            <w:vAlign w:val="center"/>
          </w:tcPr>
          <w:p w14:paraId="025CE532">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w:t>
            </w:r>
          </w:p>
        </w:tc>
        <w:tc>
          <w:tcPr>
            <w:tcW w:w="1117" w:type="pct"/>
            <w:tcBorders>
              <w:tl2br w:val="nil"/>
              <w:tr2bl w:val="nil"/>
            </w:tcBorders>
            <w:vAlign w:val="center"/>
          </w:tcPr>
          <w:p w14:paraId="2F8BBD41">
            <w:pPr>
              <w:pStyle w:val="115"/>
              <w:keepNext w:val="0"/>
              <w:keepLines w:val="0"/>
              <w:pageBreakBefore w:val="0"/>
              <w:widowControl w:val="0"/>
              <w:kinsoku/>
              <w:wordWrap/>
              <w:overflowPunct/>
              <w:topLinePunct w:val="0"/>
              <w:autoSpaceDE/>
              <w:autoSpaceDN/>
              <w:bidi w:val="0"/>
              <w:adjustRightInd/>
              <w:snapToGrid/>
              <w:spacing w:line="240" w:lineRule="auto"/>
              <w:ind w:left="0" w:right="0"/>
              <w:jc w:val="left"/>
              <w:textAlignment w:val="auto"/>
              <w:rPr>
                <w:color w:val="auto"/>
                <w:sz w:val="21"/>
                <w:szCs w:val="21"/>
              </w:rPr>
            </w:pPr>
            <w:r>
              <w:rPr>
                <w:color w:val="auto"/>
                <w:spacing w:val="4"/>
                <w:sz w:val="21"/>
                <w:szCs w:val="21"/>
              </w:rPr>
              <w:t>火灾、泄漏等生产安</w:t>
            </w:r>
            <w:r>
              <w:rPr>
                <w:color w:val="auto"/>
                <w:spacing w:val="8"/>
                <w:sz w:val="21"/>
                <w:szCs w:val="21"/>
              </w:rPr>
              <w:t>全事故及可能引起</w:t>
            </w:r>
            <w:r>
              <w:rPr>
                <w:color w:val="auto"/>
                <w:spacing w:val="2"/>
                <w:sz w:val="21"/>
                <w:szCs w:val="21"/>
              </w:rPr>
              <w:t>的次生、衍生厂外环</w:t>
            </w:r>
            <w:r>
              <w:rPr>
                <w:color w:val="auto"/>
                <w:spacing w:val="8"/>
                <w:sz w:val="21"/>
                <w:szCs w:val="21"/>
              </w:rPr>
              <w:t>境污染及人员伤亡</w:t>
            </w:r>
            <w:r>
              <w:rPr>
                <w:color w:val="auto"/>
                <w:spacing w:val="4"/>
                <w:sz w:val="21"/>
                <w:szCs w:val="21"/>
              </w:rPr>
              <w:t>事故</w:t>
            </w:r>
          </w:p>
        </w:tc>
        <w:tc>
          <w:tcPr>
            <w:tcW w:w="3514" w:type="pct"/>
            <w:tcBorders>
              <w:tl2br w:val="nil"/>
              <w:tr2bl w:val="nil"/>
            </w:tcBorders>
            <w:vAlign w:val="center"/>
          </w:tcPr>
          <w:p w14:paraId="299E4258">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1"/>
              <w:jc w:val="both"/>
              <w:textAlignment w:val="auto"/>
              <w:rPr>
                <w:color w:val="auto"/>
                <w:sz w:val="21"/>
                <w:szCs w:val="21"/>
              </w:rPr>
            </w:pPr>
            <w:r>
              <w:rPr>
                <w:color w:val="auto"/>
                <w:spacing w:val="4"/>
                <w:sz w:val="21"/>
                <w:szCs w:val="21"/>
              </w:rPr>
              <w:t>本公司使用的原辅材料（如液态硝酸铵）、油类物质为易燃易爆物质。</w:t>
            </w:r>
            <w:r>
              <w:rPr>
                <w:color w:val="auto"/>
                <w:spacing w:val="9"/>
                <w:sz w:val="21"/>
                <w:szCs w:val="21"/>
              </w:rPr>
              <w:t>在运输、生产过程中因操作不当或意外导致发生爆炸及火灾事</w:t>
            </w:r>
            <w:r>
              <w:rPr>
                <w:color w:val="auto"/>
                <w:spacing w:val="8"/>
                <w:sz w:val="21"/>
                <w:szCs w:val="21"/>
              </w:rPr>
              <w:t>故。另</w:t>
            </w:r>
            <w:r>
              <w:rPr>
                <w:color w:val="auto"/>
                <w:spacing w:val="9"/>
                <w:sz w:val="21"/>
                <w:szCs w:val="21"/>
              </w:rPr>
              <w:t>外因设备问题或操作不当导致泄漏遇明火发生火灾事故。对人</w:t>
            </w:r>
            <w:r>
              <w:rPr>
                <w:color w:val="auto"/>
                <w:spacing w:val="8"/>
                <w:sz w:val="21"/>
                <w:szCs w:val="21"/>
              </w:rPr>
              <w:t>员造成</w:t>
            </w:r>
            <w:r>
              <w:rPr>
                <w:color w:val="auto"/>
                <w:spacing w:val="9"/>
                <w:sz w:val="21"/>
                <w:szCs w:val="21"/>
              </w:rPr>
              <w:t>伤害，财产造成损失，以及因事故产生的有毒有害气体、废水</w:t>
            </w:r>
            <w:r>
              <w:rPr>
                <w:color w:val="auto"/>
                <w:spacing w:val="8"/>
                <w:sz w:val="21"/>
                <w:szCs w:val="21"/>
              </w:rPr>
              <w:t>对厂内外的大气、水、土壤环境造成污染或影响。</w:t>
            </w:r>
          </w:p>
        </w:tc>
      </w:tr>
    </w:tbl>
    <w:p w14:paraId="76B47CB3">
      <w:pPr>
        <w:keepNext w:val="0"/>
        <w:keepLines w:val="0"/>
        <w:widowControl/>
        <w:suppressLineNumbers w:val="0"/>
        <w:spacing w:line="360" w:lineRule="auto"/>
        <w:jc w:val="left"/>
        <w:outlineLvl w:val="0"/>
        <w:rPr>
          <w:rFonts w:hint="default" w:ascii="宋体" w:hAnsi="宋体" w:eastAsia="宋体" w:cs="宋体"/>
          <w:b/>
          <w:bCs/>
          <w:color w:val="auto"/>
          <w:kern w:val="0"/>
          <w:sz w:val="30"/>
          <w:szCs w:val="30"/>
          <w:lang w:val="en-US" w:eastAsia="zh-CN" w:bidi="ar"/>
        </w:rPr>
      </w:pPr>
      <w:bookmarkStart w:id="551" w:name="_Toc20052"/>
      <w:bookmarkStart w:id="552" w:name="_Toc9728"/>
      <w:r>
        <w:rPr>
          <w:rFonts w:hint="eastAsia" w:ascii="宋体" w:hAnsi="宋体" w:cs="宋体"/>
          <w:b/>
          <w:bCs/>
          <w:color w:val="auto"/>
          <w:kern w:val="0"/>
          <w:sz w:val="30"/>
          <w:szCs w:val="30"/>
          <w:lang w:val="en-US" w:eastAsia="zh-CN" w:bidi="ar"/>
        </w:rPr>
        <w:t>7</w:t>
      </w:r>
      <w:r>
        <w:rPr>
          <w:rFonts w:hint="default" w:ascii="宋体" w:hAnsi="宋体" w:eastAsia="宋体" w:cs="宋体"/>
          <w:b/>
          <w:bCs/>
          <w:color w:val="auto"/>
          <w:kern w:val="0"/>
          <w:sz w:val="30"/>
          <w:szCs w:val="30"/>
          <w:lang w:val="en-US" w:eastAsia="zh-CN" w:bidi="ar"/>
        </w:rPr>
        <w:t>环境风险分析</w:t>
      </w:r>
      <w:bookmarkEnd w:id="541"/>
      <w:bookmarkEnd w:id="542"/>
      <w:bookmarkEnd w:id="543"/>
      <w:bookmarkEnd w:id="544"/>
      <w:bookmarkEnd w:id="545"/>
      <w:bookmarkEnd w:id="551"/>
      <w:bookmarkEnd w:id="552"/>
    </w:p>
    <w:p w14:paraId="5EE38CB1">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53" w:name="_Toc23421"/>
      <w:bookmarkStart w:id="554" w:name="_Toc5389"/>
      <w:bookmarkStart w:id="555" w:name="_Toc12529"/>
      <w:bookmarkStart w:id="556" w:name="_Toc584"/>
      <w:bookmarkStart w:id="557" w:name="_Toc26451"/>
      <w:bookmarkStart w:id="558" w:name="OLE_LINK122"/>
      <w:r>
        <w:rPr>
          <w:rFonts w:hint="eastAsia" w:cs="Times New Roman"/>
          <w:b/>
          <w:bCs/>
          <w:color w:val="auto"/>
          <w:kern w:val="0"/>
          <w:sz w:val="28"/>
          <w:szCs w:val="28"/>
          <w:lang w:val="en-US" w:eastAsia="zh-CN" w:bidi="ar"/>
        </w:rPr>
        <w:t>7</w:t>
      </w:r>
      <w:r>
        <w:rPr>
          <w:rFonts w:hint="default" w:ascii="Times New Roman" w:hAnsi="Times New Roman" w:eastAsia="宋体" w:cs="Times New Roman"/>
          <w:b/>
          <w:bCs/>
          <w:color w:val="auto"/>
          <w:kern w:val="0"/>
          <w:sz w:val="28"/>
          <w:szCs w:val="28"/>
          <w:lang w:val="en-US" w:eastAsia="zh-CN" w:bidi="ar"/>
        </w:rPr>
        <w:t>.1</w:t>
      </w:r>
      <w:r>
        <w:rPr>
          <w:rFonts w:hint="eastAsia" w:ascii="Times New Roman" w:hAnsi="Times New Roman" w:eastAsia="宋体" w:cs="Times New Roman"/>
          <w:b/>
          <w:bCs/>
          <w:color w:val="auto"/>
          <w:kern w:val="0"/>
          <w:sz w:val="28"/>
          <w:szCs w:val="28"/>
          <w:lang w:val="en-US" w:eastAsia="zh-CN" w:bidi="ar"/>
        </w:rPr>
        <w:t>大气环境风险分析</w:t>
      </w:r>
      <w:bookmarkEnd w:id="553"/>
      <w:bookmarkEnd w:id="554"/>
      <w:bookmarkEnd w:id="555"/>
      <w:bookmarkEnd w:id="556"/>
      <w:bookmarkEnd w:id="557"/>
    </w:p>
    <w:bookmarkEnd w:id="558"/>
    <w:p w14:paraId="74EA5067">
      <w:pPr>
        <w:widowControl/>
        <w:adjustRightInd w:val="0"/>
        <w:snapToGrid w:val="0"/>
        <w:spacing w:line="360" w:lineRule="auto"/>
        <w:ind w:firstLine="482" w:firstLineChars="200"/>
        <w:outlineLvl w:val="9"/>
        <w:rPr>
          <w:rFonts w:hint="eastAsia" w:ascii="Times New Roman" w:hAnsi="Times New Roman" w:eastAsia="宋体" w:cs="Times New Roman"/>
          <w:color w:val="auto"/>
          <w:sz w:val="24"/>
          <w:szCs w:val="24"/>
          <w:lang w:val="en-US" w:eastAsia="zh-CN"/>
        </w:rPr>
      </w:pPr>
      <w:bookmarkStart w:id="559" w:name="_Toc1982"/>
      <w:r>
        <w:rPr>
          <w:rFonts w:hint="eastAsia" w:ascii="Times New Roman" w:hAnsi="Times New Roman" w:cs="Times New Roman"/>
          <w:b/>
          <w:bCs/>
          <w:color w:val="auto"/>
          <w:sz w:val="24"/>
          <w:szCs w:val="24"/>
        </w:rPr>
        <w:t>1</w:t>
      </w:r>
      <w:r>
        <w:rPr>
          <w:rFonts w:hint="eastAsia" w:ascii="Times New Roman" w:hAnsi="Times New Roman" w:cs="Times New Roman"/>
          <w:b/>
          <w:bCs/>
          <w:color w:val="auto"/>
          <w:sz w:val="24"/>
          <w:szCs w:val="24"/>
          <w:lang w:eastAsia="zh-CN"/>
        </w:rPr>
        <w:t>.</w:t>
      </w:r>
      <w:r>
        <w:rPr>
          <w:rFonts w:hint="eastAsia" w:ascii="Times New Roman" w:hAnsi="Times New Roman" w:cs="Times New Roman"/>
          <w:b/>
          <w:bCs/>
          <w:color w:val="auto"/>
          <w:sz w:val="24"/>
          <w:szCs w:val="24"/>
        </w:rPr>
        <w:t>风险事故情形</w:t>
      </w:r>
      <w:r>
        <w:rPr>
          <w:rFonts w:hint="eastAsia" w:ascii="Times New Roman" w:hAnsi="Times New Roman" w:cs="Times New Roman"/>
          <w:b/>
          <w:bCs/>
          <w:color w:val="auto"/>
          <w:sz w:val="24"/>
          <w:szCs w:val="24"/>
          <w:lang w:val="en-US" w:eastAsia="zh-CN"/>
        </w:rPr>
        <w:t>设定</w:t>
      </w:r>
      <w:bookmarkEnd w:id="559"/>
    </w:p>
    <w:p w14:paraId="76235607">
      <w:pPr>
        <w:widowControl/>
        <w:adjustRightInd w:val="0"/>
        <w:snapToGrid w:val="0"/>
        <w:spacing w:line="360" w:lineRule="auto"/>
        <w:ind w:firstLine="480" w:firstLineChars="200"/>
        <w:outlineLvl w:val="9"/>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由于事故触发因素具有不确定性，因此事故情形的设定并不能包含全部可能 的环境风险，但通过具有代表性的事故情形分析可为风险管理提供科学依据。事 故情形的设定应在环境识别的基础上筛选，设定的事故情形具有危险物质、环境危害、影响途径等方面的代表性。</w:t>
      </w:r>
    </w:p>
    <w:p w14:paraId="7C5F04D3">
      <w:pPr>
        <w:widowControl/>
        <w:adjustRightInd w:val="0"/>
        <w:snapToGrid w:val="0"/>
        <w:spacing w:line="360" w:lineRule="auto"/>
        <w:ind w:firstLine="480" w:firstLineChars="200"/>
        <w:outlineLvl w:val="9"/>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本项目作为炸药生产企业，硝酸铵储存过程中发生爆炸事故，在危险物质、环境危害、影响途径等方面具有代表性，因此本次评价将硝酸铵储存过程中发生爆炸事故，作为设定的风险事故情形。</w:t>
      </w:r>
    </w:p>
    <w:p w14:paraId="7746C728">
      <w:pPr>
        <w:pStyle w:val="138"/>
        <w:shd w:val="clear" w:color="auto" w:fill="auto"/>
        <w:spacing w:before="0" w:after="0" w:line="360" w:lineRule="auto"/>
        <w:ind w:left="0" w:leftChars="0" w:firstLine="482" w:firstLineChars="200"/>
        <w:outlineLvl w:val="9"/>
        <w:rPr>
          <w:rFonts w:hint="default" w:ascii="Times New Roman" w:hAnsi="Times New Roman" w:eastAsia="宋体" w:cs="Times New Roman"/>
          <w:bCs w:val="0"/>
          <w:color w:val="auto"/>
          <w:sz w:val="24"/>
          <w:szCs w:val="24"/>
          <w:highlight w:val="none"/>
        </w:rPr>
      </w:pPr>
      <w:bookmarkStart w:id="560" w:name="_Toc27281"/>
      <w:bookmarkStart w:id="561" w:name="_Toc3621"/>
      <w:bookmarkStart w:id="562" w:name="_Toc10658"/>
      <w:r>
        <w:rPr>
          <w:rFonts w:hint="default" w:ascii="Times New Roman" w:hAnsi="Times New Roman" w:eastAsia="宋体" w:cs="Times New Roman"/>
          <w:bCs w:val="0"/>
          <w:color w:val="auto"/>
          <w:sz w:val="24"/>
          <w:szCs w:val="24"/>
          <w:highlight w:val="none"/>
        </w:rPr>
        <w:t>2</w:t>
      </w:r>
      <w:r>
        <w:rPr>
          <w:rFonts w:hint="eastAsia" w:ascii="Times New Roman" w:hAnsi="Times New Roman" w:eastAsia="宋体" w:cs="Times New Roman"/>
          <w:bCs w:val="0"/>
          <w:color w:val="auto"/>
          <w:sz w:val="24"/>
          <w:szCs w:val="24"/>
          <w:highlight w:val="none"/>
          <w:lang w:eastAsia="zh-CN"/>
        </w:rPr>
        <w:t>.</w:t>
      </w:r>
      <w:r>
        <w:rPr>
          <w:rFonts w:hint="default" w:ascii="Times New Roman" w:hAnsi="Times New Roman" w:eastAsia="宋体" w:cs="Times New Roman"/>
          <w:bCs w:val="0"/>
          <w:color w:val="auto"/>
          <w:sz w:val="24"/>
          <w:szCs w:val="24"/>
          <w:highlight w:val="none"/>
        </w:rPr>
        <w:t>最大可信事故概率</w:t>
      </w:r>
      <w:bookmarkEnd w:id="560"/>
      <w:bookmarkEnd w:id="561"/>
      <w:bookmarkEnd w:id="562"/>
    </w:p>
    <w:p w14:paraId="665EAAFE">
      <w:pPr>
        <w:widowControl/>
        <w:adjustRightInd w:val="0"/>
        <w:snapToGrid w:val="0"/>
        <w:spacing w:line="360" w:lineRule="auto"/>
        <w:ind w:firstLine="480" w:firstLineChars="200"/>
        <w:outlineLvl w:val="9"/>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由于风险事故发生的不可预见性、引发事故的因素较多、污染物排放的差异，对风险事故概率及事故危害的量化难度较大。事故概率可以通过事故树分析，确定事件后用概率计算法求得，也可以通过同类装置事故调查给出概率统计值。</w:t>
      </w:r>
    </w:p>
    <w:p w14:paraId="5BA518E4">
      <w:pPr>
        <w:widowControl/>
        <w:adjustRightInd w:val="0"/>
        <w:snapToGrid w:val="0"/>
        <w:spacing w:line="360" w:lineRule="auto"/>
        <w:ind w:firstLine="480" w:firstLineChars="200"/>
        <w:outlineLvl w:val="9"/>
        <w:rPr>
          <w:rFonts w:hint="default"/>
          <w:color w:val="auto"/>
        </w:rPr>
      </w:pPr>
      <w:r>
        <w:rPr>
          <w:rFonts w:hint="default" w:ascii="Times New Roman" w:hAnsi="Times New Roman" w:cs="Times New Roman"/>
          <w:color w:val="auto"/>
          <w:sz w:val="24"/>
          <w:szCs w:val="24"/>
          <w:lang w:val="en-US" w:eastAsia="zh-CN"/>
        </w:rPr>
        <w:t>本项目风险事故概率主要通过对国内外同类工艺、装置历史事故资料的调查、分析和类比获得。类比国内外炸药库事故概率分析，确定</w:t>
      </w:r>
      <w:r>
        <w:rPr>
          <w:rFonts w:hint="eastAsia" w:ascii="Times New Roman" w:hAnsi="Times New Roman" w:cs="Times New Roman"/>
          <w:color w:val="auto"/>
          <w:sz w:val="24"/>
          <w:szCs w:val="24"/>
          <w:lang w:val="en-US" w:eastAsia="zh-CN"/>
        </w:rPr>
        <w:t>厂内危险</w:t>
      </w:r>
      <w:r>
        <w:rPr>
          <w:rFonts w:hint="default" w:ascii="Times New Roman" w:hAnsi="Times New Roman" w:cs="Times New Roman"/>
          <w:color w:val="auto"/>
          <w:sz w:val="24"/>
          <w:szCs w:val="24"/>
          <w:lang w:val="en-US" w:eastAsia="zh-CN"/>
        </w:rPr>
        <w:t>物质发生爆炸等重大事故的概率为1.0×10-7次/(库·a)。</w:t>
      </w:r>
    </w:p>
    <w:p w14:paraId="240C5685">
      <w:pPr>
        <w:shd w:val="clear" w:color="auto" w:fill="auto"/>
        <w:spacing w:line="360" w:lineRule="auto"/>
        <w:ind w:firstLine="482" w:firstLineChars="200"/>
        <w:outlineLvl w:val="9"/>
        <w:rPr>
          <w:rFonts w:hint="default" w:ascii="Times New Roman" w:hAnsi="Times New Roman" w:eastAsia="宋体" w:cs="Times New Roman"/>
          <w:b/>
          <w:bCs/>
          <w:color w:val="auto"/>
          <w:sz w:val="24"/>
          <w:szCs w:val="24"/>
          <w:highlight w:val="none"/>
          <w:lang w:val="en-US" w:eastAsia="zh-CN"/>
        </w:rPr>
      </w:pPr>
      <w:bookmarkStart w:id="563" w:name="_Toc2879"/>
      <w:r>
        <w:rPr>
          <w:rFonts w:hint="eastAsia" w:ascii="Times New Roman" w:hAnsi="Times New Roman" w:cs="Times New Roman"/>
          <w:b/>
          <w:bCs/>
          <w:color w:val="auto"/>
          <w:sz w:val="24"/>
          <w:szCs w:val="24"/>
          <w:highlight w:val="none"/>
          <w:lang w:val="en-US" w:eastAsia="zh-CN"/>
        </w:rPr>
        <w:t>3.源项分析</w:t>
      </w:r>
      <w:bookmarkEnd w:id="563"/>
    </w:p>
    <w:p w14:paraId="6C2A6B09">
      <w:pPr>
        <w:shd w:val="clear" w:color="auto" w:fill="auto"/>
        <w:spacing w:line="360" w:lineRule="auto"/>
        <w:ind w:firstLine="480" w:firstLineChars="200"/>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事故源强是为事故后果预测提供分析模拟情形。事故源强设定可采用计算法和经验估算法。计算法适用于以腐蚀或应力作用等引起的泄漏型为主的事故，经验估算法适用于火灾爆炸产生的伴生/次生污染物。</w:t>
      </w:r>
    </w:p>
    <w:p w14:paraId="0332C264">
      <w:pPr>
        <w:shd w:val="clear" w:color="auto" w:fill="auto"/>
        <w:spacing w:line="360" w:lineRule="auto"/>
        <w:ind w:firstLine="480" w:firstLineChars="200"/>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eastAsia" w:ascii="Times New Roman" w:hAnsi="Times New Roman" w:cs="Times New Roman"/>
          <w:color w:val="auto"/>
          <w:sz w:val="24"/>
          <w:szCs w:val="24"/>
          <w:highlight w:val="none"/>
          <w:lang w:val="en-US" w:eastAsia="zh-CN"/>
        </w:rPr>
        <w:t>识别</w:t>
      </w:r>
      <w:r>
        <w:rPr>
          <w:rFonts w:hint="default" w:ascii="Times New Roman" w:hAnsi="Times New Roman" w:cs="Times New Roman"/>
          <w:color w:val="auto"/>
          <w:sz w:val="24"/>
          <w:szCs w:val="24"/>
          <w:highlight w:val="none"/>
        </w:rPr>
        <w:t>风险事故为硝酸铵</w:t>
      </w:r>
      <w:r>
        <w:rPr>
          <w:rFonts w:hint="eastAsia" w:ascii="Times New Roman" w:hAnsi="Times New Roman" w:cs="Times New Roman"/>
          <w:color w:val="auto"/>
          <w:sz w:val="24"/>
          <w:szCs w:val="24"/>
          <w:highlight w:val="none"/>
          <w:lang w:eastAsia="zh-CN"/>
        </w:rPr>
        <w:t>储存</w:t>
      </w:r>
      <w:r>
        <w:rPr>
          <w:rFonts w:hint="default" w:ascii="Times New Roman" w:hAnsi="Times New Roman" w:cs="Times New Roman"/>
          <w:color w:val="auto"/>
          <w:sz w:val="24"/>
          <w:szCs w:val="24"/>
          <w:highlight w:val="none"/>
        </w:rPr>
        <w:t>过程中发生爆炸，硝酸铵爆炸后次生污染物为NO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。本次评价假定以</w:t>
      </w:r>
      <w:r>
        <w:rPr>
          <w:rFonts w:hint="eastAsia" w:ascii="Times New Roman" w:hAnsi="Times New Roman" w:cs="Times New Roman"/>
          <w:color w:val="auto"/>
          <w:sz w:val="24"/>
          <w:szCs w:val="24"/>
          <w:highlight w:val="none"/>
          <w:lang w:val="en-US" w:eastAsia="zh-CN"/>
        </w:rPr>
        <w:t>炸药储存量最大的炸药总库</w:t>
      </w:r>
      <w:r>
        <w:rPr>
          <w:rFonts w:hint="default" w:ascii="Times New Roman" w:hAnsi="Times New Roman" w:cs="Times New Roman"/>
          <w:color w:val="auto"/>
          <w:sz w:val="24"/>
          <w:szCs w:val="24"/>
          <w:highlight w:val="none"/>
        </w:rPr>
        <w:t>发生爆炸</w:t>
      </w:r>
      <w:r>
        <w:rPr>
          <w:rFonts w:hint="eastAsia" w:ascii="Times New Roman" w:hAnsi="Times New Roman" w:cs="Times New Roman"/>
          <w:color w:val="auto"/>
          <w:sz w:val="24"/>
          <w:szCs w:val="24"/>
          <w:highlight w:val="none"/>
          <w:lang w:val="en-US" w:eastAsia="zh-CN"/>
        </w:rPr>
        <w:t>为事故情景，硝酸铵</w:t>
      </w:r>
      <w:r>
        <w:rPr>
          <w:rFonts w:hint="default" w:ascii="Times New Roman" w:hAnsi="Times New Roman" w:cs="Times New Roman"/>
          <w:color w:val="auto"/>
          <w:sz w:val="24"/>
          <w:szCs w:val="24"/>
          <w:highlight w:val="none"/>
        </w:rPr>
        <w:t>最大</w:t>
      </w:r>
      <w:r>
        <w:rPr>
          <w:rFonts w:hint="eastAsia" w:ascii="Times New Roman" w:hAnsi="Times New Roman" w:cs="Times New Roman"/>
          <w:color w:val="auto"/>
          <w:sz w:val="24"/>
          <w:szCs w:val="24"/>
          <w:highlight w:val="none"/>
          <w:lang w:val="en-US" w:eastAsia="zh-CN"/>
        </w:rPr>
        <w:t>在线</w:t>
      </w:r>
      <w:r>
        <w:rPr>
          <w:rFonts w:hint="default" w:ascii="Times New Roman" w:hAnsi="Times New Roman" w:cs="Times New Roman"/>
          <w:color w:val="auto"/>
          <w:sz w:val="24"/>
          <w:szCs w:val="24"/>
          <w:highlight w:val="none"/>
        </w:rPr>
        <w:t>量</w:t>
      </w:r>
      <w:r>
        <w:rPr>
          <w:rFonts w:hint="eastAsia" w:ascii="Times New Roman" w:hAnsi="Times New Roman" w:cs="Times New Roman"/>
          <w:color w:val="auto"/>
          <w:sz w:val="24"/>
          <w:szCs w:val="24"/>
          <w:highlight w:val="none"/>
          <w:lang w:val="en-US" w:eastAsia="zh-CN"/>
        </w:rPr>
        <w:t>折算后为</w:t>
      </w:r>
      <w:r>
        <w:rPr>
          <w:rFonts w:hint="eastAsia" w:cs="Times New Roman"/>
          <w:snapToGrid/>
          <w:color w:val="auto"/>
          <w:sz w:val="24"/>
          <w:szCs w:val="24"/>
          <w:highlight w:val="none"/>
          <w:lang w:val="en-US" w:eastAsia="zh-CN"/>
        </w:rPr>
        <w:t>443.50</w:t>
      </w:r>
      <w:r>
        <w:rPr>
          <w:rFonts w:hint="eastAsia" w:ascii="Times New Roman" w:hAnsi="Times New Roman" w:cs="Times New Roman"/>
          <w:color w:val="auto"/>
          <w:sz w:val="24"/>
          <w:szCs w:val="24"/>
          <w:highlight w:val="none"/>
          <w:lang w:val="en-US" w:eastAsia="zh-CN"/>
        </w:rPr>
        <w:t>t</w:t>
      </w: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释放速率类比《北京北方诺信科技有限公司营口金鼎分公司多孔粒状铵油炸药现场混装车及地面站建设项目环境影响报告书》，该项目位于营口市大石桥市官屯镇青山怀村东北部</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年用硝酸铵4725吨，设有606m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的硝酸铵库，硝酸铵最大存储量约350t</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设定</w:t>
      </w:r>
      <w:r>
        <w:rPr>
          <w:rFonts w:hint="default" w:ascii="Times New Roman" w:hAnsi="Times New Roman" w:cs="Times New Roman"/>
          <w:color w:val="auto"/>
          <w:sz w:val="24"/>
          <w:szCs w:val="24"/>
          <w:highlight w:val="none"/>
        </w:rPr>
        <w:t>发生瞬间爆炸时</w:t>
      </w:r>
      <w:r>
        <w:rPr>
          <w:rFonts w:hint="eastAsia" w:ascii="Times New Roman" w:hAnsi="Times New Roman" w:cs="Times New Roman"/>
          <w:color w:val="auto"/>
          <w:sz w:val="24"/>
          <w:szCs w:val="24"/>
          <w:highlight w:val="none"/>
          <w:lang w:val="en-US" w:eastAsia="zh-CN"/>
        </w:rPr>
        <w:t>间</w:t>
      </w:r>
      <w:r>
        <w:rPr>
          <w:rFonts w:hint="default" w:ascii="Times New Roman" w:hAnsi="Times New Roman" w:cs="Times New Roman"/>
          <w:color w:val="auto"/>
          <w:sz w:val="24"/>
          <w:szCs w:val="24"/>
          <w:highlight w:val="none"/>
        </w:rPr>
        <w:t>约1s，NO</w:t>
      </w:r>
      <w:r>
        <w:rPr>
          <w:rFonts w:hint="eastAsia"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rPr>
        <w:t>的排放速率约0.024t/s，则</w:t>
      </w:r>
      <w:r>
        <w:rPr>
          <w:rFonts w:hint="eastAsia" w:ascii="Times New Roman" w:hAnsi="Times New Roman" w:cs="Times New Roman"/>
          <w:color w:val="auto"/>
          <w:sz w:val="24"/>
          <w:szCs w:val="24"/>
          <w:highlight w:val="none"/>
          <w:lang w:val="en-US" w:eastAsia="zh-CN"/>
        </w:rPr>
        <w:t>根据硝酸铵最大在线量类比得出本项目</w:t>
      </w:r>
      <w:r>
        <w:rPr>
          <w:rFonts w:hint="default" w:ascii="Times New Roman" w:hAnsi="Times New Roman" w:cs="Times New Roman"/>
          <w:color w:val="auto"/>
          <w:sz w:val="24"/>
          <w:szCs w:val="24"/>
          <w:highlight w:val="none"/>
        </w:rPr>
        <w:t>爆炸发生后大气污染物源强计算结果见下表</w:t>
      </w:r>
      <w:r>
        <w:rPr>
          <w:rFonts w:hint="eastAsia" w:ascii="Times New Roman" w:hAnsi="Times New Roman" w:cs="Times New Roman"/>
          <w:color w:val="auto"/>
          <w:sz w:val="24"/>
          <w:szCs w:val="24"/>
          <w:highlight w:val="none"/>
          <w:lang w:eastAsia="zh-CN"/>
        </w:rPr>
        <w:t>：</w:t>
      </w:r>
    </w:p>
    <w:p w14:paraId="25C06D06">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w:t>
      </w:r>
      <w:r>
        <w:rPr>
          <w:rFonts w:hint="eastAsia" w:cs="Times New Roman"/>
          <w:b/>
          <w:bCs/>
          <w:color w:val="auto"/>
          <w:kern w:val="0"/>
          <w:sz w:val="21"/>
          <w:szCs w:val="21"/>
          <w:lang w:val="en-US" w:eastAsia="zh-CN" w:bidi="ar"/>
        </w:rPr>
        <w:t>7</w:t>
      </w:r>
      <w:r>
        <w:rPr>
          <w:rFonts w:hint="default" w:ascii="Times New Roman" w:hAnsi="Times New Roman" w:eastAsia="宋体" w:cs="Times New Roman"/>
          <w:b/>
          <w:bCs/>
          <w:color w:val="auto"/>
          <w:kern w:val="0"/>
          <w:sz w:val="21"/>
          <w:szCs w:val="21"/>
          <w:lang w:val="en-US" w:eastAsia="zh-CN" w:bidi="ar"/>
        </w:rPr>
        <w:t>-1   发生爆炸大气污染物源强计算</w:t>
      </w:r>
    </w:p>
    <w:tbl>
      <w:tblPr>
        <w:tblStyle w:val="85"/>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76"/>
        <w:gridCol w:w="1386"/>
        <w:gridCol w:w="1631"/>
        <w:gridCol w:w="1110"/>
        <w:gridCol w:w="2507"/>
      </w:tblGrid>
      <w:tr w14:paraId="701E02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1008" w:type="pct"/>
            <w:tcBorders>
              <w:tl2br w:val="nil"/>
              <w:tr2bl w:val="nil"/>
            </w:tcBorders>
            <w:noWrap w:val="0"/>
            <w:vAlign w:val="center"/>
          </w:tcPr>
          <w:p w14:paraId="00AD2F1A">
            <w:pPr>
              <w:pStyle w:val="115"/>
              <w:autoSpaceDE w:val="0"/>
              <w:autoSpaceDN w:val="0"/>
              <w:spacing w:before="102" w:line="220" w:lineRule="auto"/>
              <w:ind w:left="377"/>
              <w:jc w:val="center"/>
              <w:rPr>
                <w:color w:val="auto"/>
                <w:sz w:val="21"/>
                <w:szCs w:val="21"/>
              </w:rPr>
            </w:pPr>
            <w:r>
              <w:rPr>
                <w:b/>
                <w:bCs/>
                <w:color w:val="auto"/>
                <w:spacing w:val="-5"/>
                <w:sz w:val="21"/>
                <w:szCs w:val="21"/>
              </w:rPr>
              <w:t>危险源名称</w:t>
            </w:r>
          </w:p>
        </w:tc>
        <w:tc>
          <w:tcPr>
            <w:tcW w:w="834" w:type="pct"/>
            <w:tcBorders>
              <w:tl2br w:val="nil"/>
              <w:tr2bl w:val="nil"/>
            </w:tcBorders>
            <w:noWrap w:val="0"/>
            <w:vAlign w:val="center"/>
          </w:tcPr>
          <w:p w14:paraId="0DAE30F2">
            <w:pPr>
              <w:pStyle w:val="115"/>
              <w:autoSpaceDE w:val="0"/>
              <w:autoSpaceDN w:val="0"/>
              <w:spacing w:before="102" w:line="220" w:lineRule="auto"/>
              <w:ind w:left="329"/>
              <w:jc w:val="center"/>
              <w:rPr>
                <w:color w:val="auto"/>
                <w:sz w:val="21"/>
                <w:szCs w:val="21"/>
              </w:rPr>
            </w:pPr>
            <w:r>
              <w:rPr>
                <w:b/>
                <w:bCs/>
                <w:color w:val="auto"/>
                <w:spacing w:val="-5"/>
                <w:sz w:val="21"/>
                <w:szCs w:val="21"/>
              </w:rPr>
              <w:t>危险因子</w:t>
            </w:r>
          </w:p>
        </w:tc>
        <w:tc>
          <w:tcPr>
            <w:tcW w:w="981" w:type="pct"/>
            <w:tcBorders>
              <w:tl2br w:val="nil"/>
              <w:tr2bl w:val="nil"/>
            </w:tcBorders>
            <w:noWrap w:val="0"/>
            <w:vAlign w:val="center"/>
          </w:tcPr>
          <w:p w14:paraId="19ECDBC8">
            <w:pPr>
              <w:pStyle w:val="115"/>
              <w:autoSpaceDE w:val="0"/>
              <w:autoSpaceDN w:val="0"/>
              <w:spacing w:before="102" w:line="219" w:lineRule="auto"/>
              <w:ind w:left="466"/>
              <w:jc w:val="center"/>
              <w:rPr>
                <w:color w:val="auto"/>
                <w:sz w:val="21"/>
                <w:szCs w:val="21"/>
              </w:rPr>
            </w:pPr>
            <w:r>
              <w:rPr>
                <w:b/>
                <w:bCs/>
                <w:color w:val="auto"/>
                <w:spacing w:val="-5"/>
                <w:sz w:val="21"/>
                <w:szCs w:val="21"/>
              </w:rPr>
              <w:t>释放时间</w:t>
            </w:r>
          </w:p>
        </w:tc>
        <w:tc>
          <w:tcPr>
            <w:tcW w:w="668" w:type="pct"/>
            <w:tcBorders>
              <w:tl2br w:val="nil"/>
              <w:tr2bl w:val="nil"/>
            </w:tcBorders>
            <w:noWrap w:val="0"/>
            <w:vAlign w:val="center"/>
          </w:tcPr>
          <w:p w14:paraId="05CAACA3">
            <w:pPr>
              <w:pStyle w:val="115"/>
              <w:autoSpaceDE w:val="0"/>
              <w:autoSpaceDN w:val="0"/>
              <w:spacing w:before="102" w:line="219" w:lineRule="auto"/>
              <w:ind w:left="286"/>
              <w:jc w:val="center"/>
              <w:rPr>
                <w:color w:val="auto"/>
                <w:sz w:val="21"/>
                <w:szCs w:val="21"/>
              </w:rPr>
            </w:pPr>
            <w:r>
              <w:rPr>
                <w:b/>
                <w:bCs/>
                <w:color w:val="auto"/>
                <w:spacing w:val="-5"/>
                <w:sz w:val="21"/>
                <w:szCs w:val="21"/>
              </w:rPr>
              <w:t>释放量</w:t>
            </w:r>
          </w:p>
        </w:tc>
        <w:tc>
          <w:tcPr>
            <w:tcW w:w="1508" w:type="pct"/>
            <w:tcBorders>
              <w:tl2br w:val="nil"/>
              <w:tr2bl w:val="nil"/>
            </w:tcBorders>
            <w:noWrap w:val="0"/>
            <w:vAlign w:val="center"/>
          </w:tcPr>
          <w:p w14:paraId="71FF8535">
            <w:pPr>
              <w:pStyle w:val="115"/>
              <w:autoSpaceDE w:val="0"/>
              <w:autoSpaceDN w:val="0"/>
              <w:spacing w:before="102" w:line="219" w:lineRule="auto"/>
              <w:ind w:left="972"/>
              <w:jc w:val="center"/>
              <w:rPr>
                <w:color w:val="auto"/>
                <w:sz w:val="21"/>
                <w:szCs w:val="21"/>
              </w:rPr>
            </w:pPr>
            <w:r>
              <w:rPr>
                <w:b/>
                <w:bCs/>
                <w:color w:val="auto"/>
                <w:spacing w:val="-5"/>
                <w:sz w:val="21"/>
                <w:szCs w:val="21"/>
              </w:rPr>
              <w:t>事故类型</w:t>
            </w:r>
          </w:p>
        </w:tc>
      </w:tr>
      <w:tr w14:paraId="2BF727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1008" w:type="pct"/>
            <w:tcBorders>
              <w:tl2br w:val="nil"/>
              <w:tr2bl w:val="nil"/>
            </w:tcBorders>
            <w:noWrap w:val="0"/>
            <w:vAlign w:val="center"/>
          </w:tcPr>
          <w:p w14:paraId="131BD11E">
            <w:pPr>
              <w:pStyle w:val="115"/>
              <w:keepNext w:val="0"/>
              <w:keepLines w:val="0"/>
              <w:pageBreakBefore w:val="0"/>
              <w:widowControl w:val="0"/>
              <w:kinsoku/>
              <w:wordWrap/>
              <w:overflowPunct/>
              <w:topLinePunct w:val="0"/>
              <w:autoSpaceDE w:val="0"/>
              <w:autoSpaceDN w:val="0"/>
              <w:bidi w:val="0"/>
              <w:adjustRightInd/>
              <w:snapToGrid/>
              <w:spacing w:line="218" w:lineRule="auto"/>
              <w:ind w:left="0"/>
              <w:jc w:val="center"/>
              <w:textAlignment w:val="auto"/>
              <w:rPr>
                <w:color w:val="auto"/>
                <w:sz w:val="21"/>
                <w:szCs w:val="21"/>
              </w:rPr>
            </w:pPr>
            <w:r>
              <w:rPr>
                <w:color w:val="auto"/>
                <w:spacing w:val="-3"/>
                <w:sz w:val="21"/>
                <w:szCs w:val="21"/>
              </w:rPr>
              <w:t>硝酸铵爆炸</w:t>
            </w:r>
          </w:p>
        </w:tc>
        <w:tc>
          <w:tcPr>
            <w:tcW w:w="834" w:type="pct"/>
            <w:tcBorders>
              <w:tl2br w:val="nil"/>
              <w:tr2bl w:val="nil"/>
            </w:tcBorders>
            <w:noWrap w:val="0"/>
            <w:vAlign w:val="center"/>
          </w:tcPr>
          <w:p w14:paraId="0F00215B">
            <w:pPr>
              <w:keepNext w:val="0"/>
              <w:keepLines w:val="0"/>
              <w:pageBreakBefore w:val="0"/>
              <w:widowControl w:val="0"/>
              <w:kinsoku/>
              <w:wordWrap/>
              <w:overflowPunct/>
              <w:topLinePunct w:val="0"/>
              <w:autoSpaceDE w:val="0"/>
              <w:autoSpaceDN w:val="0"/>
              <w:bidi w:val="0"/>
              <w:adjustRightInd/>
              <w:snapToGrid/>
              <w:spacing w:line="194"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NO</w:t>
            </w:r>
            <w:r>
              <w:rPr>
                <w:rFonts w:ascii="Times New Roman" w:hAnsi="Times New Roman" w:eastAsia="Times New Roman" w:cs="Times New Roman"/>
                <w:color w:val="auto"/>
                <w:spacing w:val="4"/>
                <w:position w:val="-1"/>
                <w:sz w:val="21"/>
                <w:szCs w:val="21"/>
                <w:vertAlign w:val="subscript"/>
              </w:rPr>
              <w:t>2</w:t>
            </w:r>
          </w:p>
        </w:tc>
        <w:tc>
          <w:tcPr>
            <w:tcW w:w="981" w:type="pct"/>
            <w:tcBorders>
              <w:tl2br w:val="nil"/>
              <w:tr2bl w:val="nil"/>
            </w:tcBorders>
            <w:noWrap w:val="0"/>
            <w:vAlign w:val="center"/>
          </w:tcPr>
          <w:p w14:paraId="179B1D9D">
            <w:pPr>
              <w:pStyle w:val="115"/>
              <w:keepNext w:val="0"/>
              <w:keepLines w:val="0"/>
              <w:pageBreakBefore w:val="0"/>
              <w:widowControl w:val="0"/>
              <w:kinsoku/>
              <w:wordWrap/>
              <w:overflowPunct/>
              <w:topLinePunct w:val="0"/>
              <w:autoSpaceDE w:val="0"/>
              <w:autoSpaceDN w:val="0"/>
              <w:bidi w:val="0"/>
              <w:adjustRightInd/>
              <w:snapToGrid/>
              <w:spacing w:line="221" w:lineRule="auto"/>
              <w:ind w:left="0"/>
              <w:jc w:val="center"/>
              <w:textAlignment w:val="auto"/>
              <w:rPr>
                <w:color w:val="auto"/>
                <w:sz w:val="21"/>
                <w:szCs w:val="21"/>
              </w:rPr>
            </w:pPr>
            <w:r>
              <w:rPr>
                <w:color w:val="auto"/>
                <w:spacing w:val="-3"/>
                <w:sz w:val="21"/>
                <w:szCs w:val="21"/>
              </w:rPr>
              <w:t>瞬时（</w:t>
            </w:r>
            <w:r>
              <w:rPr>
                <w:rFonts w:ascii="Times New Roman" w:hAnsi="Times New Roman" w:eastAsia="Times New Roman" w:cs="Times New Roman"/>
                <w:color w:val="auto"/>
                <w:spacing w:val="-3"/>
                <w:sz w:val="21"/>
                <w:szCs w:val="21"/>
              </w:rPr>
              <w:t>1s</w:t>
            </w:r>
            <w:r>
              <w:rPr>
                <w:color w:val="auto"/>
                <w:spacing w:val="-3"/>
                <w:sz w:val="21"/>
                <w:szCs w:val="21"/>
              </w:rPr>
              <w:t>）</w:t>
            </w:r>
          </w:p>
        </w:tc>
        <w:tc>
          <w:tcPr>
            <w:tcW w:w="668" w:type="pct"/>
            <w:tcBorders>
              <w:tl2br w:val="nil"/>
              <w:tr2bl w:val="nil"/>
            </w:tcBorders>
            <w:noWrap w:val="0"/>
            <w:vAlign w:val="center"/>
          </w:tcPr>
          <w:p w14:paraId="5E8DBAAD">
            <w:pPr>
              <w:keepNext w:val="0"/>
              <w:keepLines w:val="0"/>
              <w:pageBreakBefore w:val="0"/>
              <w:widowControl w:val="0"/>
              <w:kinsoku/>
              <w:wordWrap/>
              <w:overflowPunct/>
              <w:topLinePunct w:val="0"/>
              <w:autoSpaceDE w:val="0"/>
              <w:autoSpaceDN w:val="0"/>
              <w:bidi w:val="0"/>
              <w:adjustRightInd/>
              <w:snapToGrid/>
              <w:spacing w:line="192" w:lineRule="auto"/>
              <w:ind w:left="0"/>
              <w:jc w:val="center"/>
              <w:textAlignment w:val="auto"/>
              <w:rPr>
                <w:rFonts w:ascii="Times New Roman" w:hAnsi="Times New Roman" w:eastAsia="Times New Roman" w:cs="Times New Roman"/>
                <w:color w:val="auto"/>
                <w:sz w:val="21"/>
                <w:szCs w:val="21"/>
              </w:rPr>
            </w:pPr>
            <w:r>
              <w:rPr>
                <w:rFonts w:hint="eastAsia" w:cs="Times New Roman"/>
                <w:color w:val="auto"/>
                <w:spacing w:val="-3"/>
                <w:sz w:val="21"/>
                <w:szCs w:val="21"/>
                <w:lang w:val="en-US" w:eastAsia="zh-CN"/>
              </w:rPr>
              <w:t>30</w:t>
            </w:r>
            <w:r>
              <w:rPr>
                <w:rFonts w:ascii="Times New Roman" w:hAnsi="Times New Roman" w:eastAsia="Times New Roman" w:cs="Times New Roman"/>
                <w:color w:val="auto"/>
                <w:spacing w:val="-3"/>
                <w:sz w:val="21"/>
                <w:szCs w:val="21"/>
              </w:rPr>
              <w:t>kg</w:t>
            </w:r>
          </w:p>
        </w:tc>
        <w:tc>
          <w:tcPr>
            <w:tcW w:w="1508" w:type="pct"/>
            <w:tcBorders>
              <w:tl2br w:val="nil"/>
              <w:tr2bl w:val="nil"/>
            </w:tcBorders>
            <w:noWrap w:val="0"/>
            <w:vAlign w:val="center"/>
          </w:tcPr>
          <w:p w14:paraId="3E22D49D">
            <w:pPr>
              <w:pStyle w:val="115"/>
              <w:keepNext w:val="0"/>
              <w:keepLines w:val="0"/>
              <w:pageBreakBefore w:val="0"/>
              <w:widowControl w:val="0"/>
              <w:kinsoku/>
              <w:wordWrap/>
              <w:overflowPunct/>
              <w:topLinePunct w:val="0"/>
              <w:autoSpaceDE w:val="0"/>
              <w:autoSpaceDN w:val="0"/>
              <w:bidi w:val="0"/>
              <w:adjustRightInd/>
              <w:snapToGrid/>
              <w:spacing w:line="219" w:lineRule="auto"/>
              <w:ind w:left="0"/>
              <w:jc w:val="center"/>
              <w:textAlignment w:val="auto"/>
              <w:rPr>
                <w:color w:val="auto"/>
                <w:sz w:val="21"/>
                <w:szCs w:val="21"/>
              </w:rPr>
            </w:pPr>
            <w:r>
              <w:rPr>
                <w:color w:val="auto"/>
                <w:spacing w:val="-2"/>
                <w:sz w:val="21"/>
                <w:szCs w:val="21"/>
              </w:rPr>
              <w:t>伴生有害气体扩散</w:t>
            </w:r>
          </w:p>
        </w:tc>
      </w:tr>
    </w:tbl>
    <w:p w14:paraId="782893F2">
      <w:pPr>
        <w:pStyle w:val="139"/>
        <w:shd w:val="clear" w:color="auto" w:fill="auto"/>
        <w:spacing w:before="0" w:after="0" w:line="360" w:lineRule="auto"/>
        <w:ind w:left="0" w:leftChars="0" w:firstLine="482" w:firstLineChars="200"/>
        <w:outlineLvl w:val="9"/>
        <w:rPr>
          <w:rFonts w:hint="default" w:ascii="Times New Roman" w:hAnsi="Times New Roman" w:eastAsia="宋体" w:cs="Times New Roman"/>
          <w:bCs w:val="0"/>
          <w:color w:val="auto"/>
          <w:sz w:val="24"/>
          <w:szCs w:val="24"/>
          <w:highlight w:val="none"/>
        </w:rPr>
      </w:pPr>
      <w:bookmarkStart w:id="564" w:name="_Toc30228"/>
      <w:bookmarkStart w:id="565" w:name="_Toc3071"/>
      <w:bookmarkStart w:id="566" w:name="_Toc512581297"/>
      <w:bookmarkStart w:id="567" w:name="_Toc21833"/>
      <w:r>
        <w:rPr>
          <w:rFonts w:hint="eastAsia" w:ascii="Times New Roman" w:cs="Times New Roman"/>
          <w:bCs w:val="0"/>
          <w:color w:val="auto"/>
          <w:sz w:val="24"/>
          <w:szCs w:val="24"/>
          <w:highlight w:val="none"/>
          <w:lang w:val="en-US" w:eastAsia="zh-CN"/>
        </w:rPr>
        <w:t>4.</w:t>
      </w:r>
      <w:r>
        <w:rPr>
          <w:rFonts w:hint="default" w:ascii="Times New Roman" w:hAnsi="Times New Roman" w:eastAsia="宋体" w:cs="Times New Roman"/>
          <w:bCs w:val="0"/>
          <w:color w:val="auto"/>
          <w:sz w:val="24"/>
          <w:szCs w:val="24"/>
          <w:highlight w:val="none"/>
        </w:rPr>
        <w:t>环境风险事故后果计算</w:t>
      </w:r>
      <w:bookmarkEnd w:id="564"/>
      <w:bookmarkEnd w:id="565"/>
      <w:bookmarkEnd w:id="566"/>
      <w:bookmarkEnd w:id="567"/>
    </w:p>
    <w:p w14:paraId="015B9ACF">
      <w:pPr>
        <w:shd w:val="clear" w:color="auto" w:fill="auto"/>
        <w:spacing w:line="360" w:lineRule="auto"/>
        <w:ind w:firstLine="480"/>
        <w:outlineLvl w:val="9"/>
        <w:rPr>
          <w:rFonts w:hint="default" w:ascii="Times New Roman" w:hAnsi="Times New Roman" w:cs="Times New Roman"/>
          <w:b/>
          <w:bCs/>
          <w:color w:val="auto"/>
          <w:sz w:val="24"/>
          <w:szCs w:val="24"/>
          <w:highlight w:val="none"/>
          <w:lang w:val="en-US" w:eastAsia="zh-CN"/>
        </w:rPr>
      </w:pPr>
      <w:bookmarkStart w:id="568" w:name="_Toc26280"/>
      <w:r>
        <w:rPr>
          <w:rFonts w:hint="eastAsia" w:ascii="Times New Roman" w:hAnsi="Times New Roman" w:cs="Times New Roman"/>
          <w:b/>
          <w:bCs/>
          <w:color w:val="auto"/>
          <w:sz w:val="24"/>
          <w:szCs w:val="24"/>
          <w:highlight w:val="none"/>
          <w:lang w:val="en-US" w:eastAsia="zh-CN"/>
        </w:rPr>
        <w:t>（1）模型选取</w:t>
      </w:r>
      <w:bookmarkEnd w:id="568"/>
    </w:p>
    <w:p w14:paraId="7CABB239">
      <w:pPr>
        <w:shd w:val="clear" w:color="auto" w:fill="auto"/>
        <w:spacing w:line="360" w:lineRule="auto"/>
        <w:ind w:firstLine="480"/>
        <w:outlineLvl w:val="9"/>
        <w:rPr>
          <w:rFonts w:hint="default" w:ascii="Times New Roman" w:hAnsi="Times New Roman" w:cs="Times New Roman"/>
          <w:color w:val="auto"/>
          <w:sz w:val="24"/>
          <w:szCs w:val="24"/>
          <w:highlight w:val="yellow"/>
          <w:lang w:val="en-US"/>
        </w:rPr>
      </w:pPr>
      <w:r>
        <w:rPr>
          <w:rFonts w:hint="default" w:ascii="Times New Roman" w:hAnsi="Times New Roman" w:cs="Times New Roman"/>
          <w:color w:val="auto"/>
          <w:sz w:val="24"/>
          <w:szCs w:val="24"/>
          <w:highlight w:val="none"/>
          <w:lang w:val="en-US" w:eastAsia="zh-CN"/>
        </w:rPr>
        <w:t>预测时，应根据泄漏蒸发的烟团/烟羽为轻质气体还是重质气体来选择合适的预测模型。烟团气体性质可根据</w:t>
      </w:r>
      <w:r>
        <w:rPr>
          <w:rFonts w:hint="default" w:ascii="Times New Roman" w:hAnsi="Times New Roman" w:cs="Times New Roman"/>
          <w:color w:val="auto"/>
          <w:sz w:val="24"/>
          <w:szCs w:val="24"/>
          <w:highlight w:val="none"/>
        </w:rPr>
        <w:t>《建设项目环境风险评价技术导则》（HJ169-2018）</w:t>
      </w:r>
      <w:r>
        <w:rPr>
          <w:rFonts w:hint="default" w:ascii="Times New Roman" w:hAnsi="Times New Roman" w:cs="Times New Roman"/>
          <w:color w:val="auto"/>
          <w:sz w:val="24"/>
          <w:szCs w:val="24"/>
          <w:highlight w:val="none"/>
          <w:lang w:val="en-US" w:eastAsia="zh-CN"/>
        </w:rPr>
        <w:t>附录G中G.2推荐的理查德森数进行判断</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本项目以爆炸产生的伴生气体NO</w:t>
      </w:r>
      <w:r>
        <w:rPr>
          <w:rFonts w:hint="eastAsia" w:ascii="Times New Roman" w:hAnsi="Times New Roman" w:cs="Times New Roman"/>
          <w:color w:val="auto"/>
          <w:sz w:val="24"/>
          <w:szCs w:val="24"/>
          <w:highlight w:val="none"/>
          <w:vertAlign w:val="subscript"/>
          <w:lang w:val="en-US" w:eastAsia="zh-CN"/>
        </w:rPr>
        <w:t>2</w:t>
      </w:r>
      <w:r>
        <w:rPr>
          <w:rFonts w:hint="eastAsia" w:ascii="Times New Roman" w:hAnsi="Times New Roman" w:cs="Times New Roman"/>
          <w:color w:val="auto"/>
          <w:sz w:val="24"/>
          <w:szCs w:val="24"/>
          <w:highlight w:val="none"/>
          <w:lang w:val="en-US" w:eastAsia="zh-CN"/>
        </w:rPr>
        <w:t>为预测因子，</w:t>
      </w:r>
      <w:r>
        <w:rPr>
          <w:rFonts w:hint="default" w:ascii="Times New Roman" w:hAnsi="Times New Roman" w:cs="Times New Roman"/>
          <w:color w:val="auto"/>
          <w:sz w:val="24"/>
          <w:szCs w:val="24"/>
          <w:highlight w:val="none"/>
          <w:lang w:val="en-US" w:eastAsia="zh-CN"/>
        </w:rPr>
        <w:t>NO</w:t>
      </w:r>
      <w:r>
        <w:rPr>
          <w:rFonts w:hint="default"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lang w:val="en-US" w:eastAsia="zh-CN"/>
        </w:rPr>
        <w:t>理查德森数</w:t>
      </w:r>
      <w:r>
        <w:rPr>
          <w:rFonts w:hint="eastAsia" w:ascii="Times New Roman" w:hAnsi="Times New Roman" w:cs="Times New Roman"/>
          <w:color w:val="auto"/>
          <w:sz w:val="24"/>
          <w:szCs w:val="24"/>
          <w:highlight w:val="none"/>
          <w:lang w:val="en-US" w:eastAsia="zh-CN"/>
        </w:rPr>
        <w:t>为</w:t>
      </w:r>
      <w:r>
        <w:rPr>
          <w:rFonts w:hint="default" w:ascii="Times New Roman" w:hAnsi="Times New Roman" w:cs="Times New Roman"/>
          <w:color w:val="auto"/>
          <w:sz w:val="24"/>
          <w:szCs w:val="24"/>
          <w:highlight w:val="none"/>
          <w:lang w:val="en-US" w:eastAsia="zh-CN"/>
        </w:rPr>
        <w:t>1.5633，Ri≥1/6，为重质气体采用SLAB模型进行预测。</w:t>
      </w:r>
    </w:p>
    <w:p w14:paraId="5E52D815">
      <w:pPr>
        <w:shd w:val="clear" w:color="auto" w:fill="auto"/>
        <w:spacing w:line="360" w:lineRule="auto"/>
        <w:ind w:firstLine="480"/>
        <w:outlineLvl w:val="9"/>
        <w:rPr>
          <w:rFonts w:hint="default" w:ascii="Times New Roman" w:hAnsi="Times New Roman" w:cs="Times New Roman"/>
          <w:b/>
          <w:bCs/>
          <w:color w:val="auto"/>
          <w:sz w:val="24"/>
          <w:szCs w:val="24"/>
          <w:highlight w:val="none"/>
        </w:rPr>
      </w:pPr>
      <w:bookmarkStart w:id="569" w:name="_Toc5857"/>
      <w:r>
        <w:rPr>
          <w:rFonts w:hint="eastAsia"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2</w:t>
      </w:r>
      <w:r>
        <w:rPr>
          <w:rFonts w:hint="eastAsia"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预测范围与计算点</w:t>
      </w:r>
      <w:bookmarkEnd w:id="569"/>
    </w:p>
    <w:p w14:paraId="26793F5B">
      <w:pPr>
        <w:shd w:val="clear" w:color="auto" w:fill="auto"/>
        <w:spacing w:line="360" w:lineRule="auto"/>
        <w:ind w:firstLine="480"/>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预测范围为预测物质浓度达到评价标准时的最大影响范围，由预测模型计算获取。计算点分特殊计算点和一般计算点，特殊计算点是指大气环境敏感目标等关心点，本项目选取距离项目</w:t>
      </w:r>
      <w:r>
        <w:rPr>
          <w:rFonts w:hint="eastAsia" w:ascii="Times New Roman" w:hAnsi="Times New Roman" w:cs="Times New Roman"/>
          <w:color w:val="auto"/>
          <w:sz w:val="24"/>
          <w:szCs w:val="24"/>
          <w:highlight w:val="none"/>
          <w:lang w:val="en-US" w:eastAsia="zh-CN"/>
        </w:rPr>
        <w:t>下风向皮匠沟、陈家沟、山咀、</w:t>
      </w:r>
      <w:r>
        <w:rPr>
          <w:rFonts w:hint="eastAsia" w:cs="Times New Roman"/>
          <w:color w:val="auto"/>
          <w:sz w:val="24"/>
          <w:szCs w:val="24"/>
          <w:highlight w:val="none"/>
          <w:lang w:val="en-US" w:eastAsia="zh-CN"/>
        </w:rPr>
        <w:t>老德沟、老德沟外、榆树沟、</w:t>
      </w:r>
      <w:r>
        <w:rPr>
          <w:rFonts w:hint="eastAsia" w:ascii="Times New Roman" w:hAnsi="Times New Roman" w:cs="Times New Roman"/>
          <w:color w:val="auto"/>
          <w:sz w:val="24"/>
          <w:szCs w:val="24"/>
          <w:highlight w:val="none"/>
          <w:lang w:val="en-US" w:eastAsia="zh-CN"/>
        </w:rPr>
        <w:t>胜利沟、</w:t>
      </w:r>
      <w:r>
        <w:rPr>
          <w:rFonts w:hint="eastAsia" w:cs="Times New Roman"/>
          <w:color w:val="auto"/>
          <w:sz w:val="24"/>
          <w:szCs w:val="24"/>
          <w:highlight w:val="none"/>
          <w:lang w:val="en-US" w:eastAsia="zh-CN"/>
        </w:rPr>
        <w:t>大山根</w:t>
      </w:r>
      <w:r>
        <w:rPr>
          <w:rFonts w:hint="default" w:ascii="Times New Roman" w:hAnsi="Times New Roman" w:cs="Times New Roman"/>
          <w:color w:val="auto"/>
          <w:sz w:val="24"/>
          <w:szCs w:val="24"/>
          <w:highlight w:val="none"/>
        </w:rPr>
        <w:t>作为特殊计算点</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其它均为一般计算点</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本项目</w:t>
      </w:r>
      <w:r>
        <w:rPr>
          <w:rFonts w:hint="default" w:ascii="Times New Roman" w:hAnsi="Times New Roman" w:cs="Times New Roman"/>
          <w:color w:val="auto"/>
          <w:sz w:val="24"/>
          <w:szCs w:val="24"/>
          <w:highlight w:val="none"/>
        </w:rPr>
        <w:t>距离风险源500m范围内</w:t>
      </w:r>
      <w:r>
        <w:rPr>
          <w:rFonts w:hint="eastAsia" w:ascii="Times New Roman" w:hAnsi="Times New Roman" w:cs="Times New Roman"/>
          <w:color w:val="auto"/>
          <w:sz w:val="24"/>
          <w:szCs w:val="24"/>
          <w:highlight w:val="none"/>
          <w:lang w:val="en-US" w:eastAsia="zh-CN"/>
        </w:rPr>
        <w:t>无敏感目标，</w:t>
      </w:r>
      <w:r>
        <w:rPr>
          <w:rFonts w:hint="default" w:ascii="Times New Roman" w:hAnsi="Times New Roman" w:cs="Times New Roman"/>
          <w:color w:val="auto"/>
          <w:sz w:val="24"/>
          <w:szCs w:val="24"/>
          <w:highlight w:val="none"/>
        </w:rPr>
        <w:t>计算点设置50m间距。</w:t>
      </w:r>
    </w:p>
    <w:p w14:paraId="3C437659">
      <w:pPr>
        <w:pStyle w:val="20"/>
        <w:tabs>
          <w:tab w:val="center" w:pos="4153"/>
          <w:tab w:val="right" w:pos="8306"/>
        </w:tabs>
        <w:spacing w:line="360" w:lineRule="auto"/>
        <w:outlineLvl w:val="9"/>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cs="Times New Roman"/>
          <w:color w:val="auto"/>
          <w:sz w:val="24"/>
          <w:szCs w:val="24"/>
          <w:highlight w:val="none"/>
          <w:lang w:val="en-US" w:eastAsia="zh-CN"/>
        </w:rPr>
        <w:t xml:space="preserve">  </w:t>
      </w:r>
      <w:r>
        <w:rPr>
          <w:rFonts w:hint="eastAsia" w:ascii="Times New Roman" w:hAnsi="Times New Roman" w:cs="Times New Roman"/>
          <w:b/>
          <w:bCs/>
          <w:color w:val="auto"/>
          <w:sz w:val="24"/>
          <w:szCs w:val="24"/>
          <w:highlight w:val="none"/>
          <w:lang w:val="en-US" w:eastAsia="zh-CN"/>
        </w:rPr>
        <w:t xml:space="preserve">  </w:t>
      </w:r>
      <w:bookmarkStart w:id="570" w:name="_Toc201"/>
      <w:r>
        <w:rPr>
          <w:rFonts w:hint="eastAsia" w:ascii="Times New Roman" w:hAnsi="Times New Roman" w:eastAsia="宋体" w:cs="Times New Roman"/>
          <w:b/>
          <w:bCs/>
          <w:color w:val="auto"/>
          <w:kern w:val="2"/>
          <w:sz w:val="24"/>
          <w:szCs w:val="24"/>
          <w:highlight w:val="none"/>
          <w:lang w:val="en-US" w:eastAsia="zh-CN" w:bidi="ar-SA"/>
        </w:rPr>
        <w:t>（3）预测参数</w:t>
      </w:r>
      <w:bookmarkEnd w:id="570"/>
    </w:p>
    <w:p w14:paraId="24EDD894">
      <w:pPr>
        <w:pStyle w:val="20"/>
        <w:tabs>
          <w:tab w:val="center" w:pos="4153"/>
          <w:tab w:val="right" w:pos="8306"/>
        </w:tabs>
        <w:spacing w:line="360" w:lineRule="auto"/>
        <w:ind w:firstLine="480" w:firstLineChars="200"/>
        <w:jc w:val="left"/>
        <w:outlineLvl w:val="9"/>
        <w:rPr>
          <w:rFonts w:hint="default" w:ascii="Times New Roman" w:hAnsi="Times New Roman" w:eastAsia="宋体" w:cs="Times New Roman"/>
          <w:b w:val="0"/>
          <w:bCs w:val="0"/>
          <w:color w:val="auto"/>
          <w:kern w:val="2"/>
          <w:sz w:val="24"/>
          <w:szCs w:val="24"/>
          <w:highlight w:val="yellow"/>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根据导则要求，二级评价需选取最不利气象条件进行后果预测。最不利气象条件取 F 类稳定度，1.5 m/s风速，温度25 ℃，相对湿度50%。大气毒性终点浓度值的选取见表</w:t>
      </w:r>
      <w:r>
        <w:rPr>
          <w:rFonts w:hint="eastAsia" w:eastAsia="宋体" w:cs="Times New Roman"/>
          <w:b w:val="0"/>
          <w:bCs w:val="0"/>
          <w:color w:val="auto"/>
          <w:kern w:val="2"/>
          <w:sz w:val="24"/>
          <w:szCs w:val="24"/>
          <w:highlight w:val="none"/>
          <w:lang w:val="en-US" w:eastAsia="zh-CN" w:bidi="ar-SA"/>
        </w:rPr>
        <w:t>7</w:t>
      </w:r>
      <w:r>
        <w:rPr>
          <w:rFonts w:hint="eastAsia" w:ascii="Times New Roman" w:hAnsi="Times New Roman" w:eastAsia="宋体" w:cs="Times New Roman"/>
          <w:b w:val="0"/>
          <w:bCs w:val="0"/>
          <w:color w:val="auto"/>
          <w:kern w:val="2"/>
          <w:sz w:val="24"/>
          <w:szCs w:val="24"/>
          <w:highlight w:val="none"/>
          <w:lang w:val="en-US" w:eastAsia="zh-CN" w:bidi="ar-SA"/>
        </w:rPr>
        <w:t>-2</w:t>
      </w:r>
      <w:r>
        <w:rPr>
          <w:rFonts w:hint="default" w:ascii="Times New Roman" w:hAnsi="Times New Roman" w:eastAsia="宋体" w:cs="Times New Roman"/>
          <w:b w:val="0"/>
          <w:bCs w:val="0"/>
          <w:color w:val="auto"/>
          <w:kern w:val="2"/>
          <w:sz w:val="24"/>
          <w:szCs w:val="24"/>
          <w:highlight w:val="none"/>
          <w:lang w:val="en-US" w:eastAsia="zh-CN" w:bidi="ar-SA"/>
        </w:rPr>
        <w:t>。</w:t>
      </w:r>
    </w:p>
    <w:p w14:paraId="6BC1C138">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w:t>
      </w:r>
      <w:r>
        <w:rPr>
          <w:rFonts w:hint="eastAsia" w:cs="Times New Roman"/>
          <w:b/>
          <w:bCs/>
          <w:color w:val="auto"/>
          <w:kern w:val="0"/>
          <w:sz w:val="21"/>
          <w:szCs w:val="21"/>
          <w:lang w:val="en-US" w:eastAsia="zh-CN" w:bidi="ar"/>
        </w:rPr>
        <w:t>7</w:t>
      </w:r>
      <w:r>
        <w:rPr>
          <w:rFonts w:hint="default" w:ascii="Times New Roman" w:hAnsi="Times New Roman" w:cs="Times New Roman"/>
          <w:b/>
          <w:bCs/>
          <w:color w:val="auto"/>
          <w:kern w:val="0"/>
          <w:sz w:val="21"/>
          <w:szCs w:val="21"/>
          <w:lang w:val="en-US" w:eastAsia="zh-CN" w:bidi="ar"/>
        </w:rPr>
        <w:t>-2</w:t>
      </w:r>
      <w:r>
        <w:rPr>
          <w:rFonts w:hint="default" w:ascii="Times New Roman" w:hAnsi="Times New Roman" w:eastAsia="宋体" w:cs="Times New Roman"/>
          <w:b/>
          <w:bCs/>
          <w:color w:val="auto"/>
          <w:kern w:val="0"/>
          <w:sz w:val="21"/>
          <w:szCs w:val="21"/>
          <w:lang w:val="en-US" w:eastAsia="zh-CN" w:bidi="ar"/>
        </w:rPr>
        <w:t xml:space="preserve">   大气风险预测模型主要参数表</w:t>
      </w:r>
    </w:p>
    <w:tbl>
      <w:tblPr>
        <w:tblStyle w:val="85"/>
        <w:tblW w:w="501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773"/>
        <w:gridCol w:w="2764"/>
        <w:gridCol w:w="2794"/>
      </w:tblGrid>
      <w:tr w14:paraId="6AEE6E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trPr>
        <w:tc>
          <w:tcPr>
            <w:tcW w:w="5000" w:type="pct"/>
            <w:gridSpan w:val="3"/>
            <w:tcBorders>
              <w:tl2br w:val="nil"/>
              <w:tr2bl w:val="nil"/>
            </w:tcBorders>
            <w:noWrap w:val="0"/>
            <w:vAlign w:val="top"/>
          </w:tcPr>
          <w:p w14:paraId="72E00D1D">
            <w:pPr>
              <w:autoSpaceDE w:val="0"/>
              <w:autoSpaceDN w:val="0"/>
              <w:spacing w:before="118" w:line="228" w:lineRule="auto"/>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炸药总库</w:t>
            </w:r>
          </w:p>
        </w:tc>
      </w:tr>
      <w:tr w14:paraId="0CCEF3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664" w:type="pct"/>
            <w:tcBorders>
              <w:tl2br w:val="nil"/>
              <w:tr2bl w:val="nil"/>
            </w:tcBorders>
            <w:noWrap w:val="0"/>
            <w:vAlign w:val="top"/>
          </w:tcPr>
          <w:p w14:paraId="21372F34">
            <w:pPr>
              <w:autoSpaceDE w:val="0"/>
              <w:autoSpaceDN w:val="0"/>
              <w:spacing w:before="95" w:line="228" w:lineRule="auto"/>
              <w:ind w:left="971"/>
              <w:rPr>
                <w:rFonts w:ascii="宋体" w:hAnsi="宋体" w:eastAsia="宋体" w:cs="宋体"/>
                <w:color w:val="auto"/>
                <w:sz w:val="21"/>
                <w:szCs w:val="21"/>
              </w:rPr>
            </w:pPr>
            <w:r>
              <w:rPr>
                <w:rFonts w:ascii="宋体" w:hAnsi="宋体" w:eastAsia="宋体" w:cs="宋体"/>
                <w:color w:val="auto"/>
                <w:spacing w:val="7"/>
                <w:sz w:val="21"/>
                <w:szCs w:val="21"/>
              </w:rPr>
              <w:t>参数类</w:t>
            </w:r>
            <w:r>
              <w:rPr>
                <w:rFonts w:ascii="宋体" w:hAnsi="宋体" w:eastAsia="宋体" w:cs="宋体"/>
                <w:color w:val="auto"/>
                <w:spacing w:val="6"/>
                <w:sz w:val="21"/>
                <w:szCs w:val="21"/>
              </w:rPr>
              <w:t>型</w:t>
            </w:r>
          </w:p>
        </w:tc>
        <w:tc>
          <w:tcPr>
            <w:tcW w:w="1659" w:type="pct"/>
            <w:tcBorders>
              <w:tl2br w:val="nil"/>
              <w:tr2bl w:val="nil"/>
            </w:tcBorders>
            <w:noWrap w:val="0"/>
            <w:vAlign w:val="top"/>
          </w:tcPr>
          <w:p w14:paraId="62DA9FB1">
            <w:pPr>
              <w:autoSpaceDE w:val="0"/>
              <w:autoSpaceDN w:val="0"/>
              <w:spacing w:before="94" w:line="229" w:lineRule="auto"/>
              <w:ind w:left="1176"/>
              <w:rPr>
                <w:rFonts w:ascii="宋体" w:hAnsi="宋体" w:eastAsia="宋体" w:cs="宋体"/>
                <w:color w:val="auto"/>
                <w:sz w:val="21"/>
                <w:szCs w:val="21"/>
              </w:rPr>
            </w:pPr>
            <w:r>
              <w:rPr>
                <w:rFonts w:ascii="宋体" w:hAnsi="宋体" w:eastAsia="宋体" w:cs="宋体"/>
                <w:color w:val="auto"/>
                <w:spacing w:val="5"/>
                <w:sz w:val="21"/>
                <w:szCs w:val="21"/>
              </w:rPr>
              <w:t>选项</w:t>
            </w:r>
          </w:p>
        </w:tc>
        <w:tc>
          <w:tcPr>
            <w:tcW w:w="1675" w:type="pct"/>
            <w:tcBorders>
              <w:tl2br w:val="nil"/>
              <w:tr2bl w:val="nil"/>
            </w:tcBorders>
            <w:noWrap w:val="0"/>
            <w:vAlign w:val="top"/>
          </w:tcPr>
          <w:p w14:paraId="24AF890E">
            <w:pPr>
              <w:autoSpaceDE w:val="0"/>
              <w:autoSpaceDN w:val="0"/>
              <w:spacing w:before="95" w:line="228" w:lineRule="auto"/>
              <w:ind w:left="1189"/>
              <w:rPr>
                <w:rFonts w:ascii="宋体" w:hAnsi="宋体" w:eastAsia="宋体" w:cs="宋体"/>
                <w:color w:val="auto"/>
                <w:sz w:val="21"/>
                <w:szCs w:val="21"/>
              </w:rPr>
            </w:pPr>
            <w:r>
              <w:rPr>
                <w:rFonts w:ascii="宋体" w:hAnsi="宋体" w:eastAsia="宋体" w:cs="宋体"/>
                <w:color w:val="auto"/>
                <w:spacing w:val="4"/>
                <w:sz w:val="21"/>
                <w:szCs w:val="21"/>
              </w:rPr>
              <w:t>参</w:t>
            </w:r>
            <w:r>
              <w:rPr>
                <w:rFonts w:ascii="宋体" w:hAnsi="宋体" w:eastAsia="宋体" w:cs="宋体"/>
                <w:color w:val="auto"/>
                <w:spacing w:val="3"/>
                <w:sz w:val="21"/>
                <w:szCs w:val="21"/>
              </w:rPr>
              <w:t>数</w:t>
            </w:r>
          </w:p>
        </w:tc>
      </w:tr>
      <w:tr w14:paraId="0CF416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restart"/>
            <w:tcBorders>
              <w:tl2br w:val="nil"/>
              <w:tr2bl w:val="nil"/>
            </w:tcBorders>
            <w:noWrap w:val="0"/>
            <w:vAlign w:val="center"/>
          </w:tcPr>
          <w:p w14:paraId="59F5F0A0">
            <w:pPr>
              <w:autoSpaceDE w:val="0"/>
              <w:autoSpaceDN w:val="0"/>
              <w:spacing w:line="240" w:lineRule="auto"/>
              <w:ind w:left="0"/>
              <w:jc w:val="center"/>
              <w:rPr>
                <w:rFonts w:ascii="宋体" w:hAnsi="宋体" w:eastAsia="宋体" w:cs="宋体"/>
                <w:color w:val="auto"/>
                <w:sz w:val="21"/>
                <w:szCs w:val="21"/>
              </w:rPr>
            </w:pPr>
            <w:r>
              <w:rPr>
                <w:rFonts w:ascii="宋体" w:hAnsi="宋体" w:eastAsia="宋体" w:cs="宋体"/>
                <w:color w:val="auto"/>
                <w:spacing w:val="8"/>
                <w:sz w:val="21"/>
                <w:szCs w:val="21"/>
              </w:rPr>
              <w:t>基</w:t>
            </w:r>
            <w:r>
              <w:rPr>
                <w:rFonts w:ascii="宋体" w:hAnsi="宋体" w:eastAsia="宋体" w:cs="宋体"/>
                <w:color w:val="auto"/>
                <w:spacing w:val="7"/>
                <w:sz w:val="21"/>
                <w:szCs w:val="21"/>
              </w:rPr>
              <w:t>本情况</w:t>
            </w:r>
          </w:p>
        </w:tc>
        <w:tc>
          <w:tcPr>
            <w:tcW w:w="1659" w:type="pct"/>
            <w:tcBorders>
              <w:tl2br w:val="nil"/>
              <w:tr2bl w:val="nil"/>
            </w:tcBorders>
            <w:noWrap w:val="0"/>
            <w:vAlign w:val="center"/>
          </w:tcPr>
          <w:p w14:paraId="600D6F72">
            <w:pPr>
              <w:autoSpaceDE w:val="0"/>
              <w:autoSpaceDN w:val="0"/>
              <w:spacing w:before="63" w:line="274" w:lineRule="exact"/>
              <w:jc w:val="center"/>
              <w:rPr>
                <w:rFonts w:ascii="Times New Roman" w:hAnsi="Times New Roman" w:eastAsia="Times New Roman" w:cs="Times New Roman"/>
                <w:color w:val="auto"/>
                <w:sz w:val="21"/>
                <w:szCs w:val="21"/>
              </w:rPr>
            </w:pPr>
            <w:r>
              <w:rPr>
                <w:rFonts w:ascii="宋体" w:hAnsi="宋体" w:eastAsia="宋体" w:cs="宋体"/>
                <w:color w:val="auto"/>
                <w:spacing w:val="8"/>
                <w:position w:val="2"/>
                <w:sz w:val="21"/>
                <w:szCs w:val="21"/>
              </w:rPr>
              <w:t>事</w:t>
            </w:r>
            <w:r>
              <w:rPr>
                <w:rFonts w:ascii="宋体" w:hAnsi="宋体" w:eastAsia="宋体" w:cs="宋体"/>
                <w:color w:val="auto"/>
                <w:spacing w:val="6"/>
                <w:position w:val="2"/>
                <w:sz w:val="21"/>
                <w:szCs w:val="21"/>
              </w:rPr>
              <w:t>故源经度</w:t>
            </w:r>
            <w:r>
              <w:rPr>
                <w:rFonts w:hint="eastAsia" w:ascii="宋体" w:hAnsi="宋体" w:eastAsia="宋体" w:cs="宋体"/>
                <w:color w:val="auto"/>
                <w:spacing w:val="6"/>
                <w:position w:val="2"/>
                <w:sz w:val="21"/>
                <w:szCs w:val="21"/>
                <w:lang w:eastAsia="zh-CN"/>
              </w:rPr>
              <w:t>（</w:t>
            </w:r>
            <w:r>
              <w:rPr>
                <w:rFonts w:ascii="Times New Roman" w:hAnsi="Times New Roman" w:eastAsia="Times New Roman" w:cs="Times New Roman"/>
                <w:color w:val="auto"/>
                <w:spacing w:val="6"/>
                <w:position w:val="2"/>
                <w:sz w:val="21"/>
                <w:szCs w:val="21"/>
              </w:rPr>
              <w:t>°</w:t>
            </w:r>
            <w:r>
              <w:rPr>
                <w:rFonts w:hint="eastAsia" w:ascii="Times New Roman" w:hAnsi="Times New Roman" w:eastAsia="宋体" w:cs="Times New Roman"/>
                <w:color w:val="auto"/>
                <w:spacing w:val="6"/>
                <w:position w:val="2"/>
                <w:sz w:val="21"/>
                <w:szCs w:val="21"/>
                <w:lang w:eastAsia="zh-CN"/>
              </w:rPr>
              <w:t>）</w:t>
            </w:r>
          </w:p>
        </w:tc>
        <w:tc>
          <w:tcPr>
            <w:tcW w:w="1675" w:type="pct"/>
            <w:tcBorders>
              <w:tl2br w:val="nil"/>
              <w:tr2bl w:val="nil"/>
            </w:tcBorders>
            <w:noWrap w:val="0"/>
            <w:vAlign w:val="top"/>
          </w:tcPr>
          <w:p w14:paraId="218DAB4D">
            <w:pPr>
              <w:autoSpaceDE w:val="0"/>
              <w:autoSpaceDN w:val="0"/>
              <w:spacing w:before="130" w:line="195" w:lineRule="auto"/>
              <w:ind w:left="762"/>
              <w:rPr>
                <w:rFonts w:hint="default" w:ascii="Times New Roman" w:hAnsi="Times New Roman" w:eastAsia="Times New Roman" w:cs="Times New Roman"/>
                <w:color w:val="auto"/>
                <w:sz w:val="21"/>
                <w:szCs w:val="21"/>
              </w:rPr>
            </w:pPr>
            <w:r>
              <w:rPr>
                <w:rFonts w:hint="default" w:ascii="Times New Roman" w:hAnsi="Times New Roman" w:cs="Times New Roman"/>
                <w:color w:val="auto"/>
              </w:rPr>
              <w:t>119.721333191</w:t>
            </w:r>
          </w:p>
        </w:tc>
      </w:tr>
      <w:tr w14:paraId="30C2BF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continue"/>
            <w:tcBorders>
              <w:tl2br w:val="nil"/>
              <w:tr2bl w:val="nil"/>
            </w:tcBorders>
            <w:noWrap w:val="0"/>
            <w:vAlign w:val="top"/>
          </w:tcPr>
          <w:p w14:paraId="210902EC">
            <w:pPr>
              <w:autoSpaceDE w:val="0"/>
              <w:autoSpaceDN w:val="0"/>
              <w:rPr>
                <w:rFonts w:ascii="Arial"/>
                <w:color w:val="auto"/>
                <w:sz w:val="21"/>
                <w:szCs w:val="21"/>
              </w:rPr>
            </w:pPr>
          </w:p>
        </w:tc>
        <w:tc>
          <w:tcPr>
            <w:tcW w:w="1659" w:type="pct"/>
            <w:tcBorders>
              <w:tl2br w:val="nil"/>
              <w:tr2bl w:val="nil"/>
            </w:tcBorders>
            <w:noWrap w:val="0"/>
            <w:vAlign w:val="top"/>
          </w:tcPr>
          <w:p w14:paraId="213F49D6">
            <w:pPr>
              <w:autoSpaceDE w:val="0"/>
              <w:autoSpaceDN w:val="0"/>
              <w:spacing w:before="64" w:line="274" w:lineRule="exact"/>
              <w:jc w:val="center"/>
              <w:rPr>
                <w:rFonts w:ascii="Times New Roman" w:hAnsi="Times New Roman" w:eastAsia="Times New Roman" w:cs="Times New Roman"/>
                <w:color w:val="auto"/>
                <w:sz w:val="21"/>
                <w:szCs w:val="21"/>
              </w:rPr>
            </w:pPr>
            <w:r>
              <w:rPr>
                <w:rFonts w:ascii="宋体" w:hAnsi="宋体" w:eastAsia="宋体" w:cs="宋体"/>
                <w:color w:val="auto"/>
                <w:spacing w:val="8"/>
                <w:position w:val="2"/>
                <w:sz w:val="21"/>
                <w:szCs w:val="21"/>
              </w:rPr>
              <w:t>事</w:t>
            </w:r>
            <w:r>
              <w:rPr>
                <w:rFonts w:ascii="宋体" w:hAnsi="宋体" w:eastAsia="宋体" w:cs="宋体"/>
                <w:color w:val="auto"/>
                <w:spacing w:val="6"/>
                <w:position w:val="2"/>
                <w:sz w:val="21"/>
                <w:szCs w:val="21"/>
              </w:rPr>
              <w:t>故源纬度</w:t>
            </w:r>
            <w:r>
              <w:rPr>
                <w:rFonts w:hint="eastAsia" w:ascii="宋体" w:hAnsi="宋体" w:eastAsia="宋体" w:cs="宋体"/>
                <w:color w:val="auto"/>
                <w:spacing w:val="6"/>
                <w:position w:val="2"/>
                <w:sz w:val="21"/>
                <w:szCs w:val="21"/>
                <w:lang w:eastAsia="zh-CN"/>
              </w:rPr>
              <w:t>（</w:t>
            </w:r>
            <w:r>
              <w:rPr>
                <w:rFonts w:ascii="Times New Roman" w:hAnsi="Times New Roman" w:eastAsia="Times New Roman" w:cs="Times New Roman"/>
                <w:color w:val="auto"/>
                <w:spacing w:val="6"/>
                <w:position w:val="2"/>
                <w:sz w:val="21"/>
                <w:szCs w:val="21"/>
              </w:rPr>
              <w:t>°</w:t>
            </w:r>
            <w:r>
              <w:rPr>
                <w:rFonts w:hint="eastAsia" w:ascii="Times New Roman" w:hAnsi="Times New Roman" w:eastAsia="宋体" w:cs="Times New Roman"/>
                <w:color w:val="auto"/>
                <w:spacing w:val="6"/>
                <w:position w:val="2"/>
                <w:sz w:val="21"/>
                <w:szCs w:val="21"/>
                <w:lang w:eastAsia="zh-CN"/>
              </w:rPr>
              <w:t>）</w:t>
            </w:r>
          </w:p>
        </w:tc>
        <w:tc>
          <w:tcPr>
            <w:tcW w:w="1675" w:type="pct"/>
            <w:tcBorders>
              <w:tl2br w:val="nil"/>
              <w:tr2bl w:val="nil"/>
            </w:tcBorders>
            <w:noWrap w:val="0"/>
            <w:vAlign w:val="top"/>
          </w:tcPr>
          <w:p w14:paraId="3FEADBD4">
            <w:pPr>
              <w:autoSpaceDE w:val="0"/>
              <w:autoSpaceDN w:val="0"/>
              <w:spacing w:before="131" w:line="195" w:lineRule="auto"/>
              <w:ind w:left="789"/>
              <w:rPr>
                <w:rFonts w:hint="default" w:ascii="Times New Roman" w:hAnsi="Times New Roman" w:eastAsia="Times New Roman" w:cs="Times New Roman"/>
                <w:color w:val="auto"/>
                <w:sz w:val="21"/>
                <w:szCs w:val="21"/>
              </w:rPr>
            </w:pPr>
            <w:r>
              <w:rPr>
                <w:rFonts w:hint="default" w:ascii="Times New Roman" w:hAnsi="Times New Roman" w:cs="Times New Roman"/>
                <w:color w:val="auto"/>
              </w:rPr>
              <w:t>41.156797238</w:t>
            </w:r>
          </w:p>
        </w:tc>
      </w:tr>
      <w:tr w14:paraId="5B1935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continue"/>
            <w:tcBorders>
              <w:tl2br w:val="nil"/>
              <w:tr2bl w:val="nil"/>
            </w:tcBorders>
            <w:noWrap w:val="0"/>
            <w:vAlign w:val="top"/>
          </w:tcPr>
          <w:p w14:paraId="3CAFE2DD">
            <w:pPr>
              <w:autoSpaceDE w:val="0"/>
              <w:autoSpaceDN w:val="0"/>
              <w:rPr>
                <w:rFonts w:ascii="Arial"/>
                <w:color w:val="auto"/>
                <w:sz w:val="21"/>
                <w:szCs w:val="21"/>
              </w:rPr>
            </w:pPr>
          </w:p>
        </w:tc>
        <w:tc>
          <w:tcPr>
            <w:tcW w:w="1659" w:type="pct"/>
            <w:tcBorders>
              <w:tl2br w:val="nil"/>
              <w:tr2bl w:val="nil"/>
            </w:tcBorders>
            <w:noWrap w:val="0"/>
            <w:vAlign w:val="top"/>
          </w:tcPr>
          <w:p w14:paraId="5F178837">
            <w:pPr>
              <w:autoSpaceDE w:val="0"/>
              <w:autoSpaceDN w:val="0"/>
              <w:spacing w:before="96" w:line="228" w:lineRule="auto"/>
              <w:jc w:val="center"/>
              <w:rPr>
                <w:rFonts w:ascii="宋体" w:hAnsi="宋体" w:eastAsia="宋体" w:cs="宋体"/>
                <w:color w:val="auto"/>
                <w:sz w:val="21"/>
                <w:szCs w:val="21"/>
              </w:rPr>
            </w:pPr>
            <w:r>
              <w:rPr>
                <w:rFonts w:ascii="宋体" w:hAnsi="宋体" w:eastAsia="宋体" w:cs="宋体"/>
                <w:color w:val="auto"/>
                <w:spacing w:val="8"/>
                <w:sz w:val="21"/>
                <w:szCs w:val="21"/>
              </w:rPr>
              <w:t>事故源类型</w:t>
            </w:r>
          </w:p>
        </w:tc>
        <w:tc>
          <w:tcPr>
            <w:tcW w:w="1675" w:type="pct"/>
            <w:tcBorders>
              <w:tl2br w:val="nil"/>
              <w:tr2bl w:val="nil"/>
            </w:tcBorders>
            <w:noWrap w:val="0"/>
            <w:vAlign w:val="top"/>
          </w:tcPr>
          <w:p w14:paraId="78046AB9">
            <w:pPr>
              <w:autoSpaceDE w:val="0"/>
              <w:autoSpaceDN w:val="0"/>
              <w:spacing w:before="96" w:line="227" w:lineRule="auto"/>
              <w:ind w:left="344"/>
              <w:rPr>
                <w:rFonts w:ascii="宋体" w:hAnsi="宋体" w:eastAsia="宋体" w:cs="宋体"/>
                <w:color w:val="auto"/>
                <w:sz w:val="21"/>
                <w:szCs w:val="21"/>
              </w:rPr>
            </w:pPr>
            <w:r>
              <w:rPr>
                <w:rFonts w:ascii="宋体" w:hAnsi="宋体" w:eastAsia="宋体" w:cs="宋体"/>
                <w:color w:val="auto"/>
                <w:spacing w:val="11"/>
                <w:sz w:val="21"/>
                <w:szCs w:val="21"/>
              </w:rPr>
              <w:t>爆</w:t>
            </w:r>
            <w:r>
              <w:rPr>
                <w:rFonts w:ascii="宋体" w:hAnsi="宋体" w:eastAsia="宋体" w:cs="宋体"/>
                <w:color w:val="auto"/>
                <w:spacing w:val="9"/>
                <w:sz w:val="21"/>
                <w:szCs w:val="21"/>
              </w:rPr>
              <w:t>炸产生的次生污染物</w:t>
            </w:r>
          </w:p>
        </w:tc>
      </w:tr>
      <w:tr w14:paraId="27B46B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restart"/>
            <w:tcBorders>
              <w:tl2br w:val="nil"/>
              <w:tr2bl w:val="nil"/>
            </w:tcBorders>
            <w:noWrap w:val="0"/>
            <w:vAlign w:val="center"/>
          </w:tcPr>
          <w:p w14:paraId="701D602D">
            <w:pPr>
              <w:autoSpaceDE w:val="0"/>
              <w:autoSpaceDN w:val="0"/>
              <w:spacing w:before="65" w:line="228" w:lineRule="auto"/>
              <w:ind w:left="970"/>
              <w:rPr>
                <w:rFonts w:ascii="宋体" w:hAnsi="宋体" w:eastAsia="宋体" w:cs="宋体"/>
                <w:color w:val="auto"/>
                <w:sz w:val="21"/>
                <w:szCs w:val="21"/>
              </w:rPr>
            </w:pPr>
            <w:r>
              <w:rPr>
                <w:rFonts w:ascii="宋体" w:hAnsi="宋体" w:eastAsia="宋体" w:cs="宋体"/>
                <w:color w:val="auto"/>
                <w:spacing w:val="7"/>
                <w:sz w:val="21"/>
                <w:szCs w:val="21"/>
              </w:rPr>
              <w:t>气象参数</w:t>
            </w:r>
          </w:p>
        </w:tc>
        <w:tc>
          <w:tcPr>
            <w:tcW w:w="1659" w:type="pct"/>
            <w:tcBorders>
              <w:tl2br w:val="nil"/>
              <w:tr2bl w:val="nil"/>
            </w:tcBorders>
            <w:noWrap w:val="0"/>
            <w:vAlign w:val="top"/>
          </w:tcPr>
          <w:p w14:paraId="16A6CEEB">
            <w:pPr>
              <w:autoSpaceDE w:val="0"/>
              <w:autoSpaceDN w:val="0"/>
              <w:spacing w:before="98" w:line="228" w:lineRule="auto"/>
              <w:ind w:left="758"/>
              <w:rPr>
                <w:rFonts w:ascii="宋体" w:hAnsi="宋体" w:eastAsia="宋体" w:cs="宋体"/>
                <w:color w:val="auto"/>
                <w:sz w:val="21"/>
                <w:szCs w:val="21"/>
              </w:rPr>
            </w:pPr>
            <w:r>
              <w:rPr>
                <w:rFonts w:ascii="宋体" w:hAnsi="宋体" w:eastAsia="宋体" w:cs="宋体"/>
                <w:color w:val="auto"/>
                <w:spacing w:val="8"/>
                <w:sz w:val="21"/>
                <w:szCs w:val="21"/>
              </w:rPr>
              <w:t>气象条件类型</w:t>
            </w:r>
          </w:p>
        </w:tc>
        <w:tc>
          <w:tcPr>
            <w:tcW w:w="1675" w:type="pct"/>
            <w:tcBorders>
              <w:tl2br w:val="nil"/>
              <w:tr2bl w:val="nil"/>
            </w:tcBorders>
            <w:noWrap w:val="0"/>
            <w:vAlign w:val="top"/>
          </w:tcPr>
          <w:p w14:paraId="46BA779B">
            <w:pPr>
              <w:autoSpaceDE w:val="0"/>
              <w:autoSpaceDN w:val="0"/>
              <w:spacing w:before="98" w:line="228" w:lineRule="auto"/>
              <w:ind w:left="665"/>
              <w:rPr>
                <w:rFonts w:ascii="宋体" w:hAnsi="宋体" w:eastAsia="宋体" w:cs="宋体"/>
                <w:color w:val="auto"/>
                <w:sz w:val="21"/>
                <w:szCs w:val="21"/>
              </w:rPr>
            </w:pPr>
            <w:r>
              <w:rPr>
                <w:rFonts w:ascii="宋体" w:hAnsi="宋体" w:eastAsia="宋体" w:cs="宋体"/>
                <w:color w:val="auto"/>
                <w:spacing w:val="10"/>
                <w:sz w:val="21"/>
                <w:szCs w:val="21"/>
              </w:rPr>
              <w:t>最</w:t>
            </w:r>
            <w:r>
              <w:rPr>
                <w:rFonts w:ascii="宋体" w:hAnsi="宋体" w:eastAsia="宋体" w:cs="宋体"/>
                <w:color w:val="auto"/>
                <w:spacing w:val="8"/>
                <w:sz w:val="21"/>
                <w:szCs w:val="21"/>
              </w:rPr>
              <w:t>不利气象条件</w:t>
            </w:r>
          </w:p>
        </w:tc>
      </w:tr>
      <w:tr w14:paraId="1BBCBD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continue"/>
            <w:tcBorders>
              <w:tl2br w:val="nil"/>
              <w:tr2bl w:val="nil"/>
            </w:tcBorders>
            <w:noWrap w:val="0"/>
            <w:vAlign w:val="center"/>
          </w:tcPr>
          <w:p w14:paraId="7153AEF3">
            <w:pPr>
              <w:autoSpaceDE w:val="0"/>
              <w:autoSpaceDN w:val="0"/>
              <w:rPr>
                <w:rFonts w:ascii="Arial"/>
                <w:color w:val="auto"/>
                <w:sz w:val="21"/>
                <w:szCs w:val="21"/>
              </w:rPr>
            </w:pPr>
          </w:p>
        </w:tc>
        <w:tc>
          <w:tcPr>
            <w:tcW w:w="1659" w:type="pct"/>
            <w:tcBorders>
              <w:tl2br w:val="nil"/>
              <w:tr2bl w:val="nil"/>
            </w:tcBorders>
            <w:noWrap w:val="0"/>
            <w:vAlign w:val="top"/>
          </w:tcPr>
          <w:p w14:paraId="1F1BDC84">
            <w:pPr>
              <w:autoSpaceDE w:val="0"/>
              <w:autoSpaceDN w:val="0"/>
              <w:spacing w:before="65" w:line="274" w:lineRule="exact"/>
              <w:ind w:left="957"/>
              <w:rPr>
                <w:rFonts w:ascii="Times New Roman" w:hAnsi="Times New Roman" w:eastAsia="Times New Roman" w:cs="Times New Roman"/>
                <w:color w:val="auto"/>
                <w:sz w:val="21"/>
                <w:szCs w:val="21"/>
              </w:rPr>
            </w:pPr>
            <w:r>
              <w:rPr>
                <w:rFonts w:ascii="宋体" w:hAnsi="宋体" w:eastAsia="宋体" w:cs="宋体"/>
                <w:color w:val="auto"/>
                <w:spacing w:val="6"/>
                <w:position w:val="2"/>
                <w:sz w:val="21"/>
                <w:szCs w:val="21"/>
              </w:rPr>
              <w:t>风速</w:t>
            </w:r>
            <w:r>
              <w:rPr>
                <w:rFonts w:hint="eastAsia" w:ascii="宋体" w:hAnsi="宋体" w:eastAsia="宋体" w:cs="宋体"/>
                <w:color w:val="auto"/>
                <w:spacing w:val="6"/>
                <w:position w:val="2"/>
                <w:sz w:val="21"/>
                <w:szCs w:val="21"/>
                <w:lang w:eastAsia="zh-CN"/>
              </w:rPr>
              <w:t>（</w:t>
            </w:r>
            <w:r>
              <w:rPr>
                <w:rFonts w:ascii="Times New Roman" w:hAnsi="Times New Roman" w:eastAsia="Times New Roman" w:cs="Times New Roman"/>
                <w:color w:val="auto"/>
                <w:position w:val="2"/>
                <w:sz w:val="21"/>
                <w:szCs w:val="21"/>
              </w:rPr>
              <w:t>m</w:t>
            </w:r>
            <w:r>
              <w:rPr>
                <w:rFonts w:ascii="Times New Roman" w:hAnsi="Times New Roman" w:eastAsia="Times New Roman" w:cs="Times New Roman"/>
                <w:color w:val="auto"/>
                <w:spacing w:val="6"/>
                <w:position w:val="2"/>
                <w:sz w:val="21"/>
                <w:szCs w:val="21"/>
              </w:rPr>
              <w:t>/</w:t>
            </w:r>
            <w:r>
              <w:rPr>
                <w:rFonts w:ascii="Times New Roman" w:hAnsi="Times New Roman" w:eastAsia="Times New Roman" w:cs="Times New Roman"/>
                <w:color w:val="auto"/>
                <w:position w:val="2"/>
                <w:sz w:val="21"/>
                <w:szCs w:val="21"/>
              </w:rPr>
              <w:t>s</w:t>
            </w:r>
            <w:r>
              <w:rPr>
                <w:rFonts w:hint="eastAsia" w:ascii="Times New Roman" w:hAnsi="Times New Roman" w:eastAsia="宋体" w:cs="Times New Roman"/>
                <w:color w:val="auto"/>
                <w:position w:val="2"/>
                <w:sz w:val="21"/>
                <w:szCs w:val="21"/>
                <w:lang w:eastAsia="zh-CN"/>
              </w:rPr>
              <w:t>）</w:t>
            </w:r>
          </w:p>
        </w:tc>
        <w:tc>
          <w:tcPr>
            <w:tcW w:w="1675" w:type="pct"/>
            <w:tcBorders>
              <w:tl2br w:val="nil"/>
              <w:tr2bl w:val="nil"/>
            </w:tcBorders>
            <w:noWrap w:val="0"/>
            <w:vAlign w:val="top"/>
          </w:tcPr>
          <w:p w14:paraId="784992A6">
            <w:pPr>
              <w:autoSpaceDE w:val="0"/>
              <w:autoSpaceDN w:val="0"/>
              <w:spacing w:before="132" w:line="198" w:lineRule="auto"/>
              <w:ind w:left="1125"/>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1.</w:t>
            </w:r>
            <w:r>
              <w:rPr>
                <w:rFonts w:ascii="Times New Roman" w:hAnsi="Times New Roman" w:eastAsia="Times New Roman" w:cs="Times New Roman"/>
                <w:color w:val="auto"/>
                <w:sz w:val="21"/>
                <w:szCs w:val="21"/>
              </w:rPr>
              <w:t>5000</w:t>
            </w:r>
          </w:p>
        </w:tc>
      </w:tr>
      <w:tr w14:paraId="7872DC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continue"/>
            <w:tcBorders>
              <w:tl2br w:val="nil"/>
              <w:tr2bl w:val="nil"/>
            </w:tcBorders>
            <w:noWrap w:val="0"/>
            <w:vAlign w:val="center"/>
          </w:tcPr>
          <w:p w14:paraId="64B08467">
            <w:pPr>
              <w:autoSpaceDE w:val="0"/>
              <w:autoSpaceDN w:val="0"/>
              <w:rPr>
                <w:rFonts w:ascii="Arial"/>
                <w:color w:val="auto"/>
                <w:sz w:val="21"/>
                <w:szCs w:val="21"/>
              </w:rPr>
            </w:pPr>
          </w:p>
        </w:tc>
        <w:tc>
          <w:tcPr>
            <w:tcW w:w="1659" w:type="pct"/>
            <w:tcBorders>
              <w:tl2br w:val="nil"/>
              <w:tr2bl w:val="nil"/>
            </w:tcBorders>
            <w:noWrap w:val="0"/>
            <w:vAlign w:val="top"/>
          </w:tcPr>
          <w:p w14:paraId="0F0FE4C5">
            <w:pPr>
              <w:autoSpaceDE w:val="0"/>
              <w:autoSpaceDN w:val="0"/>
              <w:spacing w:before="66" w:line="274" w:lineRule="exact"/>
              <w:ind w:left="793"/>
              <w:rPr>
                <w:rFonts w:ascii="Times New Roman" w:hAnsi="Times New Roman" w:eastAsia="Times New Roman" w:cs="Times New Roman"/>
                <w:color w:val="auto"/>
                <w:sz w:val="21"/>
                <w:szCs w:val="21"/>
              </w:rPr>
            </w:pPr>
            <w:r>
              <w:rPr>
                <w:rFonts w:ascii="宋体" w:hAnsi="宋体" w:eastAsia="宋体" w:cs="宋体"/>
                <w:color w:val="auto"/>
                <w:spacing w:val="10"/>
                <w:position w:val="2"/>
                <w:sz w:val="21"/>
                <w:szCs w:val="21"/>
              </w:rPr>
              <w:t>环</w:t>
            </w:r>
            <w:r>
              <w:rPr>
                <w:rFonts w:ascii="宋体" w:hAnsi="宋体" w:eastAsia="宋体" w:cs="宋体"/>
                <w:color w:val="auto"/>
                <w:spacing w:val="6"/>
                <w:position w:val="2"/>
                <w:sz w:val="21"/>
                <w:szCs w:val="21"/>
              </w:rPr>
              <w:t>境温度</w:t>
            </w:r>
            <w:r>
              <w:rPr>
                <w:rFonts w:hint="eastAsia" w:ascii="宋体" w:hAnsi="宋体" w:eastAsia="宋体" w:cs="宋体"/>
                <w:color w:val="auto"/>
                <w:spacing w:val="6"/>
                <w:position w:val="2"/>
                <w:sz w:val="21"/>
                <w:szCs w:val="21"/>
                <w:lang w:eastAsia="zh-CN"/>
              </w:rPr>
              <w:t>（</w:t>
            </w:r>
            <w:r>
              <w:rPr>
                <w:rFonts w:ascii="宋体" w:hAnsi="宋体" w:eastAsia="宋体" w:cs="宋体"/>
                <w:color w:val="auto"/>
                <w:spacing w:val="6"/>
                <w:position w:val="2"/>
                <w:sz w:val="21"/>
                <w:szCs w:val="21"/>
              </w:rPr>
              <w:t>℃</w:t>
            </w:r>
            <w:r>
              <w:rPr>
                <w:rFonts w:hint="eastAsia" w:ascii="宋体" w:hAnsi="宋体" w:eastAsia="宋体" w:cs="宋体"/>
                <w:color w:val="auto"/>
                <w:spacing w:val="6"/>
                <w:position w:val="2"/>
                <w:sz w:val="21"/>
                <w:szCs w:val="21"/>
                <w:lang w:eastAsia="zh-CN"/>
              </w:rPr>
              <w:t>）</w:t>
            </w:r>
          </w:p>
        </w:tc>
        <w:tc>
          <w:tcPr>
            <w:tcW w:w="1675" w:type="pct"/>
            <w:tcBorders>
              <w:tl2br w:val="nil"/>
              <w:tr2bl w:val="nil"/>
            </w:tcBorders>
            <w:noWrap w:val="0"/>
            <w:vAlign w:val="top"/>
          </w:tcPr>
          <w:p w14:paraId="2121870B">
            <w:pPr>
              <w:autoSpaceDE w:val="0"/>
              <w:autoSpaceDN w:val="0"/>
              <w:spacing w:before="133" w:line="195" w:lineRule="auto"/>
              <w:ind w:left="1157"/>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25.0</w:t>
            </w:r>
            <w:r>
              <w:rPr>
                <w:rFonts w:ascii="Times New Roman" w:hAnsi="Times New Roman" w:eastAsia="Times New Roman" w:cs="Times New Roman"/>
                <w:color w:val="auto"/>
                <w:spacing w:val="3"/>
                <w:sz w:val="21"/>
                <w:szCs w:val="21"/>
              </w:rPr>
              <w:t>0</w:t>
            </w:r>
          </w:p>
        </w:tc>
      </w:tr>
      <w:tr w14:paraId="527261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1664" w:type="pct"/>
            <w:vMerge w:val="continue"/>
            <w:tcBorders>
              <w:tl2br w:val="nil"/>
              <w:tr2bl w:val="nil"/>
            </w:tcBorders>
            <w:noWrap w:val="0"/>
            <w:vAlign w:val="center"/>
          </w:tcPr>
          <w:p w14:paraId="4B706627">
            <w:pPr>
              <w:autoSpaceDE w:val="0"/>
              <w:autoSpaceDN w:val="0"/>
              <w:rPr>
                <w:rFonts w:ascii="Arial"/>
                <w:color w:val="auto"/>
                <w:sz w:val="21"/>
                <w:szCs w:val="21"/>
              </w:rPr>
            </w:pPr>
          </w:p>
        </w:tc>
        <w:tc>
          <w:tcPr>
            <w:tcW w:w="1659" w:type="pct"/>
            <w:tcBorders>
              <w:tl2br w:val="nil"/>
              <w:tr2bl w:val="nil"/>
            </w:tcBorders>
            <w:noWrap w:val="0"/>
            <w:vAlign w:val="top"/>
          </w:tcPr>
          <w:p w14:paraId="671C9A92">
            <w:pPr>
              <w:autoSpaceDE w:val="0"/>
              <w:autoSpaceDN w:val="0"/>
              <w:spacing w:before="67" w:line="274" w:lineRule="exact"/>
              <w:ind w:left="812"/>
              <w:rPr>
                <w:rFonts w:ascii="Times New Roman" w:hAnsi="Times New Roman" w:eastAsia="Times New Roman" w:cs="Times New Roman"/>
                <w:color w:val="auto"/>
                <w:sz w:val="21"/>
                <w:szCs w:val="21"/>
              </w:rPr>
            </w:pPr>
            <w:r>
              <w:rPr>
                <w:rFonts w:ascii="宋体" w:hAnsi="宋体" w:eastAsia="宋体" w:cs="宋体"/>
                <w:color w:val="auto"/>
                <w:spacing w:val="8"/>
                <w:position w:val="2"/>
                <w:sz w:val="21"/>
                <w:szCs w:val="21"/>
              </w:rPr>
              <w:t>相</w:t>
            </w:r>
            <w:r>
              <w:rPr>
                <w:rFonts w:ascii="宋体" w:hAnsi="宋体" w:eastAsia="宋体" w:cs="宋体"/>
                <w:color w:val="auto"/>
                <w:spacing w:val="6"/>
                <w:position w:val="2"/>
                <w:sz w:val="21"/>
                <w:szCs w:val="21"/>
              </w:rPr>
              <w:t>对湿度</w:t>
            </w:r>
            <w:r>
              <w:rPr>
                <w:rFonts w:hint="eastAsia" w:ascii="宋体" w:hAnsi="宋体" w:eastAsia="宋体" w:cs="宋体"/>
                <w:color w:val="auto"/>
                <w:spacing w:val="6"/>
                <w:position w:val="2"/>
                <w:sz w:val="21"/>
                <w:szCs w:val="21"/>
                <w:lang w:eastAsia="zh-CN"/>
              </w:rPr>
              <w:t>（</w:t>
            </w:r>
            <w:r>
              <w:rPr>
                <w:rFonts w:ascii="Times New Roman" w:hAnsi="Times New Roman" w:eastAsia="Times New Roman" w:cs="Times New Roman"/>
                <w:color w:val="auto"/>
                <w:spacing w:val="6"/>
                <w:position w:val="2"/>
                <w:sz w:val="21"/>
                <w:szCs w:val="21"/>
              </w:rPr>
              <w:t>%</w:t>
            </w:r>
            <w:r>
              <w:rPr>
                <w:rFonts w:hint="eastAsia" w:ascii="Times New Roman" w:hAnsi="Times New Roman" w:eastAsia="宋体" w:cs="Times New Roman"/>
                <w:color w:val="auto"/>
                <w:spacing w:val="6"/>
                <w:position w:val="2"/>
                <w:sz w:val="21"/>
                <w:szCs w:val="21"/>
                <w:lang w:eastAsia="zh-CN"/>
              </w:rPr>
              <w:t>）</w:t>
            </w:r>
          </w:p>
        </w:tc>
        <w:tc>
          <w:tcPr>
            <w:tcW w:w="1675" w:type="pct"/>
            <w:tcBorders>
              <w:tl2br w:val="nil"/>
              <w:tr2bl w:val="nil"/>
            </w:tcBorders>
            <w:noWrap w:val="0"/>
            <w:vAlign w:val="top"/>
          </w:tcPr>
          <w:p w14:paraId="6C2B8484">
            <w:pPr>
              <w:autoSpaceDE w:val="0"/>
              <w:autoSpaceDN w:val="0"/>
              <w:spacing w:before="134" w:line="195" w:lineRule="auto"/>
              <w:ind w:left="1216"/>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50</w:t>
            </w:r>
            <w:r>
              <w:rPr>
                <w:rFonts w:ascii="Times New Roman" w:hAnsi="Times New Roman" w:eastAsia="Times New Roman" w:cs="Times New Roman"/>
                <w:color w:val="auto"/>
                <w:spacing w:val="1"/>
                <w:sz w:val="21"/>
                <w:szCs w:val="21"/>
              </w:rPr>
              <w:t>.0</w:t>
            </w:r>
          </w:p>
        </w:tc>
      </w:tr>
      <w:tr w14:paraId="61B2DE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continue"/>
            <w:tcBorders>
              <w:tl2br w:val="nil"/>
              <w:tr2bl w:val="nil"/>
            </w:tcBorders>
            <w:noWrap w:val="0"/>
            <w:vAlign w:val="center"/>
          </w:tcPr>
          <w:p w14:paraId="03EB4C59">
            <w:pPr>
              <w:autoSpaceDE w:val="0"/>
              <w:autoSpaceDN w:val="0"/>
              <w:rPr>
                <w:rFonts w:ascii="Arial"/>
                <w:color w:val="auto"/>
                <w:sz w:val="21"/>
                <w:szCs w:val="21"/>
              </w:rPr>
            </w:pPr>
          </w:p>
        </w:tc>
        <w:tc>
          <w:tcPr>
            <w:tcW w:w="1659" w:type="pct"/>
            <w:tcBorders>
              <w:tl2br w:val="nil"/>
              <w:tr2bl w:val="nil"/>
            </w:tcBorders>
            <w:noWrap w:val="0"/>
            <w:vAlign w:val="top"/>
          </w:tcPr>
          <w:p w14:paraId="5382ACFF">
            <w:pPr>
              <w:autoSpaceDE w:val="0"/>
              <w:autoSpaceDN w:val="0"/>
              <w:spacing w:before="98" w:line="228" w:lineRule="auto"/>
              <w:ind w:left="1074"/>
              <w:rPr>
                <w:rFonts w:ascii="宋体" w:hAnsi="宋体" w:eastAsia="宋体" w:cs="宋体"/>
                <w:color w:val="auto"/>
                <w:sz w:val="21"/>
                <w:szCs w:val="21"/>
              </w:rPr>
            </w:pPr>
            <w:r>
              <w:rPr>
                <w:rFonts w:ascii="宋体" w:hAnsi="宋体" w:eastAsia="宋体" w:cs="宋体"/>
                <w:color w:val="auto"/>
                <w:spacing w:val="7"/>
                <w:sz w:val="21"/>
                <w:szCs w:val="21"/>
              </w:rPr>
              <w:t>稳</w:t>
            </w:r>
            <w:r>
              <w:rPr>
                <w:rFonts w:ascii="宋体" w:hAnsi="宋体" w:eastAsia="宋体" w:cs="宋体"/>
                <w:color w:val="auto"/>
                <w:spacing w:val="6"/>
                <w:sz w:val="21"/>
                <w:szCs w:val="21"/>
              </w:rPr>
              <w:t>定度</w:t>
            </w:r>
          </w:p>
        </w:tc>
        <w:tc>
          <w:tcPr>
            <w:tcW w:w="1675" w:type="pct"/>
            <w:tcBorders>
              <w:tl2br w:val="nil"/>
              <w:tr2bl w:val="nil"/>
            </w:tcBorders>
            <w:noWrap w:val="0"/>
            <w:vAlign w:val="top"/>
          </w:tcPr>
          <w:p w14:paraId="61B94FD2">
            <w:pPr>
              <w:autoSpaceDE w:val="0"/>
              <w:autoSpaceDN w:val="0"/>
              <w:spacing w:before="67" w:line="274" w:lineRule="exact"/>
              <w:ind w:left="1053"/>
              <w:rPr>
                <w:rFonts w:ascii="Times New Roman" w:hAnsi="Times New Roman" w:eastAsia="Times New Roman" w:cs="Times New Roman"/>
                <w:color w:val="auto"/>
                <w:sz w:val="21"/>
                <w:szCs w:val="21"/>
              </w:rPr>
            </w:pPr>
            <w:r>
              <w:rPr>
                <w:rFonts w:ascii="Times New Roman" w:hAnsi="Times New Roman" w:eastAsia="Times New Roman" w:cs="Times New Roman"/>
                <w:color w:val="auto"/>
                <w:position w:val="2"/>
                <w:sz w:val="21"/>
                <w:szCs w:val="21"/>
              </w:rPr>
              <w:t>F</w:t>
            </w:r>
            <w:r>
              <w:rPr>
                <w:rFonts w:hint="eastAsia" w:ascii="Times New Roman" w:hAnsi="Times New Roman" w:eastAsia="宋体" w:cs="Times New Roman"/>
                <w:color w:val="auto"/>
                <w:position w:val="2"/>
                <w:sz w:val="21"/>
                <w:szCs w:val="21"/>
                <w:lang w:eastAsia="zh-CN"/>
              </w:rPr>
              <w:t>（</w:t>
            </w:r>
            <w:r>
              <w:rPr>
                <w:rFonts w:ascii="宋体" w:hAnsi="宋体" w:eastAsia="宋体" w:cs="宋体"/>
                <w:color w:val="auto"/>
                <w:spacing w:val="7"/>
                <w:position w:val="2"/>
                <w:sz w:val="21"/>
                <w:szCs w:val="21"/>
              </w:rPr>
              <w:t>稳定</w:t>
            </w:r>
            <w:r>
              <w:rPr>
                <w:rFonts w:hint="eastAsia" w:ascii="宋体" w:hAnsi="宋体" w:eastAsia="宋体" w:cs="宋体"/>
                <w:color w:val="auto"/>
                <w:spacing w:val="7"/>
                <w:position w:val="2"/>
                <w:sz w:val="21"/>
                <w:szCs w:val="21"/>
                <w:lang w:eastAsia="zh-CN"/>
              </w:rPr>
              <w:t>）</w:t>
            </w:r>
          </w:p>
        </w:tc>
      </w:tr>
      <w:tr w14:paraId="0C0C2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restart"/>
            <w:tcBorders>
              <w:tl2br w:val="nil"/>
              <w:tr2bl w:val="nil"/>
            </w:tcBorders>
            <w:noWrap w:val="0"/>
            <w:vAlign w:val="center"/>
          </w:tcPr>
          <w:p w14:paraId="42065DFB">
            <w:pPr>
              <w:autoSpaceDE w:val="0"/>
              <w:autoSpaceDN w:val="0"/>
              <w:spacing w:before="65" w:line="228" w:lineRule="auto"/>
              <w:ind w:left="970"/>
              <w:rPr>
                <w:rFonts w:ascii="宋体" w:hAnsi="宋体" w:eastAsia="宋体" w:cs="宋体"/>
                <w:color w:val="auto"/>
                <w:sz w:val="21"/>
                <w:szCs w:val="21"/>
              </w:rPr>
            </w:pPr>
            <w:r>
              <w:rPr>
                <w:rFonts w:ascii="宋体" w:hAnsi="宋体" w:eastAsia="宋体" w:cs="宋体"/>
                <w:color w:val="auto"/>
                <w:spacing w:val="7"/>
                <w:sz w:val="21"/>
                <w:szCs w:val="21"/>
              </w:rPr>
              <w:t>其他参数</w:t>
            </w:r>
          </w:p>
        </w:tc>
        <w:tc>
          <w:tcPr>
            <w:tcW w:w="1659" w:type="pct"/>
            <w:tcBorders>
              <w:tl2br w:val="nil"/>
              <w:tr2bl w:val="nil"/>
            </w:tcBorders>
            <w:noWrap w:val="0"/>
            <w:vAlign w:val="top"/>
          </w:tcPr>
          <w:p w14:paraId="25DA526A">
            <w:pPr>
              <w:autoSpaceDE w:val="0"/>
              <w:autoSpaceDN w:val="0"/>
              <w:spacing w:before="99" w:line="228" w:lineRule="auto"/>
              <w:ind w:left="572"/>
              <w:rPr>
                <w:rFonts w:ascii="宋体" w:hAnsi="宋体" w:eastAsia="宋体" w:cs="宋体"/>
                <w:color w:val="auto"/>
                <w:sz w:val="21"/>
                <w:szCs w:val="21"/>
              </w:rPr>
            </w:pPr>
            <w:r>
              <w:rPr>
                <w:rFonts w:ascii="宋体" w:hAnsi="宋体" w:eastAsia="宋体" w:cs="宋体"/>
                <w:color w:val="auto"/>
                <w:spacing w:val="7"/>
                <w:sz w:val="21"/>
                <w:szCs w:val="21"/>
              </w:rPr>
              <w:t>地</w:t>
            </w:r>
            <w:r>
              <w:rPr>
                <w:rFonts w:ascii="宋体" w:hAnsi="宋体" w:eastAsia="宋体" w:cs="宋体"/>
                <w:color w:val="auto"/>
                <w:spacing w:val="4"/>
                <w:sz w:val="21"/>
                <w:szCs w:val="21"/>
              </w:rPr>
              <w:t>表粗糙度 (</w:t>
            </w:r>
            <w:r>
              <w:rPr>
                <w:rFonts w:ascii="Times New Roman" w:hAnsi="Times New Roman" w:eastAsia="Times New Roman" w:cs="Times New Roman"/>
                <w:color w:val="auto"/>
                <w:sz w:val="21"/>
                <w:szCs w:val="21"/>
              </w:rPr>
              <w:t>m</w:t>
            </w:r>
            <w:r>
              <w:rPr>
                <w:rFonts w:ascii="Times New Roman" w:hAnsi="Times New Roman" w:eastAsia="Times New Roman" w:cs="Times New Roman"/>
                <w:color w:val="auto"/>
                <w:spacing w:val="4"/>
                <w:sz w:val="21"/>
                <w:szCs w:val="21"/>
              </w:rPr>
              <w:t xml:space="preserve"> </w:t>
            </w:r>
            <w:r>
              <w:rPr>
                <w:rFonts w:ascii="宋体" w:hAnsi="宋体" w:eastAsia="宋体" w:cs="宋体"/>
                <w:color w:val="auto"/>
                <w:spacing w:val="4"/>
                <w:sz w:val="21"/>
                <w:szCs w:val="21"/>
              </w:rPr>
              <w:t>)</w:t>
            </w:r>
          </w:p>
        </w:tc>
        <w:tc>
          <w:tcPr>
            <w:tcW w:w="1675" w:type="pct"/>
            <w:tcBorders>
              <w:tl2br w:val="nil"/>
              <w:tr2bl w:val="nil"/>
            </w:tcBorders>
            <w:noWrap w:val="0"/>
            <w:vAlign w:val="top"/>
          </w:tcPr>
          <w:p w14:paraId="58363C17">
            <w:pPr>
              <w:autoSpaceDE w:val="0"/>
              <w:autoSpaceDN w:val="0"/>
              <w:spacing w:before="135" w:line="195" w:lineRule="auto"/>
              <w:ind w:left="1266"/>
              <w:rPr>
                <w:rFonts w:hint="eastAsia" w:ascii="Times New Roman" w:hAnsi="Times New Roman" w:eastAsia="宋体" w:cs="Times New Roman"/>
                <w:color w:val="auto"/>
                <w:sz w:val="21"/>
                <w:szCs w:val="21"/>
                <w:lang w:eastAsia="zh-CN"/>
              </w:rPr>
            </w:pPr>
            <w:r>
              <w:rPr>
                <w:rFonts w:ascii="Times New Roman" w:hAnsi="Times New Roman" w:eastAsia="Times New Roman" w:cs="Times New Roman"/>
                <w:color w:val="auto"/>
                <w:spacing w:val="2"/>
                <w:sz w:val="21"/>
                <w:szCs w:val="21"/>
              </w:rPr>
              <w:t>0.</w:t>
            </w:r>
            <w:r>
              <w:rPr>
                <w:rFonts w:hint="eastAsia" w:ascii="Times New Roman" w:hAnsi="Times New Roman" w:eastAsia="宋体" w:cs="Times New Roman"/>
                <w:color w:val="auto"/>
                <w:spacing w:val="1"/>
                <w:sz w:val="21"/>
                <w:szCs w:val="21"/>
                <w:lang w:val="en-US" w:eastAsia="zh-CN"/>
              </w:rPr>
              <w:t>4</w:t>
            </w:r>
          </w:p>
        </w:tc>
      </w:tr>
      <w:tr w14:paraId="06E0E4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1664" w:type="pct"/>
            <w:vMerge w:val="continue"/>
            <w:tcBorders>
              <w:tl2br w:val="nil"/>
              <w:tr2bl w:val="nil"/>
            </w:tcBorders>
            <w:noWrap w:val="0"/>
            <w:vAlign w:val="top"/>
          </w:tcPr>
          <w:p w14:paraId="33109ADB">
            <w:pPr>
              <w:autoSpaceDE w:val="0"/>
              <w:autoSpaceDN w:val="0"/>
              <w:rPr>
                <w:rFonts w:ascii="Arial"/>
                <w:color w:val="auto"/>
                <w:sz w:val="21"/>
                <w:szCs w:val="21"/>
              </w:rPr>
            </w:pPr>
          </w:p>
        </w:tc>
        <w:tc>
          <w:tcPr>
            <w:tcW w:w="1659" w:type="pct"/>
            <w:tcBorders>
              <w:tl2br w:val="nil"/>
              <w:tr2bl w:val="nil"/>
            </w:tcBorders>
            <w:noWrap w:val="0"/>
            <w:vAlign w:val="top"/>
          </w:tcPr>
          <w:p w14:paraId="42C46260">
            <w:pPr>
              <w:autoSpaceDE w:val="0"/>
              <w:autoSpaceDN w:val="0"/>
              <w:spacing w:before="97" w:line="228" w:lineRule="auto"/>
              <w:ind w:left="760"/>
              <w:rPr>
                <w:rFonts w:ascii="宋体" w:hAnsi="宋体" w:eastAsia="宋体" w:cs="宋体"/>
                <w:color w:val="auto"/>
                <w:sz w:val="21"/>
                <w:szCs w:val="21"/>
              </w:rPr>
            </w:pPr>
            <w:r>
              <w:rPr>
                <w:rFonts w:ascii="宋体" w:hAnsi="宋体" w:eastAsia="宋体" w:cs="宋体"/>
                <w:color w:val="auto"/>
                <w:spacing w:val="11"/>
                <w:sz w:val="21"/>
                <w:szCs w:val="21"/>
              </w:rPr>
              <w:t>是</w:t>
            </w:r>
            <w:r>
              <w:rPr>
                <w:rFonts w:ascii="宋体" w:hAnsi="宋体" w:eastAsia="宋体" w:cs="宋体"/>
                <w:color w:val="auto"/>
                <w:spacing w:val="7"/>
                <w:sz w:val="21"/>
                <w:szCs w:val="21"/>
              </w:rPr>
              <w:t>否考虑地形</w:t>
            </w:r>
          </w:p>
        </w:tc>
        <w:tc>
          <w:tcPr>
            <w:tcW w:w="1675" w:type="pct"/>
            <w:tcBorders>
              <w:tl2br w:val="nil"/>
              <w:tr2bl w:val="nil"/>
            </w:tcBorders>
            <w:noWrap w:val="0"/>
            <w:vAlign w:val="top"/>
          </w:tcPr>
          <w:p w14:paraId="5FE2718B">
            <w:pPr>
              <w:autoSpaceDE w:val="0"/>
              <w:autoSpaceDN w:val="0"/>
              <w:spacing w:before="97" w:line="229" w:lineRule="auto"/>
              <w:ind w:left="1297"/>
              <w:rPr>
                <w:rFonts w:ascii="宋体" w:hAnsi="宋体" w:eastAsia="宋体" w:cs="宋体"/>
                <w:color w:val="auto"/>
                <w:sz w:val="21"/>
                <w:szCs w:val="21"/>
              </w:rPr>
            </w:pPr>
            <w:r>
              <w:rPr>
                <w:rFonts w:ascii="宋体" w:hAnsi="宋体" w:eastAsia="宋体" w:cs="宋体"/>
                <w:color w:val="auto"/>
                <w:sz w:val="21"/>
                <w:szCs w:val="21"/>
              </w:rPr>
              <w:t>否</w:t>
            </w:r>
          </w:p>
        </w:tc>
      </w:tr>
      <w:tr w14:paraId="3E1F2B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trPr>
        <w:tc>
          <w:tcPr>
            <w:tcW w:w="1664" w:type="pct"/>
            <w:vMerge w:val="continue"/>
            <w:tcBorders>
              <w:tl2br w:val="nil"/>
              <w:tr2bl w:val="nil"/>
            </w:tcBorders>
            <w:noWrap w:val="0"/>
            <w:vAlign w:val="top"/>
          </w:tcPr>
          <w:p w14:paraId="69FE0CA1">
            <w:pPr>
              <w:autoSpaceDE w:val="0"/>
              <w:autoSpaceDN w:val="0"/>
              <w:rPr>
                <w:rFonts w:ascii="Arial"/>
                <w:color w:val="auto"/>
                <w:sz w:val="21"/>
                <w:szCs w:val="21"/>
              </w:rPr>
            </w:pPr>
          </w:p>
        </w:tc>
        <w:tc>
          <w:tcPr>
            <w:tcW w:w="1659" w:type="pct"/>
            <w:tcBorders>
              <w:tl2br w:val="nil"/>
              <w:tr2bl w:val="nil"/>
            </w:tcBorders>
            <w:noWrap w:val="0"/>
            <w:vAlign w:val="top"/>
          </w:tcPr>
          <w:p w14:paraId="52BEDEF7">
            <w:pPr>
              <w:autoSpaceDE w:val="0"/>
              <w:autoSpaceDN w:val="0"/>
              <w:spacing w:before="98" w:line="228" w:lineRule="auto"/>
              <w:ind w:left="757"/>
              <w:rPr>
                <w:rFonts w:ascii="宋体" w:hAnsi="宋体" w:eastAsia="宋体" w:cs="宋体"/>
                <w:color w:val="auto"/>
                <w:sz w:val="21"/>
                <w:szCs w:val="21"/>
              </w:rPr>
            </w:pPr>
            <w:r>
              <w:rPr>
                <w:rFonts w:ascii="宋体" w:hAnsi="宋体" w:eastAsia="宋体" w:cs="宋体"/>
                <w:color w:val="auto"/>
                <w:spacing w:val="9"/>
                <w:sz w:val="21"/>
                <w:szCs w:val="21"/>
              </w:rPr>
              <w:t>地</w:t>
            </w:r>
            <w:r>
              <w:rPr>
                <w:rFonts w:ascii="宋体" w:hAnsi="宋体" w:eastAsia="宋体" w:cs="宋体"/>
                <w:color w:val="auto"/>
                <w:spacing w:val="8"/>
                <w:sz w:val="21"/>
                <w:szCs w:val="21"/>
              </w:rPr>
              <w:t>形数据精度</w:t>
            </w:r>
          </w:p>
        </w:tc>
        <w:tc>
          <w:tcPr>
            <w:tcW w:w="1675" w:type="pct"/>
            <w:tcBorders>
              <w:tl2br w:val="nil"/>
              <w:tr2bl w:val="nil"/>
            </w:tcBorders>
            <w:noWrap w:val="0"/>
            <w:vAlign w:val="top"/>
          </w:tcPr>
          <w:p w14:paraId="4FE46C7E">
            <w:pPr>
              <w:autoSpaceDE w:val="0"/>
              <w:autoSpaceDN w:val="0"/>
              <w:spacing w:before="67" w:line="274" w:lineRule="exact"/>
              <w:ind w:left="1360"/>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position w:val="1"/>
                <w:sz w:val="21"/>
                <w:szCs w:val="21"/>
              </w:rPr>
              <w:t>/</w:t>
            </w:r>
          </w:p>
        </w:tc>
      </w:tr>
    </w:tbl>
    <w:p w14:paraId="1AFE7754">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p>
    <w:p w14:paraId="4836B845">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w:t>
      </w:r>
      <w:r>
        <w:rPr>
          <w:rFonts w:hint="eastAsia" w:cs="Times New Roman"/>
          <w:b/>
          <w:bCs/>
          <w:color w:val="auto"/>
          <w:kern w:val="0"/>
          <w:sz w:val="21"/>
          <w:szCs w:val="21"/>
          <w:lang w:val="en-US" w:eastAsia="zh-CN" w:bidi="ar"/>
        </w:rPr>
        <w:t>7</w:t>
      </w:r>
      <w:r>
        <w:rPr>
          <w:rFonts w:hint="default" w:ascii="Times New Roman" w:hAnsi="Times New Roman" w:cs="Times New Roman"/>
          <w:b/>
          <w:bCs/>
          <w:color w:val="auto"/>
          <w:kern w:val="0"/>
          <w:sz w:val="21"/>
          <w:szCs w:val="21"/>
          <w:lang w:val="en-US" w:eastAsia="zh-CN" w:bidi="ar"/>
        </w:rPr>
        <w:t>-3</w:t>
      </w:r>
      <w:r>
        <w:rPr>
          <w:rFonts w:hint="default" w:ascii="Times New Roman" w:hAnsi="Times New Roman" w:eastAsia="宋体" w:cs="Times New Roman"/>
          <w:b/>
          <w:bCs/>
          <w:color w:val="auto"/>
          <w:kern w:val="0"/>
          <w:sz w:val="21"/>
          <w:szCs w:val="21"/>
          <w:lang w:val="en-US" w:eastAsia="zh-CN" w:bidi="ar"/>
        </w:rPr>
        <w:t xml:space="preserve">  危险物质毒性终点浓度一览表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1488"/>
        <w:gridCol w:w="2889"/>
        <w:gridCol w:w="2733"/>
      </w:tblGrid>
      <w:tr w14:paraId="4C7A4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26" w:type="pct"/>
            <w:noWrap w:val="0"/>
            <w:vAlign w:val="center"/>
          </w:tcPr>
          <w:p w14:paraId="5AECCD35">
            <w:pPr>
              <w:widowControl/>
              <w:adjustRightInd/>
              <w:snapToGrid/>
              <w:spacing w:line="240" w:lineRule="auto"/>
              <w:ind w:firstLine="0" w:firstLineChars="0"/>
              <w:jc w:val="center"/>
              <w:textAlignment w:val="auto"/>
              <w:rPr>
                <w:rFonts w:hint="default" w:ascii="Times New Roman" w:hAnsi="Times New Roman" w:eastAsia="宋体" w:cs="Times New Roman"/>
                <w:b/>
                <w:bCs/>
                <w:snapToGrid/>
                <w:color w:val="auto"/>
                <w:sz w:val="21"/>
                <w:szCs w:val="21"/>
                <w:lang w:val="en-US" w:eastAsia="zh-CN" w:bidi="ar-SA"/>
              </w:rPr>
            </w:pPr>
            <w:r>
              <w:rPr>
                <w:rFonts w:hint="default" w:ascii="Times New Roman" w:hAnsi="Times New Roman" w:cs="Times New Roman"/>
                <w:b/>
                <w:bCs/>
                <w:snapToGrid/>
                <w:color w:val="auto"/>
                <w:sz w:val="21"/>
                <w:szCs w:val="21"/>
              </w:rPr>
              <w:t>名称</w:t>
            </w:r>
          </w:p>
        </w:tc>
        <w:tc>
          <w:tcPr>
            <w:tcW w:w="873" w:type="pct"/>
            <w:noWrap w:val="0"/>
            <w:vAlign w:val="center"/>
          </w:tcPr>
          <w:p w14:paraId="3C79EE45">
            <w:pPr>
              <w:widowControl/>
              <w:adjustRightInd/>
              <w:snapToGrid/>
              <w:spacing w:line="240" w:lineRule="auto"/>
              <w:ind w:firstLine="0" w:firstLineChars="0"/>
              <w:jc w:val="center"/>
              <w:textAlignment w:val="auto"/>
              <w:rPr>
                <w:rFonts w:hint="default" w:ascii="Times New Roman" w:hAnsi="Times New Roman" w:eastAsia="宋体" w:cs="Times New Roman"/>
                <w:b/>
                <w:bCs/>
                <w:snapToGrid/>
                <w:color w:val="auto"/>
                <w:sz w:val="21"/>
                <w:szCs w:val="21"/>
                <w:lang w:val="en-US" w:eastAsia="zh-CN" w:bidi="ar-SA"/>
              </w:rPr>
            </w:pPr>
            <w:r>
              <w:rPr>
                <w:rFonts w:hint="default" w:ascii="Times New Roman" w:hAnsi="Times New Roman" w:cs="Times New Roman"/>
                <w:b/>
                <w:bCs/>
                <w:snapToGrid/>
                <w:color w:val="auto"/>
                <w:sz w:val="21"/>
                <w:szCs w:val="21"/>
                <w:lang w:val="en-US" w:eastAsia="zh-CN"/>
              </w:rPr>
              <w:t>CAS号</w:t>
            </w:r>
          </w:p>
        </w:tc>
        <w:tc>
          <w:tcPr>
            <w:tcW w:w="1695" w:type="pct"/>
            <w:noWrap w:val="0"/>
            <w:vAlign w:val="center"/>
          </w:tcPr>
          <w:p w14:paraId="36CB7632">
            <w:pPr>
              <w:widowControl/>
              <w:adjustRightInd/>
              <w:snapToGrid/>
              <w:spacing w:line="240" w:lineRule="auto"/>
              <w:ind w:firstLine="0" w:firstLineChars="0"/>
              <w:jc w:val="center"/>
              <w:textAlignment w:val="auto"/>
              <w:rPr>
                <w:rFonts w:hint="default" w:ascii="Times New Roman" w:hAnsi="Times New Roman" w:eastAsia="宋体" w:cs="Times New Roman"/>
                <w:b/>
                <w:bCs/>
                <w:snapToGrid/>
                <w:color w:val="auto"/>
                <w:sz w:val="21"/>
                <w:szCs w:val="21"/>
                <w:lang w:val="en-US" w:eastAsia="zh-CN" w:bidi="ar-SA"/>
              </w:rPr>
            </w:pPr>
            <w:r>
              <w:rPr>
                <w:rFonts w:hint="default" w:ascii="Times New Roman" w:hAnsi="Times New Roman" w:cs="Times New Roman"/>
                <w:b/>
                <w:bCs/>
                <w:snapToGrid/>
                <w:color w:val="auto"/>
                <w:sz w:val="21"/>
                <w:szCs w:val="21"/>
                <w:lang w:val="en-US" w:eastAsia="zh-CN"/>
              </w:rPr>
              <w:t>大气毒性终点浓度-1（mg/m</w:t>
            </w:r>
            <w:r>
              <w:rPr>
                <w:rFonts w:hint="default" w:ascii="Times New Roman" w:hAnsi="Times New Roman" w:cs="Times New Roman"/>
                <w:b/>
                <w:bCs/>
                <w:snapToGrid/>
                <w:color w:val="auto"/>
                <w:sz w:val="21"/>
                <w:szCs w:val="21"/>
                <w:vertAlign w:val="superscript"/>
                <w:lang w:val="en-US" w:eastAsia="zh-CN"/>
              </w:rPr>
              <w:t>3</w:t>
            </w:r>
            <w:r>
              <w:rPr>
                <w:rFonts w:hint="default" w:ascii="Times New Roman" w:hAnsi="Times New Roman" w:cs="Times New Roman"/>
                <w:b/>
                <w:bCs/>
                <w:snapToGrid/>
                <w:color w:val="auto"/>
                <w:sz w:val="21"/>
                <w:szCs w:val="21"/>
                <w:lang w:val="en-US" w:eastAsia="zh-CN"/>
              </w:rPr>
              <w:t>）</w:t>
            </w:r>
          </w:p>
        </w:tc>
        <w:tc>
          <w:tcPr>
            <w:tcW w:w="1603" w:type="pct"/>
            <w:noWrap w:val="0"/>
            <w:vAlign w:val="center"/>
          </w:tcPr>
          <w:p w14:paraId="6345574E">
            <w:pPr>
              <w:widowControl/>
              <w:adjustRightInd/>
              <w:snapToGrid/>
              <w:spacing w:line="240" w:lineRule="auto"/>
              <w:ind w:firstLine="0" w:firstLineChars="0"/>
              <w:jc w:val="center"/>
              <w:textAlignment w:val="auto"/>
              <w:rPr>
                <w:rFonts w:hint="default" w:ascii="Times New Roman" w:hAnsi="Times New Roman" w:eastAsia="宋体" w:cs="Times New Roman"/>
                <w:b/>
                <w:bCs/>
                <w:snapToGrid/>
                <w:color w:val="auto"/>
                <w:sz w:val="21"/>
                <w:szCs w:val="21"/>
                <w:lang w:val="en-US" w:eastAsia="zh-CN" w:bidi="ar-SA"/>
              </w:rPr>
            </w:pPr>
            <w:r>
              <w:rPr>
                <w:rFonts w:hint="default" w:ascii="Times New Roman" w:hAnsi="Times New Roman" w:cs="Times New Roman"/>
                <w:b/>
                <w:bCs/>
                <w:snapToGrid/>
                <w:color w:val="auto"/>
                <w:sz w:val="21"/>
                <w:szCs w:val="21"/>
                <w:lang w:val="en-US" w:eastAsia="zh-CN"/>
              </w:rPr>
              <w:t>大气毒性终点浓度-2（mg/m</w:t>
            </w:r>
            <w:r>
              <w:rPr>
                <w:rFonts w:hint="default" w:ascii="Times New Roman" w:hAnsi="Times New Roman" w:cs="Times New Roman"/>
                <w:b/>
                <w:bCs/>
                <w:snapToGrid/>
                <w:color w:val="auto"/>
                <w:sz w:val="21"/>
                <w:szCs w:val="21"/>
                <w:vertAlign w:val="superscript"/>
                <w:lang w:val="en-US" w:eastAsia="zh-CN"/>
              </w:rPr>
              <w:t>3</w:t>
            </w:r>
            <w:r>
              <w:rPr>
                <w:rFonts w:hint="default" w:ascii="Times New Roman" w:hAnsi="Times New Roman" w:cs="Times New Roman"/>
                <w:b/>
                <w:bCs/>
                <w:snapToGrid/>
                <w:color w:val="auto"/>
                <w:sz w:val="21"/>
                <w:szCs w:val="21"/>
                <w:lang w:val="en-US" w:eastAsia="zh-CN"/>
              </w:rPr>
              <w:t>）</w:t>
            </w:r>
          </w:p>
        </w:tc>
      </w:tr>
      <w:tr w14:paraId="13AB3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26" w:type="pct"/>
            <w:noWrap w:val="0"/>
            <w:vAlign w:val="center"/>
          </w:tcPr>
          <w:p w14:paraId="19A0CF41">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bookmarkStart w:id="571" w:name="OLE_LINK117" w:colFirst="0" w:colLast="0"/>
            <w:r>
              <w:rPr>
                <w:rFonts w:hint="default" w:ascii="Times New Roman" w:hAnsi="Times New Roman" w:cs="Times New Roman"/>
                <w:i w:val="0"/>
                <w:snapToGrid w:val="0"/>
                <w:color w:val="auto"/>
                <w:kern w:val="0"/>
                <w:sz w:val="21"/>
                <w:szCs w:val="21"/>
                <w:highlight w:val="none"/>
                <w:u w:val="none"/>
                <w:lang w:val="en-US" w:eastAsia="zh-CN" w:bidi="ar"/>
              </w:rPr>
              <w:t>NO</w:t>
            </w:r>
            <w:r>
              <w:rPr>
                <w:rFonts w:hint="default" w:ascii="Times New Roman" w:hAnsi="Times New Roman" w:cs="Times New Roman"/>
                <w:i w:val="0"/>
                <w:snapToGrid w:val="0"/>
                <w:color w:val="auto"/>
                <w:kern w:val="0"/>
                <w:sz w:val="21"/>
                <w:szCs w:val="21"/>
                <w:highlight w:val="none"/>
                <w:u w:val="none"/>
                <w:vertAlign w:val="subscript"/>
                <w:lang w:val="en-US" w:eastAsia="zh-CN" w:bidi="ar"/>
              </w:rPr>
              <w:t>2</w:t>
            </w:r>
          </w:p>
        </w:tc>
        <w:tc>
          <w:tcPr>
            <w:tcW w:w="873" w:type="pct"/>
            <w:noWrap/>
            <w:vAlign w:val="center"/>
          </w:tcPr>
          <w:p w14:paraId="7CD81A7A">
            <w:pPr>
              <w:widowControl/>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default" w:ascii="Times New Roman" w:hAnsi="Times New Roman" w:cs="Times New Roman"/>
                <w:i w:val="0"/>
                <w:snapToGrid w:val="0"/>
                <w:color w:val="auto"/>
                <w:kern w:val="0"/>
                <w:sz w:val="21"/>
                <w:szCs w:val="21"/>
                <w:highlight w:val="none"/>
                <w:u w:val="none"/>
                <w:lang w:val="en-US" w:eastAsia="zh-CN" w:bidi="ar"/>
              </w:rPr>
              <w:t>10102-44-0</w:t>
            </w:r>
          </w:p>
        </w:tc>
        <w:tc>
          <w:tcPr>
            <w:tcW w:w="1695" w:type="pct"/>
            <w:noWrap/>
            <w:vAlign w:val="center"/>
          </w:tcPr>
          <w:p w14:paraId="507655AD">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sz w:val="21"/>
                <w:szCs w:val="21"/>
                <w:highlight w:val="none"/>
                <w:lang w:val="en-US" w:eastAsia="zh-CN"/>
              </w:rPr>
              <w:t>38</w:t>
            </w:r>
          </w:p>
        </w:tc>
        <w:tc>
          <w:tcPr>
            <w:tcW w:w="1603" w:type="pct"/>
            <w:noWrap/>
            <w:vAlign w:val="center"/>
          </w:tcPr>
          <w:p w14:paraId="21E05053">
            <w:pPr>
              <w:widowControl/>
              <w:adjustRightInd/>
              <w:snapToGrid/>
              <w:spacing w:line="240" w:lineRule="auto"/>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napToGrid/>
                <w:color w:val="auto"/>
                <w:sz w:val="21"/>
                <w:szCs w:val="21"/>
                <w:highlight w:val="none"/>
                <w:lang w:val="en-US" w:eastAsia="zh-CN"/>
              </w:rPr>
              <w:t>23</w:t>
            </w:r>
          </w:p>
        </w:tc>
      </w:tr>
      <w:bookmarkEnd w:id="571"/>
    </w:tbl>
    <w:p w14:paraId="410DAEFC">
      <w:pPr>
        <w:shd w:val="clear" w:color="auto" w:fill="auto"/>
        <w:spacing w:line="360" w:lineRule="auto"/>
        <w:ind w:firstLine="480"/>
        <w:outlineLvl w:val="9"/>
        <w:rPr>
          <w:rFonts w:hint="default" w:ascii="Times New Roman" w:hAnsi="Times New Roman" w:cs="Times New Roman"/>
          <w:b/>
          <w:bCs/>
          <w:color w:val="auto"/>
          <w:sz w:val="24"/>
          <w:szCs w:val="24"/>
          <w:highlight w:val="none"/>
          <w:lang w:val="en-US" w:eastAsia="zh-CN"/>
        </w:rPr>
      </w:pPr>
      <w:bookmarkStart w:id="572" w:name="_Toc25038"/>
      <w:r>
        <w:rPr>
          <w:rFonts w:hint="default" w:ascii="Times New Roman" w:hAnsi="Times New Roman" w:cs="Times New Roman"/>
          <w:b/>
          <w:bCs/>
          <w:color w:val="auto"/>
          <w:sz w:val="24"/>
          <w:szCs w:val="24"/>
          <w:highlight w:val="none"/>
          <w:lang w:val="en-US" w:eastAsia="zh-CN"/>
        </w:rPr>
        <w:t>（4）预测结果分析</w:t>
      </w:r>
      <w:bookmarkEnd w:id="572"/>
    </w:p>
    <w:p w14:paraId="65756BB5">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bookmarkStart w:id="573" w:name="OLE_LINK312"/>
      <w:r>
        <w:rPr>
          <w:rFonts w:hint="default" w:ascii="Times New Roman" w:hAnsi="Times New Roman" w:eastAsia="宋体" w:cs="Times New Roman"/>
          <w:b/>
          <w:bCs/>
          <w:color w:val="auto"/>
          <w:kern w:val="0"/>
          <w:sz w:val="21"/>
          <w:szCs w:val="21"/>
          <w:lang w:val="en-US" w:eastAsia="zh-CN" w:bidi="ar"/>
        </w:rPr>
        <w:t>表</w:t>
      </w:r>
      <w:r>
        <w:rPr>
          <w:rFonts w:hint="eastAsia" w:cs="Times New Roman"/>
          <w:b/>
          <w:bCs/>
          <w:color w:val="auto"/>
          <w:kern w:val="0"/>
          <w:sz w:val="21"/>
          <w:szCs w:val="21"/>
          <w:lang w:val="en-US" w:eastAsia="zh-CN" w:bidi="ar"/>
        </w:rPr>
        <w:t>7</w:t>
      </w:r>
      <w:r>
        <w:rPr>
          <w:rFonts w:hint="default" w:ascii="Times New Roman" w:hAnsi="Times New Roman" w:cs="Times New Roman"/>
          <w:b/>
          <w:bCs/>
          <w:color w:val="auto"/>
          <w:kern w:val="0"/>
          <w:sz w:val="21"/>
          <w:szCs w:val="21"/>
          <w:lang w:val="en-US" w:eastAsia="zh-CN" w:bidi="ar"/>
        </w:rPr>
        <w:t>-4</w:t>
      </w:r>
      <w:r>
        <w:rPr>
          <w:rFonts w:hint="default" w:ascii="Times New Roman" w:hAnsi="Times New Roman" w:eastAsia="宋体" w:cs="Times New Roman"/>
          <w:b/>
          <w:bCs/>
          <w:color w:val="auto"/>
          <w:kern w:val="0"/>
          <w:sz w:val="21"/>
          <w:szCs w:val="21"/>
          <w:lang w:val="en-US" w:eastAsia="zh-CN" w:bidi="ar"/>
        </w:rPr>
        <w:t xml:space="preserve">  </w:t>
      </w:r>
      <w:bookmarkEnd w:id="573"/>
      <w:r>
        <w:rPr>
          <w:rFonts w:hint="default" w:ascii="Times New Roman" w:hAnsi="Times New Roman" w:eastAsia="宋体" w:cs="Times New Roman"/>
          <w:b/>
          <w:bCs/>
          <w:color w:val="auto"/>
          <w:kern w:val="0"/>
          <w:sz w:val="21"/>
          <w:szCs w:val="21"/>
          <w:lang w:val="en-US" w:eastAsia="zh-CN" w:bidi="ar"/>
        </w:rPr>
        <w:t>轴线各点NO</w:t>
      </w:r>
      <w:r>
        <w:rPr>
          <w:rFonts w:hint="default" w:ascii="Times New Roman" w:hAnsi="Times New Roman" w:eastAsia="宋体" w:cs="Times New Roman"/>
          <w:b/>
          <w:bCs/>
          <w:color w:val="auto"/>
          <w:kern w:val="0"/>
          <w:sz w:val="21"/>
          <w:szCs w:val="21"/>
          <w:vertAlign w:val="subscript"/>
          <w:lang w:val="en-US" w:eastAsia="zh-CN" w:bidi="ar"/>
        </w:rPr>
        <w:t>2</w:t>
      </w:r>
      <w:r>
        <w:rPr>
          <w:rFonts w:hint="default" w:ascii="Times New Roman" w:hAnsi="Times New Roman" w:eastAsia="宋体" w:cs="Times New Roman"/>
          <w:b/>
          <w:bCs/>
          <w:color w:val="auto"/>
          <w:kern w:val="0"/>
          <w:sz w:val="21"/>
          <w:szCs w:val="21"/>
          <w:lang w:val="en-US" w:eastAsia="zh-CN" w:bidi="ar"/>
        </w:rPr>
        <w:t>的最大浓度及出现时刻</w:t>
      </w:r>
    </w:p>
    <w:tbl>
      <w:tblPr>
        <w:tblStyle w:val="85"/>
        <w:tblW w:w="500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82"/>
        <w:gridCol w:w="1382"/>
        <w:gridCol w:w="1382"/>
        <w:gridCol w:w="1387"/>
        <w:gridCol w:w="1390"/>
        <w:gridCol w:w="1390"/>
      </w:tblGrid>
      <w:tr w14:paraId="04BA53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831" w:type="pct"/>
            <w:noWrap w:val="0"/>
            <w:vAlign w:val="center"/>
          </w:tcPr>
          <w:p w14:paraId="314F9404">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距离 (m )</w:t>
            </w:r>
          </w:p>
        </w:tc>
        <w:tc>
          <w:tcPr>
            <w:tcW w:w="831" w:type="pct"/>
            <w:noWrap w:val="0"/>
            <w:vAlign w:val="center"/>
          </w:tcPr>
          <w:p w14:paraId="79503015">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浓度出现时</w:t>
            </w:r>
          </w:p>
          <w:p w14:paraId="091990C3">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间(min)</w:t>
            </w:r>
          </w:p>
        </w:tc>
        <w:tc>
          <w:tcPr>
            <w:tcW w:w="831" w:type="pct"/>
            <w:noWrap w:val="0"/>
            <w:vAlign w:val="center"/>
          </w:tcPr>
          <w:p w14:paraId="5D807190">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高峰浓度</w:t>
            </w:r>
          </w:p>
          <w:p w14:paraId="1A66DDEB">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(mg/m</w:t>
            </w:r>
            <w:r>
              <w:rPr>
                <w:rFonts w:hint="default" w:ascii="Times New Roman" w:hAnsi="Times New Roman" w:cs="Times New Roman"/>
                <w:b/>
                <w:bCs/>
                <w:color w:val="auto"/>
                <w:sz w:val="21"/>
                <w:szCs w:val="21"/>
                <w:highlight w:val="none"/>
                <w:vertAlign w:val="superscript"/>
                <w:lang w:val="en-US" w:eastAsia="zh-CN"/>
              </w:rPr>
              <w:t>3</w:t>
            </w:r>
            <w:r>
              <w:rPr>
                <w:rFonts w:hint="default" w:ascii="Times New Roman" w:hAnsi="Times New Roman" w:cs="Times New Roman"/>
                <w:b/>
                <w:bCs/>
                <w:color w:val="auto"/>
                <w:sz w:val="21"/>
                <w:szCs w:val="21"/>
                <w:highlight w:val="none"/>
                <w:lang w:val="en-US" w:eastAsia="zh-CN"/>
              </w:rPr>
              <w:t>)</w:t>
            </w:r>
          </w:p>
        </w:tc>
        <w:tc>
          <w:tcPr>
            <w:tcW w:w="834" w:type="pct"/>
            <w:noWrap w:val="0"/>
            <w:vAlign w:val="center"/>
          </w:tcPr>
          <w:p w14:paraId="2341004C">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距离 (m )</w:t>
            </w:r>
          </w:p>
        </w:tc>
        <w:tc>
          <w:tcPr>
            <w:tcW w:w="835" w:type="pct"/>
            <w:noWrap w:val="0"/>
            <w:vAlign w:val="center"/>
          </w:tcPr>
          <w:p w14:paraId="27ADEB9C">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浓度出现时</w:t>
            </w:r>
          </w:p>
          <w:p w14:paraId="2E00193C">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间(min)</w:t>
            </w:r>
          </w:p>
        </w:tc>
        <w:tc>
          <w:tcPr>
            <w:tcW w:w="835" w:type="pct"/>
            <w:noWrap w:val="0"/>
            <w:vAlign w:val="center"/>
          </w:tcPr>
          <w:p w14:paraId="44E5FBF0">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高峰浓度</w:t>
            </w:r>
          </w:p>
          <w:p w14:paraId="4D5DB663">
            <w:pPr>
              <w:shd w:val="clear" w:color="auto" w:fill="auto"/>
              <w:autoSpaceDE w:val="0"/>
              <w:autoSpaceDN w:val="0"/>
              <w:spacing w:line="240" w:lineRule="auto"/>
              <w:ind w:firstLine="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(mg/m</w:t>
            </w:r>
            <w:r>
              <w:rPr>
                <w:rFonts w:hint="eastAsia" w:cs="Times New Roman"/>
                <w:b/>
                <w:bCs/>
                <w:color w:val="auto"/>
                <w:sz w:val="21"/>
                <w:szCs w:val="21"/>
                <w:highlight w:val="none"/>
                <w:vertAlign w:val="superscript"/>
                <w:lang w:val="en-US" w:eastAsia="zh-CN"/>
              </w:rPr>
              <w:t>3</w:t>
            </w:r>
            <w:r>
              <w:rPr>
                <w:rFonts w:hint="default" w:ascii="Times New Roman" w:hAnsi="Times New Roman" w:cs="Times New Roman"/>
                <w:b/>
                <w:bCs/>
                <w:color w:val="auto"/>
                <w:sz w:val="21"/>
                <w:szCs w:val="21"/>
                <w:highlight w:val="none"/>
                <w:lang w:val="en-US" w:eastAsia="zh-CN"/>
              </w:rPr>
              <w:t>)</w:t>
            </w:r>
          </w:p>
        </w:tc>
      </w:tr>
      <w:tr w14:paraId="750D84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31" w:type="pct"/>
            <w:noWrap w:val="0"/>
            <w:vAlign w:val="center"/>
          </w:tcPr>
          <w:p w14:paraId="78E42A0D">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10</w:t>
            </w:r>
          </w:p>
        </w:tc>
        <w:tc>
          <w:tcPr>
            <w:tcW w:w="831" w:type="pct"/>
            <w:noWrap w:val="0"/>
            <w:vAlign w:val="center"/>
          </w:tcPr>
          <w:p w14:paraId="30D5C660">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0.7317</w:t>
            </w:r>
          </w:p>
        </w:tc>
        <w:tc>
          <w:tcPr>
            <w:tcW w:w="831" w:type="pct"/>
            <w:noWrap w:val="0"/>
            <w:vAlign w:val="center"/>
          </w:tcPr>
          <w:p w14:paraId="62C82696">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2762.7</w:t>
            </w:r>
          </w:p>
        </w:tc>
        <w:tc>
          <w:tcPr>
            <w:tcW w:w="834" w:type="pct"/>
            <w:shd w:val="clear" w:color="auto" w:fill="auto"/>
            <w:noWrap w:val="0"/>
            <w:vAlign w:val="center"/>
          </w:tcPr>
          <w:p w14:paraId="4444D8EB">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1010</w:t>
            </w:r>
          </w:p>
        </w:tc>
        <w:tc>
          <w:tcPr>
            <w:tcW w:w="835" w:type="pct"/>
            <w:shd w:val="clear" w:color="auto" w:fill="auto"/>
            <w:noWrap w:val="0"/>
            <w:vAlign w:val="center"/>
          </w:tcPr>
          <w:p w14:paraId="11797045">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18.661</w:t>
            </w:r>
          </w:p>
        </w:tc>
        <w:tc>
          <w:tcPr>
            <w:tcW w:w="835" w:type="pct"/>
            <w:shd w:val="clear" w:color="auto" w:fill="auto"/>
            <w:noWrap w:val="0"/>
            <w:vAlign w:val="center"/>
          </w:tcPr>
          <w:p w14:paraId="21941466">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19.776</w:t>
            </w:r>
          </w:p>
        </w:tc>
      </w:tr>
      <w:tr w14:paraId="152BB4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31" w:type="pct"/>
            <w:noWrap w:val="0"/>
            <w:vAlign w:val="center"/>
          </w:tcPr>
          <w:p w14:paraId="51995DE7">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60</w:t>
            </w:r>
          </w:p>
        </w:tc>
        <w:tc>
          <w:tcPr>
            <w:tcW w:w="831" w:type="pct"/>
            <w:noWrap w:val="0"/>
            <w:vAlign w:val="center"/>
          </w:tcPr>
          <w:p w14:paraId="44F6B3C5">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2.5766</w:t>
            </w:r>
          </w:p>
        </w:tc>
        <w:tc>
          <w:tcPr>
            <w:tcW w:w="831" w:type="pct"/>
            <w:noWrap w:val="0"/>
            <w:vAlign w:val="center"/>
          </w:tcPr>
          <w:p w14:paraId="313AA19C">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571.52</w:t>
            </w:r>
          </w:p>
        </w:tc>
        <w:tc>
          <w:tcPr>
            <w:tcW w:w="834" w:type="pct"/>
            <w:shd w:val="clear" w:color="auto" w:fill="auto"/>
            <w:noWrap w:val="0"/>
            <w:vAlign w:val="center"/>
          </w:tcPr>
          <w:p w14:paraId="5AEA8745">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1510</w:t>
            </w:r>
          </w:p>
        </w:tc>
        <w:tc>
          <w:tcPr>
            <w:tcW w:w="835" w:type="pct"/>
            <w:shd w:val="clear" w:color="auto" w:fill="auto"/>
            <w:noWrap w:val="0"/>
            <w:vAlign w:val="center"/>
          </w:tcPr>
          <w:p w14:paraId="170533F2">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24.995</w:t>
            </w:r>
          </w:p>
        </w:tc>
        <w:tc>
          <w:tcPr>
            <w:tcW w:w="835" w:type="pct"/>
            <w:shd w:val="clear" w:color="auto" w:fill="auto"/>
            <w:noWrap w:val="0"/>
            <w:vAlign w:val="center"/>
          </w:tcPr>
          <w:p w14:paraId="1613AC50">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9.907</w:t>
            </w:r>
          </w:p>
        </w:tc>
      </w:tr>
      <w:tr w14:paraId="56623C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831" w:type="pct"/>
            <w:noWrap w:val="0"/>
            <w:vAlign w:val="center"/>
          </w:tcPr>
          <w:p w14:paraId="45070122">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110</w:t>
            </w:r>
          </w:p>
        </w:tc>
        <w:tc>
          <w:tcPr>
            <w:tcW w:w="831" w:type="pct"/>
            <w:noWrap w:val="0"/>
            <w:vAlign w:val="center"/>
          </w:tcPr>
          <w:p w14:paraId="514A23B0">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3.9240</w:t>
            </w:r>
          </w:p>
        </w:tc>
        <w:tc>
          <w:tcPr>
            <w:tcW w:w="831" w:type="pct"/>
            <w:noWrap w:val="0"/>
            <w:vAlign w:val="center"/>
          </w:tcPr>
          <w:p w14:paraId="2B2228F8">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309.96</w:t>
            </w:r>
          </w:p>
        </w:tc>
        <w:tc>
          <w:tcPr>
            <w:tcW w:w="834" w:type="pct"/>
            <w:shd w:val="clear" w:color="auto" w:fill="auto"/>
            <w:noWrap w:val="0"/>
            <w:vAlign w:val="center"/>
          </w:tcPr>
          <w:p w14:paraId="61F97817">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2010</w:t>
            </w:r>
          </w:p>
        </w:tc>
        <w:tc>
          <w:tcPr>
            <w:tcW w:w="835" w:type="pct"/>
            <w:shd w:val="clear" w:color="auto" w:fill="auto"/>
            <w:noWrap w:val="0"/>
            <w:vAlign w:val="center"/>
          </w:tcPr>
          <w:p w14:paraId="7577944E">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30.845</w:t>
            </w:r>
          </w:p>
        </w:tc>
        <w:tc>
          <w:tcPr>
            <w:tcW w:w="835" w:type="pct"/>
            <w:shd w:val="clear" w:color="auto" w:fill="auto"/>
            <w:noWrap w:val="0"/>
            <w:vAlign w:val="center"/>
          </w:tcPr>
          <w:p w14:paraId="3D784B32">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5.849</w:t>
            </w:r>
          </w:p>
        </w:tc>
      </w:tr>
      <w:tr w14:paraId="64DFD2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31" w:type="pct"/>
            <w:noWrap w:val="0"/>
            <w:vAlign w:val="center"/>
          </w:tcPr>
          <w:p w14:paraId="7E1EA8FB">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310</w:t>
            </w:r>
          </w:p>
        </w:tc>
        <w:tc>
          <w:tcPr>
            <w:tcW w:w="831" w:type="pct"/>
            <w:noWrap w:val="0"/>
            <w:vAlign w:val="center"/>
          </w:tcPr>
          <w:p w14:paraId="2C384E57">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8.0640</w:t>
            </w:r>
          </w:p>
        </w:tc>
        <w:tc>
          <w:tcPr>
            <w:tcW w:w="831" w:type="pct"/>
            <w:noWrap w:val="0"/>
            <w:vAlign w:val="center"/>
          </w:tcPr>
          <w:p w14:paraId="5895177C">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101.31</w:t>
            </w:r>
          </w:p>
        </w:tc>
        <w:tc>
          <w:tcPr>
            <w:tcW w:w="834" w:type="pct"/>
            <w:shd w:val="clear" w:color="auto" w:fill="auto"/>
            <w:noWrap w:val="0"/>
            <w:vAlign w:val="center"/>
          </w:tcPr>
          <w:p w14:paraId="54C6D85D">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2510</w:t>
            </w:r>
          </w:p>
        </w:tc>
        <w:tc>
          <w:tcPr>
            <w:tcW w:w="835" w:type="pct"/>
            <w:shd w:val="clear" w:color="auto" w:fill="auto"/>
            <w:noWrap w:val="0"/>
            <w:vAlign w:val="center"/>
          </w:tcPr>
          <w:p w14:paraId="2593188F">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36.368</w:t>
            </w:r>
          </w:p>
        </w:tc>
        <w:tc>
          <w:tcPr>
            <w:tcW w:w="835" w:type="pct"/>
            <w:shd w:val="clear" w:color="auto" w:fill="auto"/>
            <w:noWrap w:val="0"/>
            <w:vAlign w:val="center"/>
          </w:tcPr>
          <w:p w14:paraId="6F220E4F">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3.812</w:t>
            </w:r>
          </w:p>
        </w:tc>
      </w:tr>
      <w:tr w14:paraId="1E851B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31" w:type="pct"/>
            <w:noWrap w:val="0"/>
            <w:vAlign w:val="center"/>
          </w:tcPr>
          <w:p w14:paraId="066B223E">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410</w:t>
            </w:r>
          </w:p>
        </w:tc>
        <w:tc>
          <w:tcPr>
            <w:tcW w:w="831" w:type="pct"/>
            <w:noWrap w:val="0"/>
            <w:vAlign w:val="center"/>
          </w:tcPr>
          <w:p w14:paraId="4CE059E7">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9.8136</w:t>
            </w:r>
          </w:p>
        </w:tc>
        <w:tc>
          <w:tcPr>
            <w:tcW w:w="831" w:type="pct"/>
            <w:noWrap w:val="0"/>
            <w:vAlign w:val="center"/>
          </w:tcPr>
          <w:p w14:paraId="768A7482">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72.42</w:t>
            </w:r>
          </w:p>
        </w:tc>
        <w:tc>
          <w:tcPr>
            <w:tcW w:w="834" w:type="pct"/>
            <w:shd w:val="clear" w:color="auto" w:fill="auto"/>
            <w:noWrap w:val="0"/>
            <w:vAlign w:val="center"/>
          </w:tcPr>
          <w:p w14:paraId="7574EA7B">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3010</w:t>
            </w:r>
          </w:p>
        </w:tc>
        <w:tc>
          <w:tcPr>
            <w:tcW w:w="835" w:type="pct"/>
            <w:shd w:val="clear" w:color="auto" w:fill="auto"/>
            <w:noWrap w:val="0"/>
            <w:vAlign w:val="center"/>
          </w:tcPr>
          <w:p w14:paraId="0750F58B">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41.652</w:t>
            </w:r>
          </w:p>
        </w:tc>
        <w:tc>
          <w:tcPr>
            <w:tcW w:w="835" w:type="pct"/>
            <w:shd w:val="clear" w:color="auto" w:fill="auto"/>
            <w:noWrap w:val="0"/>
            <w:vAlign w:val="center"/>
          </w:tcPr>
          <w:p w14:paraId="13D7E3DA">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2.655</w:t>
            </w:r>
          </w:p>
        </w:tc>
      </w:tr>
      <w:tr w14:paraId="693BF8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31" w:type="pct"/>
            <w:noWrap w:val="0"/>
            <w:vAlign w:val="center"/>
          </w:tcPr>
          <w:p w14:paraId="01A8A506">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510</w:t>
            </w:r>
          </w:p>
        </w:tc>
        <w:tc>
          <w:tcPr>
            <w:tcW w:w="831" w:type="pct"/>
            <w:noWrap w:val="0"/>
            <w:vAlign w:val="center"/>
          </w:tcPr>
          <w:p w14:paraId="35A60231">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11.449</w:t>
            </w:r>
          </w:p>
        </w:tc>
        <w:tc>
          <w:tcPr>
            <w:tcW w:w="831" w:type="pct"/>
            <w:noWrap w:val="0"/>
            <w:vAlign w:val="center"/>
          </w:tcPr>
          <w:p w14:paraId="22D5B001">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54.748</w:t>
            </w:r>
          </w:p>
        </w:tc>
        <w:tc>
          <w:tcPr>
            <w:tcW w:w="834" w:type="pct"/>
            <w:shd w:val="clear" w:color="auto" w:fill="auto"/>
            <w:noWrap w:val="0"/>
            <w:vAlign w:val="center"/>
          </w:tcPr>
          <w:p w14:paraId="1B8B3525">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3510</w:t>
            </w:r>
          </w:p>
        </w:tc>
        <w:tc>
          <w:tcPr>
            <w:tcW w:w="835" w:type="pct"/>
            <w:shd w:val="clear" w:color="auto" w:fill="auto"/>
            <w:noWrap w:val="0"/>
            <w:vAlign w:val="center"/>
          </w:tcPr>
          <w:p w14:paraId="2F11AA18">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46.752</w:t>
            </w:r>
          </w:p>
        </w:tc>
        <w:tc>
          <w:tcPr>
            <w:tcW w:w="835" w:type="pct"/>
            <w:shd w:val="clear" w:color="auto" w:fill="auto"/>
            <w:noWrap w:val="0"/>
            <w:vAlign w:val="center"/>
          </w:tcPr>
          <w:p w14:paraId="363C0BFF">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1.943</w:t>
            </w:r>
          </w:p>
        </w:tc>
      </w:tr>
      <w:tr w14:paraId="70AC0A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831" w:type="pct"/>
            <w:noWrap w:val="0"/>
            <w:vAlign w:val="center"/>
          </w:tcPr>
          <w:p w14:paraId="4A1C4888">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610</w:t>
            </w:r>
          </w:p>
        </w:tc>
        <w:tc>
          <w:tcPr>
            <w:tcW w:w="831" w:type="pct"/>
            <w:noWrap w:val="0"/>
            <w:vAlign w:val="center"/>
          </w:tcPr>
          <w:p w14:paraId="542F6B23">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13.001</w:t>
            </w:r>
          </w:p>
        </w:tc>
        <w:tc>
          <w:tcPr>
            <w:tcW w:w="831" w:type="pct"/>
            <w:noWrap w:val="0"/>
            <w:vAlign w:val="center"/>
          </w:tcPr>
          <w:p w14:paraId="723B6C8C">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42.928</w:t>
            </w:r>
          </w:p>
        </w:tc>
        <w:tc>
          <w:tcPr>
            <w:tcW w:w="834" w:type="pct"/>
            <w:shd w:val="clear" w:color="auto" w:fill="auto"/>
            <w:noWrap w:val="0"/>
            <w:vAlign w:val="center"/>
          </w:tcPr>
          <w:p w14:paraId="2A7EA4F9">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4010</w:t>
            </w:r>
          </w:p>
        </w:tc>
        <w:tc>
          <w:tcPr>
            <w:tcW w:w="835" w:type="pct"/>
            <w:shd w:val="clear" w:color="auto" w:fill="auto"/>
            <w:noWrap w:val="0"/>
            <w:vAlign w:val="center"/>
          </w:tcPr>
          <w:p w14:paraId="42039541">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51.702</w:t>
            </w:r>
          </w:p>
        </w:tc>
        <w:tc>
          <w:tcPr>
            <w:tcW w:w="835" w:type="pct"/>
            <w:shd w:val="clear" w:color="auto" w:fill="auto"/>
            <w:noWrap w:val="0"/>
            <w:vAlign w:val="center"/>
          </w:tcPr>
          <w:p w14:paraId="61DC6433">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1.482</w:t>
            </w:r>
          </w:p>
        </w:tc>
      </w:tr>
      <w:tr w14:paraId="54F49D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831" w:type="pct"/>
            <w:noWrap w:val="0"/>
            <w:vAlign w:val="center"/>
          </w:tcPr>
          <w:p w14:paraId="7C3FD60A">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710</w:t>
            </w:r>
          </w:p>
        </w:tc>
        <w:tc>
          <w:tcPr>
            <w:tcW w:w="831" w:type="pct"/>
            <w:noWrap w:val="0"/>
            <w:vAlign w:val="center"/>
          </w:tcPr>
          <w:p w14:paraId="4EB5C67B">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14.487</w:t>
            </w:r>
          </w:p>
        </w:tc>
        <w:tc>
          <w:tcPr>
            <w:tcW w:w="831" w:type="pct"/>
            <w:noWrap w:val="0"/>
            <w:vAlign w:val="center"/>
          </w:tcPr>
          <w:p w14:paraId="4C1C70EC">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34.469</w:t>
            </w:r>
          </w:p>
        </w:tc>
        <w:tc>
          <w:tcPr>
            <w:tcW w:w="834" w:type="pct"/>
            <w:shd w:val="clear" w:color="auto" w:fill="auto"/>
            <w:noWrap w:val="0"/>
            <w:vAlign w:val="center"/>
          </w:tcPr>
          <w:p w14:paraId="57CC9219">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4510</w:t>
            </w:r>
          </w:p>
        </w:tc>
        <w:tc>
          <w:tcPr>
            <w:tcW w:w="835" w:type="pct"/>
            <w:shd w:val="clear" w:color="auto" w:fill="auto"/>
            <w:noWrap w:val="0"/>
            <w:vAlign w:val="center"/>
          </w:tcPr>
          <w:p w14:paraId="40B1B74A">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56.525</w:t>
            </w:r>
          </w:p>
        </w:tc>
        <w:tc>
          <w:tcPr>
            <w:tcW w:w="835" w:type="pct"/>
            <w:shd w:val="clear" w:color="auto" w:fill="auto"/>
            <w:noWrap w:val="0"/>
            <w:vAlign w:val="center"/>
          </w:tcPr>
          <w:p w14:paraId="76993B1E">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1.164</w:t>
            </w:r>
          </w:p>
        </w:tc>
      </w:tr>
      <w:tr w14:paraId="710C6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831" w:type="pct"/>
            <w:noWrap w:val="0"/>
            <w:vAlign w:val="center"/>
          </w:tcPr>
          <w:p w14:paraId="1C72BC58">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810</w:t>
            </w:r>
          </w:p>
        </w:tc>
        <w:tc>
          <w:tcPr>
            <w:tcW w:w="831" w:type="pct"/>
            <w:noWrap w:val="0"/>
            <w:vAlign w:val="center"/>
          </w:tcPr>
          <w:p w14:paraId="669FE41E">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15.921</w:t>
            </w:r>
          </w:p>
        </w:tc>
        <w:tc>
          <w:tcPr>
            <w:tcW w:w="831" w:type="pct"/>
            <w:noWrap w:val="0"/>
            <w:vAlign w:val="center"/>
          </w:tcPr>
          <w:p w14:paraId="6CEAA619">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28.230</w:t>
            </w:r>
          </w:p>
        </w:tc>
        <w:tc>
          <w:tcPr>
            <w:tcW w:w="834" w:type="pct"/>
            <w:shd w:val="clear" w:color="auto" w:fill="auto"/>
            <w:noWrap w:val="0"/>
            <w:vAlign w:val="center"/>
          </w:tcPr>
          <w:p w14:paraId="59064D87">
            <w:pPr>
              <w:widowControl/>
              <w:autoSpaceDE w:val="0"/>
              <w:autoSpaceDN w:val="0"/>
              <w:adjustRightInd/>
              <w:snapToGrid/>
              <w:spacing w:line="240" w:lineRule="auto"/>
              <w:ind w:firstLine="0" w:firstLineChars="0"/>
              <w:jc w:val="center"/>
              <w:textAlignment w:val="auto"/>
              <w:rPr>
                <w:rFonts w:hint="eastAsia"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5010</w:t>
            </w:r>
          </w:p>
        </w:tc>
        <w:tc>
          <w:tcPr>
            <w:tcW w:w="835" w:type="pct"/>
            <w:shd w:val="clear" w:color="auto" w:fill="auto"/>
            <w:noWrap w:val="0"/>
            <w:vAlign w:val="center"/>
          </w:tcPr>
          <w:p w14:paraId="75846B91">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61.243</w:t>
            </w:r>
          </w:p>
        </w:tc>
        <w:tc>
          <w:tcPr>
            <w:tcW w:w="835" w:type="pct"/>
            <w:shd w:val="clear" w:color="auto" w:fill="auto"/>
            <w:noWrap w:val="0"/>
            <w:vAlign w:val="center"/>
          </w:tcPr>
          <w:p w14:paraId="223C0B2B">
            <w:pPr>
              <w:widowControl/>
              <w:autoSpaceDE w:val="0"/>
              <w:autoSpaceDN w:val="0"/>
              <w:adjustRightInd/>
              <w:snapToGrid/>
              <w:spacing w:line="240" w:lineRule="auto"/>
              <w:ind w:firstLine="0" w:firstLineChars="0"/>
              <w:jc w:val="center"/>
              <w:textAlignment w:val="auto"/>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0.935</w:t>
            </w:r>
          </w:p>
        </w:tc>
      </w:tr>
      <w:tr w14:paraId="32958E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831" w:type="pct"/>
            <w:noWrap w:val="0"/>
            <w:vAlign w:val="center"/>
          </w:tcPr>
          <w:p w14:paraId="0B490D59">
            <w:pPr>
              <w:widowControl/>
              <w:autoSpaceDE w:val="0"/>
              <w:autoSpaceDN w:val="0"/>
              <w:adjustRightInd/>
              <w:snapToGrid/>
              <w:spacing w:line="240" w:lineRule="auto"/>
              <w:ind w:firstLine="0" w:firstLineChars="0"/>
              <w:jc w:val="center"/>
              <w:textAlignment w:val="auto"/>
              <w:rPr>
                <w:rFonts w:hint="eastAsia"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910</w:t>
            </w:r>
          </w:p>
        </w:tc>
        <w:tc>
          <w:tcPr>
            <w:tcW w:w="831" w:type="pct"/>
            <w:noWrap w:val="0"/>
            <w:vAlign w:val="center"/>
          </w:tcPr>
          <w:p w14:paraId="2757494F">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17.309</w:t>
            </w:r>
          </w:p>
        </w:tc>
        <w:tc>
          <w:tcPr>
            <w:tcW w:w="831" w:type="pct"/>
            <w:noWrap w:val="0"/>
            <w:vAlign w:val="center"/>
          </w:tcPr>
          <w:p w14:paraId="435A100F">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r>
              <w:rPr>
                <w:rFonts w:hint="eastAsia" w:ascii="Times New Roman" w:hAnsi="Times New Roman" w:cs="Times New Roman"/>
                <w:i w:val="0"/>
                <w:snapToGrid w:val="0"/>
                <w:color w:val="auto"/>
                <w:kern w:val="0"/>
                <w:sz w:val="21"/>
                <w:szCs w:val="21"/>
                <w:highlight w:val="none"/>
                <w:u w:val="none"/>
                <w:lang w:val="en-US" w:eastAsia="zh-CN" w:bidi="ar"/>
              </w:rPr>
              <w:t>23.519</w:t>
            </w:r>
          </w:p>
        </w:tc>
        <w:tc>
          <w:tcPr>
            <w:tcW w:w="834" w:type="pct"/>
            <w:noWrap w:val="0"/>
            <w:vAlign w:val="center"/>
          </w:tcPr>
          <w:p w14:paraId="45C36A76">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p>
        </w:tc>
        <w:tc>
          <w:tcPr>
            <w:tcW w:w="835" w:type="pct"/>
            <w:noWrap w:val="0"/>
            <w:vAlign w:val="center"/>
          </w:tcPr>
          <w:p w14:paraId="2F3BAC35">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p>
        </w:tc>
        <w:tc>
          <w:tcPr>
            <w:tcW w:w="835" w:type="pct"/>
            <w:noWrap w:val="0"/>
            <w:vAlign w:val="center"/>
          </w:tcPr>
          <w:p w14:paraId="35A52AE7">
            <w:pPr>
              <w:widowControl/>
              <w:autoSpaceDE w:val="0"/>
              <w:autoSpaceDN w:val="0"/>
              <w:adjustRightInd/>
              <w:snapToGrid/>
              <w:spacing w:line="240" w:lineRule="auto"/>
              <w:ind w:firstLine="0" w:firstLineChars="0"/>
              <w:jc w:val="center"/>
              <w:textAlignment w:val="auto"/>
              <w:rPr>
                <w:rFonts w:hint="default" w:ascii="Times New Roman" w:hAnsi="Times New Roman" w:cs="Times New Roman"/>
                <w:i w:val="0"/>
                <w:snapToGrid w:val="0"/>
                <w:color w:val="auto"/>
                <w:kern w:val="0"/>
                <w:sz w:val="21"/>
                <w:szCs w:val="21"/>
                <w:highlight w:val="none"/>
                <w:u w:val="none"/>
                <w:lang w:val="en-US" w:eastAsia="zh-CN" w:bidi="ar"/>
              </w:rPr>
            </w:pPr>
          </w:p>
        </w:tc>
      </w:tr>
    </w:tbl>
    <w:p w14:paraId="1758CCCF">
      <w:pPr>
        <w:shd w:val="clear" w:color="auto" w:fill="auto"/>
        <w:spacing w:line="240" w:lineRule="auto"/>
        <w:jc w:val="center"/>
        <w:outlineLvl w:val="9"/>
        <w:rPr>
          <w:rFonts w:hint="eastAsia" w:ascii="Times New Roman" w:hAnsi="Times New Roman" w:cs="Times New Roman"/>
          <w:b/>
          <w:bCs/>
          <w:color w:val="auto"/>
          <w:sz w:val="24"/>
          <w:szCs w:val="24"/>
          <w:highlight w:val="none"/>
          <w:lang w:val="en-US" w:eastAsia="zh-CN"/>
        </w:rPr>
      </w:pPr>
    </w:p>
    <w:p w14:paraId="62FC23F5">
      <w:pPr>
        <w:adjustRightInd/>
        <w:snapToGrid/>
        <w:spacing w:before="120" w:after="120" w:line="240" w:lineRule="auto"/>
        <w:ind w:left="0" w:leftChars="0" w:firstLine="0" w:firstLineChars="0"/>
        <w:jc w:val="center"/>
        <w:textAlignment w:val="auto"/>
        <w:outlineLvl w:val="9"/>
        <w:rPr>
          <w:rFonts w:hint="default" w:ascii="Times New Roman" w:hAnsi="Times New Roman" w:cs="Times New Roman"/>
          <w:b/>
          <w:bCs/>
          <w:snapToGrid/>
          <w:color w:val="auto"/>
          <w:kern w:val="2"/>
          <w:sz w:val="24"/>
          <w:szCs w:val="24"/>
          <w:highlight w:val="none"/>
          <w:lang w:val="en-US" w:eastAsia="zh-CN"/>
        </w:rPr>
      </w:pPr>
      <w:r>
        <w:rPr>
          <w:color w:val="auto"/>
        </w:rPr>
        <w:drawing>
          <wp:inline distT="0" distB="0" distL="114300" distR="114300">
            <wp:extent cx="5266690" cy="3048000"/>
            <wp:effectExtent l="0" t="0" r="10160" b="0"/>
            <wp:docPr id="2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5"/>
                    <pic:cNvPicPr>
                      <a:picLocks noChangeAspect="1"/>
                    </pic:cNvPicPr>
                  </pic:nvPicPr>
                  <pic:blipFill>
                    <a:blip r:embed="rId236"/>
                    <a:stretch>
                      <a:fillRect/>
                    </a:stretch>
                  </pic:blipFill>
                  <pic:spPr>
                    <a:xfrm>
                      <a:off x="0" y="0"/>
                      <a:ext cx="5266690" cy="3048000"/>
                    </a:xfrm>
                    <a:prstGeom prst="rect">
                      <a:avLst/>
                    </a:prstGeom>
                    <a:noFill/>
                    <a:ln>
                      <a:noFill/>
                    </a:ln>
                  </pic:spPr>
                </pic:pic>
              </a:graphicData>
            </a:graphic>
          </wp:inline>
        </w:drawing>
      </w:r>
    </w:p>
    <w:p w14:paraId="79535E64">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图</w:t>
      </w:r>
      <w:r>
        <w:rPr>
          <w:rFonts w:hint="eastAsia" w:cs="Times New Roman"/>
          <w:b/>
          <w:bCs/>
          <w:color w:val="auto"/>
          <w:kern w:val="0"/>
          <w:sz w:val="21"/>
          <w:szCs w:val="21"/>
          <w:lang w:val="en-US" w:eastAsia="zh-CN" w:bidi="ar"/>
        </w:rPr>
        <w:t>7</w:t>
      </w:r>
      <w:r>
        <w:rPr>
          <w:rFonts w:hint="default" w:ascii="Times New Roman" w:hAnsi="Times New Roman" w:cs="Times New Roman"/>
          <w:b/>
          <w:bCs/>
          <w:color w:val="auto"/>
          <w:kern w:val="0"/>
          <w:sz w:val="21"/>
          <w:szCs w:val="21"/>
          <w:lang w:val="en-US" w:eastAsia="zh-CN" w:bidi="ar"/>
        </w:rPr>
        <w:t>-1</w:t>
      </w:r>
      <w:r>
        <w:rPr>
          <w:rFonts w:hint="default" w:ascii="Times New Roman" w:hAnsi="Times New Roman" w:eastAsia="宋体" w:cs="Times New Roman"/>
          <w:b/>
          <w:bCs/>
          <w:color w:val="auto"/>
          <w:kern w:val="0"/>
          <w:sz w:val="21"/>
          <w:szCs w:val="21"/>
          <w:lang w:val="en-US" w:eastAsia="zh-CN" w:bidi="ar"/>
        </w:rPr>
        <w:t xml:space="preserve">   预测情景下最大影响区域图</w:t>
      </w:r>
    </w:p>
    <w:p w14:paraId="70E34EFA">
      <w:pPr>
        <w:adjustRightInd/>
        <w:snapToGrid/>
        <w:spacing w:before="120" w:beforeLines="50" w:after="120" w:afterLines="50" w:line="480" w:lineRule="exact"/>
        <w:ind w:left="0" w:leftChars="0" w:firstLine="480" w:firstLineChars="200"/>
        <w:textAlignment w:val="auto"/>
        <w:outlineLvl w:val="9"/>
        <w:rPr>
          <w:rFonts w:hint="default" w:ascii="Times New Roman" w:hAnsi="Times New Roman" w:cs="Times New Roman"/>
          <w:snapToGrid/>
          <w:color w:val="auto"/>
          <w:kern w:val="2"/>
          <w:sz w:val="24"/>
          <w:szCs w:val="24"/>
          <w:highlight w:val="none"/>
          <w:lang w:val="en-US" w:eastAsia="zh-CN"/>
        </w:rPr>
      </w:pPr>
      <w:bookmarkStart w:id="574" w:name="_Toc13256"/>
      <w:r>
        <w:rPr>
          <w:rFonts w:hint="default" w:ascii="Times New Roman" w:hAnsi="Times New Roman" w:eastAsia="宋体" w:cs="Times New Roman"/>
          <w:snapToGrid/>
          <w:color w:val="auto"/>
          <w:kern w:val="2"/>
          <w:sz w:val="24"/>
          <w:szCs w:val="24"/>
          <w:highlight w:val="none"/>
          <w:lang w:val="en-US" w:eastAsia="zh-CN" w:bidi="ar-SA"/>
        </w:rPr>
        <w:t>根据以上预测结果可知，在预测情景最不利气象条件下硝酸铵爆炸后，本</w:t>
      </w:r>
      <w:r>
        <w:rPr>
          <w:rFonts w:hint="eastAsia" w:eastAsia="宋体" w:cs="Times New Roman"/>
          <w:snapToGrid/>
          <w:color w:val="auto"/>
          <w:kern w:val="2"/>
          <w:sz w:val="24"/>
          <w:szCs w:val="24"/>
          <w:highlight w:val="none"/>
          <w:lang w:val="en-US" w:eastAsia="zh-CN" w:bidi="ar-SA"/>
        </w:rPr>
        <w:t>项目NO</w:t>
      </w:r>
      <w:r>
        <w:rPr>
          <w:rFonts w:hint="eastAsia" w:eastAsia="宋体" w:cs="Times New Roman"/>
          <w:snapToGrid/>
          <w:color w:val="auto"/>
          <w:kern w:val="2"/>
          <w:sz w:val="24"/>
          <w:szCs w:val="24"/>
          <w:highlight w:val="none"/>
          <w:vertAlign w:val="subscript"/>
          <w:lang w:val="en-US" w:eastAsia="zh-CN" w:bidi="ar-SA"/>
        </w:rPr>
        <w:t>2</w:t>
      </w:r>
      <w:r>
        <w:rPr>
          <w:rFonts w:hint="eastAsia" w:eastAsia="宋体" w:cs="Times New Roman"/>
          <w:snapToGrid/>
          <w:color w:val="auto"/>
          <w:kern w:val="2"/>
          <w:sz w:val="24"/>
          <w:szCs w:val="24"/>
          <w:highlight w:val="none"/>
          <w:lang w:val="en-US" w:eastAsia="zh-CN" w:bidi="ar-SA"/>
        </w:rPr>
        <w:t>预测浓度达到</w:t>
      </w:r>
      <w:r>
        <w:rPr>
          <w:rFonts w:hint="default" w:ascii="Times New Roman" w:hAnsi="Times New Roman" w:eastAsia="宋体" w:cs="Times New Roman"/>
          <w:snapToGrid/>
          <w:color w:val="auto"/>
          <w:kern w:val="2"/>
          <w:sz w:val="24"/>
          <w:szCs w:val="24"/>
          <w:highlight w:val="none"/>
          <w:lang w:val="en-US" w:eastAsia="zh-CN" w:bidi="ar-SA"/>
        </w:rPr>
        <w:t>毒性</w:t>
      </w:r>
      <w:r>
        <w:rPr>
          <w:rFonts w:hint="default" w:ascii="Times New Roman" w:hAnsi="Times New Roman" w:cs="Times New Roman"/>
          <w:snapToGrid/>
          <w:color w:val="auto"/>
          <w:kern w:val="2"/>
          <w:sz w:val="24"/>
          <w:szCs w:val="24"/>
          <w:highlight w:val="none"/>
          <w:lang w:val="en-US" w:eastAsia="zh-CN"/>
        </w:rPr>
        <w:t>终点浓度-1</w:t>
      </w:r>
      <w:r>
        <w:rPr>
          <w:rFonts w:hint="eastAsia" w:cs="Times New Roman"/>
          <w:snapToGrid/>
          <w:color w:val="auto"/>
          <w:kern w:val="2"/>
          <w:sz w:val="24"/>
          <w:szCs w:val="24"/>
          <w:highlight w:val="none"/>
          <w:lang w:val="en-US" w:eastAsia="zh-CN"/>
        </w:rPr>
        <w:t>(38mg/m</w:t>
      </w:r>
      <w:r>
        <w:rPr>
          <w:rFonts w:hint="eastAsia" w:cs="Times New Roman"/>
          <w:snapToGrid/>
          <w:color w:val="auto"/>
          <w:kern w:val="2"/>
          <w:sz w:val="24"/>
          <w:szCs w:val="24"/>
          <w:highlight w:val="none"/>
          <w:vertAlign w:val="superscript"/>
          <w:lang w:val="en-US" w:eastAsia="zh-CN"/>
        </w:rPr>
        <w:t>3</w:t>
      </w:r>
      <w:r>
        <w:rPr>
          <w:rFonts w:hint="eastAsia" w:cs="Times New Roman"/>
          <w:snapToGrid/>
          <w:color w:val="auto"/>
          <w:kern w:val="2"/>
          <w:sz w:val="24"/>
          <w:szCs w:val="24"/>
          <w:highlight w:val="none"/>
          <w:lang w:val="en-US" w:eastAsia="zh-CN"/>
        </w:rPr>
        <w:t>)的最大影响范围为660m，</w:t>
      </w:r>
      <w:r>
        <w:rPr>
          <w:rFonts w:hint="eastAsia" w:eastAsia="宋体" w:cs="Times New Roman"/>
          <w:snapToGrid/>
          <w:color w:val="auto"/>
          <w:kern w:val="2"/>
          <w:sz w:val="24"/>
          <w:szCs w:val="24"/>
          <w:highlight w:val="none"/>
          <w:lang w:val="en-US" w:eastAsia="zh-CN" w:bidi="ar-SA"/>
        </w:rPr>
        <w:t>达到</w:t>
      </w:r>
      <w:r>
        <w:rPr>
          <w:rFonts w:hint="default" w:ascii="Times New Roman" w:hAnsi="Times New Roman" w:eastAsia="宋体" w:cs="Times New Roman"/>
          <w:snapToGrid/>
          <w:color w:val="auto"/>
          <w:kern w:val="2"/>
          <w:sz w:val="24"/>
          <w:szCs w:val="24"/>
          <w:highlight w:val="none"/>
          <w:lang w:val="en-US" w:eastAsia="zh-CN" w:bidi="ar-SA"/>
        </w:rPr>
        <w:t>毒性</w:t>
      </w:r>
      <w:r>
        <w:rPr>
          <w:rFonts w:hint="default" w:ascii="Times New Roman" w:hAnsi="Times New Roman" w:cs="Times New Roman"/>
          <w:snapToGrid/>
          <w:color w:val="auto"/>
          <w:kern w:val="2"/>
          <w:sz w:val="24"/>
          <w:szCs w:val="24"/>
          <w:highlight w:val="none"/>
          <w:lang w:val="en-US" w:eastAsia="zh-CN"/>
        </w:rPr>
        <w:t>终点浓度-</w:t>
      </w:r>
      <w:r>
        <w:rPr>
          <w:rFonts w:hint="eastAsia" w:cs="Times New Roman"/>
          <w:snapToGrid/>
          <w:color w:val="auto"/>
          <w:kern w:val="2"/>
          <w:sz w:val="24"/>
          <w:szCs w:val="24"/>
          <w:highlight w:val="none"/>
          <w:lang w:val="en-US" w:eastAsia="zh-CN"/>
        </w:rPr>
        <w:t>2(23mg/m</w:t>
      </w:r>
      <w:r>
        <w:rPr>
          <w:rFonts w:hint="eastAsia" w:cs="Times New Roman"/>
          <w:snapToGrid/>
          <w:color w:val="auto"/>
          <w:kern w:val="2"/>
          <w:sz w:val="24"/>
          <w:szCs w:val="24"/>
          <w:highlight w:val="none"/>
          <w:vertAlign w:val="superscript"/>
          <w:lang w:val="en-US" w:eastAsia="zh-CN"/>
        </w:rPr>
        <w:t>3</w:t>
      </w:r>
      <w:r>
        <w:rPr>
          <w:rFonts w:hint="eastAsia" w:cs="Times New Roman"/>
          <w:snapToGrid/>
          <w:color w:val="auto"/>
          <w:kern w:val="2"/>
          <w:sz w:val="24"/>
          <w:szCs w:val="24"/>
          <w:highlight w:val="none"/>
          <w:lang w:val="en-US" w:eastAsia="zh-CN"/>
        </w:rPr>
        <w:t>)的最大影响范围为920m，</w:t>
      </w:r>
      <w:r>
        <w:rPr>
          <w:rFonts w:hint="default" w:ascii="Times New Roman" w:hAnsi="Times New Roman" w:cs="Times New Roman" w:eastAsiaTheme="minorEastAsia"/>
          <w:snapToGrid/>
          <w:color w:val="auto"/>
          <w:kern w:val="2"/>
          <w:sz w:val="24"/>
          <w:szCs w:val="24"/>
          <w:highlight w:val="none"/>
          <w:lang w:val="en-US" w:eastAsia="zh-CN" w:bidi="ar-SA"/>
        </w:rPr>
        <w:t>大气毒性</w:t>
      </w:r>
      <w:r>
        <w:rPr>
          <w:rFonts w:hint="default" w:ascii="Times New Roman" w:hAnsi="Times New Roman" w:cs="Times New Roman"/>
          <w:snapToGrid/>
          <w:color w:val="auto"/>
          <w:kern w:val="2"/>
          <w:sz w:val="24"/>
          <w:szCs w:val="24"/>
          <w:highlight w:val="none"/>
          <w:lang w:val="en-US" w:eastAsia="zh-CN"/>
        </w:rPr>
        <w:t>终点浓度-1和-2影响范围内均无敏感点。</w:t>
      </w:r>
      <w:bookmarkEnd w:id="574"/>
    </w:p>
    <w:p w14:paraId="718DD40C">
      <w:pPr>
        <w:pStyle w:val="17"/>
        <w:spacing w:after="0" w:line="240" w:lineRule="auto"/>
        <w:ind w:left="0" w:leftChars="0" w:firstLine="0" w:firstLineChars="0"/>
        <w:jc w:val="center"/>
        <w:outlineLvl w:val="9"/>
        <w:rPr>
          <w:rFonts w:hint="default" w:ascii="Times New Roman" w:hAnsi="Times New Roman" w:eastAsia="宋体" w:cs="Times New Roman"/>
          <w:snapToGrid/>
          <w:color w:val="auto"/>
          <w:kern w:val="2"/>
          <w:sz w:val="24"/>
          <w:szCs w:val="24"/>
          <w:highlight w:val="none"/>
          <w:lang w:val="en-US" w:eastAsia="zh-CN" w:bidi="ar-SA"/>
        </w:rPr>
      </w:pPr>
      <w:r>
        <w:rPr>
          <w:color w:val="auto"/>
        </w:rPr>
        <w:drawing>
          <wp:inline distT="0" distB="0" distL="114300" distR="114300">
            <wp:extent cx="5267325" cy="2831465"/>
            <wp:effectExtent l="0" t="0" r="9525" b="6985"/>
            <wp:docPr id="21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4"/>
                    <pic:cNvPicPr>
                      <a:picLocks noChangeAspect="1"/>
                    </pic:cNvPicPr>
                  </pic:nvPicPr>
                  <pic:blipFill>
                    <a:blip r:embed="rId237"/>
                    <a:stretch>
                      <a:fillRect/>
                    </a:stretch>
                  </pic:blipFill>
                  <pic:spPr>
                    <a:xfrm>
                      <a:off x="0" y="0"/>
                      <a:ext cx="5267325" cy="2831465"/>
                    </a:xfrm>
                    <a:prstGeom prst="rect">
                      <a:avLst/>
                    </a:prstGeom>
                    <a:noFill/>
                    <a:ln>
                      <a:noFill/>
                    </a:ln>
                  </pic:spPr>
                </pic:pic>
              </a:graphicData>
            </a:graphic>
          </wp:inline>
        </w:drawing>
      </w:r>
    </w:p>
    <w:p w14:paraId="6EA3912E">
      <w:pPr>
        <w:keepNext w:val="0"/>
        <w:keepLines w:val="0"/>
        <w:widowControl/>
        <w:suppressLineNumbers w:val="0"/>
        <w:spacing w:line="240" w:lineRule="auto"/>
        <w:ind w:firstLine="422" w:firstLineChars="200"/>
        <w:jc w:val="center"/>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图</w:t>
      </w:r>
      <w:bookmarkStart w:id="575" w:name="OLE_LINK124"/>
      <w:r>
        <w:rPr>
          <w:rFonts w:hint="eastAsia" w:cs="Times New Roman"/>
          <w:b/>
          <w:bCs/>
          <w:color w:val="auto"/>
          <w:kern w:val="0"/>
          <w:sz w:val="21"/>
          <w:szCs w:val="21"/>
          <w:lang w:val="en-US" w:eastAsia="zh-CN" w:bidi="ar"/>
        </w:rPr>
        <w:t>7</w:t>
      </w:r>
      <w:r>
        <w:rPr>
          <w:rFonts w:hint="default" w:ascii="Times New Roman" w:hAnsi="Times New Roman" w:cs="Times New Roman"/>
          <w:b/>
          <w:bCs/>
          <w:color w:val="auto"/>
          <w:kern w:val="0"/>
          <w:sz w:val="21"/>
          <w:szCs w:val="21"/>
          <w:lang w:val="en-US" w:eastAsia="zh-CN" w:bidi="ar"/>
        </w:rPr>
        <w:t>-2</w:t>
      </w:r>
      <w:r>
        <w:rPr>
          <w:rFonts w:hint="default" w:ascii="Times New Roman" w:hAnsi="Times New Roman" w:eastAsia="宋体" w:cs="Times New Roman"/>
          <w:b/>
          <w:bCs/>
          <w:color w:val="auto"/>
          <w:kern w:val="0"/>
          <w:sz w:val="21"/>
          <w:szCs w:val="21"/>
          <w:lang w:val="en-US" w:eastAsia="zh-CN" w:bidi="ar"/>
        </w:rPr>
        <w:t xml:space="preserve"> </w:t>
      </w:r>
      <w:bookmarkEnd w:id="575"/>
      <w:r>
        <w:rPr>
          <w:rFonts w:hint="default" w:ascii="Times New Roman" w:hAnsi="Times New Roman" w:eastAsia="宋体" w:cs="Times New Roman"/>
          <w:b/>
          <w:bCs/>
          <w:color w:val="auto"/>
          <w:kern w:val="0"/>
          <w:sz w:val="21"/>
          <w:szCs w:val="21"/>
          <w:lang w:val="en-US" w:eastAsia="zh-CN" w:bidi="ar"/>
        </w:rPr>
        <w:t xml:space="preserve"> 预测情景下关心点浓度-时间曲线</w:t>
      </w:r>
      <w:bookmarkStart w:id="576" w:name="OLE_LINK313"/>
    </w:p>
    <w:p w14:paraId="46053C35">
      <w:pPr>
        <w:adjustRightInd/>
        <w:snapToGrid/>
        <w:spacing w:before="120" w:beforeLines="50" w:after="120" w:afterLines="50" w:line="480" w:lineRule="exact"/>
        <w:ind w:left="0" w:leftChars="0" w:firstLine="480" w:firstLineChars="200"/>
        <w:textAlignment w:val="auto"/>
        <w:outlineLvl w:val="9"/>
        <w:rPr>
          <w:rFonts w:hint="default" w:cs="Times New Roman"/>
          <w:snapToGrid/>
          <w:color w:val="auto"/>
          <w:kern w:val="2"/>
          <w:sz w:val="24"/>
          <w:szCs w:val="24"/>
          <w:highlight w:val="none"/>
          <w:lang w:val="en-US" w:eastAsia="zh-CN"/>
        </w:rPr>
      </w:pPr>
      <w:r>
        <w:rPr>
          <w:rFonts w:hint="default" w:ascii="Times New Roman" w:hAnsi="Times New Roman" w:cs="Times New Roman"/>
          <w:snapToGrid/>
          <w:color w:val="auto"/>
          <w:kern w:val="2"/>
          <w:sz w:val="24"/>
          <w:szCs w:val="24"/>
          <w:highlight w:val="none"/>
          <w:lang w:val="en-US" w:eastAsia="zh-CN"/>
        </w:rPr>
        <w:t>根据以上分析，各关心点NO</w:t>
      </w:r>
      <w:r>
        <w:rPr>
          <w:rFonts w:hint="default" w:ascii="Times New Roman" w:hAnsi="Times New Roman" w:cs="Times New Roman"/>
          <w:snapToGrid/>
          <w:color w:val="auto"/>
          <w:kern w:val="2"/>
          <w:sz w:val="24"/>
          <w:szCs w:val="24"/>
          <w:highlight w:val="none"/>
          <w:vertAlign w:val="subscript"/>
          <w:lang w:val="en-US" w:eastAsia="zh-CN"/>
        </w:rPr>
        <w:t>2</w:t>
      </w:r>
      <w:r>
        <w:rPr>
          <w:rFonts w:hint="default" w:ascii="Times New Roman" w:hAnsi="Times New Roman" w:cs="Times New Roman"/>
          <w:snapToGrid/>
          <w:color w:val="auto"/>
          <w:kern w:val="2"/>
          <w:sz w:val="24"/>
          <w:szCs w:val="24"/>
          <w:highlight w:val="none"/>
          <w:lang w:val="en-US" w:eastAsia="zh-CN"/>
        </w:rPr>
        <w:t>最大预测浓度为老德沟，最大预测</w:t>
      </w:r>
      <w:r>
        <w:rPr>
          <w:rFonts w:hint="eastAsia" w:cs="Times New Roman"/>
          <w:snapToGrid/>
          <w:color w:val="auto"/>
          <w:kern w:val="2"/>
          <w:sz w:val="24"/>
          <w:szCs w:val="24"/>
          <w:highlight w:val="none"/>
          <w:lang w:val="en-US" w:eastAsia="zh-CN"/>
        </w:rPr>
        <w:t>浓度为10.6mg/m</w:t>
      </w:r>
      <w:r>
        <w:rPr>
          <w:rFonts w:hint="eastAsia" w:cs="Times New Roman"/>
          <w:snapToGrid/>
          <w:color w:val="auto"/>
          <w:kern w:val="2"/>
          <w:sz w:val="24"/>
          <w:szCs w:val="24"/>
          <w:highlight w:val="none"/>
          <w:vertAlign w:val="superscript"/>
          <w:lang w:val="en-US" w:eastAsia="zh-CN"/>
        </w:rPr>
        <w:t>3</w:t>
      </w:r>
      <w:r>
        <w:rPr>
          <w:rFonts w:hint="eastAsia" w:cs="Times New Roman"/>
          <w:snapToGrid/>
          <w:color w:val="auto"/>
          <w:kern w:val="2"/>
          <w:sz w:val="24"/>
          <w:szCs w:val="24"/>
          <w:highlight w:val="none"/>
          <w:vertAlign w:val="baseline"/>
          <w:lang w:val="en-US" w:eastAsia="zh-CN"/>
        </w:rPr>
        <w:t>，出现时间为事故发生后20min，因此，各关心点</w:t>
      </w:r>
      <w:r>
        <w:rPr>
          <w:rFonts w:hint="eastAsia" w:cs="Times New Roman"/>
          <w:snapToGrid/>
          <w:color w:val="auto"/>
          <w:kern w:val="2"/>
          <w:sz w:val="24"/>
          <w:szCs w:val="24"/>
          <w:highlight w:val="none"/>
          <w:lang w:val="en-US" w:eastAsia="zh-CN"/>
        </w:rPr>
        <w:t>NO</w:t>
      </w:r>
      <w:r>
        <w:rPr>
          <w:rFonts w:hint="eastAsia" w:cs="Times New Roman"/>
          <w:snapToGrid/>
          <w:color w:val="auto"/>
          <w:kern w:val="2"/>
          <w:sz w:val="24"/>
          <w:szCs w:val="24"/>
          <w:highlight w:val="none"/>
          <w:vertAlign w:val="subscript"/>
          <w:lang w:val="en-US" w:eastAsia="zh-CN"/>
        </w:rPr>
        <w:t>2</w:t>
      </w:r>
      <w:r>
        <w:rPr>
          <w:rFonts w:hint="eastAsia" w:cs="Times New Roman"/>
          <w:snapToGrid/>
          <w:color w:val="auto"/>
          <w:kern w:val="2"/>
          <w:sz w:val="24"/>
          <w:szCs w:val="24"/>
          <w:highlight w:val="none"/>
          <w:lang w:val="en-US" w:eastAsia="zh-CN"/>
        </w:rPr>
        <w:t>最大预测浓度均未超过其毒性终点浓度-1(38mg/m</w:t>
      </w:r>
      <w:r>
        <w:rPr>
          <w:rFonts w:hint="eastAsia" w:cs="Times New Roman"/>
          <w:snapToGrid/>
          <w:color w:val="auto"/>
          <w:kern w:val="2"/>
          <w:sz w:val="24"/>
          <w:szCs w:val="24"/>
          <w:highlight w:val="none"/>
          <w:vertAlign w:val="superscript"/>
          <w:lang w:val="en-US" w:eastAsia="zh-CN"/>
        </w:rPr>
        <w:t>3</w:t>
      </w:r>
      <w:r>
        <w:rPr>
          <w:rFonts w:hint="eastAsia" w:cs="Times New Roman"/>
          <w:snapToGrid/>
          <w:color w:val="auto"/>
          <w:kern w:val="2"/>
          <w:sz w:val="24"/>
          <w:szCs w:val="24"/>
          <w:highlight w:val="none"/>
          <w:lang w:val="en-US" w:eastAsia="zh-CN"/>
        </w:rPr>
        <w:t>)、毒性终点浓度-2(23mg/m</w:t>
      </w:r>
      <w:r>
        <w:rPr>
          <w:rFonts w:hint="eastAsia" w:cs="Times New Roman"/>
          <w:snapToGrid/>
          <w:color w:val="auto"/>
          <w:kern w:val="2"/>
          <w:sz w:val="24"/>
          <w:szCs w:val="24"/>
          <w:highlight w:val="none"/>
          <w:vertAlign w:val="superscript"/>
          <w:lang w:val="en-US" w:eastAsia="zh-CN"/>
        </w:rPr>
        <w:t>3</w:t>
      </w:r>
      <w:r>
        <w:rPr>
          <w:rFonts w:hint="eastAsia" w:cs="Times New Roman"/>
          <w:snapToGrid/>
          <w:color w:val="auto"/>
          <w:kern w:val="2"/>
          <w:sz w:val="24"/>
          <w:szCs w:val="24"/>
          <w:highlight w:val="none"/>
          <w:lang w:val="en-US" w:eastAsia="zh-CN"/>
        </w:rPr>
        <w:t>)。</w:t>
      </w:r>
    </w:p>
    <w:bookmarkEnd w:id="576"/>
    <w:p w14:paraId="557DDED4">
      <w:pPr>
        <w:adjustRightInd/>
        <w:snapToGrid/>
        <w:spacing w:before="120" w:beforeLines="50" w:after="120" w:afterLines="50" w:line="480" w:lineRule="exact"/>
        <w:ind w:firstLine="480" w:firstLineChars="200"/>
        <w:textAlignment w:val="auto"/>
        <w:outlineLvl w:val="9"/>
        <w:rPr>
          <w:rFonts w:hint="default" w:ascii="Times New Roman" w:hAnsi="Times New Roman" w:cs="Times New Roman"/>
          <w:snapToGrid/>
          <w:color w:val="auto"/>
          <w:kern w:val="2"/>
          <w:sz w:val="24"/>
          <w:szCs w:val="24"/>
          <w:highlight w:val="none"/>
          <w:lang w:val="en-US" w:eastAsia="zh-CN"/>
        </w:rPr>
      </w:pPr>
      <w:r>
        <w:rPr>
          <w:rFonts w:hint="default" w:ascii="Times New Roman" w:hAnsi="Times New Roman" w:cs="Times New Roman"/>
          <w:snapToGrid/>
          <w:color w:val="auto"/>
          <w:kern w:val="2"/>
          <w:sz w:val="24"/>
          <w:szCs w:val="24"/>
          <w:highlight w:val="none"/>
          <w:lang w:val="en-US" w:eastAsia="zh-CN"/>
        </w:rPr>
        <w:t>综上所述，本项目</w:t>
      </w:r>
      <w:r>
        <w:rPr>
          <w:rFonts w:hint="eastAsia" w:ascii="Times New Roman" w:hAnsi="Times New Roman" w:cs="Times New Roman"/>
          <w:snapToGrid/>
          <w:color w:val="auto"/>
          <w:kern w:val="2"/>
          <w:sz w:val="24"/>
          <w:szCs w:val="24"/>
          <w:highlight w:val="none"/>
          <w:lang w:val="en-US" w:eastAsia="zh-CN"/>
        </w:rPr>
        <w:t>预测情景下</w:t>
      </w:r>
      <w:r>
        <w:rPr>
          <w:rFonts w:hint="default" w:ascii="Times New Roman" w:hAnsi="Times New Roman" w:cs="Times New Roman"/>
          <w:snapToGrid/>
          <w:color w:val="auto"/>
          <w:kern w:val="2"/>
          <w:sz w:val="24"/>
          <w:szCs w:val="24"/>
          <w:highlight w:val="none"/>
          <w:lang w:val="en-US" w:eastAsia="zh-CN"/>
        </w:rPr>
        <w:t>对周围大气环境影响较小。在</w:t>
      </w:r>
      <w:r>
        <w:rPr>
          <w:rFonts w:hint="eastAsia" w:ascii="Times New Roman" w:hAnsi="Times New Roman" w:cs="Times New Roman"/>
          <w:snapToGrid/>
          <w:color w:val="auto"/>
          <w:kern w:val="2"/>
          <w:sz w:val="24"/>
          <w:szCs w:val="24"/>
          <w:highlight w:val="none"/>
          <w:lang w:val="en-US" w:eastAsia="zh-CN"/>
        </w:rPr>
        <w:t>营运期企业应加强原辅料和产品的运输、储存和使用过程中的安全管理，将风险概率降为最低。</w:t>
      </w:r>
    </w:p>
    <w:p w14:paraId="0BA8234E">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77" w:name="_Toc5296"/>
      <w:bookmarkStart w:id="578" w:name="_Toc7849"/>
      <w:bookmarkStart w:id="579" w:name="_Toc15720"/>
      <w:bookmarkStart w:id="580" w:name="_Toc20081"/>
      <w:bookmarkStart w:id="581" w:name="_Toc32127"/>
      <w:r>
        <w:rPr>
          <w:rFonts w:hint="eastAsia" w:cs="Times New Roman"/>
          <w:b/>
          <w:bCs/>
          <w:color w:val="auto"/>
          <w:kern w:val="0"/>
          <w:sz w:val="28"/>
          <w:szCs w:val="28"/>
          <w:lang w:val="en-US" w:eastAsia="zh-CN" w:bidi="ar"/>
        </w:rPr>
        <w:t>7</w:t>
      </w:r>
      <w:r>
        <w:rPr>
          <w:rFonts w:hint="eastAsia" w:ascii="Times New Roman" w:hAnsi="Times New Roman" w:eastAsia="宋体" w:cs="Times New Roman"/>
          <w:b/>
          <w:bCs/>
          <w:color w:val="auto"/>
          <w:kern w:val="0"/>
          <w:sz w:val="28"/>
          <w:szCs w:val="28"/>
          <w:lang w:val="en-US" w:eastAsia="zh-CN" w:bidi="ar"/>
        </w:rPr>
        <w:t>.2地表水环境风险分析</w:t>
      </w:r>
      <w:bookmarkEnd w:id="577"/>
      <w:bookmarkEnd w:id="578"/>
      <w:bookmarkEnd w:id="579"/>
      <w:bookmarkEnd w:id="580"/>
      <w:bookmarkEnd w:id="581"/>
    </w:p>
    <w:p w14:paraId="6B9F1C5F">
      <w:pPr>
        <w:adjustRightInd/>
        <w:snapToGrid/>
        <w:spacing w:line="360" w:lineRule="auto"/>
        <w:ind w:firstLine="480" w:firstLineChars="200"/>
        <w:textAlignment w:val="auto"/>
        <w:outlineLvl w:val="9"/>
        <w:rPr>
          <w:rFonts w:hint="eastAsia" w:ascii="Times New Roman" w:hAnsi="Times New Roman" w:cs="Times New Roman"/>
          <w:snapToGrid/>
          <w:color w:val="auto"/>
          <w:kern w:val="2"/>
          <w:sz w:val="24"/>
          <w:szCs w:val="24"/>
          <w:highlight w:val="none"/>
          <w:lang w:eastAsia="zh-CN"/>
        </w:rPr>
      </w:pPr>
      <w:r>
        <w:rPr>
          <w:rFonts w:hint="default" w:ascii="Times New Roman" w:hAnsi="Times New Roman" w:cs="Times New Roman"/>
          <w:snapToGrid/>
          <w:color w:val="auto"/>
          <w:kern w:val="2"/>
          <w:sz w:val="24"/>
          <w:szCs w:val="24"/>
          <w:highlight w:val="none"/>
        </w:rPr>
        <w:t>根据风险事故情形分析，</w:t>
      </w:r>
      <w:r>
        <w:rPr>
          <w:rFonts w:hint="eastAsia" w:ascii="Times New Roman" w:hAnsi="Times New Roman" w:cs="Times New Roman"/>
          <w:snapToGrid/>
          <w:color w:val="auto"/>
          <w:kern w:val="2"/>
          <w:sz w:val="24"/>
          <w:szCs w:val="24"/>
          <w:highlight w:val="none"/>
          <w:lang w:val="en-US" w:eastAsia="zh-CN"/>
        </w:rPr>
        <w:t>本项目地表水环境风险包括：物料泄漏造成地表漫流进入地表水，</w:t>
      </w:r>
      <w:r>
        <w:rPr>
          <w:rFonts w:hint="default" w:ascii="Times New Roman" w:hAnsi="Times New Roman" w:cs="Times New Roman"/>
          <w:snapToGrid/>
          <w:color w:val="auto"/>
          <w:kern w:val="2"/>
          <w:sz w:val="24"/>
          <w:szCs w:val="24"/>
          <w:highlight w:val="none"/>
        </w:rPr>
        <w:t>硝酸铵储存过程中发生爆炸事故后处理过程中产生消防废水</w:t>
      </w:r>
      <w:r>
        <w:rPr>
          <w:rFonts w:hint="eastAsia" w:cs="Times New Roman"/>
          <w:snapToGrid/>
          <w:color w:val="auto"/>
          <w:kern w:val="2"/>
          <w:sz w:val="24"/>
          <w:szCs w:val="24"/>
          <w:highlight w:val="none"/>
          <w:lang w:eastAsia="zh-CN"/>
        </w:rPr>
        <w:t>、</w:t>
      </w:r>
      <w:r>
        <w:rPr>
          <w:rFonts w:hint="eastAsia" w:ascii="Times New Roman" w:hAnsi="Times New Roman" w:cs="Times New Roman"/>
          <w:snapToGrid/>
          <w:color w:val="auto"/>
          <w:kern w:val="2"/>
          <w:sz w:val="24"/>
          <w:szCs w:val="24"/>
          <w:highlight w:val="none"/>
          <w:lang w:val="en-US" w:eastAsia="zh-CN"/>
        </w:rPr>
        <w:t>污染雨水等事故废水未有效收集流出厂区污染地表水</w:t>
      </w:r>
      <w:r>
        <w:rPr>
          <w:rFonts w:hint="eastAsia" w:ascii="Times New Roman" w:hAnsi="Times New Roman" w:cs="Times New Roman"/>
          <w:snapToGrid/>
          <w:color w:val="auto"/>
          <w:kern w:val="2"/>
          <w:sz w:val="24"/>
          <w:szCs w:val="24"/>
          <w:highlight w:val="none"/>
          <w:lang w:eastAsia="zh-CN"/>
        </w:rPr>
        <w:t>。</w:t>
      </w:r>
    </w:p>
    <w:p w14:paraId="0A7CAB88">
      <w:pPr>
        <w:adjustRightInd/>
        <w:snapToGrid/>
        <w:spacing w:line="360" w:lineRule="auto"/>
        <w:ind w:firstLine="480" w:firstLineChars="200"/>
        <w:textAlignment w:val="auto"/>
        <w:outlineLvl w:val="9"/>
        <w:rPr>
          <w:rFonts w:hint="eastAsia"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本项目硝酸铵溶液储罐区设置1</w:t>
      </w:r>
      <w:r>
        <w:rPr>
          <w:rFonts w:hint="eastAsia" w:cs="Times New Roman"/>
          <w:snapToGrid/>
          <w:color w:val="auto"/>
          <w:kern w:val="2"/>
          <w:sz w:val="24"/>
          <w:szCs w:val="24"/>
          <w:highlight w:val="none"/>
          <w:lang w:val="en-US" w:eastAsia="zh-CN"/>
        </w:rPr>
        <w:t>9</w:t>
      </w:r>
      <w:r>
        <w:rPr>
          <w:rFonts w:hint="eastAsia" w:ascii="Times New Roman" w:hAnsi="Times New Roman" w:cs="Times New Roman"/>
          <w:snapToGrid/>
          <w:color w:val="auto"/>
          <w:kern w:val="2"/>
          <w:sz w:val="24"/>
          <w:szCs w:val="24"/>
          <w:highlight w:val="none"/>
          <w:lang w:val="en-US" w:eastAsia="zh-CN"/>
        </w:rPr>
        <w:t>0m</w:t>
      </w:r>
      <w:r>
        <w:rPr>
          <w:rFonts w:hint="eastAsia" w:ascii="Times New Roman" w:hAnsi="Times New Roman" w:cs="Times New Roman"/>
          <w:snapToGrid/>
          <w:color w:val="auto"/>
          <w:kern w:val="2"/>
          <w:sz w:val="24"/>
          <w:szCs w:val="24"/>
          <w:highlight w:val="none"/>
          <w:vertAlign w:val="superscript"/>
          <w:lang w:val="en-US" w:eastAsia="zh-CN"/>
        </w:rPr>
        <w:t>3</w:t>
      </w:r>
      <w:r>
        <w:rPr>
          <w:rFonts w:hint="eastAsia" w:ascii="Times New Roman" w:hAnsi="Times New Roman" w:cs="Times New Roman"/>
          <w:snapToGrid/>
          <w:color w:val="auto"/>
          <w:kern w:val="2"/>
          <w:sz w:val="24"/>
          <w:szCs w:val="24"/>
          <w:highlight w:val="none"/>
          <w:lang w:val="en-US" w:eastAsia="zh-CN"/>
        </w:rPr>
        <w:t>围堰，可有效截留两个硝酸铵储罐最大泄漏物料量，并且围堰与事故池相连，可有效防止其进入外环境。</w:t>
      </w:r>
      <w:r>
        <w:rPr>
          <w:rFonts w:hint="default" w:ascii="Times New Roman" w:hAnsi="Times New Roman" w:cs="Times New Roman"/>
          <w:snapToGrid/>
          <w:color w:val="auto"/>
          <w:kern w:val="2"/>
          <w:sz w:val="24"/>
          <w:szCs w:val="24"/>
          <w:highlight w:val="none"/>
        </w:rPr>
        <w:t>厂区内已设置1座</w:t>
      </w:r>
      <w:r>
        <w:rPr>
          <w:rFonts w:hint="eastAsia" w:ascii="Times New Roman" w:hAnsi="Times New Roman" w:cs="Times New Roman"/>
          <w:snapToGrid/>
          <w:color w:val="auto"/>
          <w:kern w:val="2"/>
          <w:sz w:val="24"/>
          <w:szCs w:val="24"/>
          <w:highlight w:val="none"/>
          <w:lang w:val="en-US" w:eastAsia="zh-CN"/>
        </w:rPr>
        <w:t>60</w:t>
      </w:r>
      <w:r>
        <w:rPr>
          <w:rFonts w:hint="default" w:ascii="Times New Roman" w:hAnsi="Times New Roman" w:cs="Times New Roman"/>
          <w:snapToGrid/>
          <w:color w:val="auto"/>
          <w:kern w:val="2"/>
          <w:sz w:val="24"/>
          <w:szCs w:val="24"/>
          <w:highlight w:val="none"/>
        </w:rPr>
        <w:t>0m</w:t>
      </w:r>
      <w:r>
        <w:rPr>
          <w:rFonts w:hint="default" w:ascii="Times New Roman" w:hAnsi="Times New Roman" w:cs="Times New Roman"/>
          <w:snapToGrid/>
          <w:color w:val="auto"/>
          <w:kern w:val="2"/>
          <w:sz w:val="24"/>
          <w:szCs w:val="24"/>
          <w:highlight w:val="none"/>
          <w:vertAlign w:val="superscript"/>
        </w:rPr>
        <w:t>3</w:t>
      </w:r>
      <w:r>
        <w:rPr>
          <w:rFonts w:hint="default" w:ascii="Times New Roman" w:hAnsi="Times New Roman" w:cs="Times New Roman"/>
          <w:snapToGrid/>
          <w:color w:val="auto"/>
          <w:kern w:val="2"/>
          <w:sz w:val="24"/>
          <w:szCs w:val="24"/>
          <w:highlight w:val="none"/>
        </w:rPr>
        <w:t>的</w:t>
      </w:r>
      <w:r>
        <w:rPr>
          <w:rFonts w:hint="eastAsia" w:ascii="Times New Roman" w:hAnsi="Times New Roman" w:cs="Times New Roman"/>
          <w:snapToGrid/>
          <w:color w:val="auto"/>
          <w:kern w:val="2"/>
          <w:sz w:val="24"/>
          <w:szCs w:val="24"/>
          <w:highlight w:val="none"/>
          <w:lang w:val="en-US" w:eastAsia="zh-CN"/>
        </w:rPr>
        <w:t>事故</w:t>
      </w:r>
      <w:r>
        <w:rPr>
          <w:rFonts w:hint="default" w:ascii="Times New Roman" w:hAnsi="Times New Roman" w:cs="Times New Roman"/>
          <w:snapToGrid/>
          <w:color w:val="auto"/>
          <w:kern w:val="2"/>
          <w:sz w:val="24"/>
          <w:szCs w:val="24"/>
          <w:highlight w:val="none"/>
        </w:rPr>
        <w:t>废水收集池，并在厂内设置</w:t>
      </w:r>
      <w:r>
        <w:rPr>
          <w:rFonts w:hint="eastAsia" w:ascii="Times New Roman" w:hAnsi="Times New Roman" w:cs="Times New Roman"/>
          <w:snapToGrid/>
          <w:color w:val="auto"/>
          <w:kern w:val="2"/>
          <w:sz w:val="24"/>
          <w:szCs w:val="24"/>
          <w:highlight w:val="none"/>
          <w:lang w:val="en-US" w:eastAsia="zh-CN"/>
        </w:rPr>
        <w:t>明沟、</w:t>
      </w:r>
      <w:r>
        <w:rPr>
          <w:rFonts w:hint="default" w:ascii="Times New Roman" w:hAnsi="Times New Roman" w:cs="Times New Roman"/>
          <w:snapToGrid/>
          <w:color w:val="auto"/>
          <w:kern w:val="2"/>
          <w:sz w:val="24"/>
          <w:szCs w:val="24"/>
          <w:highlight w:val="none"/>
        </w:rPr>
        <w:t>暗管</w:t>
      </w:r>
      <w:r>
        <w:rPr>
          <w:rFonts w:hint="eastAsia" w:ascii="Times New Roman" w:hAnsi="Times New Roman" w:cs="Times New Roman"/>
          <w:snapToGrid/>
          <w:color w:val="auto"/>
          <w:kern w:val="2"/>
          <w:sz w:val="24"/>
          <w:szCs w:val="24"/>
          <w:highlight w:val="none"/>
          <w:lang w:eastAsia="zh-CN"/>
        </w:rPr>
        <w:t>、</w:t>
      </w:r>
      <w:r>
        <w:rPr>
          <w:rFonts w:hint="eastAsia" w:ascii="Times New Roman" w:hAnsi="Times New Roman" w:cs="Times New Roman"/>
          <w:snapToGrid/>
          <w:color w:val="auto"/>
          <w:kern w:val="2"/>
          <w:sz w:val="24"/>
          <w:szCs w:val="24"/>
          <w:highlight w:val="none"/>
          <w:lang w:val="en-US" w:eastAsia="zh-CN"/>
        </w:rPr>
        <w:t>集水井等集水系统</w:t>
      </w:r>
      <w:r>
        <w:rPr>
          <w:rFonts w:hint="default" w:ascii="Times New Roman" w:hAnsi="Times New Roman" w:cs="Times New Roman"/>
          <w:snapToGrid/>
          <w:color w:val="auto"/>
          <w:kern w:val="2"/>
          <w:sz w:val="24"/>
          <w:szCs w:val="24"/>
          <w:highlight w:val="none"/>
        </w:rPr>
        <w:t>与</w:t>
      </w:r>
      <w:r>
        <w:rPr>
          <w:rFonts w:hint="eastAsia" w:ascii="Times New Roman" w:hAnsi="Times New Roman" w:cs="Times New Roman"/>
          <w:snapToGrid/>
          <w:color w:val="auto"/>
          <w:kern w:val="2"/>
          <w:sz w:val="24"/>
          <w:szCs w:val="24"/>
          <w:highlight w:val="none"/>
          <w:lang w:val="en-US" w:eastAsia="zh-CN"/>
        </w:rPr>
        <w:t>事故</w:t>
      </w:r>
      <w:r>
        <w:rPr>
          <w:rFonts w:hint="default" w:ascii="Times New Roman" w:hAnsi="Times New Roman" w:cs="Times New Roman"/>
          <w:snapToGrid/>
          <w:color w:val="auto"/>
          <w:kern w:val="2"/>
          <w:sz w:val="24"/>
          <w:szCs w:val="24"/>
          <w:highlight w:val="none"/>
        </w:rPr>
        <w:t>废水收集</w:t>
      </w:r>
      <w:r>
        <w:rPr>
          <w:rFonts w:hint="eastAsia" w:ascii="Times New Roman" w:hAnsi="Times New Roman" w:cs="Times New Roman"/>
          <w:snapToGrid/>
          <w:color w:val="auto"/>
          <w:kern w:val="2"/>
          <w:sz w:val="24"/>
          <w:szCs w:val="24"/>
          <w:highlight w:val="none"/>
          <w:lang w:val="en-US" w:eastAsia="zh-CN"/>
        </w:rPr>
        <w:t>系统</w:t>
      </w:r>
      <w:r>
        <w:rPr>
          <w:rFonts w:hint="default" w:ascii="Times New Roman" w:hAnsi="Times New Roman" w:cs="Times New Roman"/>
          <w:snapToGrid/>
          <w:color w:val="auto"/>
          <w:kern w:val="2"/>
          <w:sz w:val="24"/>
          <w:szCs w:val="24"/>
          <w:highlight w:val="none"/>
        </w:rPr>
        <w:t>相连</w:t>
      </w:r>
      <w:r>
        <w:rPr>
          <w:rFonts w:hint="eastAsia" w:ascii="Times New Roman" w:hAnsi="Times New Roman" w:cs="Times New Roman"/>
          <w:snapToGrid/>
          <w:color w:val="auto"/>
          <w:kern w:val="2"/>
          <w:sz w:val="24"/>
          <w:szCs w:val="24"/>
          <w:highlight w:val="none"/>
          <w:lang w:val="en-US" w:eastAsia="zh-CN"/>
        </w:rPr>
        <w:t>，</w:t>
      </w:r>
      <w:r>
        <w:rPr>
          <w:rFonts w:hint="eastAsia" w:ascii="Times New Roman" w:hAnsi="Times New Roman" w:cs="Times New Roman"/>
          <w:color w:val="auto"/>
          <w:sz w:val="24"/>
          <w:szCs w:val="24"/>
          <w:highlight w:val="none"/>
          <w:lang w:val="en-US" w:eastAsia="zh-CN"/>
        </w:rPr>
        <w:t>各收集系统间配套截流阀门，</w:t>
      </w:r>
      <w:r>
        <w:rPr>
          <w:rFonts w:hint="eastAsia" w:ascii="Times New Roman" w:hAnsi="Times New Roman" w:cs="Times New Roman"/>
          <w:snapToGrid/>
          <w:color w:val="auto"/>
          <w:kern w:val="2"/>
          <w:sz w:val="24"/>
          <w:szCs w:val="24"/>
          <w:highlight w:val="none"/>
          <w:lang w:val="en-US" w:eastAsia="zh-CN"/>
        </w:rPr>
        <w:t>事故发生时，可对事故区废水进行有效截流和收集，经过核算事故池可有效容纳事故废水防止其溢流和漫流出厂区</w:t>
      </w:r>
      <w:r>
        <w:rPr>
          <w:rFonts w:hint="default" w:ascii="Times New Roman" w:hAnsi="Times New Roman" w:cs="Times New Roman"/>
          <w:snapToGrid/>
          <w:color w:val="auto"/>
          <w:kern w:val="2"/>
          <w:sz w:val="24"/>
          <w:szCs w:val="24"/>
          <w:highlight w:val="none"/>
        </w:rPr>
        <w:t>；待事故过后</w:t>
      </w:r>
      <w:r>
        <w:rPr>
          <w:rFonts w:hint="eastAsia" w:ascii="Times New Roman" w:hAnsi="Times New Roman" w:cs="Times New Roman"/>
          <w:snapToGrid/>
          <w:color w:val="auto"/>
          <w:kern w:val="2"/>
          <w:sz w:val="24"/>
          <w:szCs w:val="24"/>
          <w:highlight w:val="none"/>
          <w:lang w:val="en-US" w:eastAsia="zh-CN"/>
        </w:rPr>
        <w:t>浓度较低的废水</w:t>
      </w:r>
      <w:r>
        <w:rPr>
          <w:rFonts w:hint="default" w:ascii="Times New Roman" w:hAnsi="Times New Roman" w:cs="Times New Roman"/>
          <w:snapToGrid/>
          <w:color w:val="auto"/>
          <w:kern w:val="2"/>
          <w:sz w:val="24"/>
          <w:szCs w:val="24"/>
          <w:highlight w:val="none"/>
        </w:rPr>
        <w:t>经污水处理站处理后回用于厂区内</w:t>
      </w:r>
      <w:r>
        <w:rPr>
          <w:rFonts w:hint="eastAsia" w:ascii="Times New Roman" w:hAnsi="Times New Roman" w:cs="Times New Roman"/>
          <w:snapToGrid/>
          <w:color w:val="auto"/>
          <w:kern w:val="2"/>
          <w:sz w:val="24"/>
          <w:szCs w:val="24"/>
          <w:highlight w:val="none"/>
          <w:lang w:val="en-US" w:eastAsia="zh-CN"/>
        </w:rPr>
        <w:t>道路清扫，浓度较高的可按危险废液委托有资质单位处置，不排入外环境造成地表水影响。</w:t>
      </w:r>
    </w:p>
    <w:p w14:paraId="6BCF2B65">
      <w:pPr>
        <w:adjustRightInd/>
        <w:snapToGrid/>
        <w:spacing w:line="360" w:lineRule="auto"/>
        <w:ind w:firstLine="480" w:firstLineChars="200"/>
        <w:textAlignment w:val="auto"/>
        <w:outlineLvl w:val="9"/>
        <w:rPr>
          <w:rFonts w:hint="default" w:ascii="Times New Roman" w:hAnsi="Times New Roman" w:eastAsia="宋体"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本项目厂区现有的明沟、</w:t>
      </w:r>
      <w:r>
        <w:rPr>
          <w:rFonts w:hint="default" w:ascii="Times New Roman" w:hAnsi="Times New Roman" w:cs="Times New Roman"/>
          <w:snapToGrid/>
          <w:color w:val="auto"/>
          <w:kern w:val="2"/>
          <w:sz w:val="24"/>
          <w:szCs w:val="24"/>
          <w:highlight w:val="none"/>
        </w:rPr>
        <w:t>暗管</w:t>
      </w:r>
      <w:r>
        <w:rPr>
          <w:rFonts w:hint="eastAsia" w:ascii="Times New Roman" w:hAnsi="Times New Roman" w:cs="Times New Roman"/>
          <w:snapToGrid/>
          <w:color w:val="auto"/>
          <w:kern w:val="2"/>
          <w:sz w:val="24"/>
          <w:szCs w:val="24"/>
          <w:highlight w:val="none"/>
          <w:lang w:eastAsia="zh-CN"/>
        </w:rPr>
        <w:t>、</w:t>
      </w:r>
      <w:r>
        <w:rPr>
          <w:rFonts w:hint="eastAsia" w:ascii="Times New Roman" w:hAnsi="Times New Roman" w:cs="Times New Roman"/>
          <w:snapToGrid/>
          <w:color w:val="auto"/>
          <w:kern w:val="2"/>
          <w:sz w:val="24"/>
          <w:szCs w:val="24"/>
          <w:highlight w:val="none"/>
          <w:lang w:val="en-US" w:eastAsia="zh-CN"/>
        </w:rPr>
        <w:t>集水井等集水系统最终流向厂区雨水排口，雨水排口设置截流阀门，发生事故时及时关闭，与围堰和事故池共同形成三级防控体系，可有效封堵事故废水和污染雨水，有效防控地表水污染影响。</w:t>
      </w:r>
    </w:p>
    <w:p w14:paraId="28DA9AED">
      <w:pPr>
        <w:adjustRightInd/>
        <w:snapToGrid/>
        <w:spacing w:line="360" w:lineRule="auto"/>
        <w:ind w:firstLine="480"/>
        <w:textAlignment w:val="auto"/>
        <w:outlineLvl w:val="9"/>
        <w:rPr>
          <w:rFonts w:hint="default" w:ascii="Times New Roman" w:hAnsi="Times New Roman" w:cs="Times New Roman"/>
          <w:snapToGrid/>
          <w:color w:val="auto"/>
          <w:kern w:val="2"/>
          <w:sz w:val="24"/>
          <w:szCs w:val="24"/>
          <w:highlight w:val="none"/>
          <w:lang w:val="zh-CN"/>
        </w:rPr>
      </w:pPr>
      <w:r>
        <w:rPr>
          <w:rFonts w:hint="default" w:ascii="Times New Roman" w:hAnsi="Times New Roman" w:cs="Times New Roman"/>
          <w:snapToGrid/>
          <w:color w:val="auto"/>
          <w:kern w:val="2"/>
          <w:sz w:val="24"/>
          <w:szCs w:val="24"/>
          <w:highlight w:val="none"/>
          <w:lang w:val="zh-CN"/>
        </w:rPr>
        <w:t>综上，</w:t>
      </w:r>
      <w:r>
        <w:rPr>
          <w:rFonts w:hint="eastAsia" w:ascii="Times New Roman" w:hAnsi="Times New Roman" w:cs="Times New Roman"/>
          <w:snapToGrid/>
          <w:color w:val="auto"/>
          <w:kern w:val="2"/>
          <w:sz w:val="24"/>
          <w:szCs w:val="24"/>
          <w:highlight w:val="none"/>
          <w:lang w:val="en-US" w:eastAsia="zh-CN"/>
        </w:rPr>
        <w:t>环境风险</w:t>
      </w:r>
      <w:r>
        <w:rPr>
          <w:rFonts w:hint="default" w:ascii="Times New Roman" w:hAnsi="Times New Roman" w:cs="Times New Roman"/>
          <w:snapToGrid/>
          <w:color w:val="auto"/>
          <w:kern w:val="2"/>
          <w:sz w:val="24"/>
          <w:szCs w:val="24"/>
          <w:highlight w:val="none"/>
          <w:lang w:val="zh-CN"/>
        </w:rPr>
        <w:t>事故发生时产生的废水均不会</w:t>
      </w:r>
      <w:r>
        <w:rPr>
          <w:rFonts w:hint="eastAsia" w:ascii="Times New Roman" w:hAnsi="Times New Roman" w:cs="Times New Roman"/>
          <w:snapToGrid/>
          <w:color w:val="auto"/>
          <w:kern w:val="2"/>
          <w:sz w:val="24"/>
          <w:szCs w:val="24"/>
          <w:highlight w:val="none"/>
          <w:lang w:val="en-US" w:eastAsia="zh-CN"/>
        </w:rPr>
        <w:t>进</w:t>
      </w:r>
      <w:r>
        <w:rPr>
          <w:rFonts w:hint="default" w:ascii="Times New Roman" w:hAnsi="Times New Roman" w:cs="Times New Roman"/>
          <w:snapToGrid/>
          <w:color w:val="auto"/>
          <w:kern w:val="2"/>
          <w:sz w:val="24"/>
          <w:szCs w:val="24"/>
          <w:highlight w:val="none"/>
          <w:lang w:val="zh-CN"/>
        </w:rPr>
        <w:t>入地表水体，故本项目发生地表水环境风险事故的可能性</w:t>
      </w:r>
      <w:r>
        <w:rPr>
          <w:rFonts w:hint="eastAsia" w:ascii="Times New Roman" w:hAnsi="Times New Roman" w:cs="Times New Roman"/>
          <w:snapToGrid/>
          <w:color w:val="auto"/>
          <w:kern w:val="2"/>
          <w:sz w:val="24"/>
          <w:szCs w:val="24"/>
          <w:highlight w:val="none"/>
          <w:lang w:val="en-US" w:eastAsia="zh-CN"/>
        </w:rPr>
        <w:t>较</w:t>
      </w:r>
      <w:r>
        <w:rPr>
          <w:rFonts w:hint="default" w:ascii="Times New Roman" w:hAnsi="Times New Roman" w:cs="Times New Roman"/>
          <w:snapToGrid/>
          <w:color w:val="auto"/>
          <w:kern w:val="2"/>
          <w:sz w:val="24"/>
          <w:szCs w:val="24"/>
          <w:highlight w:val="none"/>
          <w:lang w:val="zh-CN"/>
        </w:rPr>
        <w:t>低，本次评价重点对厂区的风险防范措施提出要求，杜绝此类事故发生。</w:t>
      </w:r>
    </w:p>
    <w:p w14:paraId="66AF8380">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82" w:name="_Toc30826"/>
      <w:bookmarkStart w:id="583" w:name="_Toc20497"/>
      <w:bookmarkStart w:id="584" w:name="_Toc24141"/>
      <w:bookmarkStart w:id="585" w:name="_Toc15289"/>
      <w:bookmarkStart w:id="586" w:name="_Toc11652"/>
      <w:r>
        <w:rPr>
          <w:rFonts w:hint="eastAsia" w:cs="Times New Roman"/>
          <w:b/>
          <w:bCs/>
          <w:color w:val="auto"/>
          <w:kern w:val="0"/>
          <w:sz w:val="28"/>
          <w:szCs w:val="28"/>
          <w:lang w:val="en-US" w:eastAsia="zh-CN" w:bidi="ar"/>
        </w:rPr>
        <w:t>7</w:t>
      </w:r>
      <w:r>
        <w:rPr>
          <w:rFonts w:hint="default" w:ascii="Times New Roman" w:hAnsi="Times New Roman" w:eastAsia="宋体" w:cs="Times New Roman"/>
          <w:b/>
          <w:bCs/>
          <w:color w:val="auto"/>
          <w:kern w:val="0"/>
          <w:sz w:val="28"/>
          <w:szCs w:val="28"/>
          <w:lang w:val="en-US" w:eastAsia="zh-CN" w:bidi="ar"/>
        </w:rPr>
        <w:t>.</w:t>
      </w:r>
      <w:r>
        <w:rPr>
          <w:rFonts w:hint="eastAsia" w:ascii="Times New Roman" w:hAnsi="Times New Roman" w:eastAsia="宋体" w:cs="Times New Roman"/>
          <w:b/>
          <w:bCs/>
          <w:color w:val="auto"/>
          <w:kern w:val="0"/>
          <w:sz w:val="28"/>
          <w:szCs w:val="28"/>
          <w:lang w:val="en-US" w:eastAsia="zh-CN" w:bidi="ar"/>
        </w:rPr>
        <w:t>3</w:t>
      </w:r>
      <w:r>
        <w:rPr>
          <w:rFonts w:hint="default" w:ascii="Times New Roman" w:hAnsi="Times New Roman" w:eastAsia="宋体" w:cs="Times New Roman"/>
          <w:b/>
          <w:bCs/>
          <w:color w:val="auto"/>
          <w:kern w:val="0"/>
          <w:sz w:val="28"/>
          <w:szCs w:val="28"/>
          <w:lang w:val="en-US" w:eastAsia="zh-CN" w:bidi="ar"/>
        </w:rPr>
        <w:t>地下水环境风险分析</w:t>
      </w:r>
      <w:bookmarkEnd w:id="582"/>
      <w:bookmarkEnd w:id="583"/>
      <w:bookmarkEnd w:id="584"/>
      <w:bookmarkEnd w:id="585"/>
      <w:bookmarkEnd w:id="586"/>
    </w:p>
    <w:p w14:paraId="62CC3680">
      <w:pPr>
        <w:spacing w:line="360" w:lineRule="auto"/>
        <w:outlineLvl w:val="2"/>
        <w:rPr>
          <w:rFonts w:hint="eastAsia" w:ascii="Times New Roman" w:hAnsi="Times New Roman" w:cs="Times New Roman"/>
          <w:b/>
          <w:bCs/>
          <w:color w:val="auto"/>
          <w:sz w:val="24"/>
          <w:szCs w:val="24"/>
          <w:lang w:val="en-US" w:eastAsia="zh-CN"/>
        </w:rPr>
      </w:pPr>
      <w:r>
        <w:rPr>
          <w:rFonts w:hint="eastAsia" w:cs="Times New Roman"/>
          <w:b/>
          <w:bCs/>
          <w:color w:val="auto"/>
          <w:sz w:val="24"/>
          <w:szCs w:val="24"/>
          <w:lang w:val="en-US" w:eastAsia="zh-CN"/>
        </w:rPr>
        <w:t>7.3.1</w:t>
      </w:r>
      <w:r>
        <w:rPr>
          <w:rFonts w:hint="eastAsia" w:ascii="Times New Roman" w:hAnsi="Times New Roman" w:cs="Times New Roman"/>
          <w:b/>
          <w:bCs/>
          <w:color w:val="auto"/>
          <w:sz w:val="24"/>
          <w:szCs w:val="24"/>
          <w:lang w:val="en-US" w:eastAsia="zh-CN"/>
        </w:rPr>
        <w:t>厂区水文地质条件</w:t>
      </w:r>
    </w:p>
    <w:p w14:paraId="2EFBEAC5">
      <w:pPr>
        <w:spacing w:line="360" w:lineRule="auto"/>
        <w:ind w:firstLine="480" w:firstLineChars="200"/>
        <w:outlineLvl w:val="0"/>
        <w:rPr>
          <w:rFonts w:hint="eastAsia" w:ascii="Times New Roman" w:hAnsi="Times New Roman" w:cs="Times New Roman"/>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①</w:t>
      </w:r>
      <w:r>
        <w:rPr>
          <w:rFonts w:hint="eastAsia" w:ascii="Times New Roman" w:hAnsi="Times New Roman" w:cs="Times New Roman"/>
          <w:b w:val="0"/>
          <w:bCs w:val="0"/>
          <w:color w:val="auto"/>
          <w:sz w:val="24"/>
          <w:szCs w:val="24"/>
          <w:highlight w:val="none"/>
          <w:lang w:val="en-US" w:eastAsia="zh-CN"/>
        </w:rPr>
        <w:t>水文地质条件</w:t>
      </w:r>
    </w:p>
    <w:p w14:paraId="4210330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厂区地下水类型主要为第四系孔隙水及基岩裂隙水。</w:t>
      </w:r>
    </w:p>
    <w:p w14:paraId="7CCAD2D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厂区地下水主要类</w:t>
      </w:r>
      <w:r>
        <w:rPr>
          <w:rFonts w:hint="eastAsia" w:cs="Times New Roman"/>
          <w:color w:val="auto"/>
          <w:sz w:val="24"/>
          <w:highlight w:val="none"/>
          <w:lang w:eastAsia="zh-CN"/>
        </w:rPr>
        <w:t>型为</w:t>
      </w:r>
      <w:r>
        <w:rPr>
          <w:rFonts w:hint="default" w:ascii="Times New Roman" w:hAnsi="Times New Roman" w:cs="Times New Roman"/>
          <w:color w:val="auto"/>
          <w:sz w:val="24"/>
          <w:highlight w:val="none"/>
        </w:rPr>
        <w:t>松散岩类孔隙水，占厂区大部分区域，第四系全新统冲洪积粉质粘土组成，厚度3.0～5.00m，含水层由砂砾石、砂卵石组成，含水层厚度3.0～8.0m，地下水埋深一般8.0～15.0m，地下水渗透系数为45.5～85.5m/d。富水性较贫乏。地下水动态受季节控制，主要接受大气降水及侧向地下水补给，单井涌水量小于500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/d，水化学类型为硫酸根重碳酸钙镁型。矿化度＜1克/升。</w:t>
      </w:r>
    </w:p>
    <w:p w14:paraId="1BD9DE7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厂区北侧少部分区域为基岩裂隙水，上覆包气带裸露地表，该含水岩组岩性为黑云角闪斜长片麻岩，风化带厚度约15m左右，浅部风化带透水性较好，为含水不丰富、渗透性微弱的弱含水岩组。</w:t>
      </w:r>
    </w:p>
    <w:p w14:paraId="682815C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sz w:val="24"/>
          <w:lang w:eastAsia="zh-CN"/>
        </w:rPr>
      </w:pPr>
      <w:r>
        <w:rPr>
          <w:color w:val="auto"/>
          <w:sz w:val="30"/>
        </w:rPr>
        <mc:AlternateContent>
          <mc:Choice Requires="wps">
            <w:drawing>
              <wp:anchor distT="0" distB="0" distL="114300" distR="114300" simplePos="0" relativeHeight="251803648" behindDoc="0" locked="0" layoutInCell="1" allowOverlap="1">
                <wp:simplePos x="0" y="0"/>
                <wp:positionH relativeFrom="column">
                  <wp:posOffset>728345</wp:posOffset>
                </wp:positionH>
                <wp:positionV relativeFrom="paragraph">
                  <wp:posOffset>3096895</wp:posOffset>
                </wp:positionV>
                <wp:extent cx="572135" cy="285750"/>
                <wp:effectExtent l="0" t="0" r="18415" b="0"/>
                <wp:wrapNone/>
                <wp:docPr id="206" name="文本框 206"/>
                <wp:cNvGraphicFramePr/>
                <a:graphic xmlns:a="http://schemas.openxmlformats.org/drawingml/2006/main">
                  <a:graphicData uri="http://schemas.microsoft.com/office/word/2010/wordprocessingShape">
                    <wps:wsp>
                      <wps:cNvSpPr txBox="1"/>
                      <wps:spPr>
                        <a:xfrm>
                          <a:off x="1922780" y="3857625"/>
                          <a:ext cx="57213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2AA2AB">
                            <w:pPr>
                              <w:rPr>
                                <w:rFonts w:hint="default" w:eastAsia="宋体"/>
                                <w:color w:val="00B050"/>
                                <w:lang w:val="en-US" w:eastAsia="zh-CN"/>
                              </w:rPr>
                            </w:pPr>
                            <w:r>
                              <w:rPr>
                                <w:rFonts w:hint="eastAsia"/>
                                <w:color w:val="00B050"/>
                                <w:lang w:val="en-US" w:eastAsia="zh-CN"/>
                              </w:rPr>
                              <w:t>450m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35pt;margin-top:243.85pt;height:22.5pt;width:45.05pt;z-index:251803648;mso-width-relative:page;mso-height-relative:page;" filled="f" stroked="f" coordsize="21600,21600" o:gfxdata="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uC27d2wAAAAsBAAAPAAAAAAAA&#10;AAEAIAAAACIAAABkcnMvZG93bnJldi54bWxQSwECFAAUAAAACACHTuJA1ob2rkgCAAB1BAAADgAA&#10;AAAAAAABACAAAAAqAQAAZHJzL2Uyb0RvYy54bWxQSwUGAAAAAAYABgBZAQAA5AUAAAAA&#10;">
                <v:fill on="f" focussize="0,0"/>
                <v:stroke on="f" weight="0.5pt"/>
                <v:imagedata o:title=""/>
                <o:lock v:ext="edit" aspectratio="f"/>
                <v:textbox>
                  <w:txbxContent>
                    <w:p w14:paraId="2F2AA2AB">
                      <w:pPr>
                        <w:rPr>
                          <w:rFonts w:hint="default" w:eastAsia="宋体"/>
                          <w:color w:val="00B050"/>
                          <w:lang w:val="en-US" w:eastAsia="zh-CN"/>
                        </w:rPr>
                      </w:pPr>
                      <w:r>
                        <w:rPr>
                          <w:rFonts w:hint="eastAsia"/>
                          <w:color w:val="00B050"/>
                          <w:lang w:val="en-US" w:eastAsia="zh-CN"/>
                        </w:rPr>
                        <w:t>450m</w:t>
                      </w:r>
                    </w:p>
                  </w:txbxContent>
                </v:textbox>
              </v:shape>
            </w:pict>
          </mc:Fallback>
        </mc:AlternateContent>
      </w:r>
      <w:r>
        <w:rPr>
          <w:color w:val="auto"/>
          <w:sz w:val="30"/>
        </w:rPr>
        <mc:AlternateContent>
          <mc:Choice Requires="wps">
            <w:drawing>
              <wp:anchor distT="0" distB="0" distL="114300" distR="114300" simplePos="0" relativeHeight="251802624" behindDoc="0" locked="0" layoutInCell="1" allowOverlap="1">
                <wp:simplePos x="0" y="0"/>
                <wp:positionH relativeFrom="column">
                  <wp:posOffset>926465</wp:posOffset>
                </wp:positionH>
                <wp:positionV relativeFrom="paragraph">
                  <wp:posOffset>2576830</wp:posOffset>
                </wp:positionV>
                <wp:extent cx="629920" cy="1531620"/>
                <wp:effectExtent l="5715" t="2540" r="31115" b="8890"/>
                <wp:wrapNone/>
                <wp:docPr id="205" name="直接箭头连接符 205"/>
                <wp:cNvGraphicFramePr/>
                <a:graphic xmlns:a="http://schemas.openxmlformats.org/drawingml/2006/main">
                  <a:graphicData uri="http://schemas.microsoft.com/office/word/2010/wordprocessingShape">
                    <wps:wsp>
                      <wps:cNvCnPr/>
                      <wps:spPr>
                        <a:xfrm>
                          <a:off x="2069465" y="3491230"/>
                          <a:ext cx="629920" cy="1531620"/>
                        </a:xfrm>
                        <a:prstGeom prst="straightConnector1">
                          <a:avLst/>
                        </a:prstGeom>
                        <a:ln w="12700">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72.95pt;margin-top:202.9pt;height:120.6pt;width:49.6pt;z-index:251802624;mso-width-relative:page;mso-height-relative:page;" filled="f" stroked="t" coordsize="21600,21600" o:gfxdata="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iGtl7ZAAAACwEAAA8AAAAAAAAAAQAg&#10;AAAAIgAAAGRycy9kb3ducmV2LnhtbFBLAQIUABQAAAAIAIdO4kB8DkS1DQIAAN0DAAAOAAAAAAAA&#10;AAEAIAAAACgBAABkcnMvZTJvRG9jLnhtbFBLBQYAAAAABgAGAFkBAACnBQAAAAA=&#10;">
                <v:fill on="f" focussize="0,0"/>
                <v:stroke weight="1pt" color="#00B050 [3204]" joinstyle="round" endarrow="open"/>
                <v:imagedata o:title=""/>
                <o:lock v:ext="edit" aspectratio="f"/>
              </v:shape>
            </w:pict>
          </mc:Fallback>
        </mc:AlternateContent>
      </w:r>
      <w:r>
        <w:rPr>
          <w:color w:val="auto"/>
          <w:sz w:val="30"/>
        </w:rPr>
        <w:drawing>
          <wp:inline distT="0" distB="0" distL="114300" distR="114300">
            <wp:extent cx="5270500" cy="6790055"/>
            <wp:effectExtent l="0" t="0" r="6350" b="10795"/>
            <wp:docPr id="187" name="图片 187" descr="f032a53dfacc060feb9f5e1181caa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f032a53dfacc060feb9f5e1181caa498"/>
                    <pic:cNvPicPr>
                      <a:picLocks noChangeAspect="1"/>
                    </pic:cNvPicPr>
                  </pic:nvPicPr>
                  <pic:blipFill>
                    <a:blip r:embed="rId238"/>
                    <a:stretch>
                      <a:fillRect/>
                    </a:stretch>
                  </pic:blipFill>
                  <pic:spPr>
                    <a:xfrm>
                      <a:off x="0" y="0"/>
                      <a:ext cx="5270500" cy="6790055"/>
                    </a:xfrm>
                    <a:prstGeom prst="rect">
                      <a:avLst/>
                    </a:prstGeom>
                  </pic:spPr>
                </pic:pic>
              </a:graphicData>
            </a:graphic>
          </wp:inline>
        </w:drawing>
      </w:r>
    </w:p>
    <w:p w14:paraId="2D76FF04">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s="Times New Roman"/>
          <w:b/>
          <w:bCs w:val="0"/>
          <w:color w:val="auto"/>
          <w:sz w:val="21"/>
          <w:szCs w:val="21"/>
          <w:highlight w:val="none"/>
          <w:lang w:eastAsia="zh-CN"/>
        </w:rPr>
      </w:pPr>
      <w:r>
        <w:rPr>
          <w:rFonts w:hint="eastAsia" w:ascii="Times New Roman" w:hAnsi="Times New Roman" w:eastAsia="宋体" w:cs="Times New Roman"/>
          <w:b/>
          <w:bCs w:val="0"/>
          <w:color w:val="auto"/>
          <w:sz w:val="21"/>
          <w:szCs w:val="21"/>
          <w:highlight w:val="none"/>
        </w:rPr>
        <w:t>图</w:t>
      </w:r>
      <w:r>
        <w:rPr>
          <w:rFonts w:hint="eastAsia" w:cs="Times New Roman"/>
          <w:b/>
          <w:bCs w:val="0"/>
          <w:color w:val="auto"/>
          <w:sz w:val="21"/>
          <w:szCs w:val="21"/>
          <w:highlight w:val="none"/>
          <w:lang w:val="en-US" w:eastAsia="zh-CN"/>
        </w:rPr>
        <w:t>7-3</w:t>
      </w:r>
      <w:r>
        <w:rPr>
          <w:rFonts w:hint="eastAsia" w:ascii="Times New Roman" w:hAnsi="Times New Roman" w:eastAsia="宋体" w:cs="Times New Roman"/>
          <w:b/>
          <w:bCs w:val="0"/>
          <w:color w:val="auto"/>
          <w:sz w:val="21"/>
          <w:szCs w:val="21"/>
          <w:highlight w:val="none"/>
        </w:rPr>
        <w:t xml:space="preserve">  </w:t>
      </w:r>
      <w:r>
        <w:rPr>
          <w:rFonts w:hint="eastAsia" w:ascii="Times New Roman" w:hAnsi="Times New Roman" w:eastAsia="宋体" w:cs="Times New Roman"/>
          <w:b/>
          <w:bCs w:val="0"/>
          <w:color w:val="auto"/>
          <w:sz w:val="21"/>
          <w:szCs w:val="21"/>
          <w:highlight w:val="none"/>
          <w:lang w:eastAsia="zh-CN"/>
        </w:rPr>
        <w:t>项目厂区水文地质</w:t>
      </w:r>
      <w:r>
        <w:rPr>
          <w:rFonts w:hint="eastAsia" w:ascii="Times New Roman" w:hAnsi="Times New Roman" w:eastAsia="宋体" w:cs="Times New Roman"/>
          <w:b/>
          <w:bCs w:val="0"/>
          <w:color w:val="auto"/>
          <w:sz w:val="21"/>
          <w:szCs w:val="21"/>
          <w:highlight w:val="none"/>
        </w:rPr>
        <w:t>图</w:t>
      </w:r>
      <w:r>
        <w:rPr>
          <w:rFonts w:hint="eastAsia" w:cs="Times New Roman"/>
          <w:b/>
          <w:bCs w:val="0"/>
          <w:color w:val="auto"/>
          <w:sz w:val="21"/>
          <w:szCs w:val="21"/>
          <w:highlight w:val="none"/>
          <w:lang w:eastAsia="zh-CN"/>
        </w:rPr>
        <w:t>（</w:t>
      </w:r>
      <w:r>
        <w:rPr>
          <w:rFonts w:hint="eastAsia" w:cs="Times New Roman"/>
          <w:b/>
          <w:bCs w:val="0"/>
          <w:color w:val="auto"/>
          <w:sz w:val="21"/>
          <w:szCs w:val="21"/>
          <w:highlight w:val="none"/>
          <w:lang w:val="en-US" w:eastAsia="zh-CN"/>
        </w:rPr>
        <w:t>1:2000</w:t>
      </w:r>
      <w:r>
        <w:rPr>
          <w:rFonts w:hint="eastAsia" w:cs="Times New Roman"/>
          <w:b/>
          <w:bCs w:val="0"/>
          <w:color w:val="auto"/>
          <w:sz w:val="21"/>
          <w:szCs w:val="21"/>
          <w:highlight w:val="none"/>
          <w:lang w:eastAsia="zh-CN"/>
        </w:rPr>
        <w:t>）</w:t>
      </w:r>
    </w:p>
    <w:p w14:paraId="6AD43EC5">
      <w:pPr>
        <w:spacing w:line="360" w:lineRule="auto"/>
        <w:ind w:firstLine="480" w:firstLineChars="200"/>
        <w:outlineLvl w:val="0"/>
        <w:rPr>
          <w:rFonts w:hint="default"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②</w:t>
      </w:r>
      <w:r>
        <w:rPr>
          <w:rFonts w:hint="default" w:ascii="宋体" w:hAnsi="宋体" w:eastAsia="宋体" w:cs="宋体"/>
          <w:b w:val="0"/>
          <w:bCs w:val="0"/>
          <w:color w:val="auto"/>
          <w:sz w:val="24"/>
          <w:szCs w:val="24"/>
          <w:highlight w:val="none"/>
          <w:lang w:val="en-US" w:eastAsia="zh-CN"/>
        </w:rPr>
        <w:t>隔水层</w:t>
      </w:r>
    </w:p>
    <w:p w14:paraId="4D01657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除第四系松散岩类孔隙潜水含水层之外的诸如混合岩、片麻岩，均具有大致相同的地质环境条件，有相同的水文地质性质，即节理裂隙不发育，且越向深部发育越弱，渗透性极差，有隔水能力。</w:t>
      </w:r>
    </w:p>
    <w:p w14:paraId="01235F0D">
      <w:pPr>
        <w:spacing w:line="360" w:lineRule="auto"/>
        <w:ind w:firstLine="480" w:firstLineChars="200"/>
        <w:outlineLvl w:val="0"/>
        <w:rPr>
          <w:rFonts w:hint="default"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③</w:t>
      </w:r>
      <w:r>
        <w:rPr>
          <w:rFonts w:hint="default" w:ascii="宋体" w:hAnsi="宋体" w:eastAsia="宋体" w:cs="宋体"/>
          <w:b w:val="0"/>
          <w:bCs w:val="0"/>
          <w:color w:val="auto"/>
          <w:sz w:val="24"/>
          <w:szCs w:val="24"/>
          <w:highlight w:val="none"/>
          <w:lang w:val="en-US" w:eastAsia="zh-CN"/>
        </w:rPr>
        <w:t>地下水补给、径流及排泄条件</w:t>
      </w:r>
    </w:p>
    <w:p w14:paraId="1B89A8C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下水除直接接受大气降水入渗补给外，尚接受区域性地下水径流补给，径流条件取决于地形地貌和第四系孔隙程度及其连通程度等，总的看径流条件一般，局部较好，自然排泄条件较好，目前以人工开采形式进行排泄。</w:t>
      </w:r>
    </w:p>
    <w:p w14:paraId="5A28E097">
      <w:pPr>
        <w:spacing w:line="360" w:lineRule="auto"/>
        <w:ind w:firstLine="480" w:firstLineChars="200"/>
        <w:outlineLvl w:val="0"/>
        <w:rPr>
          <w:rFonts w:hint="default"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④</w:t>
      </w:r>
      <w:r>
        <w:rPr>
          <w:rFonts w:hint="default" w:ascii="宋体" w:hAnsi="宋体" w:eastAsia="宋体" w:cs="宋体"/>
          <w:b w:val="0"/>
          <w:bCs w:val="0"/>
          <w:color w:val="auto"/>
          <w:sz w:val="24"/>
          <w:szCs w:val="24"/>
          <w:highlight w:val="none"/>
          <w:lang w:val="en-US" w:eastAsia="zh-CN"/>
        </w:rPr>
        <w:t>厂区包气带现状及特征</w:t>
      </w:r>
    </w:p>
    <w:p w14:paraId="1F0EB21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包气带现状主要分布于山前坡地，岩性为杂填土及粉质粘土夹砂。</w:t>
      </w:r>
    </w:p>
    <w:p w14:paraId="6B18222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包气带土壤</w:t>
      </w:r>
      <w:r>
        <w:rPr>
          <w:rFonts w:hint="eastAsia" w:ascii="Times New Roman" w:hAnsi="Times New Roman" w:cs="Times New Roman"/>
          <w:color w:val="auto"/>
          <w:sz w:val="24"/>
          <w:highlight w:val="none"/>
          <w:lang w:eastAsia="zh-CN"/>
        </w:rPr>
        <w:t>对于</w:t>
      </w:r>
      <w:r>
        <w:rPr>
          <w:rFonts w:hint="default" w:ascii="Times New Roman" w:hAnsi="Times New Roman" w:cs="Times New Roman"/>
          <w:color w:val="auto"/>
          <w:sz w:val="24"/>
          <w:highlight w:val="none"/>
        </w:rPr>
        <w:t>石油类污染物的吸附能力较差，很快即达到吸附饱和，这是因为包气带土壤中所含的</w:t>
      </w:r>
      <w:r>
        <w:rPr>
          <w:rFonts w:hint="eastAsia" w:cs="Times New Roman"/>
          <w:color w:val="auto"/>
          <w:sz w:val="24"/>
          <w:highlight w:val="none"/>
          <w:lang w:eastAsia="zh-CN"/>
        </w:rPr>
        <w:t>黏土</w:t>
      </w:r>
      <w:r>
        <w:rPr>
          <w:rFonts w:hint="default" w:ascii="Times New Roman" w:hAnsi="Times New Roman" w:cs="Times New Roman"/>
          <w:color w:val="auto"/>
          <w:sz w:val="24"/>
          <w:highlight w:val="none"/>
        </w:rPr>
        <w:t>矿物中存在着大量可交换的亲水性无机阳离子，使其表面形成一层薄的水膜，阻碍了疏水性有机污染物的表面吸附，包气带土壤有机污染物的吸附主要是通过其层间结构来实现的。包气带土壤对于重金属离子较大的吸附量则是由于其含有的</w:t>
      </w:r>
      <w:r>
        <w:rPr>
          <w:rFonts w:hint="eastAsia" w:cs="Times New Roman"/>
          <w:color w:val="auto"/>
          <w:sz w:val="24"/>
          <w:highlight w:val="none"/>
          <w:lang w:eastAsia="zh-CN"/>
        </w:rPr>
        <w:t>黏土</w:t>
      </w:r>
      <w:r>
        <w:rPr>
          <w:rFonts w:hint="default" w:ascii="Times New Roman" w:hAnsi="Times New Roman" w:cs="Times New Roman"/>
          <w:color w:val="auto"/>
          <w:sz w:val="24"/>
          <w:highlight w:val="none"/>
        </w:rPr>
        <w:t>矿物具有较大的比表面积及离子交换容量。胶泥土、粘土、粉砂质粘土对污染物的防护能力依次减小，即粒径越小，胶结程度越高，土壤对污染物的截留能力越强。本项目场地中包气带土壤对各种污染物的吸附能力均较低，这是由于所取用的包气带土壤以粉质黏土夹砂为主，粉质黏土夹砂层中由于夹砂相应的土壤颗粒的粒径较大，所含粘土矿物较少，故对各种污染物的截留吸附能力较弱。</w:t>
      </w:r>
    </w:p>
    <w:p w14:paraId="657E8FD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潜水含水层脆弱性主控因素为包气带对污染物的阻隔能力，建设项目地下水脆弱性评价主要影响因子主要为地下水埋深、包气带岩性及其厚度。其中含粘性土较多的土壤包气带防污性能远远大于以粉砂土为主的土壤包气带的防污性能。本项目包气带土壤以粉质黏土夹砂为主，其对石油类、苯系物、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N和CODcr等吸附能力较低。</w:t>
      </w:r>
    </w:p>
    <w:p w14:paraId="4D5F541A">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建设项目场址包气带层厚Mb＞1.0m，分布连续、稳定，渗透系数通过现场勘查，场区包气带渗透系数为9.2×10</w:t>
      </w:r>
      <w:r>
        <w:rPr>
          <w:rFonts w:hint="eastAsia" w:eastAsia="宋体" w:cs="Times New Roman"/>
          <w:color w:val="auto"/>
          <w:sz w:val="24"/>
          <w:highlight w:val="none"/>
          <w:vertAlign w:val="superscript"/>
          <w:lang w:val="en-US" w:eastAsia="zh-CN"/>
        </w:rPr>
        <w:t>-</w:t>
      </w:r>
      <w:r>
        <w:rPr>
          <w:rFonts w:hint="default" w:ascii="Times New Roman" w:hAnsi="Times New Roman" w:eastAsia="宋体" w:cs="Times New Roman"/>
          <w:color w:val="auto"/>
          <w:sz w:val="24"/>
          <w:highlight w:val="none"/>
          <w:vertAlign w:val="superscript"/>
        </w:rPr>
        <w:t>4</w:t>
      </w:r>
      <w:r>
        <w:rPr>
          <w:rFonts w:hint="default" w:ascii="Times New Roman" w:hAnsi="Times New Roman" w:eastAsia="宋体" w:cs="Times New Roman"/>
          <w:color w:val="auto"/>
          <w:sz w:val="24"/>
          <w:highlight w:val="none"/>
        </w:rPr>
        <w:t>cm/s。根据天然包气带防污性能分级参照表划分，包气带岩土的抗污性能分级为弱。</w:t>
      </w:r>
    </w:p>
    <w:p w14:paraId="57698D13">
      <w:pPr>
        <w:spacing w:line="360" w:lineRule="auto"/>
        <w:outlineLvl w:val="2"/>
        <w:rPr>
          <w:rFonts w:hint="default" w:cs="Times New Roman"/>
          <w:b/>
          <w:bCs/>
          <w:color w:val="auto"/>
          <w:sz w:val="24"/>
          <w:szCs w:val="24"/>
          <w:lang w:val="en-US" w:eastAsia="zh-CN"/>
        </w:rPr>
      </w:pPr>
      <w:r>
        <w:rPr>
          <w:rFonts w:hint="eastAsia" w:cs="Times New Roman"/>
          <w:b/>
          <w:bCs/>
          <w:color w:val="auto"/>
          <w:sz w:val="24"/>
          <w:szCs w:val="24"/>
          <w:lang w:val="en-US" w:eastAsia="zh-CN"/>
        </w:rPr>
        <w:t>7.3.2</w:t>
      </w:r>
      <w:r>
        <w:rPr>
          <w:rFonts w:hint="default" w:cs="Times New Roman"/>
          <w:b/>
          <w:bCs/>
          <w:color w:val="auto"/>
          <w:sz w:val="24"/>
          <w:szCs w:val="24"/>
          <w:lang w:val="en-US" w:eastAsia="zh-CN"/>
        </w:rPr>
        <w:t>地下水环境风险</w:t>
      </w:r>
      <w:r>
        <w:rPr>
          <w:rFonts w:hint="eastAsia" w:cs="Times New Roman"/>
          <w:b/>
          <w:bCs/>
          <w:color w:val="auto"/>
          <w:sz w:val="24"/>
          <w:szCs w:val="24"/>
          <w:lang w:val="en-US" w:eastAsia="zh-CN"/>
        </w:rPr>
        <w:t>评价</w:t>
      </w:r>
    </w:p>
    <w:p w14:paraId="49FFAD73">
      <w:pPr>
        <w:adjustRightInd/>
        <w:snapToGrid/>
        <w:spacing w:line="360" w:lineRule="auto"/>
        <w:ind w:firstLine="480"/>
        <w:textAlignment w:val="auto"/>
        <w:outlineLvl w:val="9"/>
        <w:rPr>
          <w:rFonts w:hint="eastAsia"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本项目装置区</w:t>
      </w:r>
      <w:r>
        <w:rPr>
          <w:rFonts w:hint="eastAsia" w:cs="Times New Roman"/>
          <w:snapToGrid/>
          <w:color w:val="auto"/>
          <w:kern w:val="2"/>
          <w:sz w:val="24"/>
          <w:szCs w:val="24"/>
          <w:highlight w:val="none"/>
          <w:lang w:val="en-US" w:eastAsia="zh-CN"/>
        </w:rPr>
        <w:t>、</w:t>
      </w:r>
      <w:r>
        <w:rPr>
          <w:rFonts w:hint="eastAsia" w:ascii="Times New Roman" w:hAnsi="Times New Roman" w:cs="Times New Roman"/>
          <w:snapToGrid/>
          <w:color w:val="auto"/>
          <w:kern w:val="2"/>
          <w:sz w:val="24"/>
          <w:szCs w:val="24"/>
          <w:highlight w:val="none"/>
          <w:lang w:val="en-US" w:eastAsia="zh-CN"/>
        </w:rPr>
        <w:t>储罐区</w:t>
      </w:r>
      <w:r>
        <w:rPr>
          <w:rFonts w:hint="eastAsia" w:cs="Times New Roman"/>
          <w:snapToGrid/>
          <w:color w:val="auto"/>
          <w:kern w:val="2"/>
          <w:sz w:val="24"/>
          <w:szCs w:val="24"/>
          <w:highlight w:val="none"/>
          <w:lang w:val="en-US" w:eastAsia="zh-CN"/>
        </w:rPr>
        <w:t>、事故池等</w:t>
      </w:r>
      <w:r>
        <w:rPr>
          <w:rFonts w:hint="eastAsia" w:ascii="Times New Roman" w:hAnsi="Times New Roman" w:cs="Times New Roman"/>
          <w:snapToGrid/>
          <w:color w:val="auto"/>
          <w:kern w:val="2"/>
          <w:sz w:val="24"/>
          <w:szCs w:val="24"/>
          <w:highlight w:val="none"/>
          <w:lang w:val="en-US" w:eastAsia="zh-CN"/>
        </w:rPr>
        <w:t>发生泄漏，防渗层发生破损或破裂，污染物可能通过下渗污染地下水环境；厂区发生火灾事故，消防水处理不当，污染物可能通过下渗污染地下水环境。</w:t>
      </w:r>
    </w:p>
    <w:p w14:paraId="4482F527">
      <w:pPr>
        <w:adjustRightInd/>
        <w:snapToGrid/>
        <w:spacing w:line="360" w:lineRule="auto"/>
        <w:ind w:firstLine="480"/>
        <w:textAlignment w:val="auto"/>
        <w:outlineLvl w:val="9"/>
        <w:rPr>
          <w:rFonts w:hint="default" w:ascii="Times New Roman" w:hAnsi="Times New Roman"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本项目地下水环境风险评价等级为二级，根据项目风险源调查及事故情景筛选，以硝酸铵溶液储罐区为事故风险源，以储罐破损泄漏同时围堰破损，溶液渗入地下水环境为事故情景。本项目参考厂区内同类生产线</w:t>
      </w:r>
      <w:r>
        <w:rPr>
          <w:rFonts w:hint="default" w:ascii="Times New Roman" w:hAnsi="Times New Roman" w:cs="Times New Roman"/>
          <w:color w:val="auto"/>
          <w:sz w:val="24"/>
          <w:szCs w:val="24"/>
          <w:lang w:val="en-US" w:eastAsia="zh-CN"/>
        </w:rPr>
        <w:t>20000t乳化炸药生产</w:t>
      </w:r>
      <w:r>
        <w:rPr>
          <w:rFonts w:hint="eastAsia" w:cs="Times New Roman"/>
          <w:color w:val="auto"/>
          <w:sz w:val="24"/>
          <w:szCs w:val="24"/>
          <w:lang w:val="en-US" w:eastAsia="zh-CN"/>
        </w:rPr>
        <w:t>线环境风险事故情景及预测结果对本次环境风险地下水影响进行分析。</w:t>
      </w:r>
    </w:p>
    <w:p w14:paraId="6A07845B">
      <w:pPr>
        <w:adjustRightInd/>
        <w:snapToGrid/>
        <w:spacing w:line="360" w:lineRule="auto"/>
        <w:ind w:firstLine="480"/>
        <w:textAlignment w:val="auto"/>
        <w:outlineLvl w:val="9"/>
        <w:rPr>
          <w:rFonts w:hint="default" w:ascii="Times New Roman" w:hAnsi="Times New Roman"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《朝阳红山化工有限责任公司年产20000t乳化炸药生产线扩能升级改造项目》设置2座有效容积40m</w:t>
      </w:r>
      <w:r>
        <w:rPr>
          <w:rFonts w:hint="eastAsia" w:cs="Times New Roman"/>
          <w:snapToGrid/>
          <w:color w:val="auto"/>
          <w:kern w:val="2"/>
          <w:sz w:val="24"/>
          <w:szCs w:val="24"/>
          <w:highlight w:val="none"/>
          <w:vertAlign w:val="superscript"/>
          <w:lang w:val="en-US" w:eastAsia="zh-CN"/>
        </w:rPr>
        <w:t>3</w:t>
      </w:r>
      <w:r>
        <w:rPr>
          <w:rFonts w:hint="eastAsia" w:cs="Times New Roman"/>
          <w:snapToGrid/>
          <w:color w:val="auto"/>
          <w:kern w:val="2"/>
          <w:sz w:val="24"/>
          <w:szCs w:val="24"/>
          <w:highlight w:val="none"/>
          <w:lang w:val="en-US" w:eastAsia="zh-CN"/>
        </w:rPr>
        <w:t>的硝酸铵溶液储罐，与本项目储罐有效容积和储存物料完全相同，位于同一厂区地下水环境保护目标相同，所在水文地质单元特征相同，且风险事故类型相同，储罐位置距离保护目标相对更远，故类比可行。</w:t>
      </w:r>
    </w:p>
    <w:p w14:paraId="7D2679D6">
      <w:pPr>
        <w:adjustRightInd w:val="0"/>
        <w:snapToGrid w:val="0"/>
        <w:jc w:val="center"/>
        <w:rPr>
          <w:b/>
          <w:bCs/>
          <w:color w:val="auto"/>
        </w:rPr>
      </w:pPr>
      <w:r>
        <w:rPr>
          <w:color w:val="auto"/>
          <w:sz w:val="21"/>
        </w:rPr>
        <mc:AlternateContent>
          <mc:Choice Requires="wps">
            <w:drawing>
              <wp:anchor distT="0" distB="0" distL="114300" distR="114300" simplePos="0" relativeHeight="251800576" behindDoc="0" locked="0" layoutInCell="1" allowOverlap="1">
                <wp:simplePos x="0" y="0"/>
                <wp:positionH relativeFrom="column">
                  <wp:posOffset>3949065</wp:posOffset>
                </wp:positionH>
                <wp:positionV relativeFrom="paragraph">
                  <wp:posOffset>2453005</wp:posOffset>
                </wp:positionV>
                <wp:extent cx="75565" cy="75565"/>
                <wp:effectExtent l="12700" t="12700" r="26035" b="26035"/>
                <wp:wrapNone/>
                <wp:docPr id="24" name="矩形 24"/>
                <wp:cNvGraphicFramePr/>
                <a:graphic xmlns:a="http://schemas.openxmlformats.org/drawingml/2006/main">
                  <a:graphicData uri="http://schemas.microsoft.com/office/word/2010/wordprocessingShape">
                    <wps:wsp>
                      <wps:cNvSpPr/>
                      <wps:spPr>
                        <a:xfrm>
                          <a:off x="0" y="0"/>
                          <a:ext cx="75565" cy="75565"/>
                        </a:xfrm>
                        <a:prstGeom prst="rect">
                          <a:avLst/>
                        </a:prstGeom>
                        <a:solidFill>
                          <a:schemeClr val="bg1"/>
                        </a:solidFill>
                        <a:ln>
                          <a:solidFill>
                            <a:srgbClr val="FF000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95pt;margin-top:193.15pt;height:5.95pt;width:5.95pt;z-index:251800576;v-text-anchor:middle;mso-width-relative:page;mso-height-relative:page;" fillcolor="#FFFFFF [3212]" filled="t" stroked="t" coordsize="21600,21600" o:gfxdata="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4F0BdkAAAALAQAADwAAAAAAAAABACAAAAAiAAAAZHJzL2Rvd25y&#10;ZXYueG1sUEsBAhQAFAAAAAgAh07iQP+r2txvAgAA9QQAAA4AAAAAAAAAAQAgAAAAKAEAAGRycy9l&#10;Mm9Eb2MueG1sUEsFBgAAAAAGAAYAWQEAAAkGAAAAAA==&#10;">
                <v:fill on="t" focussize="0,0"/>
                <v:stroke weight="2pt" color="#FF0000 [3204]" joinstyle="round" endarrow="open"/>
                <v:imagedata o:title=""/>
                <o:lock v:ext="edit" aspectratio="f"/>
              </v:rect>
            </w:pict>
          </mc:Fallback>
        </mc:AlternateContent>
      </w:r>
      <w:r>
        <w:rPr>
          <w:color w:val="auto"/>
          <w:sz w:val="21"/>
        </w:rPr>
        <mc:AlternateContent>
          <mc:Choice Requires="wps">
            <w:drawing>
              <wp:anchor distT="0" distB="0" distL="114300" distR="114300" simplePos="0" relativeHeight="251736064" behindDoc="0" locked="0" layoutInCell="1" allowOverlap="1">
                <wp:simplePos x="0" y="0"/>
                <wp:positionH relativeFrom="column">
                  <wp:posOffset>3948430</wp:posOffset>
                </wp:positionH>
                <wp:positionV relativeFrom="paragraph">
                  <wp:posOffset>2286635</wp:posOffset>
                </wp:positionV>
                <wp:extent cx="75565" cy="75565"/>
                <wp:effectExtent l="12700" t="12700" r="26035" b="26035"/>
                <wp:wrapNone/>
                <wp:docPr id="124" name="矩形 124"/>
                <wp:cNvGraphicFramePr/>
                <a:graphic xmlns:a="http://schemas.openxmlformats.org/drawingml/2006/main">
                  <a:graphicData uri="http://schemas.microsoft.com/office/word/2010/wordprocessingShape">
                    <wps:wsp>
                      <wps:cNvSpPr/>
                      <wps:spPr>
                        <a:xfrm>
                          <a:off x="0" y="0"/>
                          <a:ext cx="75565" cy="75565"/>
                        </a:xfrm>
                        <a:prstGeom prst="rect">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9pt;margin-top:180.05pt;height:5.95pt;width:5.95pt;z-index:251736064;v-text-anchor:middle;mso-width-relative:page;mso-height-relative:page;" filled="f" stroked="t" coordsize="21600,21600" o:gfxdata="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LXwTo2QAAAAsBAAAPAAAAAAAAAAEAIAAAACIAAABkcnMvZG93bnJldi54&#10;bWxQSwECFAAUAAAACACHTuJAXkobgGsCAADOBAAADgAAAAAAAAABACAAAAAoAQAAZHJzL2Uyb0Rv&#10;Yy54bWxQSwUGAAAAAAYABgBZAQAABQYAAAAA&#10;">
                <v:fill on="f" focussize="0,0"/>
                <v:stroke weight="2pt" color="#00B0F0 [3204]" joinstyle="round" endarrow="open"/>
                <v:imagedata o:title=""/>
                <o:lock v:ext="edit" aspectratio="f"/>
              </v:rect>
            </w:pict>
          </mc:Fallback>
        </mc:AlternateContent>
      </w:r>
      <w:r>
        <w:rPr>
          <w:color w:val="auto"/>
          <w:sz w:val="21"/>
        </w:rPr>
        <mc:AlternateContent>
          <mc:Choice Requires="wps">
            <w:drawing>
              <wp:anchor distT="0" distB="0" distL="114300" distR="114300" simplePos="0" relativeHeight="251735040" behindDoc="0" locked="0" layoutInCell="1" allowOverlap="1">
                <wp:simplePos x="0" y="0"/>
                <wp:positionH relativeFrom="column">
                  <wp:posOffset>3865880</wp:posOffset>
                </wp:positionH>
                <wp:positionV relativeFrom="paragraph">
                  <wp:posOffset>2230120</wp:posOffset>
                </wp:positionV>
                <wp:extent cx="857250" cy="452120"/>
                <wp:effectExtent l="4445" t="4445" r="14605" b="19685"/>
                <wp:wrapNone/>
                <wp:docPr id="123" name="文本框 123"/>
                <wp:cNvGraphicFramePr/>
                <a:graphic xmlns:a="http://schemas.openxmlformats.org/drawingml/2006/main">
                  <a:graphicData uri="http://schemas.microsoft.com/office/word/2010/wordprocessingShape">
                    <wps:wsp>
                      <wps:cNvSpPr txBox="1"/>
                      <wps:spPr>
                        <a:xfrm>
                          <a:off x="5548630" y="7983855"/>
                          <a:ext cx="857250" cy="4521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05ABD9">
                            <w:pPr>
                              <w:spacing w:line="360" w:lineRule="auto"/>
                              <w:rPr>
                                <w:rFonts w:hint="eastAsia"/>
                                <w:sz w:val="13"/>
                                <w:szCs w:val="13"/>
                                <w:lang w:val="en-US" w:eastAsia="zh-CN"/>
                              </w:rPr>
                            </w:pPr>
                            <w:r>
                              <w:rPr>
                                <w:rFonts w:hint="eastAsia"/>
                                <w:sz w:val="13"/>
                                <w:szCs w:val="13"/>
                                <w:lang w:val="en-US" w:eastAsia="zh-CN"/>
                              </w:rPr>
                              <w:t xml:space="preserve">  本项目储罐</w:t>
                            </w:r>
                          </w:p>
                          <w:p w14:paraId="337D8EA2">
                            <w:pPr>
                              <w:spacing w:line="360" w:lineRule="auto"/>
                              <w:rPr>
                                <w:rFonts w:hint="default"/>
                                <w:sz w:val="13"/>
                                <w:szCs w:val="13"/>
                                <w:lang w:val="en-US" w:eastAsia="zh-CN"/>
                              </w:rPr>
                            </w:pPr>
                            <w:r>
                              <w:rPr>
                                <w:rFonts w:hint="eastAsia"/>
                                <w:sz w:val="13"/>
                                <w:szCs w:val="13"/>
                                <w:lang w:val="en-US" w:eastAsia="zh-CN"/>
                              </w:rPr>
                              <w:t xml:space="preserve">  原有工程储罐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4pt;margin-top:175.6pt;height:35.6pt;width:67.5pt;z-index:251735040;mso-width-relative:page;mso-height-relative:page;" fillcolor="#FFFFFF [3201]" filled="t" stroked="t" coordsize="21600,21600" o:gfxdata="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Lk52jYAAAACwEAAA8AAAAAAAAAAQAgAAAAIgAAAGRycy9kb3ducmV2LnhtbFBLAQIU&#10;ABQAAAAIAIdO4kBCXmYcZQIAAMYEAAAOAAAAAAAAAAEAIAAAACcBAABkcnMvZTJvRG9jLnhtbFBL&#10;BQYAAAAABgAGAFkBAAD+BQAAAAA=&#10;">
                <v:fill on="t" focussize="0,0"/>
                <v:stroke weight="0.5pt" color="#000000 [3204]" joinstyle="round"/>
                <v:imagedata o:title=""/>
                <o:lock v:ext="edit" aspectratio="f"/>
                <v:textbox>
                  <w:txbxContent>
                    <w:p w14:paraId="2F05ABD9">
                      <w:pPr>
                        <w:spacing w:line="360" w:lineRule="auto"/>
                        <w:rPr>
                          <w:rFonts w:hint="eastAsia"/>
                          <w:sz w:val="13"/>
                          <w:szCs w:val="13"/>
                          <w:lang w:val="en-US" w:eastAsia="zh-CN"/>
                        </w:rPr>
                      </w:pPr>
                      <w:r>
                        <w:rPr>
                          <w:rFonts w:hint="eastAsia"/>
                          <w:sz w:val="13"/>
                          <w:szCs w:val="13"/>
                          <w:lang w:val="en-US" w:eastAsia="zh-CN"/>
                        </w:rPr>
                        <w:t xml:space="preserve">  本项目储罐</w:t>
                      </w:r>
                    </w:p>
                    <w:p w14:paraId="337D8EA2">
                      <w:pPr>
                        <w:spacing w:line="360" w:lineRule="auto"/>
                        <w:rPr>
                          <w:rFonts w:hint="default"/>
                          <w:sz w:val="13"/>
                          <w:szCs w:val="13"/>
                          <w:lang w:val="en-US" w:eastAsia="zh-CN"/>
                        </w:rPr>
                      </w:pPr>
                      <w:r>
                        <w:rPr>
                          <w:rFonts w:hint="eastAsia"/>
                          <w:sz w:val="13"/>
                          <w:szCs w:val="13"/>
                          <w:lang w:val="en-US" w:eastAsia="zh-CN"/>
                        </w:rPr>
                        <w:t xml:space="preserve">  原有工程储罐</w:t>
                      </w:r>
                    </w:p>
                  </w:txbxContent>
                </v:textbox>
              </v:shape>
            </w:pict>
          </mc:Fallback>
        </mc:AlternateContent>
      </w:r>
      <w:r>
        <w:rPr>
          <w:color w:val="auto"/>
          <w:sz w:val="21"/>
        </w:rPr>
        <mc:AlternateContent>
          <mc:Choice Requires="wps">
            <w:drawing>
              <wp:anchor distT="0" distB="0" distL="114300" distR="114300" simplePos="0" relativeHeight="251801600" behindDoc="0" locked="0" layoutInCell="1" allowOverlap="1">
                <wp:simplePos x="0" y="0"/>
                <wp:positionH relativeFrom="column">
                  <wp:posOffset>2289810</wp:posOffset>
                </wp:positionH>
                <wp:positionV relativeFrom="paragraph">
                  <wp:posOffset>984885</wp:posOffset>
                </wp:positionV>
                <wp:extent cx="75565" cy="75565"/>
                <wp:effectExtent l="12700" t="12700" r="26035" b="26035"/>
                <wp:wrapNone/>
                <wp:docPr id="162" name="矩形 162"/>
                <wp:cNvGraphicFramePr/>
                <a:graphic xmlns:a="http://schemas.openxmlformats.org/drawingml/2006/main">
                  <a:graphicData uri="http://schemas.microsoft.com/office/word/2010/wordprocessingShape">
                    <wps:wsp>
                      <wps:cNvSpPr/>
                      <wps:spPr>
                        <a:xfrm>
                          <a:off x="0" y="0"/>
                          <a:ext cx="75565" cy="75565"/>
                        </a:xfrm>
                        <a:prstGeom prst="rect">
                          <a:avLst/>
                        </a:prstGeom>
                        <a:solidFill>
                          <a:schemeClr val="bg1"/>
                        </a:solidFill>
                        <a:ln>
                          <a:solidFill>
                            <a:srgbClr val="FF000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0.3pt;margin-top:77.55pt;height:5.95pt;width:5.95pt;z-index:251801600;v-text-anchor:middle;mso-width-relative:page;mso-height-relative:page;" fillcolor="#FFFFFF [3212]" filled="t" stroked="t" coordsize="21600,21600" o:gfxdata="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2BRvK2QAAAAsBAAAPAAAAAAAAAAEAIAAAACIAAABkcnMvZG93&#10;bnJldi54bWxQSwECFAAUAAAACACHTuJAxAd8V3ECAAD3BAAADgAAAAAAAAABACAAAAAoAQAAZHJz&#10;L2Uyb0RvYy54bWxQSwUGAAAAAAYABgBZAQAACwYAAAAA&#10;">
                <v:fill on="t" focussize="0,0"/>
                <v:stroke weight="2pt" color="#FF0000 [3204]" joinstyle="round" endarrow="open"/>
                <v:imagedata o:title=""/>
                <o:lock v:ext="edit" aspectratio="f"/>
              </v:rect>
            </w:pict>
          </mc:Fallback>
        </mc:AlternateContent>
      </w:r>
      <w:r>
        <w:rPr>
          <w:color w:val="auto"/>
          <w:sz w:val="21"/>
        </w:rPr>
        <mc:AlternateContent>
          <mc:Choice Requires="wps">
            <w:drawing>
              <wp:anchor distT="0" distB="0" distL="114300" distR="114300" simplePos="0" relativeHeight="251734016" behindDoc="0" locked="0" layoutInCell="1" allowOverlap="1">
                <wp:simplePos x="0" y="0"/>
                <wp:positionH relativeFrom="column">
                  <wp:posOffset>1922780</wp:posOffset>
                </wp:positionH>
                <wp:positionV relativeFrom="paragraph">
                  <wp:posOffset>631825</wp:posOffset>
                </wp:positionV>
                <wp:extent cx="75565" cy="75565"/>
                <wp:effectExtent l="12700" t="12700" r="26035" b="26035"/>
                <wp:wrapNone/>
                <wp:docPr id="122" name="矩形 122"/>
                <wp:cNvGraphicFramePr/>
                <a:graphic xmlns:a="http://schemas.openxmlformats.org/drawingml/2006/main">
                  <a:graphicData uri="http://schemas.microsoft.com/office/word/2010/wordprocessingShape">
                    <wps:wsp>
                      <wps:cNvSpPr/>
                      <wps:spPr>
                        <a:xfrm>
                          <a:off x="2760980" y="7272655"/>
                          <a:ext cx="75565" cy="75565"/>
                        </a:xfrm>
                        <a:prstGeom prst="rect">
                          <a:avLst/>
                        </a:prstGeom>
                        <a:ln>
                          <a:solidFill>
                            <a:srgbClr val="00B0F0"/>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1.4pt;margin-top:49.75pt;height:5.95pt;width:5.95pt;z-index:251734016;v-text-anchor:middle;mso-width-relative:page;mso-height-relative:page;" filled="f" stroked="t" coordsize="21600,21600" o:gfxdata="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fFzSjZAAAACgEAAA8AAAAAAAAAAQAgAAAAIgAA&#10;AGRycy9kb3ducmV2LnhtbFBLAQIUABQAAAAIAIdO4kA8l8bveQIAANoEAAAOAAAAAAAAAAEAIAAA&#10;ACgBAABkcnMvZTJvRG9jLnhtbFBLBQYAAAAABgAGAFkBAAATBgAAAAA=&#10;">
                <v:fill on="f" focussize="0,0"/>
                <v:stroke weight="2pt" color="#00B0F0 [3204]" joinstyle="round" endarrow="open"/>
                <v:imagedata o:title=""/>
                <o:lock v:ext="edit" aspectratio="f"/>
              </v:rect>
            </w:pict>
          </mc:Fallback>
        </mc:AlternateContent>
      </w:r>
      <w:r>
        <w:rPr>
          <w:rFonts w:hint="eastAsia" w:eastAsia="宋体"/>
          <w:b/>
          <w:bCs/>
          <w:color w:val="auto"/>
          <w:lang w:eastAsia="zh-CN"/>
        </w:rPr>
        <w:drawing>
          <wp:inline distT="0" distB="0" distL="114300" distR="114300">
            <wp:extent cx="4192270" cy="2685415"/>
            <wp:effectExtent l="0" t="0" r="0" b="0"/>
            <wp:docPr id="121" name="图片 1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0"/>
                    <pic:cNvPicPr>
                      <a:picLocks noChangeAspect="1"/>
                    </pic:cNvPicPr>
                  </pic:nvPicPr>
                  <pic:blipFill>
                    <a:blip r:embed="rId239"/>
                    <a:srcRect l="3915" r="16562" b="1970"/>
                    <a:stretch>
                      <a:fillRect/>
                    </a:stretch>
                  </pic:blipFill>
                  <pic:spPr>
                    <a:xfrm>
                      <a:off x="0" y="0"/>
                      <a:ext cx="4192270" cy="2685415"/>
                    </a:xfrm>
                    <a:prstGeom prst="rect">
                      <a:avLst/>
                    </a:prstGeom>
                  </pic:spPr>
                </pic:pic>
              </a:graphicData>
            </a:graphic>
          </wp:inline>
        </w:drawing>
      </w:r>
      <w:r>
        <w:rPr>
          <w:color w:val="auto"/>
          <w:sz w:val="21"/>
        </w:rPr>
        <mc:AlternateContent>
          <mc:Choice Requires="wps">
            <w:drawing>
              <wp:anchor distT="0" distB="0" distL="114300" distR="114300" simplePos="0" relativeHeight="251732992" behindDoc="0" locked="0" layoutInCell="1" allowOverlap="1">
                <wp:simplePos x="0" y="0"/>
                <wp:positionH relativeFrom="column">
                  <wp:posOffset>205105</wp:posOffset>
                </wp:positionH>
                <wp:positionV relativeFrom="paragraph">
                  <wp:posOffset>2265680</wp:posOffset>
                </wp:positionV>
                <wp:extent cx="914400" cy="280035"/>
                <wp:effectExtent l="0" t="0" r="0" b="0"/>
                <wp:wrapNone/>
                <wp:docPr id="237" name="文本框 3363"/>
                <wp:cNvGraphicFramePr/>
                <a:graphic xmlns:a="http://schemas.openxmlformats.org/drawingml/2006/main">
                  <a:graphicData uri="http://schemas.microsoft.com/office/word/2010/wordprocessingShape">
                    <wps:wsp>
                      <wps:cNvSpPr txBox="1"/>
                      <wps:spPr>
                        <a:xfrm>
                          <a:off x="0" y="0"/>
                          <a:ext cx="914400" cy="280035"/>
                        </a:xfrm>
                        <a:prstGeom prst="rect">
                          <a:avLst/>
                        </a:prstGeom>
                        <a:noFill/>
                        <a:ln>
                          <a:noFill/>
                        </a:ln>
                      </wps:spPr>
                      <wps:txbx>
                        <w:txbxContent>
                          <w:p w14:paraId="034D6B6C">
                            <w:pPr>
                              <w:rPr>
                                <w:rFonts w:hint="eastAsia" w:eastAsia="宋体"/>
                                <w:b/>
                                <w:bCs/>
                                <w:color w:val="FFFF00"/>
                                <w:lang w:val="en-US" w:eastAsia="zh-CN"/>
                              </w:rPr>
                            </w:pPr>
                            <w:r>
                              <w:rPr>
                                <w:rFonts w:hint="eastAsia"/>
                                <w:b/>
                                <w:bCs/>
                                <w:color w:val="FFFF00"/>
                                <w:lang w:val="en-US" w:eastAsia="zh-CN"/>
                              </w:rPr>
                              <w:t>水源保护区</w:t>
                            </w:r>
                          </w:p>
                        </w:txbxContent>
                      </wps:txbx>
                      <wps:bodyPr upright="1"/>
                    </wps:wsp>
                  </a:graphicData>
                </a:graphic>
              </wp:anchor>
            </w:drawing>
          </mc:Choice>
          <mc:Fallback>
            <w:pict>
              <v:shape id="文本框 3363" o:spid="_x0000_s1026" o:spt="202" type="#_x0000_t202" style="position:absolute;left:0pt;margin-left:16.15pt;margin-top:178.4pt;height:22.05pt;width:72pt;z-index:251732992;mso-width-relative:page;mso-height-relative:page;" filled="f" stroked="f" coordsize="21600,21600" o:gfxdata="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R5Td&#10;dNcAAAAKAQAADwAAAAAAAAABACAAAAAiAAAAZHJzL2Rvd25yZXYueG1sUEsBAhQAFAAAAAgAh07i&#10;QJa7+dKxAQAAUgMAAA4AAAAAAAAAAQAgAAAAJgEAAGRycy9lMm9Eb2MueG1sUEsFBgAAAAAGAAYA&#10;WQEAAEkFAAAAAA==&#10;">
                <v:fill on="f" focussize="0,0"/>
                <v:stroke on="f"/>
                <v:imagedata o:title=""/>
                <o:lock v:ext="edit" aspectratio="f"/>
                <v:textbox>
                  <w:txbxContent>
                    <w:p w14:paraId="034D6B6C">
                      <w:pPr>
                        <w:rPr>
                          <w:rFonts w:hint="eastAsia" w:eastAsia="宋体"/>
                          <w:b/>
                          <w:bCs/>
                          <w:color w:val="FFFF00"/>
                          <w:lang w:val="en-US" w:eastAsia="zh-CN"/>
                        </w:rPr>
                      </w:pPr>
                      <w:r>
                        <w:rPr>
                          <w:rFonts w:hint="eastAsia"/>
                          <w:b/>
                          <w:bCs/>
                          <w:color w:val="FFFF00"/>
                          <w:lang w:val="en-US" w:eastAsia="zh-CN"/>
                        </w:rPr>
                        <w:t>水源保护区</w:t>
                      </w:r>
                    </w:p>
                  </w:txbxContent>
                </v:textbox>
              </v:shape>
            </w:pict>
          </mc:Fallback>
        </mc:AlternateContent>
      </w:r>
    </w:p>
    <w:p w14:paraId="10B66176">
      <w:pPr>
        <w:adjustRightInd/>
        <w:snapToGrid/>
        <w:spacing w:line="360" w:lineRule="auto"/>
        <w:jc w:val="center"/>
        <w:textAlignment w:val="auto"/>
        <w:outlineLvl w:val="9"/>
        <w:rPr>
          <w:rFonts w:hint="eastAsia" w:cs="Times New Roman"/>
          <w:snapToGrid/>
          <w:color w:val="auto"/>
          <w:kern w:val="2"/>
          <w:sz w:val="21"/>
          <w:szCs w:val="21"/>
          <w:highlight w:val="none"/>
          <w:lang w:val="en-US" w:eastAsia="zh-CN"/>
        </w:rPr>
      </w:pPr>
      <w:r>
        <w:rPr>
          <w:rFonts w:hint="default" w:ascii="Times New Roman" w:hAnsi="Times New Roman" w:cs="Times New Roman"/>
          <w:b/>
          <w:bCs/>
          <w:color w:val="auto"/>
          <w:sz w:val="21"/>
          <w:szCs w:val="21"/>
        </w:rPr>
        <w:t>图</w:t>
      </w:r>
      <w:r>
        <w:rPr>
          <w:rFonts w:hint="eastAsia" w:cs="Times New Roman"/>
          <w:b/>
          <w:bCs/>
          <w:color w:val="auto"/>
          <w:sz w:val="21"/>
          <w:szCs w:val="21"/>
          <w:lang w:val="en-US" w:eastAsia="zh-CN"/>
        </w:rPr>
        <w:t>7-4</w:t>
      </w:r>
      <w:r>
        <w:rPr>
          <w:rFonts w:hint="default" w:ascii="Times New Roman" w:hAnsi="Times New Roman" w:cs="Times New Roman"/>
          <w:b/>
          <w:bCs/>
          <w:color w:val="auto"/>
          <w:sz w:val="21"/>
          <w:szCs w:val="21"/>
        </w:rPr>
        <w:t xml:space="preserve">  </w:t>
      </w:r>
      <w:r>
        <w:rPr>
          <w:rFonts w:hint="eastAsia" w:cs="Times New Roman"/>
          <w:b/>
          <w:bCs/>
          <w:color w:val="auto"/>
          <w:sz w:val="21"/>
          <w:szCs w:val="21"/>
          <w:lang w:val="en-US" w:eastAsia="zh-CN"/>
        </w:rPr>
        <w:t>类比预测点与本项目风险源位置关系</w:t>
      </w:r>
    </w:p>
    <w:p w14:paraId="04143D0C">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因此，本项目采用与《朝阳红山化工有限责任公司年产20000t乳化炸药生产线扩能升级改造项目》相同的事故情景和泄漏源强对环境风险事故情形下地下水影响进行预测。根据掌握的区域水文地质资料，利用Visual MODFLOW地下水模拟软件建立地下水模型，将预测区域划分为100×120个单元格，项目所在区域网格进行污染物溶质运移前需要建立区域初始渗流场。以测量水位值以及相关水文地质资料确定地下水初始水位。模拟未来10年内项目可能对地下水水质造成的影响。</w:t>
      </w:r>
    </w:p>
    <w:p w14:paraId="5597E98C">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color w:val="auto"/>
          <w:sz w:val="24"/>
          <w:highlight w:val="none"/>
          <w:lang w:val="en-US" w:eastAsia="zh-CN"/>
        </w:rPr>
        <w:t>以硝酸盐为影响预测因子，</w:t>
      </w:r>
      <w:r>
        <w:rPr>
          <w:rFonts w:hint="eastAsia" w:cs="Times New Roman"/>
          <w:snapToGrid/>
          <w:color w:val="auto"/>
          <w:kern w:val="2"/>
          <w:sz w:val="24"/>
          <w:szCs w:val="24"/>
          <w:highlight w:val="none"/>
          <w:lang w:val="en-US" w:eastAsia="zh-CN"/>
        </w:rPr>
        <w:t>模拟结果中，</w:t>
      </w:r>
      <w:r>
        <w:rPr>
          <w:rFonts w:hint="default" w:ascii="Times New Roman" w:hAnsi="Times New Roman" w:cs="Times New Roman"/>
          <w:color w:val="auto"/>
          <w:sz w:val="24"/>
          <w:highlight w:val="none"/>
        </w:rPr>
        <w:t>硝酸盐以《地下水质量标准》（GB/T14848-2017）III类标准（20mg/L）作为污染羽的最小值。</w:t>
      </w:r>
      <w:r>
        <w:rPr>
          <w:rFonts w:hint="eastAsia" w:cs="Times New Roman"/>
          <w:snapToGrid/>
          <w:color w:val="auto"/>
          <w:kern w:val="2"/>
          <w:sz w:val="24"/>
          <w:szCs w:val="24"/>
          <w:highlight w:val="none"/>
          <w:lang w:val="en-US" w:eastAsia="zh-CN"/>
        </w:rPr>
        <w:t>根据模拟结果可知，风险事故状况下发生泄漏时，污染物进入地下水，在水流作用下向地下水径流的下游方向运移，并不断向周边扩散，形成污染羽。</w:t>
      </w:r>
    </w:p>
    <w:p w14:paraId="4EC4A074">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泄漏发生7天时，污染物浓度最大值主要位于硝酸铵溶液罐区处，由于污染物持续泄漏，浓度最大值为500mg/L，污染羽范围扩大，有向下游运移的趋势，污染羽影响范围11187m</w:t>
      </w:r>
      <w:r>
        <w:rPr>
          <w:rFonts w:hint="eastAsia" w:cs="Times New Roman"/>
          <w:snapToGrid/>
          <w:color w:val="auto"/>
          <w:kern w:val="2"/>
          <w:sz w:val="24"/>
          <w:szCs w:val="24"/>
          <w:highlight w:val="none"/>
          <w:vertAlign w:val="superscript"/>
          <w:lang w:val="en-US" w:eastAsia="zh-CN"/>
        </w:rPr>
        <w:t>2</w:t>
      </w:r>
      <w:r>
        <w:rPr>
          <w:rFonts w:hint="eastAsia" w:cs="Times New Roman"/>
          <w:snapToGrid/>
          <w:color w:val="auto"/>
          <w:kern w:val="2"/>
          <w:sz w:val="24"/>
          <w:szCs w:val="24"/>
          <w:highlight w:val="none"/>
          <w:lang w:val="en-US" w:eastAsia="zh-CN"/>
        </w:rPr>
        <w:t>，污染羽距离下游最近保护目标319m。此时切断污染源。</w:t>
      </w:r>
    </w:p>
    <w:p w14:paraId="7E51949C">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泄漏发生10天时，污染物浓度最大值主要位于硝酸铵溶液罐区处，此时中心浓度为最大，浓度为250mg/L。污染羽影响范围14450m</w:t>
      </w:r>
      <w:r>
        <w:rPr>
          <w:rFonts w:hint="eastAsia" w:cs="Times New Roman"/>
          <w:snapToGrid/>
          <w:color w:val="auto"/>
          <w:kern w:val="2"/>
          <w:sz w:val="24"/>
          <w:szCs w:val="24"/>
          <w:highlight w:val="none"/>
          <w:vertAlign w:val="superscript"/>
          <w:lang w:val="en-US" w:eastAsia="zh-CN"/>
        </w:rPr>
        <w:t>2</w:t>
      </w:r>
      <w:r>
        <w:rPr>
          <w:rFonts w:hint="eastAsia" w:cs="Times New Roman"/>
          <w:snapToGrid/>
          <w:color w:val="auto"/>
          <w:kern w:val="2"/>
          <w:sz w:val="24"/>
          <w:szCs w:val="24"/>
          <w:highlight w:val="none"/>
          <w:lang w:val="en-US" w:eastAsia="zh-CN"/>
        </w:rPr>
        <w:t>，污染羽距离下游最近保护目标294m。</w:t>
      </w:r>
    </w:p>
    <w:p w14:paraId="107912AD">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泄漏发生50天时，由于污染物已停止泄漏，在地下水流稀释径流作用，污染物浓度也降低，浓度最大值为30mg/L。污染羽影响范围12492m</w:t>
      </w:r>
      <w:r>
        <w:rPr>
          <w:rFonts w:hint="eastAsia" w:cs="Times New Roman"/>
          <w:snapToGrid/>
          <w:color w:val="auto"/>
          <w:kern w:val="2"/>
          <w:sz w:val="24"/>
          <w:szCs w:val="24"/>
          <w:highlight w:val="none"/>
          <w:vertAlign w:val="superscript"/>
          <w:lang w:val="en-US" w:eastAsia="zh-CN"/>
        </w:rPr>
        <w:t>2</w:t>
      </w:r>
      <w:r>
        <w:rPr>
          <w:rFonts w:hint="eastAsia" w:cs="Times New Roman"/>
          <w:snapToGrid/>
          <w:color w:val="auto"/>
          <w:kern w:val="2"/>
          <w:sz w:val="24"/>
          <w:szCs w:val="24"/>
          <w:highlight w:val="none"/>
          <w:lang w:val="en-US" w:eastAsia="zh-CN"/>
        </w:rPr>
        <w:t>，污染羽中心向下游运移距离为145m。</w:t>
      </w:r>
    </w:p>
    <w:p w14:paraId="757E4B8A">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泄漏发生70天时，污染物逐渐向下游移动，浓度最大值为25mg/L。由于地下水径流稀释作用，污染羽逐渐减小，污染羽影响范围为1327m</w:t>
      </w:r>
      <w:r>
        <w:rPr>
          <w:rFonts w:hint="eastAsia" w:cs="Times New Roman"/>
          <w:snapToGrid/>
          <w:color w:val="auto"/>
          <w:kern w:val="2"/>
          <w:sz w:val="24"/>
          <w:szCs w:val="24"/>
          <w:highlight w:val="none"/>
          <w:vertAlign w:val="superscript"/>
          <w:lang w:val="en-US" w:eastAsia="zh-CN"/>
        </w:rPr>
        <w:t>2</w:t>
      </w:r>
      <w:r>
        <w:rPr>
          <w:rFonts w:hint="eastAsia" w:cs="Times New Roman"/>
          <w:snapToGrid/>
          <w:color w:val="auto"/>
          <w:kern w:val="2"/>
          <w:sz w:val="24"/>
          <w:szCs w:val="24"/>
          <w:highlight w:val="none"/>
          <w:lang w:val="en-US" w:eastAsia="zh-CN"/>
        </w:rPr>
        <w:t>，污染羽中心向下游运移距离为202m。</w:t>
      </w:r>
    </w:p>
    <w:p w14:paraId="776337CD">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事故发生至75天时，污染羽彻底消失，100天、365天、1000天及3650天无污染羽出现。</w:t>
      </w:r>
    </w:p>
    <w:p w14:paraId="3AE51888">
      <w:pPr>
        <w:adjustRightInd/>
        <w:snapToGrid/>
        <w:spacing w:line="360" w:lineRule="auto"/>
        <w:ind w:firstLine="480"/>
        <w:textAlignment w:val="auto"/>
        <w:outlineLvl w:val="9"/>
        <w:rPr>
          <w:rFonts w:hint="eastAsia"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由于溶液中硝酸盐超标倍数较高，污染物进入地下水体后形成污染羽较明显，并沿地下水径流向下游方向运移。因地区降雨及地下水径流补给原因，地下水补给量较大，因此污染物运移过程中稀释较快，对厂区附近区域影响时间较短。超标污染羽（硝酸盐标准参照《地下水质量标准》中的III类水体要求，标准浓度为20mg/L）虽距离下游保护目标较近，但始终未对下游最近保护目标造成影响。</w:t>
      </w:r>
    </w:p>
    <w:p w14:paraId="0E448DAE">
      <w:pPr>
        <w:adjustRightInd/>
        <w:snapToGrid/>
        <w:spacing w:line="360" w:lineRule="auto"/>
        <w:ind w:firstLine="480"/>
        <w:textAlignment w:val="auto"/>
        <w:outlineLvl w:val="9"/>
        <w:rPr>
          <w:rFonts w:hint="default" w:ascii="Times New Roman" w:hAnsi="Times New Roman"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因此，假设本项目硝酸铵溶液储罐发生破裂泄漏，导致物料通过包气带进入地下水环境，随着时间的推移，污染物主要沿水流方向向下游不断扩展，在地下水的稀释扩散作用下，浓度会不断降低。同时，包气带岩性具有一定的吸附能力，可对污染物起到一定的吸附净化作用。通过预测可知事故情形下污染物对下游地下水环境影响不大。</w:t>
      </w:r>
    </w:p>
    <w:p w14:paraId="5D2420B4">
      <w:pPr>
        <w:adjustRightInd/>
        <w:snapToGrid/>
        <w:spacing w:line="360" w:lineRule="auto"/>
        <w:ind w:firstLine="480"/>
        <w:textAlignment w:val="auto"/>
        <w:outlineLvl w:val="9"/>
        <w:rPr>
          <w:rFonts w:hint="default" w:ascii="Times New Roman" w:hAnsi="Times New Roman" w:cs="Times New Roman"/>
          <w:snapToGrid/>
          <w:color w:val="auto"/>
          <w:kern w:val="2"/>
          <w:sz w:val="24"/>
          <w:szCs w:val="24"/>
          <w:highlight w:val="none"/>
          <w:lang w:val="en-US" w:eastAsia="zh-CN"/>
        </w:rPr>
      </w:pPr>
      <w:r>
        <w:rPr>
          <w:rFonts w:hint="eastAsia" w:cs="Times New Roman"/>
          <w:snapToGrid/>
          <w:color w:val="auto"/>
          <w:kern w:val="2"/>
          <w:sz w:val="24"/>
          <w:szCs w:val="24"/>
          <w:highlight w:val="none"/>
          <w:lang w:val="en-US" w:eastAsia="zh-CN"/>
        </w:rPr>
        <w:t>本项目生产工房、储罐区、事故池等采取了完善的防渗措施，正常情况下，建设项目对地下水的影响较小。</w:t>
      </w:r>
    </w:p>
    <w:p w14:paraId="1FE45927">
      <w:pPr>
        <w:keepNext w:val="0"/>
        <w:keepLines w:val="0"/>
        <w:widowControl/>
        <w:suppressLineNumbers w:val="0"/>
        <w:spacing w:line="360" w:lineRule="auto"/>
        <w:jc w:val="left"/>
        <w:outlineLvl w:val="0"/>
        <w:rPr>
          <w:rFonts w:hint="eastAsia" w:ascii="宋体" w:hAnsi="宋体" w:eastAsia="宋体" w:cs="宋体"/>
          <w:b/>
          <w:bCs/>
          <w:color w:val="auto"/>
          <w:kern w:val="0"/>
          <w:sz w:val="30"/>
          <w:szCs w:val="30"/>
          <w:lang w:val="en-US" w:eastAsia="zh-CN" w:bidi="ar"/>
        </w:rPr>
      </w:pPr>
      <w:bookmarkStart w:id="587" w:name="_Toc8485"/>
      <w:bookmarkStart w:id="588" w:name="_Toc17878"/>
      <w:bookmarkStart w:id="589" w:name="_Toc9944"/>
      <w:bookmarkStart w:id="590" w:name="_Toc9050"/>
      <w:bookmarkStart w:id="591" w:name="_Toc13208"/>
      <w:r>
        <w:rPr>
          <w:rFonts w:hint="eastAsia" w:ascii="宋体" w:hAnsi="宋体" w:cs="宋体"/>
          <w:b/>
          <w:bCs/>
          <w:color w:val="auto"/>
          <w:kern w:val="0"/>
          <w:sz w:val="30"/>
          <w:szCs w:val="30"/>
          <w:lang w:val="en-US" w:eastAsia="zh-CN" w:bidi="ar"/>
        </w:rPr>
        <w:t>8</w:t>
      </w:r>
      <w:r>
        <w:rPr>
          <w:rFonts w:hint="eastAsia" w:ascii="宋体" w:hAnsi="宋体" w:eastAsia="宋体" w:cs="宋体"/>
          <w:b/>
          <w:bCs/>
          <w:color w:val="auto"/>
          <w:kern w:val="0"/>
          <w:sz w:val="30"/>
          <w:szCs w:val="30"/>
          <w:lang w:val="en-US" w:eastAsia="zh-CN" w:bidi="ar"/>
        </w:rPr>
        <w:t>风险防范和应急措施</w:t>
      </w:r>
      <w:bookmarkEnd w:id="587"/>
      <w:bookmarkEnd w:id="588"/>
      <w:bookmarkEnd w:id="589"/>
      <w:bookmarkEnd w:id="590"/>
      <w:bookmarkEnd w:id="591"/>
    </w:p>
    <w:p w14:paraId="0A4A4144">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592" w:name="_Toc4087"/>
      <w:bookmarkStart w:id="593" w:name="_Toc10242"/>
      <w:bookmarkStart w:id="594" w:name="_Toc32618"/>
      <w:bookmarkStart w:id="595" w:name="_Toc15454"/>
      <w:bookmarkStart w:id="596" w:name="_Toc27010"/>
      <w:r>
        <w:rPr>
          <w:rFonts w:hint="eastAsia" w:cs="Times New Roman"/>
          <w:b/>
          <w:bCs/>
          <w:color w:val="auto"/>
          <w:kern w:val="0"/>
          <w:sz w:val="28"/>
          <w:szCs w:val="28"/>
          <w:lang w:val="en-US" w:eastAsia="zh-CN" w:bidi="ar"/>
        </w:rPr>
        <w:t>8</w:t>
      </w:r>
      <w:r>
        <w:rPr>
          <w:rFonts w:hint="eastAsia" w:ascii="Times New Roman" w:hAnsi="Times New Roman" w:eastAsia="宋体" w:cs="Times New Roman"/>
          <w:b/>
          <w:bCs/>
          <w:color w:val="auto"/>
          <w:kern w:val="0"/>
          <w:sz w:val="28"/>
          <w:szCs w:val="28"/>
          <w:lang w:val="en-US" w:eastAsia="zh-CN" w:bidi="ar"/>
        </w:rPr>
        <w:t>.1环境风险防范措施</w:t>
      </w:r>
      <w:bookmarkEnd w:id="592"/>
      <w:bookmarkEnd w:id="593"/>
      <w:bookmarkEnd w:id="594"/>
      <w:bookmarkEnd w:id="595"/>
      <w:bookmarkEnd w:id="596"/>
    </w:p>
    <w:p w14:paraId="7B052FA6">
      <w:pPr>
        <w:adjustRightInd/>
        <w:snapToGrid/>
        <w:spacing w:line="360" w:lineRule="auto"/>
        <w:ind w:firstLine="480" w:firstLineChars="200"/>
        <w:textAlignment w:val="auto"/>
        <w:outlineLvl w:val="9"/>
        <w:rPr>
          <w:rFonts w:hint="default"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根据环境风险识别结果，本项目环境风险主要为生产过程中使用、贮存和运输的物料发生泄漏爆炸，对环境空气、地表水、地下水造成污染影响。因此，针对风险情况下各环境要素提出风险防范措施如下：</w:t>
      </w:r>
    </w:p>
    <w:p w14:paraId="7495F76C">
      <w:pPr>
        <w:numPr>
          <w:ilvl w:val="0"/>
          <w:numId w:val="0"/>
        </w:numPr>
        <w:adjustRightInd/>
        <w:snapToGrid/>
        <w:spacing w:line="360" w:lineRule="auto"/>
        <w:ind w:firstLine="482" w:firstLineChars="200"/>
        <w:textAlignment w:val="auto"/>
        <w:outlineLvl w:val="9"/>
        <w:rPr>
          <w:rFonts w:hint="default" w:ascii="Times New Roman" w:hAnsi="Times New Roman" w:cs="Times New Roman"/>
          <w:b/>
          <w:bCs/>
          <w:color w:val="auto"/>
          <w:sz w:val="24"/>
          <w:szCs w:val="24"/>
          <w:highlight w:val="none"/>
          <w:lang w:val="en-US" w:eastAsia="zh-CN"/>
        </w:rPr>
      </w:pPr>
      <w:bookmarkStart w:id="597" w:name="_Toc30516"/>
      <w:bookmarkStart w:id="598" w:name="OLE_LINK150"/>
      <w:r>
        <w:rPr>
          <w:rFonts w:hint="default" w:ascii="Times New Roman" w:hAnsi="Times New Roman" w:cs="Times New Roman"/>
          <w:b/>
          <w:bCs/>
          <w:color w:val="auto"/>
          <w:sz w:val="24"/>
          <w:szCs w:val="24"/>
          <w:highlight w:val="none"/>
          <w:lang w:val="en-US" w:eastAsia="zh-CN"/>
        </w:rPr>
        <w:t>1.大气风险防范措施</w:t>
      </w:r>
      <w:bookmarkEnd w:id="597"/>
    </w:p>
    <w:bookmarkEnd w:id="598"/>
    <w:p w14:paraId="48F6D8B1">
      <w:pPr>
        <w:numPr>
          <w:ilvl w:val="0"/>
          <w:numId w:val="0"/>
        </w:numPr>
        <w:adjustRightInd/>
        <w:snapToGrid/>
        <w:spacing w:line="360" w:lineRule="auto"/>
        <w:ind w:firstLine="480" w:firstLineChars="200"/>
        <w:textAlignment w:val="auto"/>
        <w:outlineLvl w:val="9"/>
        <w:rPr>
          <w:rFonts w:hint="default" w:ascii="Times New Roman" w:hAnsi="Times New Roman" w:cs="Times New Roman"/>
          <w:b w:val="0"/>
          <w:bCs w:val="0"/>
          <w:color w:val="auto"/>
          <w:sz w:val="24"/>
          <w:szCs w:val="24"/>
          <w:highlight w:val="none"/>
          <w:lang w:val="en-US" w:eastAsia="zh-CN"/>
        </w:rPr>
      </w:pPr>
      <w:bookmarkStart w:id="599" w:name="_Toc3979"/>
      <w:r>
        <w:rPr>
          <w:rFonts w:hint="default" w:ascii="Times New Roman" w:hAnsi="Times New Roman" w:cs="Times New Roman"/>
          <w:b w:val="0"/>
          <w:bCs w:val="0"/>
          <w:color w:val="auto"/>
          <w:sz w:val="24"/>
          <w:szCs w:val="24"/>
          <w:highlight w:val="none"/>
          <w:lang w:val="en-US" w:eastAsia="zh-CN"/>
        </w:rPr>
        <w:t>（1）运输过程风险防范措施</w:t>
      </w:r>
      <w:bookmarkEnd w:id="599"/>
    </w:p>
    <w:p w14:paraId="1343B1B7">
      <w:pPr>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A.严格</w:t>
      </w:r>
      <w:r>
        <w:rPr>
          <w:rFonts w:hint="eastAsia" w:ascii="Times New Roman" w:hAnsi="Times New Roman" w:cs="Times New Roman"/>
          <w:b w:val="0"/>
          <w:bCs w:val="0"/>
          <w:color w:val="auto"/>
          <w:sz w:val="24"/>
          <w:szCs w:val="24"/>
          <w:highlight w:val="none"/>
          <w:lang w:val="en-US" w:eastAsia="zh-CN"/>
        </w:rPr>
        <w:t>按照</w:t>
      </w:r>
      <w:r>
        <w:rPr>
          <w:rFonts w:hint="default" w:ascii="Times New Roman" w:hAnsi="Times New Roman" w:cs="Times New Roman"/>
          <w:b w:val="0"/>
          <w:bCs w:val="0"/>
          <w:color w:val="auto"/>
          <w:sz w:val="24"/>
          <w:szCs w:val="24"/>
          <w:highlight w:val="none"/>
          <w:lang w:val="en-US" w:eastAsia="zh-CN"/>
        </w:rPr>
        <w:t>《危险化学品安全管理条例》的要求，加强对危险化学品的管理；确定危险化学品安全操作规程，要求操作人员严格按照操作规程作业；对从事危险化</w:t>
      </w:r>
      <w:r>
        <w:rPr>
          <w:rFonts w:hint="eastAsia" w:cs="Times New Roman"/>
          <w:b w:val="0"/>
          <w:bCs w:val="0"/>
          <w:color w:val="auto"/>
          <w:sz w:val="24"/>
          <w:szCs w:val="24"/>
          <w:highlight w:val="none"/>
          <w:lang w:val="en-US" w:eastAsia="zh-CN"/>
        </w:rPr>
        <w:t>学品</w:t>
      </w:r>
      <w:r>
        <w:rPr>
          <w:rFonts w:hint="default" w:ascii="Times New Roman" w:hAnsi="Times New Roman" w:cs="Times New Roman"/>
          <w:b w:val="0"/>
          <w:bCs w:val="0"/>
          <w:color w:val="auto"/>
          <w:sz w:val="24"/>
          <w:szCs w:val="24"/>
          <w:highlight w:val="none"/>
          <w:lang w:val="en-US" w:eastAsia="zh-CN"/>
        </w:rPr>
        <w:t>作业人员定期进行安全培训教育；经常性对危险化学品作业场所进行安全检查。</w:t>
      </w:r>
    </w:p>
    <w:p w14:paraId="485CFFD2">
      <w:pPr>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B.采购危险化学品时，到已获得危险化学品经营许可证的企业进行采购，并要求供货商提供技术说明书及相关技术资料；采购人员进行专业培训并取证；危险化学品的包装物、容器有专业检测机构检验合格后</w:t>
      </w:r>
      <w:r>
        <w:rPr>
          <w:rFonts w:hint="eastAsia" w:ascii="Times New Roman" w:hAnsi="Times New Roman" w:cs="Times New Roman"/>
          <w:b w:val="0"/>
          <w:bCs w:val="0"/>
          <w:color w:val="auto"/>
          <w:sz w:val="24"/>
          <w:szCs w:val="24"/>
          <w:highlight w:val="none"/>
          <w:lang w:val="en-US" w:eastAsia="zh-CN"/>
        </w:rPr>
        <w:t>才能</w:t>
      </w:r>
      <w:r>
        <w:rPr>
          <w:rFonts w:hint="default" w:ascii="Times New Roman" w:hAnsi="Times New Roman" w:cs="Times New Roman"/>
          <w:b w:val="0"/>
          <w:bCs w:val="0"/>
          <w:color w:val="auto"/>
          <w:sz w:val="24"/>
          <w:szCs w:val="24"/>
          <w:highlight w:val="none"/>
          <w:lang w:val="en-US" w:eastAsia="zh-CN"/>
        </w:rPr>
        <w:t>使用；从事危险化学品运输、押运人员，应经有关培训并取证后才能从事危险化学品运输、押运工作；运输危险化学品的车辆应悬挂危险化学品标志，不得在人口密集地停留；危险化学品的运输、押运人员，应配置合格的防护器材。</w:t>
      </w:r>
    </w:p>
    <w:p w14:paraId="7C52A92C">
      <w:pPr>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C.化学品的运输应单独运输，不得与其有禁忌的物质混合运输，防止发生风险事故；运输过程中要确保包装容器密封，确保容器不泄漏、不倒塌、不坠落、不损坏。</w:t>
      </w:r>
    </w:p>
    <w:p w14:paraId="76D26EF0">
      <w:pPr>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D.运输过程中应防</w:t>
      </w:r>
      <w:r>
        <w:rPr>
          <w:rFonts w:hint="eastAsia" w:ascii="Times New Roman" w:hAnsi="Times New Roman" w:cs="Times New Roman"/>
          <w:b w:val="0"/>
          <w:bCs w:val="0"/>
          <w:color w:val="auto"/>
          <w:sz w:val="24"/>
          <w:szCs w:val="24"/>
          <w:highlight w:val="none"/>
          <w:lang w:val="en-US" w:eastAsia="zh-CN"/>
        </w:rPr>
        <w:t>暴晒</w:t>
      </w:r>
      <w:r>
        <w:rPr>
          <w:rFonts w:hint="default" w:ascii="Times New Roman" w:hAnsi="Times New Roman" w:cs="Times New Roman"/>
          <w:b w:val="0"/>
          <w:bCs w:val="0"/>
          <w:color w:val="auto"/>
          <w:sz w:val="24"/>
          <w:szCs w:val="24"/>
          <w:highlight w:val="none"/>
          <w:lang w:val="en-US" w:eastAsia="zh-CN"/>
        </w:rPr>
        <w:t>、雨淋，防高温；行走路线应固定，勿在居民区和人口稠密区停留。</w:t>
      </w:r>
    </w:p>
    <w:p w14:paraId="49F97392">
      <w:pPr>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E.运输车辆应具备防静电铰链、防火器材、防泄漏器材，可对运输过程中发生的风险事故进行应急处理。</w:t>
      </w:r>
    </w:p>
    <w:p w14:paraId="607C9C6F">
      <w:pPr>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F.运送硝酸铵、乳化炸药的人员必须经过上岗培训，经定期考核通过后方能持证上岗。工作人员应熟悉事故应急设备的使用和维护，了解应急处理流程，一旦发生意外，在采取应急处理的同时，迅速报告公安、交通和环保等有关部门，必要时疏散群众，防止事态进一步扩大和恶化。</w:t>
      </w:r>
    </w:p>
    <w:p w14:paraId="4A7D2ABF">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bookmarkStart w:id="600" w:name="_Toc30493"/>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2</w:t>
      </w:r>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操作区风险防范措施</w:t>
      </w:r>
      <w:bookmarkEnd w:id="600"/>
    </w:p>
    <w:p w14:paraId="4D92A476">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A.</w:t>
      </w:r>
      <w:r>
        <w:rPr>
          <w:rFonts w:hint="default" w:ascii="Times New Roman" w:hAnsi="Times New Roman" w:cs="Times New Roman"/>
          <w:snapToGrid/>
          <w:color w:val="auto"/>
          <w:kern w:val="2"/>
          <w:sz w:val="24"/>
          <w:szCs w:val="24"/>
          <w:highlight w:val="none"/>
          <w:lang w:val="en-US" w:eastAsia="zh-CN"/>
        </w:rPr>
        <w:t>各化学品必须根据各自的性质制定合理的操作规范、工作程序，并将操作规程张贴在对应工段的显眼位置，以便随时可查看。</w:t>
      </w:r>
    </w:p>
    <w:p w14:paraId="18568CCB">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B.</w:t>
      </w:r>
      <w:r>
        <w:rPr>
          <w:rFonts w:hint="default" w:ascii="Times New Roman" w:hAnsi="Times New Roman" w:cs="Times New Roman"/>
          <w:snapToGrid/>
          <w:color w:val="auto"/>
          <w:kern w:val="2"/>
          <w:sz w:val="24"/>
          <w:szCs w:val="24"/>
          <w:highlight w:val="none"/>
          <w:lang w:val="en-US" w:eastAsia="zh-CN"/>
        </w:rPr>
        <w:t xml:space="preserve"> 根据各自的性质必须配备合理的防护措施，并对操作工人进行严格的培训，严格要求各操作工人佩戴防护措施，熟练掌握操作技巧和工艺，减少因人为失误造成的风险事故。</w:t>
      </w:r>
    </w:p>
    <w:p w14:paraId="549D68C0">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C.</w:t>
      </w:r>
      <w:r>
        <w:rPr>
          <w:rFonts w:hint="default" w:ascii="Times New Roman" w:hAnsi="Times New Roman" w:cs="Times New Roman"/>
          <w:snapToGrid/>
          <w:color w:val="auto"/>
          <w:kern w:val="2"/>
          <w:sz w:val="24"/>
          <w:szCs w:val="24"/>
          <w:highlight w:val="none"/>
          <w:lang w:val="en-US" w:eastAsia="zh-CN"/>
        </w:rPr>
        <w:t>根据各工段、各物质性质的不同，确定在各工段配备、放置合理的风险处理物资，风险处理物资必须在车间显眼处，并</w:t>
      </w:r>
      <w:r>
        <w:rPr>
          <w:rFonts w:hint="eastAsia" w:cs="Times New Roman"/>
          <w:snapToGrid/>
          <w:color w:val="auto"/>
          <w:kern w:val="2"/>
          <w:sz w:val="24"/>
          <w:szCs w:val="24"/>
          <w:highlight w:val="none"/>
          <w:lang w:val="en-US" w:eastAsia="zh-CN"/>
        </w:rPr>
        <w:t>标识</w:t>
      </w:r>
      <w:r>
        <w:rPr>
          <w:rFonts w:hint="default" w:ascii="Times New Roman" w:hAnsi="Times New Roman" w:cs="Times New Roman"/>
          <w:snapToGrid/>
          <w:color w:val="auto"/>
          <w:kern w:val="2"/>
          <w:sz w:val="24"/>
          <w:szCs w:val="24"/>
          <w:highlight w:val="none"/>
          <w:lang w:val="en-US" w:eastAsia="zh-CN"/>
        </w:rPr>
        <w:t>，以便随时可以启用。</w:t>
      </w:r>
    </w:p>
    <w:p w14:paraId="2C1CA766">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D.</w:t>
      </w:r>
      <w:r>
        <w:rPr>
          <w:rFonts w:hint="default" w:ascii="Times New Roman" w:hAnsi="Times New Roman" w:cs="Times New Roman"/>
          <w:snapToGrid/>
          <w:color w:val="auto"/>
          <w:kern w:val="2"/>
          <w:sz w:val="24"/>
          <w:szCs w:val="24"/>
          <w:highlight w:val="none"/>
          <w:lang w:val="en-US" w:eastAsia="zh-CN"/>
        </w:rPr>
        <w:t>工房设置避雷装置以及视频监控设施。</w:t>
      </w:r>
    </w:p>
    <w:p w14:paraId="4F7F21A6">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bookmarkStart w:id="601" w:name="_Toc29133"/>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3</w:t>
      </w:r>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储存区的风险防范措施</w:t>
      </w:r>
      <w:bookmarkEnd w:id="601"/>
    </w:p>
    <w:p w14:paraId="29C57F32">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A.</w:t>
      </w:r>
      <w:r>
        <w:rPr>
          <w:rFonts w:hint="default" w:ascii="Times New Roman" w:hAnsi="Times New Roman" w:cs="Times New Roman"/>
          <w:snapToGrid/>
          <w:color w:val="auto"/>
          <w:kern w:val="2"/>
          <w:sz w:val="24"/>
          <w:szCs w:val="24"/>
          <w:highlight w:val="none"/>
          <w:lang w:val="en-US" w:eastAsia="zh-CN"/>
        </w:rPr>
        <w:t>危险物质储存区应安置在专用区域，加强其作为危险区的标识</w:t>
      </w:r>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周围不可堆放木材及其他引火物；配备防火设施；对地面进行防渗处理，防止污染土壤；加强通风。</w:t>
      </w:r>
    </w:p>
    <w:p w14:paraId="0167C720">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B.</w:t>
      </w:r>
      <w:r>
        <w:rPr>
          <w:rFonts w:hint="default" w:ascii="Times New Roman" w:hAnsi="Times New Roman" w:cs="Times New Roman"/>
          <w:snapToGrid/>
          <w:color w:val="auto"/>
          <w:kern w:val="2"/>
          <w:sz w:val="24"/>
          <w:szCs w:val="24"/>
          <w:highlight w:val="none"/>
          <w:lang w:val="en-US" w:eastAsia="zh-CN"/>
        </w:rPr>
        <w:t xml:space="preserve"> 危险品不得与禁忌物料混合存放，不可堆放木材及其他引火物。设置事故池用于爆炸事故发生及发生以后应急池。</w:t>
      </w:r>
    </w:p>
    <w:p w14:paraId="28739866">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C.</w:t>
      </w:r>
      <w:r>
        <w:rPr>
          <w:rFonts w:hint="default" w:ascii="Times New Roman" w:hAnsi="Times New Roman" w:cs="Times New Roman"/>
          <w:snapToGrid/>
          <w:color w:val="auto"/>
          <w:kern w:val="2"/>
          <w:sz w:val="24"/>
          <w:szCs w:val="24"/>
          <w:highlight w:val="none"/>
          <w:lang w:val="en-US" w:eastAsia="zh-CN"/>
        </w:rPr>
        <w:t>储存区应设置严格的安全防火措施，严禁吸烟和使用明火。合理安排储存区危险物品贮存量，防止一旦发生风险事故时有更多危险品泄漏。</w:t>
      </w:r>
    </w:p>
    <w:p w14:paraId="2E3026CE">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D.</w:t>
      </w:r>
      <w:r>
        <w:rPr>
          <w:rFonts w:hint="default" w:ascii="Times New Roman" w:hAnsi="Times New Roman" w:cs="Times New Roman"/>
          <w:snapToGrid/>
          <w:color w:val="auto"/>
          <w:kern w:val="2"/>
          <w:sz w:val="24"/>
          <w:szCs w:val="24"/>
          <w:highlight w:val="none"/>
          <w:lang w:val="en-US" w:eastAsia="zh-CN"/>
        </w:rPr>
        <w:t>装卸、搬运危险品时应按照规定进行，做到轻装轻卸，严禁摔、碰、撞击、拖拉、倾斜和滚动；装卸易燃液体需穿防静电工作服，禁止</w:t>
      </w:r>
      <w:r>
        <w:rPr>
          <w:rFonts w:hint="eastAsia" w:cs="Times New Roman"/>
          <w:snapToGrid/>
          <w:color w:val="auto"/>
          <w:kern w:val="2"/>
          <w:sz w:val="24"/>
          <w:szCs w:val="24"/>
          <w:highlight w:val="none"/>
          <w:lang w:val="en-US" w:eastAsia="zh-CN"/>
        </w:rPr>
        <w:t>穿戴</w:t>
      </w:r>
      <w:r>
        <w:rPr>
          <w:rFonts w:hint="default" w:ascii="Times New Roman" w:hAnsi="Times New Roman" w:cs="Times New Roman"/>
          <w:snapToGrid/>
          <w:color w:val="auto"/>
          <w:kern w:val="2"/>
          <w:sz w:val="24"/>
          <w:szCs w:val="24"/>
          <w:highlight w:val="none"/>
          <w:lang w:val="en-US" w:eastAsia="zh-CN"/>
        </w:rPr>
        <w:t>钉鞋，大桶不得在水泥地面滚动，不得使用产生火花的机具。</w:t>
      </w:r>
    </w:p>
    <w:p w14:paraId="02016040">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eastAsia" w:ascii="Times New Roman" w:hAnsi="Times New Roman" w:cs="Times New Roman"/>
          <w:snapToGrid/>
          <w:color w:val="auto"/>
          <w:kern w:val="2"/>
          <w:sz w:val="24"/>
          <w:szCs w:val="24"/>
          <w:highlight w:val="none"/>
          <w:lang w:val="en-US" w:eastAsia="zh-CN"/>
        </w:rPr>
        <w:t>E.</w:t>
      </w:r>
      <w:r>
        <w:rPr>
          <w:rFonts w:hint="default" w:ascii="Times New Roman" w:hAnsi="Times New Roman" w:cs="Times New Roman"/>
          <w:snapToGrid/>
          <w:color w:val="auto"/>
          <w:kern w:val="2"/>
          <w:sz w:val="24"/>
          <w:szCs w:val="24"/>
          <w:highlight w:val="none"/>
          <w:lang w:val="en-US" w:eastAsia="zh-CN"/>
        </w:rPr>
        <w:t>炸药库设置避雷装置、红外监控以及视频监控设施。</w:t>
      </w:r>
    </w:p>
    <w:p w14:paraId="41E1CA96">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bookmarkStart w:id="602" w:name="_Toc21427"/>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4</w:t>
      </w:r>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应急物资配置</w:t>
      </w:r>
      <w:bookmarkEnd w:id="602"/>
    </w:p>
    <w:p w14:paraId="4EB9D596">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default" w:ascii="Times New Roman" w:hAnsi="Times New Roman" w:cs="Times New Roman"/>
          <w:snapToGrid/>
          <w:color w:val="auto"/>
          <w:kern w:val="2"/>
          <w:sz w:val="24"/>
          <w:szCs w:val="24"/>
          <w:highlight w:val="none"/>
          <w:lang w:val="en-US" w:eastAsia="zh-CN"/>
        </w:rPr>
        <w:t>处置：雾状水，泡沫、二氧化碳、干粉灭火器。</w:t>
      </w:r>
    </w:p>
    <w:p w14:paraId="1712A8CF">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default" w:ascii="Times New Roman" w:hAnsi="Times New Roman" w:cs="Times New Roman"/>
          <w:snapToGrid/>
          <w:color w:val="auto"/>
          <w:kern w:val="2"/>
          <w:sz w:val="24"/>
          <w:szCs w:val="24"/>
          <w:highlight w:val="none"/>
          <w:lang w:val="en-US" w:eastAsia="zh-CN"/>
        </w:rPr>
        <w:t>防护：自给正压式呼吸器，防静电服。</w:t>
      </w:r>
    </w:p>
    <w:p w14:paraId="53D44F0F">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r>
        <w:rPr>
          <w:rFonts w:hint="default" w:ascii="Times New Roman" w:hAnsi="Times New Roman" w:cs="Times New Roman"/>
          <w:snapToGrid/>
          <w:color w:val="auto"/>
          <w:kern w:val="2"/>
          <w:sz w:val="24"/>
          <w:szCs w:val="24"/>
          <w:highlight w:val="none"/>
          <w:lang w:val="en-US" w:eastAsia="zh-CN"/>
        </w:rPr>
        <w:t>医疗：担架等。</w:t>
      </w:r>
    </w:p>
    <w:p w14:paraId="248A16E3">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lang w:val="en-US" w:eastAsia="zh-CN"/>
        </w:rPr>
      </w:pPr>
      <w:bookmarkStart w:id="603" w:name="_Toc12823"/>
      <w:r>
        <w:rPr>
          <w:rFonts w:hint="eastAsia" w:ascii="Times New Roman" w:hAnsi="Times New Roman" w:cs="Times New Roman"/>
          <w:snapToGrid/>
          <w:color w:val="auto"/>
          <w:kern w:val="2"/>
          <w:sz w:val="24"/>
          <w:szCs w:val="24"/>
          <w:highlight w:val="none"/>
          <w:lang w:val="en-US" w:eastAsia="zh-CN"/>
        </w:rPr>
        <w:t>（</w:t>
      </w:r>
      <w:r>
        <w:rPr>
          <w:rFonts w:hint="default" w:ascii="Times New Roman" w:hAnsi="Times New Roman" w:cs="Times New Roman"/>
          <w:snapToGrid/>
          <w:color w:val="auto"/>
          <w:kern w:val="2"/>
          <w:sz w:val="24"/>
          <w:szCs w:val="24"/>
          <w:highlight w:val="none"/>
          <w:lang w:val="en-US" w:eastAsia="zh-CN"/>
        </w:rPr>
        <w:t>5</w:t>
      </w:r>
      <w:r>
        <w:rPr>
          <w:rFonts w:hint="eastAsia" w:ascii="Times New Roman" w:hAnsi="Times New Roman" w:cs="Times New Roman"/>
          <w:snapToGrid/>
          <w:color w:val="auto"/>
          <w:kern w:val="2"/>
          <w:sz w:val="24"/>
          <w:szCs w:val="24"/>
          <w:highlight w:val="none"/>
          <w:lang w:val="en-US" w:eastAsia="zh-CN"/>
        </w:rPr>
        <w:t>）自动控制</w:t>
      </w:r>
      <w:r>
        <w:rPr>
          <w:rFonts w:hint="default" w:ascii="Times New Roman" w:hAnsi="Times New Roman" w:cs="Times New Roman"/>
          <w:snapToGrid/>
          <w:color w:val="auto"/>
          <w:kern w:val="2"/>
          <w:sz w:val="24"/>
          <w:szCs w:val="24"/>
          <w:highlight w:val="none"/>
          <w:lang w:val="en-US" w:eastAsia="zh-CN"/>
        </w:rPr>
        <w:t>、联动紧急停车装置</w:t>
      </w:r>
      <w:r>
        <w:rPr>
          <w:rFonts w:hint="eastAsia" w:ascii="Times New Roman" w:hAnsi="Times New Roman" w:cs="Times New Roman"/>
          <w:snapToGrid/>
          <w:color w:val="auto"/>
          <w:kern w:val="2"/>
          <w:sz w:val="24"/>
          <w:szCs w:val="24"/>
          <w:highlight w:val="none"/>
          <w:lang w:val="en-US" w:eastAsia="zh-CN"/>
        </w:rPr>
        <w:t>和视频监控</w:t>
      </w:r>
      <w:r>
        <w:rPr>
          <w:rFonts w:hint="default" w:ascii="Times New Roman" w:hAnsi="Times New Roman" w:cs="Times New Roman"/>
          <w:snapToGrid/>
          <w:color w:val="auto"/>
          <w:kern w:val="2"/>
          <w:sz w:val="24"/>
          <w:szCs w:val="24"/>
          <w:highlight w:val="none"/>
          <w:lang w:val="en-US" w:eastAsia="zh-CN"/>
        </w:rPr>
        <w:t>措施</w:t>
      </w:r>
      <w:bookmarkEnd w:id="603"/>
    </w:p>
    <w:p w14:paraId="69BDE2EC">
      <w:pPr>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snapToGrid/>
          <w:color w:val="auto"/>
          <w:kern w:val="2"/>
          <w:sz w:val="24"/>
          <w:szCs w:val="24"/>
          <w:highlight w:val="none"/>
          <w:lang w:val="en-US" w:eastAsia="zh-CN"/>
        </w:rPr>
        <w:t>本项目</w:t>
      </w:r>
      <w:r>
        <w:rPr>
          <w:rFonts w:hint="default" w:ascii="Times New Roman" w:hAnsi="Times New Roman" w:cs="Times New Roman"/>
          <w:snapToGrid/>
          <w:color w:val="auto"/>
          <w:kern w:val="2"/>
          <w:sz w:val="24"/>
          <w:szCs w:val="24"/>
          <w:highlight w:val="none"/>
          <w:lang w:val="en-US" w:eastAsia="zh-CN"/>
        </w:rPr>
        <w:t>生产线是由机械设备、电气设备、传感器、控制设备等组成的，其自</w:t>
      </w:r>
      <w:r>
        <w:rPr>
          <w:rFonts w:hint="default" w:ascii="Times New Roman" w:hAnsi="Times New Roman" w:cs="Times New Roman"/>
          <w:color w:val="auto"/>
          <w:sz w:val="24"/>
          <w:szCs w:val="24"/>
          <w:lang w:val="en-US" w:eastAsia="zh-CN"/>
        </w:rPr>
        <w:t>动控制是在无固定人员直接参与的情况下，从水相的制作到搅拌乳化、成品装袋运输、码垛整个生产过程，都是在计算机控制下自动完成的。所</w:t>
      </w:r>
      <w:r>
        <w:rPr>
          <w:rFonts w:hint="eastAsia" w:cs="Times New Roman"/>
          <w:color w:val="auto"/>
          <w:sz w:val="24"/>
          <w:szCs w:val="24"/>
          <w:lang w:val="en-US" w:eastAsia="zh-CN"/>
        </w:rPr>
        <w:t>涉及</w:t>
      </w:r>
      <w:r>
        <w:rPr>
          <w:rFonts w:hint="default" w:ascii="Times New Roman" w:hAnsi="Times New Roman" w:cs="Times New Roman"/>
          <w:color w:val="auto"/>
          <w:sz w:val="24"/>
          <w:szCs w:val="24"/>
          <w:lang w:val="en-US" w:eastAsia="zh-CN"/>
        </w:rPr>
        <w:t>的温度、压力、流量、转速、时间、位置等物理量作为控制系统实时监控的对象，其监测值经过控制的核心部件的分析判断，做出相应的动作，并用机、电、光、气动阀、气缸等元部件或设备来实现流水线的自动控制。</w:t>
      </w:r>
    </w:p>
    <w:p w14:paraId="6D96B040">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在乳化炸药</w:t>
      </w:r>
      <w:r>
        <w:rPr>
          <w:rFonts w:hint="eastAsia" w:cs="Times New Roman"/>
          <w:color w:val="auto"/>
          <w:sz w:val="24"/>
          <w:szCs w:val="24"/>
          <w:lang w:val="en-US" w:eastAsia="zh-CN"/>
        </w:rPr>
        <w:t>震源药柱</w:t>
      </w:r>
      <w:r>
        <w:rPr>
          <w:rFonts w:hint="default" w:ascii="Times New Roman" w:hAnsi="Times New Roman" w:cs="Times New Roman"/>
          <w:color w:val="auto"/>
          <w:sz w:val="24"/>
          <w:szCs w:val="24"/>
          <w:lang w:val="en-US" w:eastAsia="zh-CN"/>
        </w:rPr>
        <w:t>生产工房控制室内分别设置生产视频监控系统。监控主机装有视频管理软件，不但可以对任意一个监控点的信息进行实时监控、查询、回放，还可以实现统一的用户管理、设备管理、故障管理、存储管理等功能（保存数据 90d），也可以对部分重要监控点的视频信息进行远程录像或备份。</w:t>
      </w:r>
    </w:p>
    <w:p w14:paraId="1D044E6C">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水</w:t>
      </w:r>
      <w:r>
        <w:rPr>
          <w:rFonts w:hint="eastAsia" w:cs="Times New Roman"/>
          <w:color w:val="auto"/>
          <w:sz w:val="24"/>
          <w:szCs w:val="24"/>
          <w:lang w:val="en-US" w:eastAsia="zh-CN"/>
        </w:rPr>
        <w:t>油</w:t>
      </w:r>
      <w:r>
        <w:rPr>
          <w:rFonts w:hint="default" w:ascii="Times New Roman" w:hAnsi="Times New Roman" w:cs="Times New Roman"/>
          <w:color w:val="auto"/>
          <w:sz w:val="24"/>
          <w:szCs w:val="24"/>
          <w:lang w:val="en-US" w:eastAsia="zh-CN"/>
        </w:rPr>
        <w:t>相制备工房、乳化炸药</w:t>
      </w:r>
      <w:r>
        <w:rPr>
          <w:rFonts w:hint="eastAsia" w:cs="Times New Roman"/>
          <w:color w:val="auto"/>
          <w:sz w:val="24"/>
          <w:szCs w:val="24"/>
          <w:lang w:val="en-US" w:eastAsia="zh-CN"/>
        </w:rPr>
        <w:t>震源药柱</w:t>
      </w:r>
      <w:r>
        <w:rPr>
          <w:rFonts w:hint="default" w:ascii="Times New Roman" w:hAnsi="Times New Roman" w:cs="Times New Roman"/>
          <w:color w:val="auto"/>
          <w:sz w:val="24"/>
          <w:szCs w:val="24"/>
          <w:lang w:val="en-US" w:eastAsia="zh-CN"/>
        </w:rPr>
        <w:t>生产工房、成品中转站台内设置防爆型固定式高清摄像机，监视生产情况并应做到监控无死角。监控系统前端设备的选型应满足该场所的使用环境。</w:t>
      </w:r>
    </w:p>
    <w:p w14:paraId="03E37681">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视频监控系统室内视频电缆采用六类非屏蔽双绞线，电源线采用阻燃型电线。监控线路采用穿金属钢管沿墙或顶板明敷，室外采用光缆直埋方式将信号传送至公司监控中心。</w:t>
      </w:r>
    </w:p>
    <w:p w14:paraId="041817D4">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视频监控系统采用不间断电源UPS作为其备用电源。监控系统采用联合接地装置，接地电阻值≤1 Ω 。具体设备由工艺技术转让方随设备成套提供。整条生产线加入自动称量、在线检测、数据采集和分析系统，实现联动与安全联锁功能，关键设备异常声音频谱检测安全防护；设备故障自诊断功能。全线危险岗位无固定操作人员，工艺设备生产过程自动化控制，在线药量监测、安全互锁保护、工序间防传</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殉</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爆、全线智能联动及产能随动控制。</w:t>
      </w:r>
    </w:p>
    <w:p w14:paraId="28E895DE">
      <w:pPr>
        <w:spacing w:line="360" w:lineRule="auto"/>
        <w:ind w:firstLine="480" w:firstLineChars="200"/>
        <w:outlineLvl w:val="9"/>
        <w:rPr>
          <w:rFonts w:hint="default" w:ascii="Times New Roman" w:hAnsi="Times New Roman" w:cs="Times New Roman"/>
          <w:color w:val="auto"/>
          <w:sz w:val="24"/>
          <w:szCs w:val="24"/>
          <w:lang w:val="en-US" w:eastAsia="zh-CN"/>
        </w:rPr>
      </w:pPr>
      <w:bookmarkStart w:id="604" w:name="_Toc3863"/>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6</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车间油相泄漏风险防范措施</w:t>
      </w:r>
      <w:bookmarkEnd w:id="604"/>
    </w:p>
    <w:p w14:paraId="1C8D1DC6">
      <w:pPr>
        <w:spacing w:line="360" w:lineRule="auto"/>
        <w:ind w:firstLine="480" w:firstLineChars="200"/>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A.</w:t>
      </w:r>
      <w:r>
        <w:rPr>
          <w:rFonts w:hint="default" w:ascii="Times New Roman" w:hAnsi="Times New Roman" w:cs="Times New Roman"/>
          <w:color w:val="auto"/>
          <w:sz w:val="24"/>
          <w:szCs w:val="24"/>
          <w:lang w:val="en-US" w:eastAsia="zh-CN"/>
        </w:rPr>
        <w:t>切断泄漏源。切断泄漏源应迅速撤离泄漏污染区人员至安全区域，切断电源，立即设置警戒线，严禁无关人员进入。尽可能关闭泄漏容器或管道的阀门，局部停车减压，控制物料继续泄漏，防止泄漏物料进入下水道、排洪沟等限制性空间，在确保安全情况下修补堵漏。小量泄漏用砂土或其它不燃材料吸附，也可以用大量清水冲洗，稀释后排入污水处理系统。大量泄漏可构筑围堤或挖坑收容，用泡沫覆盖，降低蒸气灾害，用防爆泵将泄漏的物料转移至槽车或专用收集器内，回收或运至废物处理场所处置。用消防水冲洗剩余的少量物料，冲洗水排入污水系统处理。容器或管道发生泄漏，可根据泄漏的不同情形采用下列方法进行修补堵漏：</w:t>
      </w:r>
    </w:p>
    <w:p w14:paraId="09CA0DDF">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①罐体和管道砂眼泄漏可采用不锈钢自攻螺丝加粘合剂修补堵漏；</w:t>
      </w:r>
    </w:p>
    <w:p w14:paraId="577661D9">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②缝隙泄漏可采用潮湿绷带冷凝法或堵漏夹具、金属堵漏锥修补堵漏；</w:t>
      </w:r>
    </w:p>
    <w:p w14:paraId="2C830B9D">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③裂口泄漏可采用外封式堵漏袋修补堵漏；</w:t>
      </w:r>
    </w:p>
    <w:p w14:paraId="1B6A309D">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④孔洞泄漏可采用木楔、堵漏夹具、金属堵漏锥修补堵漏；</w:t>
      </w:r>
    </w:p>
    <w:p w14:paraId="2E8BA665">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⑤阀门泄漏可采用注入式堵漏胶、堵漏夹具修补堵漏；</w:t>
      </w:r>
    </w:p>
    <w:p w14:paraId="465F4D82">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⑥法兰泄漏可采用法兰夹具、注入式堵漏胶修补堵漏。</w:t>
      </w:r>
    </w:p>
    <w:p w14:paraId="5D27D26D">
      <w:pPr>
        <w:spacing w:line="360" w:lineRule="auto"/>
        <w:ind w:firstLine="480" w:firstLineChars="200"/>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B.</w:t>
      </w:r>
      <w:r>
        <w:rPr>
          <w:rFonts w:hint="default" w:ascii="Times New Roman" w:hAnsi="Times New Roman" w:cs="Times New Roman"/>
          <w:color w:val="auto"/>
          <w:sz w:val="24"/>
          <w:szCs w:val="24"/>
          <w:lang w:val="en-US" w:eastAsia="zh-CN"/>
        </w:rPr>
        <w:t>吸附不净时，应及时将泄漏的物料导入污水管网中，将公司的总排放口关闭，再采取措施将泄漏的物料引入污水处理系统。</w:t>
      </w:r>
    </w:p>
    <w:p w14:paraId="7C227696">
      <w:pPr>
        <w:spacing w:line="360" w:lineRule="auto"/>
        <w:ind w:firstLine="480" w:firstLineChars="200"/>
        <w:rPr>
          <w:rFonts w:hint="default" w:ascii="Times New Roman" w:hAnsi="Times New Roman" w:cs="Times New Roman"/>
          <w:color w:val="auto"/>
          <w:sz w:val="24"/>
          <w:szCs w:val="24"/>
          <w:lang w:val="en-US" w:eastAsia="zh-CN"/>
        </w:rPr>
        <w:sectPr>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cs="Times New Roman"/>
          <w:color w:val="auto"/>
          <w:sz w:val="24"/>
          <w:szCs w:val="24"/>
          <w:lang w:val="en-US" w:eastAsia="zh-CN"/>
        </w:rPr>
        <w:t>C.</w:t>
      </w:r>
      <w:r>
        <w:rPr>
          <w:rFonts w:hint="default" w:ascii="Times New Roman" w:hAnsi="Times New Roman" w:cs="Times New Roman"/>
          <w:color w:val="auto"/>
          <w:sz w:val="24"/>
          <w:szCs w:val="24"/>
          <w:lang w:val="en-US" w:eastAsia="zh-CN"/>
        </w:rPr>
        <w:t>根据石油化工设计规范，石化企业装置界区、重点区域需要进行防渗处理，管道需要进行防腐处理，可减少对土壤和地下水的污染。</w:t>
      </w:r>
    </w:p>
    <w:p w14:paraId="3324A81D">
      <w:pPr>
        <w:jc w:val="center"/>
        <w:outlineLvl w:val="9"/>
        <w:rPr>
          <w:rFonts w:hint="eastAsia" w:ascii="Times New Roman" w:hAnsi="Times New Roman" w:eastAsia="宋体" w:cs="Times New Roman"/>
          <w:color w:val="auto"/>
        </w:rPr>
      </w:pPr>
      <w:r>
        <w:rPr>
          <w:color w:val="auto"/>
        </w:rPr>
        <w:drawing>
          <wp:anchor distT="0" distB="0" distL="114300" distR="114300" simplePos="0" relativeHeight="251660288" behindDoc="1" locked="0" layoutInCell="1" allowOverlap="1">
            <wp:simplePos x="0" y="0"/>
            <wp:positionH relativeFrom="column">
              <wp:posOffset>164465</wp:posOffset>
            </wp:positionH>
            <wp:positionV relativeFrom="paragraph">
              <wp:posOffset>0</wp:posOffset>
            </wp:positionV>
            <wp:extent cx="8838565" cy="5027930"/>
            <wp:effectExtent l="0" t="0" r="635" b="1270"/>
            <wp:wrapNone/>
            <wp:docPr id="2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2"/>
                    <pic:cNvPicPr>
                      <a:picLocks noChangeAspect="1"/>
                    </pic:cNvPicPr>
                  </pic:nvPicPr>
                  <pic:blipFill>
                    <a:blip r:embed="rId223"/>
                    <a:stretch>
                      <a:fillRect/>
                    </a:stretch>
                  </pic:blipFill>
                  <pic:spPr>
                    <a:xfrm>
                      <a:off x="0" y="0"/>
                      <a:ext cx="8838565" cy="5027930"/>
                    </a:xfrm>
                    <a:prstGeom prst="rect">
                      <a:avLst/>
                    </a:prstGeom>
                    <a:noFill/>
                    <a:ln>
                      <a:noFill/>
                    </a:ln>
                  </pic:spPr>
                </pic:pic>
              </a:graphicData>
            </a:graphic>
          </wp:anchor>
        </w:drawing>
      </w:r>
    </w:p>
    <w:p w14:paraId="6AD077E6">
      <w:pPr>
        <w:rPr>
          <w:color w:val="auto"/>
        </w:rPr>
      </w:pPr>
    </w:p>
    <w:p w14:paraId="6CF3C198">
      <w:pPr>
        <w:jc w:val="center"/>
        <w:rPr>
          <w:rFonts w:hint="eastAsia" w:cs="Times New Roman"/>
          <w:b/>
          <w:bCs/>
          <w:color w:val="auto"/>
          <w:sz w:val="24"/>
          <w:szCs w:val="24"/>
          <w:highlight w:val="none"/>
          <w:lang w:val="en-US" w:eastAsia="zh-CN"/>
        </w:rPr>
      </w:pPr>
    </w:p>
    <w:p w14:paraId="7EA4AE38">
      <w:pPr>
        <w:jc w:val="center"/>
        <w:rPr>
          <w:rFonts w:hint="eastAsia" w:cs="Times New Roman"/>
          <w:b/>
          <w:bCs/>
          <w:color w:val="auto"/>
          <w:sz w:val="24"/>
          <w:szCs w:val="24"/>
          <w:highlight w:val="none"/>
          <w:lang w:val="en-US" w:eastAsia="zh-CN"/>
        </w:rPr>
      </w:pPr>
    </w:p>
    <w:p w14:paraId="761B990E">
      <w:pPr>
        <w:jc w:val="center"/>
        <w:rPr>
          <w:rFonts w:hint="eastAsia" w:cs="Times New Roman"/>
          <w:b/>
          <w:bCs/>
          <w:color w:val="auto"/>
          <w:sz w:val="24"/>
          <w:szCs w:val="24"/>
          <w:highlight w:val="none"/>
          <w:lang w:val="en-US" w:eastAsia="zh-CN"/>
        </w:rPr>
      </w:pPr>
    </w:p>
    <w:p w14:paraId="7C98D65E">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19680" behindDoc="0" locked="0" layoutInCell="1" allowOverlap="1">
                <wp:simplePos x="0" y="0"/>
                <wp:positionH relativeFrom="column">
                  <wp:posOffset>5143500</wp:posOffset>
                </wp:positionH>
                <wp:positionV relativeFrom="paragraph">
                  <wp:posOffset>116840</wp:posOffset>
                </wp:positionV>
                <wp:extent cx="790575" cy="123825"/>
                <wp:effectExtent l="0" t="95885" r="13970" b="66040"/>
                <wp:wrapNone/>
                <wp:docPr id="86" name="左箭头 86"/>
                <wp:cNvGraphicFramePr/>
                <a:graphic xmlns:a="http://schemas.openxmlformats.org/drawingml/2006/main">
                  <a:graphicData uri="http://schemas.microsoft.com/office/word/2010/wordprocessingShape">
                    <wps:wsp>
                      <wps:cNvSpPr/>
                      <wps:spPr>
                        <a:xfrm rot="2052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405pt;margin-top:9.2pt;height:9.75pt;width:62.25pt;rotation:-1179648f;z-index:251719680;mso-width-relative:page;mso-height-relative:page;" fillcolor="#00B0F0" filled="t" stroked="t" coordsize="21600,21600" o:gfxdata="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efxCq9gAAAAJAQAADwAAAAAAAAABACAAAAAiAAAAZHJzL2Rvd25yZXYueG1s&#10;UEsBAhQAFAAAAAgAh07iQF/E7rkxAgAAiAQAAA4AAAAAAAAAAQAgAAAAJwEAAGRycy9lMm9Eb2Mu&#10;eG1sUEsFBgAAAAAGAAYAWQEAAMoFAAAAAA==&#10;" adj="5399,5400">
                <v:fill on="t" focussize="0,0"/>
                <v:stroke color="#000000" joinstyle="miter"/>
                <v:imagedata o:title=""/>
                <o:lock v:ext="edit" aspectratio="f"/>
              </v:shape>
            </w:pict>
          </mc:Fallback>
        </mc:AlternateContent>
      </w:r>
    </w:p>
    <w:p w14:paraId="4A41D6FF">
      <w:pPr>
        <w:jc w:val="center"/>
        <w:rPr>
          <w:rFonts w:hint="eastAsia" w:cs="Times New Roman"/>
          <w:b/>
          <w:bCs/>
          <w:color w:val="auto"/>
          <w:sz w:val="24"/>
          <w:szCs w:val="24"/>
          <w:highlight w:val="none"/>
          <w:lang w:val="en-US" w:eastAsia="zh-CN"/>
        </w:rPr>
      </w:pPr>
    </w:p>
    <w:p w14:paraId="14C1BC2D">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24800" behindDoc="0" locked="0" layoutInCell="1" allowOverlap="1">
                <wp:simplePos x="0" y="0"/>
                <wp:positionH relativeFrom="column">
                  <wp:posOffset>143510</wp:posOffset>
                </wp:positionH>
                <wp:positionV relativeFrom="paragraph">
                  <wp:posOffset>158115</wp:posOffset>
                </wp:positionV>
                <wp:extent cx="209550" cy="228600"/>
                <wp:effectExtent l="13335" t="17780" r="24765" b="20320"/>
                <wp:wrapNone/>
                <wp:docPr id="96" name="五角星 96"/>
                <wp:cNvGraphicFramePr/>
                <a:graphic xmlns:a="http://schemas.openxmlformats.org/drawingml/2006/main">
                  <a:graphicData uri="http://schemas.microsoft.com/office/word/2010/wordprocessingShape">
                    <wps:wsp>
                      <wps:cNvSpPr/>
                      <wps:spPr>
                        <a:xfrm>
                          <a:off x="0" y="0"/>
                          <a:ext cx="209550" cy="22860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1.3pt;margin-top:12.45pt;height:18pt;width:16.5pt;z-index:251724800;mso-width-relative:page;mso-height-relative:page;" fillcolor="#FF0000" filled="t" stroked="t" coordsize="209550,228600" o:gfxdata="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faM5s1AAAAAcBAAAPAAAAAAAAAAEAIAAAACIAAABkcnMvZG93&#10;bnJldi54bWxQSwECFAAUAAAACACHTuJAZ1rW/QQCAAAjBAAADgAAAAAAAAABACAAAAAjAQAAZHJz&#10;L2Uyb0RvYy54bWxQSwUGAAAAAAYABgBZAQAAmQUAAAAA&#10;" path="m0,87317l80041,87317,104775,0,129508,87317,209549,87317,144794,141281,169529,228599,104775,174633,40020,228599,64755,141281xe">
                <v:path o:connectlocs="104775,0;0,87317;40020,228599;169529,228599;209549,87317" o:connectangles="247,164,82,82,0"/>
                <v:fill on="t" focussize="0,0"/>
                <v:stroke color="#000000" joinstyle="miter"/>
                <v:imagedata o:title=""/>
                <o:lock v:ext="edit" aspectratio="f"/>
              </v:shape>
            </w:pict>
          </mc:Fallback>
        </mc:AlternateContent>
      </w:r>
      <w:r>
        <w:rPr>
          <w:color w:val="auto"/>
          <w:sz w:val="21"/>
        </w:rPr>
        <mc:AlternateContent>
          <mc:Choice Requires="wps">
            <w:drawing>
              <wp:anchor distT="0" distB="0" distL="114300" distR="114300" simplePos="0" relativeHeight="251721728" behindDoc="0" locked="0" layoutInCell="1" allowOverlap="1">
                <wp:simplePos x="0" y="0"/>
                <wp:positionH relativeFrom="column">
                  <wp:posOffset>4168775</wp:posOffset>
                </wp:positionH>
                <wp:positionV relativeFrom="paragraph">
                  <wp:posOffset>157480</wp:posOffset>
                </wp:positionV>
                <wp:extent cx="790575" cy="123825"/>
                <wp:effectExtent l="0" t="201930" r="0" b="188595"/>
                <wp:wrapNone/>
                <wp:docPr id="88" name="左箭头 88"/>
                <wp:cNvGraphicFramePr/>
                <a:graphic xmlns:a="http://schemas.openxmlformats.org/drawingml/2006/main">
                  <a:graphicData uri="http://schemas.microsoft.com/office/word/2010/wordprocessingShape">
                    <wps:wsp>
                      <wps:cNvSpPr/>
                      <wps:spPr>
                        <a:xfrm rot="1944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328.25pt;margin-top:12.4pt;height:9.75pt;width:62.25pt;rotation:-2359296f;z-index:251721728;mso-width-relative:page;mso-height-relative:page;" fillcolor="#00B0F0" filled="t" stroked="t" coordsize="21600,21600" o:gfxdata="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5W1oEdoAAAAJAQAADwAAAAAAAAABACAAAAAiAAAAZHJzL2Rvd25yZXYu&#10;eG1sUEsBAhQAFAAAAAgAh07iQHWpJikyAgAAiAQAAA4AAAAAAAAAAQAgAAAAKQEAAGRycy9lMm9E&#10;b2MueG1sUEsFBgAAAAAGAAYAWQEAAM0FAAAAAA==&#10;" adj="5399,5400">
                <v:fill on="t" focussize="0,0"/>
                <v:stroke color="#000000" joinstyle="miter"/>
                <v:imagedata o:title=""/>
                <o:lock v:ext="edit" aspectratio="f"/>
              </v:shape>
            </w:pict>
          </mc:Fallback>
        </mc:AlternateContent>
      </w:r>
    </w:p>
    <w:p w14:paraId="4AECF3DE">
      <w:pPr>
        <w:jc w:val="center"/>
        <w:rPr>
          <w:rFonts w:hint="eastAsia" w:cs="Times New Roman"/>
          <w:b/>
          <w:bCs/>
          <w:color w:val="auto"/>
          <w:sz w:val="24"/>
          <w:szCs w:val="24"/>
          <w:highlight w:val="none"/>
          <w:lang w:val="en-US" w:eastAsia="zh-CN"/>
        </w:rPr>
      </w:pPr>
    </w:p>
    <w:p w14:paraId="3E39CB4C">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23776" behindDoc="0" locked="0" layoutInCell="1" allowOverlap="1">
                <wp:simplePos x="0" y="0"/>
                <wp:positionH relativeFrom="column">
                  <wp:posOffset>400050</wp:posOffset>
                </wp:positionH>
                <wp:positionV relativeFrom="paragraph">
                  <wp:posOffset>14605</wp:posOffset>
                </wp:positionV>
                <wp:extent cx="790575" cy="123825"/>
                <wp:effectExtent l="0" t="65405" r="13970" b="96520"/>
                <wp:wrapNone/>
                <wp:docPr id="91" name="左箭头 91"/>
                <wp:cNvGraphicFramePr/>
                <a:graphic xmlns:a="http://schemas.openxmlformats.org/drawingml/2006/main">
                  <a:graphicData uri="http://schemas.microsoft.com/office/word/2010/wordprocessingShape">
                    <wps:wsp>
                      <wps:cNvSpPr/>
                      <wps:spPr>
                        <a:xfrm rot="108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31.5pt;margin-top:1.15pt;height:9.75pt;width:62.25pt;rotation:1179648f;z-index:251723776;mso-width-relative:page;mso-height-relative:page;" fillcolor="#00B0F0" filled="t" stroked="t" coordsize="21600,21600" o:gfxdata="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kMdyVNYAAAAHAQAADwAAAAAAAAABACAAAAAiAAAAZHJzL2Rvd25yZXYueG1sUEsB&#10;AhQAFAAAAAgAh07iQOef6I0wAgAAhwQAAA4AAAAAAAAAAQAgAAAAJQEAAGRycy9lMm9Eb2MueG1s&#10;UEsFBgAAAAAGAAYAWQEAAMcFAAAAAA==&#10;" adj="5399,5400">
                <v:fill on="t" focussize="0,0"/>
                <v:stroke color="#000000" joinstyle="miter"/>
                <v:imagedata o:title=""/>
                <o:lock v:ext="edit" aspectratio="f"/>
              </v:shape>
            </w:pict>
          </mc:Fallback>
        </mc:AlternateContent>
      </w:r>
    </w:p>
    <w:p w14:paraId="70AB5F60">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22752" behindDoc="0" locked="0" layoutInCell="1" allowOverlap="1">
                <wp:simplePos x="0" y="0"/>
                <wp:positionH relativeFrom="column">
                  <wp:posOffset>1538605</wp:posOffset>
                </wp:positionH>
                <wp:positionV relativeFrom="paragraph">
                  <wp:posOffset>172720</wp:posOffset>
                </wp:positionV>
                <wp:extent cx="790575" cy="123825"/>
                <wp:effectExtent l="0" t="92075" r="4445" b="127000"/>
                <wp:wrapNone/>
                <wp:docPr id="92" name="左箭头 92"/>
                <wp:cNvGraphicFramePr/>
                <a:graphic xmlns:a="http://schemas.openxmlformats.org/drawingml/2006/main">
                  <a:graphicData uri="http://schemas.microsoft.com/office/word/2010/wordprocessingShape">
                    <wps:wsp>
                      <wps:cNvSpPr/>
                      <wps:spPr>
                        <a:xfrm rot="132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121.15pt;margin-top:13.6pt;height:9.75pt;width:62.25pt;rotation:1441792f;z-index:251722752;mso-width-relative:page;mso-height-relative:page;" fillcolor="#00B0F0" filled="t" stroked="t" coordsize="21600,21600" o:gfxdata="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1nJ7XWAAAACQEAAA8AAAAAAAAAAQAgAAAAIgAAAGRycy9kb3ducmV2LnhtbFBL&#10;AQIUABQAAAAIAIdO4kCb4yrUMQIAAIcEAAAOAAAAAAAAAAEAIAAAACUBAABkcnMvZTJvRG9jLnht&#10;bFBLBQYAAAAABgAGAFkBAADIBQAAAAA=&#10;" adj="5399,5400">
                <v:fill on="t" focussize="0,0"/>
                <v:stroke color="#000000" joinstyle="miter"/>
                <v:imagedata o:title=""/>
                <o:lock v:ext="edit" aspectratio="f"/>
              </v:shape>
            </w:pict>
          </mc:Fallback>
        </mc:AlternateContent>
      </w:r>
      <w:r>
        <w:rPr>
          <w:color w:val="auto"/>
          <w:sz w:val="21"/>
        </w:rPr>
        <mc:AlternateContent>
          <mc:Choice Requires="wps">
            <w:drawing>
              <wp:anchor distT="0" distB="0" distL="114300" distR="114300" simplePos="0" relativeHeight="251720704" behindDoc="0" locked="0" layoutInCell="1" allowOverlap="1">
                <wp:simplePos x="0" y="0"/>
                <wp:positionH relativeFrom="column">
                  <wp:posOffset>2853055</wp:posOffset>
                </wp:positionH>
                <wp:positionV relativeFrom="paragraph">
                  <wp:posOffset>59690</wp:posOffset>
                </wp:positionV>
                <wp:extent cx="790575" cy="123825"/>
                <wp:effectExtent l="9525" t="42545" r="19050" b="43180"/>
                <wp:wrapNone/>
                <wp:docPr id="98" name="左箭头 98"/>
                <wp:cNvGraphicFramePr/>
                <a:graphic xmlns:a="http://schemas.openxmlformats.org/drawingml/2006/main">
                  <a:graphicData uri="http://schemas.microsoft.com/office/word/2010/wordprocessingShape">
                    <wps:wsp>
                      <wps:cNvSpPr/>
                      <wps:spPr>
                        <a:xfrm rot="-60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224.65pt;margin-top:4.7pt;height:9.75pt;width:62.25pt;rotation:-655360f;z-index:251720704;mso-width-relative:page;mso-height-relative:page;" fillcolor="#00B0F0" filled="t" stroked="t" coordsize="21600,21600" o:gfxdata="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s4Cn92AAAAAgBAAAPAAAAAAAAAAEAIAAAACIAAABkcnMvZG93bnJldi54bWxQ&#10;SwECFAAUAAAACACHTuJAteLN+zACAACHBAAADgAAAAAAAAABACAAAAAnAQAAZHJzL2Uyb0RvYy54&#10;bWxQSwUGAAAAAAYABgBZAQAAyQUAAAAA&#10;" adj="5399,5400">
                <v:fill on="t" focussize="0,0"/>
                <v:stroke color="#000000" joinstyle="miter"/>
                <v:imagedata o:title=""/>
                <o:lock v:ext="edit" aspectratio="f"/>
              </v:shape>
            </w:pict>
          </mc:Fallback>
        </mc:AlternateContent>
      </w:r>
    </w:p>
    <w:p w14:paraId="31BD17AE">
      <w:pPr>
        <w:jc w:val="center"/>
        <w:rPr>
          <w:rFonts w:hint="eastAsia" w:cs="Times New Roman"/>
          <w:b/>
          <w:bCs/>
          <w:color w:val="auto"/>
          <w:sz w:val="24"/>
          <w:szCs w:val="24"/>
          <w:highlight w:val="none"/>
          <w:lang w:val="en-US" w:eastAsia="zh-CN"/>
        </w:rPr>
      </w:pPr>
    </w:p>
    <w:p w14:paraId="56665552">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18656" behindDoc="0" locked="0" layoutInCell="1" allowOverlap="1">
                <wp:simplePos x="0" y="0"/>
                <wp:positionH relativeFrom="column">
                  <wp:posOffset>3973195</wp:posOffset>
                </wp:positionH>
                <wp:positionV relativeFrom="paragraph">
                  <wp:posOffset>93980</wp:posOffset>
                </wp:positionV>
                <wp:extent cx="790575" cy="123825"/>
                <wp:effectExtent l="0" t="168275" r="0" b="203200"/>
                <wp:wrapNone/>
                <wp:docPr id="89" name="左箭头 89"/>
                <wp:cNvGraphicFramePr/>
                <a:graphic xmlns:a="http://schemas.openxmlformats.org/drawingml/2006/main">
                  <a:graphicData uri="http://schemas.microsoft.com/office/word/2010/wordprocessingShape">
                    <wps:wsp>
                      <wps:cNvSpPr/>
                      <wps:spPr>
                        <a:xfrm rot="204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312.85pt;margin-top:7.4pt;height:9.75pt;width:62.25pt;rotation:2228224f;z-index:251718656;mso-width-relative:page;mso-height-relative:page;" fillcolor="#00B0F0" filled="t" stroked="t" coordsize="21600,21600" o:gfxdata="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6uFr7YAAAACQEAAA8AAAAAAAAAAQAgAAAAIgAAAGRycy9kb3ducmV2Lnht&#10;bFBLAQIUABQAAAAIAIdO4kA1HyCnMgIAAIcEAAAOAAAAAAAAAAEAIAAAACcBAABkcnMvZTJvRG9j&#10;LnhtbFBLBQYAAAAABgAGAFkBAADLBQAAAAA=&#10;" adj="5399,5400">
                <v:fill on="t" focussize="0,0"/>
                <v:stroke color="#000000" joinstyle="miter"/>
                <v:imagedata o:title=""/>
                <o:lock v:ext="edit" aspectratio="f"/>
              </v:shape>
            </w:pict>
          </mc:Fallback>
        </mc:AlternateContent>
      </w:r>
    </w:p>
    <w:p w14:paraId="070656D5">
      <w:pPr>
        <w:jc w:val="center"/>
        <w:rPr>
          <w:rFonts w:hint="eastAsia" w:cs="Times New Roman"/>
          <w:b/>
          <w:bCs/>
          <w:color w:val="auto"/>
          <w:sz w:val="24"/>
          <w:szCs w:val="24"/>
          <w:highlight w:val="none"/>
          <w:lang w:val="en-US" w:eastAsia="zh-CN"/>
        </w:rPr>
      </w:pPr>
    </w:p>
    <w:p w14:paraId="3374D362">
      <w:pPr>
        <w:jc w:val="center"/>
        <w:rPr>
          <w:rFonts w:hint="eastAsia" w:cs="Times New Roman"/>
          <w:b/>
          <w:bCs/>
          <w:color w:val="auto"/>
          <w:sz w:val="24"/>
          <w:szCs w:val="24"/>
          <w:highlight w:val="none"/>
          <w:lang w:val="en-US" w:eastAsia="zh-CN"/>
        </w:rPr>
      </w:pPr>
    </w:p>
    <w:p w14:paraId="0054AC86">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17632" behindDoc="0" locked="0" layoutInCell="1" allowOverlap="1">
                <wp:simplePos x="0" y="0"/>
                <wp:positionH relativeFrom="column">
                  <wp:posOffset>4873625</wp:posOffset>
                </wp:positionH>
                <wp:positionV relativeFrom="paragraph">
                  <wp:posOffset>96520</wp:posOffset>
                </wp:positionV>
                <wp:extent cx="790575" cy="123825"/>
                <wp:effectExtent l="0" t="168275" r="0" b="203200"/>
                <wp:wrapNone/>
                <wp:docPr id="87" name="左箭头 87"/>
                <wp:cNvGraphicFramePr/>
                <a:graphic xmlns:a="http://schemas.openxmlformats.org/drawingml/2006/main">
                  <a:graphicData uri="http://schemas.microsoft.com/office/word/2010/wordprocessingShape">
                    <wps:wsp>
                      <wps:cNvSpPr/>
                      <wps:spPr>
                        <a:xfrm rot="204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383.75pt;margin-top:7.6pt;height:9.75pt;width:62.25pt;rotation:2228224f;z-index:251717632;mso-width-relative:page;mso-height-relative:page;" fillcolor="#00B0F0" filled="t" stroked="t" coordsize="21600,21600" o:gfxdata="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EzCHnYAAAACQEAAA8AAAAAAAAAAQAgAAAAIgAAAGRycy9kb3ducmV2Lnht&#10;bFBLAQIUABQAAAAIAIdO4kBDbff1MgIAAIcEAAAOAAAAAAAAAAEAIAAAACcBAABkcnMvZTJvRG9j&#10;LnhtbFBLBQYAAAAABgAGAFkBAADLBQAAAAA=&#10;" adj="5399,5400">
                <v:fill on="t" focussize="0,0"/>
                <v:stroke color="#000000" joinstyle="miter"/>
                <v:imagedata o:title=""/>
                <o:lock v:ext="edit" aspectratio="f"/>
              </v:shape>
            </w:pict>
          </mc:Fallback>
        </mc:AlternateContent>
      </w:r>
    </w:p>
    <w:p w14:paraId="55754E07">
      <w:pPr>
        <w:jc w:val="center"/>
        <w:rPr>
          <w:rFonts w:hint="eastAsia" w:cs="Times New Roman"/>
          <w:b/>
          <w:bCs/>
          <w:color w:val="auto"/>
          <w:sz w:val="24"/>
          <w:szCs w:val="24"/>
          <w:highlight w:val="none"/>
          <w:lang w:val="en-US" w:eastAsia="zh-CN"/>
        </w:rPr>
      </w:pPr>
    </w:p>
    <w:p w14:paraId="169836E5">
      <w:pPr>
        <w:jc w:val="center"/>
        <w:rPr>
          <w:rFonts w:hint="eastAsia" w:cs="Times New Roman"/>
          <w:b/>
          <w:bCs/>
          <w:color w:val="auto"/>
          <w:sz w:val="24"/>
          <w:szCs w:val="24"/>
          <w:highlight w:val="none"/>
          <w:lang w:val="en-US" w:eastAsia="zh-CN"/>
        </w:rPr>
      </w:pPr>
    </w:p>
    <w:p w14:paraId="0DFE5B20">
      <w:pPr>
        <w:jc w:val="center"/>
        <w:rPr>
          <w:rFonts w:hint="eastAsia" w:cs="Times New Roman"/>
          <w:b/>
          <w:bCs/>
          <w:color w:val="auto"/>
          <w:sz w:val="24"/>
          <w:szCs w:val="24"/>
          <w:highlight w:val="none"/>
          <w:lang w:val="en-US" w:eastAsia="zh-CN"/>
        </w:rPr>
      </w:pPr>
    </w:p>
    <w:p w14:paraId="2E24E8C4">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16608" behindDoc="0" locked="0" layoutInCell="1" allowOverlap="1">
                <wp:simplePos x="0" y="0"/>
                <wp:positionH relativeFrom="column">
                  <wp:posOffset>5927090</wp:posOffset>
                </wp:positionH>
                <wp:positionV relativeFrom="paragraph">
                  <wp:posOffset>81280</wp:posOffset>
                </wp:positionV>
                <wp:extent cx="790575" cy="123825"/>
                <wp:effectExtent l="0" t="143510" r="0" b="170815"/>
                <wp:wrapNone/>
                <wp:docPr id="94" name="左箭头 94"/>
                <wp:cNvGraphicFramePr/>
                <a:graphic xmlns:a="http://schemas.openxmlformats.org/drawingml/2006/main">
                  <a:graphicData uri="http://schemas.microsoft.com/office/word/2010/wordprocessingShape">
                    <wps:wsp>
                      <wps:cNvSpPr/>
                      <wps:spPr>
                        <a:xfrm rot="180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466.7pt;margin-top:6.4pt;height:9.75pt;width:62.25pt;rotation:1966080f;z-index:251716608;mso-width-relative:page;mso-height-relative:page;" fillcolor="#00B0F0" filled="t" stroked="t" coordsize="21600,21600" o:gfxdata="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JVG5PNkAAAAKAQAADwAAAAAAAAABACAAAAAiAAAAZHJzL2Rvd25yZXYueG1s&#10;UEsBAhQAFAAAAAgAh07iQH6Gd/YwAgAAhwQAAA4AAAAAAAAAAQAgAAAAKAEAAGRycy9lMm9Eb2Mu&#10;eG1sUEsFBgAAAAAGAAYAWQEAAMoFAAAAAA==&#10;" adj="5399,5400">
                <v:fill on="t" focussize="0,0"/>
                <v:stroke color="#000000" joinstyle="miter"/>
                <v:imagedata o:title=""/>
                <o:lock v:ext="edit" aspectratio="f"/>
              </v:shape>
            </w:pict>
          </mc:Fallback>
        </mc:AlternateContent>
      </w:r>
    </w:p>
    <w:p w14:paraId="15F8CDD9">
      <w:pPr>
        <w:jc w:val="center"/>
        <w:rPr>
          <w:rFonts w:hint="eastAsia" w:cs="Times New Roman"/>
          <w:b/>
          <w:bCs/>
          <w:color w:val="auto"/>
          <w:sz w:val="24"/>
          <w:szCs w:val="24"/>
          <w:highlight w:val="none"/>
          <w:lang w:val="en-US" w:eastAsia="zh-CN"/>
        </w:rPr>
      </w:pPr>
    </w:p>
    <w:p w14:paraId="0EE75739">
      <w:pPr>
        <w:jc w:val="center"/>
        <w:rPr>
          <w:rFonts w:hint="eastAsia" w:cs="Times New Roman"/>
          <w:b/>
          <w:bCs/>
          <w:color w:val="auto"/>
          <w:sz w:val="24"/>
          <w:szCs w:val="24"/>
          <w:highlight w:val="none"/>
          <w:lang w:val="en-US" w:eastAsia="zh-CN"/>
        </w:rPr>
      </w:pPr>
    </w:p>
    <w:p w14:paraId="4758D1F2">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15584" behindDoc="0" locked="0" layoutInCell="1" allowOverlap="1">
                <wp:simplePos x="0" y="0"/>
                <wp:positionH relativeFrom="column">
                  <wp:posOffset>7172325</wp:posOffset>
                </wp:positionH>
                <wp:positionV relativeFrom="paragraph">
                  <wp:posOffset>10160</wp:posOffset>
                </wp:positionV>
                <wp:extent cx="790575" cy="123825"/>
                <wp:effectExtent l="9525" t="38735" r="19050" b="46990"/>
                <wp:wrapNone/>
                <wp:docPr id="95" name="左箭头 95"/>
                <wp:cNvGraphicFramePr/>
                <a:graphic xmlns:a="http://schemas.openxmlformats.org/drawingml/2006/main">
                  <a:graphicData uri="http://schemas.microsoft.com/office/word/2010/wordprocessingShape">
                    <wps:wsp>
                      <wps:cNvSpPr/>
                      <wps:spPr>
                        <a:xfrm rot="600000">
                          <a:off x="0" y="0"/>
                          <a:ext cx="790575" cy="123825"/>
                        </a:xfrm>
                        <a:prstGeom prst="leftArrow">
                          <a:avLst>
                            <a:gd name="adj1" fmla="val 50000"/>
                            <a:gd name="adj2" fmla="val 159615"/>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564.75pt;margin-top:0.8pt;height:9.75pt;width:62.25pt;rotation:655360f;z-index:251715584;mso-width-relative:page;mso-height-relative:page;" fillcolor="#00B0F0" filled="t" stroked="t" coordsize="21600,21600" o:gfxdata="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GG5kVtcAAAAKAQAADwAAAAAAAAABACAAAAAiAAAAZHJzL2Rvd25yZXYueG1sUEsBAhQA&#10;FAAAAAgAh07iQDpPtbEsAgAAhgQAAA4AAAAAAAAAAQAgAAAAJgEAAGRycy9lMm9Eb2MueG1sUEsF&#10;BgAAAAAGAAYAWQEAAMQFAAAAAA==&#10;" adj="5399,5400">
                <v:fill on="t" focussize="0,0"/>
                <v:stroke color="#000000" joinstyle="miter"/>
                <v:imagedata o:title=""/>
                <o:lock v:ext="edit" aspectratio="f"/>
              </v:shape>
            </w:pict>
          </mc:Fallback>
        </mc:AlternateContent>
      </w:r>
    </w:p>
    <w:p w14:paraId="63EF5A53">
      <w:pPr>
        <w:jc w:val="center"/>
        <w:rPr>
          <w:rFonts w:hint="eastAsia" w:cs="Times New Roman"/>
          <w:b/>
          <w:bCs/>
          <w:color w:val="auto"/>
          <w:sz w:val="24"/>
          <w:szCs w:val="24"/>
          <w:highlight w:val="none"/>
          <w:lang w:val="en-US" w:eastAsia="zh-CN"/>
        </w:rPr>
      </w:pPr>
    </w:p>
    <w:p w14:paraId="78A7F245">
      <w:pPr>
        <w:jc w:val="center"/>
        <w:rPr>
          <w:rFonts w:hint="eastAsia" w:cs="Times New Roman"/>
          <w:b/>
          <w:bCs/>
          <w:color w:val="auto"/>
          <w:sz w:val="24"/>
          <w:szCs w:val="24"/>
          <w:highlight w:val="none"/>
          <w:lang w:val="en-US" w:eastAsia="zh-CN"/>
        </w:rPr>
      </w:pPr>
    </w:p>
    <w:p w14:paraId="1E5E186B">
      <w:pPr>
        <w:jc w:val="center"/>
        <w:rPr>
          <w:rFonts w:hint="eastAsia" w:cs="Times New Roman"/>
          <w:b/>
          <w:bCs/>
          <w:color w:val="auto"/>
          <w:sz w:val="24"/>
          <w:szCs w:val="24"/>
          <w:highlight w:val="none"/>
          <w:lang w:val="en-US" w:eastAsia="zh-CN"/>
        </w:rPr>
      </w:pPr>
    </w:p>
    <w:p w14:paraId="05F4F07A">
      <w:pPr>
        <w:jc w:val="center"/>
        <w:rPr>
          <w:rFonts w:hint="eastAsia" w:cs="Times New Roman"/>
          <w:b/>
          <w:bCs/>
          <w:color w:val="auto"/>
          <w:sz w:val="24"/>
          <w:szCs w:val="24"/>
          <w:highlight w:val="none"/>
          <w:lang w:val="en-US" w:eastAsia="zh-CN"/>
        </w:rPr>
      </w:pPr>
    </w:p>
    <w:p w14:paraId="539620BD">
      <w:pPr>
        <w:jc w:val="center"/>
        <w:rPr>
          <w:rFonts w:hint="eastAsia" w:cs="Times New Roman"/>
          <w:b/>
          <w:bCs/>
          <w:color w:val="auto"/>
          <w:sz w:val="24"/>
          <w:szCs w:val="24"/>
          <w:highlight w:val="none"/>
          <w:lang w:val="en-US" w:eastAsia="zh-CN"/>
        </w:rPr>
      </w:pPr>
      <w:r>
        <w:rPr>
          <w:color w:val="auto"/>
          <w:sz w:val="21"/>
        </w:rPr>
        <mc:AlternateContent>
          <mc:Choice Requires="wps">
            <w:drawing>
              <wp:anchor distT="0" distB="0" distL="114300" distR="114300" simplePos="0" relativeHeight="251726848" behindDoc="0" locked="0" layoutInCell="1" allowOverlap="1">
                <wp:simplePos x="0" y="0"/>
                <wp:positionH relativeFrom="column">
                  <wp:posOffset>7969885</wp:posOffset>
                </wp:positionH>
                <wp:positionV relativeFrom="paragraph">
                  <wp:posOffset>32385</wp:posOffset>
                </wp:positionV>
                <wp:extent cx="209550" cy="228600"/>
                <wp:effectExtent l="13335" t="17780" r="24765" b="20320"/>
                <wp:wrapNone/>
                <wp:docPr id="83" name="五角星 83"/>
                <wp:cNvGraphicFramePr/>
                <a:graphic xmlns:a="http://schemas.openxmlformats.org/drawingml/2006/main">
                  <a:graphicData uri="http://schemas.microsoft.com/office/word/2010/wordprocessingShape">
                    <wps:wsp>
                      <wps:cNvSpPr/>
                      <wps:spPr>
                        <a:xfrm>
                          <a:off x="0" y="0"/>
                          <a:ext cx="209550" cy="22860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627.55pt;margin-top:2.55pt;height:18pt;width:16.5pt;z-index:251726848;mso-width-relative:page;mso-height-relative:page;" fillcolor="#FF0000" filled="t" stroked="t" coordsize="209550,228600" o:gfxdata="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TWwinVAAAACgEAAA8AAAAAAAAAAQAgAAAAIgAAAGRycy9k&#10;b3ducmV2LnhtbFBLAQIUABQAAAAIAIdO4kBtZXFhBQIAACMEAAAOAAAAAAAAAAEAIAAAACQBAABk&#10;cnMvZTJvRG9jLnhtbFBLBQYAAAAABgAGAFkBAACbBQAAAAA=&#10;" path="m0,87317l80041,87317,104775,0,129508,87317,209549,87317,144794,141281,169529,228599,104775,174633,40020,228599,64755,141281xe">
                <v:path o:connectlocs="104775,0;0,87317;40020,228599;169529,228599;209549,87317" o:connectangles="247,164,82,82,0"/>
                <v:fill on="t" focussize="0,0"/>
                <v:stroke color="#000000" joinstyle="miter"/>
                <v:imagedata o:title=""/>
                <o:lock v:ext="edit" aspectratio="f"/>
              </v:shape>
            </w:pict>
          </mc:Fallback>
        </mc:AlternateContent>
      </w:r>
      <w:r>
        <w:rPr>
          <w:color w:val="auto"/>
          <w:sz w:val="21"/>
        </w:rPr>
        <mc:AlternateContent>
          <mc:Choice Requires="wps">
            <w:drawing>
              <wp:anchor distT="0" distB="0" distL="114300" distR="114300" simplePos="0" relativeHeight="251727872" behindDoc="0" locked="0" layoutInCell="1" allowOverlap="1">
                <wp:simplePos x="0" y="0"/>
                <wp:positionH relativeFrom="column">
                  <wp:posOffset>6594475</wp:posOffset>
                </wp:positionH>
                <wp:positionV relativeFrom="paragraph">
                  <wp:posOffset>99060</wp:posOffset>
                </wp:positionV>
                <wp:extent cx="447675" cy="104775"/>
                <wp:effectExtent l="11430" t="7620" r="17145" b="20955"/>
                <wp:wrapNone/>
                <wp:docPr id="93" name="左箭头 93"/>
                <wp:cNvGraphicFramePr/>
                <a:graphic xmlns:a="http://schemas.openxmlformats.org/drawingml/2006/main">
                  <a:graphicData uri="http://schemas.microsoft.com/office/word/2010/wordprocessingShape">
                    <wps:wsp>
                      <wps:cNvSpPr/>
                      <wps:spPr>
                        <a:xfrm>
                          <a:off x="0" y="0"/>
                          <a:ext cx="447675" cy="104775"/>
                        </a:xfrm>
                        <a:prstGeom prst="leftArrow">
                          <a:avLst>
                            <a:gd name="adj1" fmla="val 50000"/>
                            <a:gd name="adj2" fmla="val 106818"/>
                          </a:avLst>
                        </a:prstGeom>
                        <a:solidFill>
                          <a:srgbClr val="00B0F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6" type="#_x0000_t66" style="position:absolute;left:0pt;margin-left:519.25pt;margin-top:7.8pt;height:8.25pt;width:35.25pt;z-index:251727872;mso-width-relative:page;mso-height-relative:page;" fillcolor="#00B0F0" filled="t" stroked="t" coordsize="21600,21600" o:gfxdata="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FR2YjWAAAACwEAAA8AAAAAAAAAAQAgAAAAIgAAAGRycy9kb3ducmV2LnhtbFBLAQIUABQAAAAI&#10;AIdO4kAkxVxJKAIAAHkEAAAOAAAAAAAAAAEAIAAAACUBAABkcnMvZTJvRG9jLnhtbFBLBQYAAAAA&#10;BgAGAFkBAAC/BQAAAAA=&#10;" adj="5399,5400">
                <v:fill on="t" focussize="0,0"/>
                <v:stroke color="#000000" joinstyle="miter"/>
                <v:imagedata o:title=""/>
                <o:lock v:ext="edit" aspectratio="f"/>
              </v:shape>
            </w:pict>
          </mc:Fallback>
        </mc:AlternateContent>
      </w:r>
      <w:r>
        <w:rPr>
          <w:color w:val="auto"/>
          <w:sz w:val="21"/>
        </w:rPr>
        <mc:AlternateContent>
          <mc:Choice Requires="wps">
            <w:drawing>
              <wp:anchor distT="0" distB="0" distL="114300" distR="114300" simplePos="0" relativeHeight="251725824" behindDoc="0" locked="0" layoutInCell="1" allowOverlap="1">
                <wp:simplePos x="0" y="0"/>
                <wp:positionH relativeFrom="column">
                  <wp:posOffset>6144895</wp:posOffset>
                </wp:positionH>
                <wp:positionV relativeFrom="paragraph">
                  <wp:posOffset>3810</wp:posOffset>
                </wp:positionV>
                <wp:extent cx="2819400" cy="323850"/>
                <wp:effectExtent l="4445" t="4445" r="14605" b="14605"/>
                <wp:wrapNone/>
                <wp:docPr id="90" name="文本框 90"/>
                <wp:cNvGraphicFramePr/>
                <a:graphic xmlns:a="http://schemas.openxmlformats.org/drawingml/2006/main">
                  <a:graphicData uri="http://schemas.microsoft.com/office/word/2010/wordprocessingShape">
                    <wps:wsp>
                      <wps:cNvSpPr txBox="1"/>
                      <wps:spPr>
                        <a:xfrm>
                          <a:off x="0" y="0"/>
                          <a:ext cx="2819400" cy="3238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CC01EA0">
                            <w:pPr>
                              <w:rPr>
                                <w:rFonts w:hint="default" w:eastAsia="宋体"/>
                                <w:lang w:val="en-US" w:eastAsia="zh-CN"/>
                              </w:rPr>
                            </w:pPr>
                            <w:r>
                              <w:rPr>
                                <w:rFonts w:hint="eastAsia"/>
                                <w:lang w:val="en-US" w:eastAsia="zh-CN"/>
                              </w:rPr>
                              <w:t>图例：       应急疏散路线     门口集合点</w:t>
                            </w:r>
                          </w:p>
                        </w:txbxContent>
                      </wps:txbx>
                      <wps:bodyPr upright="1"/>
                    </wps:wsp>
                  </a:graphicData>
                </a:graphic>
              </wp:anchor>
            </w:drawing>
          </mc:Choice>
          <mc:Fallback>
            <w:pict>
              <v:shape id="_x0000_s1026" o:spid="_x0000_s1026" o:spt="202" type="#_x0000_t202" style="position:absolute;left:0pt;margin-left:483.85pt;margin-top:0.3pt;height:25.5pt;width:222pt;z-index:251725824;mso-width-relative:page;mso-height-relative:page;" fillcolor="#FFFFFF" filled="t" stroked="t" coordsize="21600,21600" o:gfxdata="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uW3dc1wAAAAgBAAAPAAAAAAAAAAEAIAAA&#10;ACIAAABkcnMvZG93bnJldi54bWxQSwECFAAUAAAACACHTuJADsZlSg0CAAA4BAAADgAAAAAAAAAB&#10;ACAAAAAmAQAAZHJzL2Uyb0RvYy54bWxQSwUGAAAAAAYABgBZAQAApQUAAAAA&#10;">
                <v:fill on="t" focussize="0,0"/>
                <v:stroke color="#000000" joinstyle="miter"/>
                <v:imagedata o:title=""/>
                <o:lock v:ext="edit" aspectratio="f"/>
                <v:textbox>
                  <w:txbxContent>
                    <w:p w14:paraId="1CC01EA0">
                      <w:pPr>
                        <w:rPr>
                          <w:rFonts w:hint="default" w:eastAsia="宋体"/>
                          <w:lang w:val="en-US" w:eastAsia="zh-CN"/>
                        </w:rPr>
                      </w:pPr>
                      <w:r>
                        <w:rPr>
                          <w:rFonts w:hint="eastAsia"/>
                          <w:lang w:val="en-US" w:eastAsia="zh-CN"/>
                        </w:rPr>
                        <w:t>图例：       应急疏散路线     门口集合点</w:t>
                      </w:r>
                    </w:p>
                  </w:txbxContent>
                </v:textbox>
              </v:shape>
            </w:pict>
          </mc:Fallback>
        </mc:AlternateContent>
      </w:r>
    </w:p>
    <w:p w14:paraId="0B125E12">
      <w:pPr>
        <w:jc w:val="center"/>
        <w:rPr>
          <w:rFonts w:hint="eastAsia" w:cs="Times New Roman"/>
          <w:b/>
          <w:bCs/>
          <w:color w:val="auto"/>
          <w:sz w:val="24"/>
          <w:szCs w:val="24"/>
          <w:highlight w:val="none"/>
          <w:lang w:val="en-US" w:eastAsia="zh-CN"/>
        </w:rPr>
      </w:pPr>
    </w:p>
    <w:p w14:paraId="525790CB">
      <w:pPr>
        <w:jc w:val="center"/>
        <w:rPr>
          <w:rFonts w:hint="default" w:ascii="Times New Roman" w:hAnsi="Times New Roman" w:cs="Times New Roman"/>
          <w:color w:val="auto"/>
          <w:sz w:val="24"/>
          <w:szCs w:val="24"/>
          <w:lang w:val="en-US" w:eastAsia="zh-CN"/>
        </w:rPr>
      </w:pPr>
      <w:r>
        <w:rPr>
          <w:rFonts w:hint="eastAsia" w:cs="Times New Roman"/>
          <w:b/>
          <w:bCs/>
          <w:color w:val="auto"/>
          <w:sz w:val="24"/>
          <w:szCs w:val="24"/>
          <w:highlight w:val="none"/>
          <w:lang w:val="en-US" w:eastAsia="zh-CN"/>
        </w:rPr>
        <w:t>图8-1</w:t>
      </w:r>
      <w:r>
        <w:rPr>
          <w:rFonts w:hint="eastAsia" w:ascii="Times New Roman" w:hAnsi="Times New Roman" w:cs="Times New Roman"/>
          <w:b/>
          <w:bCs/>
          <w:color w:val="auto"/>
          <w:sz w:val="24"/>
          <w:szCs w:val="24"/>
          <w:highlight w:val="none"/>
          <w:lang w:val="en-US" w:eastAsia="zh-CN"/>
        </w:rPr>
        <w:t xml:space="preserve">  应急疏散路线图</w:t>
      </w:r>
    </w:p>
    <w:p w14:paraId="21A1C903">
      <w:pPr>
        <w:spacing w:line="360" w:lineRule="auto"/>
        <w:ind w:firstLine="480" w:firstLineChars="200"/>
        <w:rPr>
          <w:rFonts w:hint="default" w:ascii="Times New Roman" w:hAnsi="Times New Roman" w:cs="Times New Roman"/>
          <w:color w:val="auto"/>
          <w:sz w:val="24"/>
          <w:szCs w:val="24"/>
          <w:lang w:val="en-US" w:eastAsia="zh-CN"/>
        </w:rPr>
        <w:sectPr>
          <w:pgSz w:w="16838" w:h="11905" w:orient="landscape"/>
          <w:pgMar w:top="1800" w:right="1440" w:bottom="1800" w:left="1440" w:header="851" w:footer="1134" w:gutter="0"/>
          <w:pgBorders>
            <w:top w:val="none" w:sz="0" w:space="0"/>
            <w:left w:val="none" w:sz="0" w:space="0"/>
            <w:bottom w:val="none" w:sz="0" w:space="0"/>
            <w:right w:val="none" w:sz="0" w:space="0"/>
          </w:pgBorders>
          <w:pgNumType w:fmt="decimal"/>
          <w:cols w:space="720" w:num="1"/>
          <w:docGrid w:linePitch="312" w:charSpace="0"/>
        </w:sectPr>
      </w:pPr>
    </w:p>
    <w:p w14:paraId="7CE77653">
      <w:pPr>
        <w:spacing w:line="360" w:lineRule="auto"/>
        <w:ind w:firstLine="482" w:firstLineChars="200"/>
        <w:rPr>
          <w:rFonts w:hint="default" w:ascii="Times New Roman" w:hAnsi="Times New Roman" w:cs="Times New Roman"/>
          <w:b/>
          <w:bCs/>
          <w:color w:val="auto"/>
          <w:sz w:val="24"/>
          <w:szCs w:val="24"/>
          <w:lang w:val="en-US" w:eastAsia="zh-CN"/>
        </w:rPr>
      </w:pPr>
      <w:bookmarkStart w:id="605" w:name="_Toc16961"/>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w:t>
      </w:r>
      <w:r>
        <w:rPr>
          <w:rFonts w:hint="eastAsia" w:ascii="Times New Roman" w:hAnsi="Times New Roman" w:cs="Times New Roman"/>
          <w:b/>
          <w:bCs/>
          <w:color w:val="auto"/>
          <w:sz w:val="24"/>
          <w:szCs w:val="24"/>
          <w:lang w:val="en-US" w:eastAsia="zh-CN"/>
        </w:rPr>
        <w:t>地表水</w:t>
      </w:r>
      <w:r>
        <w:rPr>
          <w:rFonts w:hint="default" w:ascii="Times New Roman" w:hAnsi="Times New Roman" w:cs="Times New Roman"/>
          <w:b/>
          <w:bCs/>
          <w:color w:val="auto"/>
          <w:sz w:val="24"/>
          <w:szCs w:val="24"/>
          <w:lang w:val="en-US" w:eastAsia="zh-CN"/>
        </w:rPr>
        <w:t>风险防范措施</w:t>
      </w:r>
      <w:bookmarkEnd w:id="605"/>
    </w:p>
    <w:p w14:paraId="4E57DFCA">
      <w:pPr>
        <w:spacing w:line="360" w:lineRule="auto"/>
        <w:ind w:firstLine="480" w:firstLineChars="20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（1）</w:t>
      </w:r>
      <w:r>
        <w:rPr>
          <w:rFonts w:hint="default" w:ascii="Times New Roman" w:hAnsi="Times New Roman" w:cs="Times New Roman"/>
          <w:color w:val="auto"/>
          <w:sz w:val="24"/>
          <w:szCs w:val="24"/>
          <w:lang w:val="en-US" w:eastAsia="zh-CN"/>
        </w:rPr>
        <w:t xml:space="preserve"> 三级防控体系</w:t>
      </w:r>
    </w:p>
    <w:p w14:paraId="18D8F9D9">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根据风险事故情形分析，硝酸铵</w:t>
      </w:r>
      <w:r>
        <w:rPr>
          <w:rFonts w:hint="eastAsia" w:ascii="Times New Roman" w:hAnsi="Times New Roman" w:cs="Times New Roman"/>
          <w:color w:val="auto"/>
          <w:sz w:val="24"/>
          <w:szCs w:val="24"/>
          <w:lang w:val="en-US" w:eastAsia="zh-CN"/>
        </w:rPr>
        <w:t>原料</w:t>
      </w:r>
      <w:r>
        <w:rPr>
          <w:rFonts w:hint="default" w:ascii="Times New Roman" w:hAnsi="Times New Roman" w:cs="Times New Roman"/>
          <w:color w:val="auto"/>
          <w:sz w:val="24"/>
          <w:szCs w:val="24"/>
          <w:lang w:val="en-US" w:eastAsia="zh-CN"/>
        </w:rPr>
        <w:t>、炸药成品储存过程</w:t>
      </w:r>
      <w:r>
        <w:rPr>
          <w:rFonts w:hint="eastAsia" w:ascii="Times New Roman" w:hAnsi="Times New Roman" w:cs="Times New Roman"/>
          <w:color w:val="auto"/>
          <w:sz w:val="24"/>
          <w:szCs w:val="24"/>
          <w:lang w:val="en-US" w:eastAsia="zh-CN"/>
        </w:rPr>
        <w:t>及</w:t>
      </w:r>
      <w:r>
        <w:rPr>
          <w:rFonts w:hint="default" w:ascii="Times New Roman" w:hAnsi="Times New Roman" w:cs="Times New Roman"/>
          <w:color w:val="auto"/>
          <w:sz w:val="24"/>
          <w:szCs w:val="24"/>
          <w:lang w:val="en-US" w:eastAsia="zh-CN"/>
        </w:rPr>
        <w:t>车间生产过程中发生爆炸事故后处理过程中产生</w:t>
      </w:r>
      <w:r>
        <w:rPr>
          <w:rFonts w:hint="eastAsia" w:ascii="Times New Roman" w:hAnsi="Times New Roman" w:cs="Times New Roman"/>
          <w:color w:val="auto"/>
          <w:sz w:val="24"/>
          <w:szCs w:val="24"/>
          <w:lang w:val="en-US" w:eastAsia="zh-CN"/>
        </w:rPr>
        <w:t>泄漏物料或</w:t>
      </w:r>
      <w:r>
        <w:rPr>
          <w:rFonts w:hint="default" w:ascii="Times New Roman" w:hAnsi="Times New Roman" w:cs="Times New Roman"/>
          <w:color w:val="auto"/>
          <w:sz w:val="24"/>
          <w:szCs w:val="24"/>
          <w:lang w:val="en-US" w:eastAsia="zh-CN"/>
        </w:rPr>
        <w:t>消防事故水，厂区内修建事故废水收集池，并在厂区内设置截流明沟与事故池相连，事故水集中收集排入事故池中，待事故过后，</w:t>
      </w:r>
      <w:r>
        <w:rPr>
          <w:rFonts w:hint="eastAsia" w:ascii="Times New Roman" w:hAnsi="Times New Roman" w:cs="Times New Roman"/>
          <w:color w:val="auto"/>
          <w:sz w:val="24"/>
          <w:szCs w:val="24"/>
          <w:lang w:val="en-US" w:eastAsia="zh-CN"/>
        </w:rPr>
        <w:t>高浓度物料或废水作为危险废液外运处置，低浓度则</w:t>
      </w:r>
      <w:r>
        <w:rPr>
          <w:rFonts w:hint="default" w:ascii="Times New Roman" w:hAnsi="Times New Roman" w:cs="Times New Roman"/>
          <w:color w:val="auto"/>
          <w:sz w:val="24"/>
          <w:szCs w:val="24"/>
          <w:lang w:val="en-US" w:eastAsia="zh-CN"/>
        </w:rPr>
        <w:t>经污水处理设施处理达标后</w:t>
      </w:r>
      <w:r>
        <w:rPr>
          <w:rFonts w:hint="eastAsia" w:ascii="Times New Roman" w:hAnsi="Times New Roman" w:cs="Times New Roman"/>
          <w:color w:val="auto"/>
          <w:sz w:val="24"/>
          <w:szCs w:val="24"/>
          <w:lang w:val="en-US" w:eastAsia="zh-CN"/>
        </w:rPr>
        <w:t>综合利用</w:t>
      </w:r>
      <w:r>
        <w:rPr>
          <w:rFonts w:hint="default" w:ascii="Times New Roman" w:hAnsi="Times New Roman" w:cs="Times New Roman"/>
          <w:color w:val="auto"/>
          <w:sz w:val="24"/>
          <w:szCs w:val="24"/>
          <w:lang w:val="en-US" w:eastAsia="zh-CN"/>
        </w:rPr>
        <w:t>，为了防止事故发生时产生的事故废水对当</w:t>
      </w:r>
      <w:r>
        <w:rPr>
          <w:rFonts w:hint="eastAsia" w:ascii="Times New Roman" w:hAnsi="Times New Roman" w:cs="Times New Roman"/>
          <w:color w:val="auto"/>
          <w:sz w:val="24"/>
          <w:szCs w:val="24"/>
          <w:lang w:val="en-US" w:eastAsia="zh-CN"/>
        </w:rPr>
        <w:t>地</w:t>
      </w:r>
      <w:r>
        <w:rPr>
          <w:rFonts w:hint="default" w:ascii="Times New Roman" w:hAnsi="Times New Roman" w:cs="Times New Roman"/>
          <w:color w:val="auto"/>
          <w:sz w:val="24"/>
          <w:szCs w:val="24"/>
          <w:lang w:val="en-US" w:eastAsia="zh-CN"/>
        </w:rPr>
        <w:t>水环境产生污染，厂区设有三级防</w:t>
      </w:r>
      <w:r>
        <w:rPr>
          <w:rFonts w:hint="eastAsia" w:ascii="Times New Roman" w:hAnsi="Times New Roman" w:cs="Times New Roman"/>
          <w:color w:val="auto"/>
          <w:sz w:val="24"/>
          <w:szCs w:val="24"/>
          <w:lang w:val="en-US" w:eastAsia="zh-CN"/>
        </w:rPr>
        <w:t>控</w:t>
      </w:r>
      <w:r>
        <w:rPr>
          <w:rFonts w:hint="default" w:ascii="Times New Roman" w:hAnsi="Times New Roman" w:cs="Times New Roman"/>
          <w:color w:val="auto"/>
          <w:sz w:val="24"/>
          <w:szCs w:val="24"/>
          <w:lang w:val="en-US" w:eastAsia="zh-CN"/>
        </w:rPr>
        <w:t>措施：</w:t>
      </w:r>
    </w:p>
    <w:p w14:paraId="1C99BD00">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①一级风险防</w:t>
      </w:r>
      <w:r>
        <w:rPr>
          <w:rFonts w:hint="eastAsia" w:ascii="Times New Roman" w:hAnsi="Times New Roman" w:cs="Times New Roman"/>
          <w:color w:val="auto"/>
          <w:sz w:val="24"/>
          <w:szCs w:val="24"/>
          <w:lang w:val="en-US" w:eastAsia="zh-CN"/>
        </w:rPr>
        <w:t>控</w:t>
      </w:r>
      <w:r>
        <w:rPr>
          <w:rFonts w:hint="default" w:ascii="Times New Roman" w:hAnsi="Times New Roman" w:cs="Times New Roman"/>
          <w:color w:val="auto"/>
          <w:sz w:val="24"/>
          <w:szCs w:val="24"/>
          <w:lang w:val="en-US" w:eastAsia="zh-CN"/>
        </w:rPr>
        <w:t>措施</w:t>
      </w:r>
    </w:p>
    <w:p w14:paraId="71E7E51D">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在</w:t>
      </w:r>
      <w:r>
        <w:rPr>
          <w:rFonts w:hint="eastAsia" w:ascii="Times New Roman" w:hAnsi="Times New Roman" w:cs="Times New Roman"/>
          <w:color w:val="auto"/>
          <w:sz w:val="24"/>
          <w:szCs w:val="24"/>
          <w:lang w:val="en-US" w:eastAsia="zh-CN"/>
        </w:rPr>
        <w:t>硝酸铵溶液储罐区</w:t>
      </w:r>
      <w:r>
        <w:rPr>
          <w:rFonts w:hint="default" w:ascii="Times New Roman" w:hAnsi="Times New Roman" w:cs="Times New Roman"/>
          <w:color w:val="auto"/>
          <w:sz w:val="24"/>
          <w:szCs w:val="24"/>
          <w:lang w:val="en-US" w:eastAsia="zh-CN"/>
        </w:rPr>
        <w:t>设置</w:t>
      </w:r>
      <w:r>
        <w:rPr>
          <w:rFonts w:hint="eastAsia" w:ascii="Times New Roman" w:hAnsi="Times New Roman" w:cs="Times New Roman"/>
          <w:color w:val="auto"/>
          <w:sz w:val="24"/>
          <w:szCs w:val="24"/>
          <w:lang w:val="en-US" w:eastAsia="zh-CN"/>
        </w:rPr>
        <w:t>防渗围堰</w:t>
      </w:r>
      <w:r>
        <w:rPr>
          <w:rFonts w:hint="default" w:ascii="Times New Roman" w:hAnsi="Times New Roman" w:cs="Times New Roman"/>
          <w:color w:val="auto"/>
          <w:sz w:val="24"/>
          <w:szCs w:val="24"/>
          <w:lang w:val="en-US" w:eastAsia="zh-CN"/>
        </w:rPr>
        <w:t>，在生产装置区、储罐区设置</w:t>
      </w:r>
      <w:r>
        <w:rPr>
          <w:rFonts w:hint="eastAsia" w:ascii="Times New Roman" w:hAnsi="Times New Roman" w:cs="Times New Roman"/>
          <w:color w:val="auto"/>
          <w:sz w:val="24"/>
          <w:szCs w:val="24"/>
          <w:lang w:val="en-US" w:eastAsia="zh-CN"/>
        </w:rPr>
        <w:t>截流</w:t>
      </w:r>
      <w:r>
        <w:rPr>
          <w:rFonts w:hint="default" w:ascii="Times New Roman" w:hAnsi="Times New Roman" w:cs="Times New Roman"/>
          <w:color w:val="auto"/>
          <w:sz w:val="24"/>
          <w:szCs w:val="24"/>
          <w:lang w:val="en-US" w:eastAsia="zh-CN"/>
        </w:rPr>
        <w:t>明沟作为一级预防与控制体系，用于收集</w:t>
      </w:r>
      <w:r>
        <w:rPr>
          <w:rFonts w:hint="eastAsia" w:ascii="Times New Roman" w:hAnsi="Times New Roman" w:cs="Times New Roman"/>
          <w:color w:val="auto"/>
          <w:sz w:val="24"/>
          <w:szCs w:val="24"/>
          <w:lang w:val="en-US" w:eastAsia="zh-CN"/>
        </w:rPr>
        <w:t>泄漏物料</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消防废水或</w:t>
      </w:r>
      <w:r>
        <w:rPr>
          <w:rFonts w:hint="default" w:ascii="Times New Roman" w:hAnsi="Times New Roman" w:cs="Times New Roman"/>
          <w:color w:val="auto"/>
          <w:sz w:val="24"/>
          <w:szCs w:val="24"/>
          <w:lang w:val="en-US" w:eastAsia="zh-CN"/>
        </w:rPr>
        <w:t>污染雨水</w:t>
      </w:r>
      <w:r>
        <w:rPr>
          <w:rFonts w:hint="eastAsia" w:ascii="Times New Roman" w:hAnsi="Times New Roman" w:cs="Times New Roman"/>
          <w:color w:val="auto"/>
          <w:sz w:val="24"/>
          <w:szCs w:val="24"/>
          <w:lang w:val="en-US" w:eastAsia="zh-CN"/>
        </w:rPr>
        <w:t>等</w:t>
      </w:r>
      <w:r>
        <w:rPr>
          <w:rFonts w:hint="default" w:ascii="Times New Roman" w:hAnsi="Times New Roman" w:cs="Times New Roman"/>
          <w:color w:val="auto"/>
          <w:sz w:val="24"/>
          <w:szCs w:val="24"/>
          <w:lang w:val="en-US" w:eastAsia="zh-CN"/>
        </w:rPr>
        <w:t>事故废水防止事故泄漏或消防废水、污染雨水造成的环境污染事故，截流明沟与事故池（兼</w:t>
      </w:r>
      <w:r>
        <w:rPr>
          <w:rFonts w:hint="eastAsia" w:ascii="Times New Roman" w:hAnsi="Times New Roman" w:cs="Times New Roman"/>
          <w:color w:val="auto"/>
          <w:sz w:val="24"/>
          <w:szCs w:val="24"/>
          <w:lang w:val="en-US" w:eastAsia="zh-CN"/>
        </w:rPr>
        <w:t>作</w:t>
      </w:r>
      <w:r>
        <w:rPr>
          <w:rFonts w:hint="default" w:ascii="Times New Roman" w:hAnsi="Times New Roman" w:cs="Times New Roman"/>
          <w:color w:val="auto"/>
          <w:sz w:val="24"/>
          <w:szCs w:val="24"/>
          <w:lang w:val="en-US" w:eastAsia="zh-CN"/>
        </w:rPr>
        <w:t>消防废水收集池）相连、储罐区围堰设施导流管道排放至</w:t>
      </w:r>
      <w:r>
        <w:rPr>
          <w:rFonts w:hint="eastAsia" w:ascii="Times New Roman" w:hAnsi="Times New Roman" w:cs="Times New Roman"/>
          <w:color w:val="auto"/>
          <w:sz w:val="24"/>
          <w:szCs w:val="24"/>
          <w:lang w:val="en-US" w:eastAsia="zh-CN"/>
        </w:rPr>
        <w:t>事故</w:t>
      </w:r>
      <w:r>
        <w:rPr>
          <w:rFonts w:hint="default" w:ascii="Times New Roman" w:hAnsi="Times New Roman" w:cs="Times New Roman"/>
          <w:color w:val="auto"/>
          <w:sz w:val="24"/>
          <w:szCs w:val="24"/>
          <w:lang w:val="en-US" w:eastAsia="zh-CN"/>
        </w:rPr>
        <w:t>池。</w:t>
      </w:r>
    </w:p>
    <w:p w14:paraId="2E93C0E7">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②二级风险防</w:t>
      </w:r>
      <w:r>
        <w:rPr>
          <w:rFonts w:hint="eastAsia" w:ascii="Times New Roman" w:hAnsi="Times New Roman" w:cs="Times New Roman"/>
          <w:color w:val="auto"/>
          <w:sz w:val="24"/>
          <w:szCs w:val="24"/>
          <w:lang w:val="en-US" w:eastAsia="zh-CN"/>
        </w:rPr>
        <w:t>控</w:t>
      </w:r>
      <w:r>
        <w:rPr>
          <w:rFonts w:hint="default" w:ascii="Times New Roman" w:hAnsi="Times New Roman" w:cs="Times New Roman"/>
          <w:color w:val="auto"/>
          <w:sz w:val="24"/>
          <w:szCs w:val="24"/>
          <w:lang w:val="en-US" w:eastAsia="zh-CN"/>
        </w:rPr>
        <w:t>措施</w:t>
      </w:r>
    </w:p>
    <w:p w14:paraId="7443144A">
      <w:pPr>
        <w:spacing w:line="360" w:lineRule="auto"/>
        <w:ind w:firstLine="480" w:firstLineChars="20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本项目已建一座</w:t>
      </w:r>
      <w:r>
        <w:rPr>
          <w:rFonts w:hint="default" w:ascii="Times New Roman" w:hAnsi="Times New Roman" w:cs="Times New Roman"/>
          <w:color w:val="auto"/>
          <w:sz w:val="24"/>
          <w:szCs w:val="24"/>
          <w:lang w:val="en-US" w:eastAsia="zh-CN"/>
        </w:rPr>
        <w:t>1座</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val="en-US" w:eastAsia="zh-CN"/>
        </w:rPr>
        <w:t>00m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应急事故池（兼做消防废水收集池）</w:t>
      </w:r>
      <w:r>
        <w:rPr>
          <w:rFonts w:hint="eastAsia" w:cs="Times New Roman"/>
          <w:color w:val="auto"/>
          <w:sz w:val="24"/>
          <w:szCs w:val="24"/>
          <w:lang w:val="en-US" w:eastAsia="zh-CN"/>
        </w:rPr>
        <w:t>，并新建一座有效容积为300m</w:t>
      </w:r>
      <w:r>
        <w:rPr>
          <w:rFonts w:hint="eastAsia"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的初期雨水收集池，</w:t>
      </w:r>
      <w:r>
        <w:rPr>
          <w:rFonts w:hint="eastAsia" w:ascii="宋体" w:hAnsi="宋体"/>
          <w:color w:val="auto"/>
          <w:sz w:val="24"/>
        </w:rPr>
        <w:t>用于收集泄漏物料</w:t>
      </w:r>
      <w:r>
        <w:rPr>
          <w:rFonts w:hint="eastAsia" w:ascii="宋体" w:hAnsi="宋体"/>
          <w:color w:val="auto"/>
          <w:sz w:val="24"/>
          <w:lang w:eastAsia="zh-CN"/>
        </w:rPr>
        <w:t>、</w:t>
      </w:r>
      <w:r>
        <w:rPr>
          <w:rFonts w:hint="eastAsia" w:ascii="宋体" w:hAnsi="宋体"/>
          <w:color w:val="auto"/>
          <w:sz w:val="24"/>
          <w:lang w:val="en-US" w:eastAsia="zh-CN"/>
        </w:rPr>
        <w:t>事故废水以及</w:t>
      </w:r>
      <w:r>
        <w:rPr>
          <w:rFonts w:hint="eastAsia" w:ascii="宋体" w:hAnsi="宋体"/>
          <w:color w:val="auto"/>
          <w:sz w:val="24"/>
        </w:rPr>
        <w:t>受污染雨水</w:t>
      </w:r>
      <w:r>
        <w:rPr>
          <w:rFonts w:hint="eastAsia" w:ascii="宋体" w:hAnsi="宋体"/>
          <w:color w:val="auto"/>
          <w:sz w:val="24"/>
          <w:lang w:eastAsia="zh-CN"/>
        </w:rPr>
        <w:t>，</w:t>
      </w:r>
      <w:r>
        <w:rPr>
          <w:rFonts w:hint="default" w:ascii="Times New Roman" w:hAnsi="Times New Roman" w:cs="Times New Roman"/>
          <w:color w:val="auto"/>
          <w:sz w:val="24"/>
          <w:szCs w:val="24"/>
          <w:lang w:val="en-US" w:eastAsia="zh-CN"/>
        </w:rPr>
        <w:t>可以满足事故状态下废水的暂存。</w:t>
      </w:r>
    </w:p>
    <w:p w14:paraId="6ADE9971">
      <w:pPr>
        <w:pStyle w:val="20"/>
        <w:tabs>
          <w:tab w:val="center" w:pos="4153"/>
          <w:tab w:val="right" w:pos="8306"/>
        </w:tabs>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③三级风险防</w:t>
      </w:r>
      <w:r>
        <w:rPr>
          <w:rFonts w:hint="eastAsia" w:ascii="Times New Roman" w:hAnsi="Times New Roman" w:eastAsia="宋体" w:cs="Times New Roman"/>
          <w:color w:val="auto"/>
          <w:kern w:val="2"/>
          <w:sz w:val="24"/>
          <w:szCs w:val="24"/>
          <w:lang w:val="en-US" w:eastAsia="zh-CN" w:bidi="ar-SA"/>
        </w:rPr>
        <w:t>控</w:t>
      </w:r>
      <w:r>
        <w:rPr>
          <w:rFonts w:hint="default" w:ascii="Times New Roman" w:hAnsi="Times New Roman" w:eastAsia="宋体" w:cs="Times New Roman"/>
          <w:color w:val="auto"/>
          <w:kern w:val="2"/>
          <w:sz w:val="24"/>
          <w:szCs w:val="24"/>
          <w:lang w:val="en-US" w:eastAsia="zh-CN" w:bidi="ar-SA"/>
        </w:rPr>
        <w:t>措施</w:t>
      </w:r>
    </w:p>
    <w:p w14:paraId="5A49B07D">
      <w:pPr>
        <w:spacing w:line="360" w:lineRule="auto"/>
        <w:ind w:firstLine="480" w:firstLineChars="200"/>
        <w:rPr>
          <w:rFonts w:hint="default" w:eastAsia="宋体" w:cs="Times New Roman"/>
          <w:color w:val="auto"/>
          <w:sz w:val="24"/>
          <w:szCs w:val="24"/>
          <w:lang w:val="en-US" w:eastAsia="zh-CN"/>
        </w:rPr>
      </w:pPr>
      <w:r>
        <w:rPr>
          <w:rFonts w:hint="eastAsia" w:cs="Times New Roman"/>
          <w:color w:val="auto"/>
          <w:sz w:val="24"/>
          <w:szCs w:val="24"/>
          <w:lang w:val="en-US" w:eastAsia="zh-CN"/>
        </w:rPr>
        <w:t>本项目厂区雨排口</w:t>
      </w:r>
      <w:r>
        <w:rPr>
          <w:rFonts w:hint="eastAsia" w:eastAsia="宋体" w:cs="Times New Roman"/>
          <w:color w:val="auto"/>
          <w:sz w:val="24"/>
          <w:szCs w:val="24"/>
          <w:lang w:val="en-US" w:eastAsia="zh-CN"/>
        </w:rPr>
        <w:t>设置切断措施，防止泄漏物料、事故废水以及受污染雨水</w:t>
      </w:r>
      <w:r>
        <w:rPr>
          <w:rFonts w:hint="default" w:eastAsia="宋体" w:cs="Times New Roman"/>
          <w:color w:val="auto"/>
          <w:sz w:val="24"/>
          <w:szCs w:val="24"/>
          <w:lang w:val="en-US" w:eastAsia="zh-CN"/>
        </w:rPr>
        <w:t>排入外环境</w:t>
      </w:r>
      <w:r>
        <w:rPr>
          <w:rFonts w:hint="eastAsia" w:eastAsia="宋体" w:cs="Times New Roman"/>
          <w:color w:val="auto"/>
          <w:sz w:val="24"/>
          <w:szCs w:val="24"/>
          <w:lang w:val="en-US" w:eastAsia="zh-CN"/>
        </w:rPr>
        <w:t>，</w:t>
      </w:r>
      <w:r>
        <w:rPr>
          <w:rFonts w:hint="default" w:eastAsia="宋体" w:cs="Times New Roman"/>
          <w:color w:val="auto"/>
          <w:sz w:val="24"/>
          <w:szCs w:val="24"/>
          <w:lang w:val="en-US" w:eastAsia="zh-CN"/>
        </w:rPr>
        <w:t>将污染控制在厂内</w:t>
      </w:r>
      <w:r>
        <w:rPr>
          <w:rFonts w:hint="eastAsia" w:eastAsia="宋体" w:cs="Times New Roman"/>
          <w:color w:val="auto"/>
          <w:sz w:val="24"/>
          <w:szCs w:val="24"/>
          <w:lang w:val="en-US" w:eastAsia="zh-CN"/>
        </w:rPr>
        <w:t>。</w:t>
      </w:r>
    </w:p>
    <w:p w14:paraId="3B8B0792">
      <w:pPr>
        <w:pStyle w:val="20"/>
        <w:tabs>
          <w:tab w:val="center" w:pos="4153"/>
          <w:tab w:val="right" w:pos="8306"/>
        </w:tabs>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因此本项目厂区设置的</w:t>
      </w:r>
      <w:r>
        <w:rPr>
          <w:rFonts w:hint="eastAsia" w:ascii="Times New Roman" w:hAnsi="Times New Roman" w:eastAsia="宋体" w:cs="Times New Roman"/>
          <w:color w:val="auto"/>
          <w:kern w:val="2"/>
          <w:sz w:val="24"/>
          <w:szCs w:val="24"/>
          <w:lang w:val="en-US" w:eastAsia="zh-CN" w:bidi="ar-SA"/>
        </w:rPr>
        <w:t>地表水</w:t>
      </w:r>
      <w:r>
        <w:rPr>
          <w:rFonts w:hint="default" w:ascii="Times New Roman" w:hAnsi="Times New Roman" w:eastAsia="宋体" w:cs="Times New Roman"/>
          <w:color w:val="auto"/>
          <w:kern w:val="2"/>
          <w:sz w:val="24"/>
          <w:szCs w:val="24"/>
          <w:lang w:val="en-US" w:eastAsia="zh-CN" w:bidi="ar-SA"/>
        </w:rPr>
        <w:t>三级防</w:t>
      </w:r>
      <w:r>
        <w:rPr>
          <w:rFonts w:hint="eastAsia" w:ascii="Times New Roman" w:hAnsi="Times New Roman" w:eastAsia="宋体" w:cs="Times New Roman"/>
          <w:color w:val="auto"/>
          <w:kern w:val="2"/>
          <w:sz w:val="24"/>
          <w:szCs w:val="24"/>
          <w:lang w:val="en-US" w:eastAsia="zh-CN" w:bidi="ar-SA"/>
        </w:rPr>
        <w:t>控</w:t>
      </w:r>
      <w:r>
        <w:rPr>
          <w:rFonts w:hint="default" w:ascii="Times New Roman" w:hAnsi="Times New Roman" w:eastAsia="宋体" w:cs="Times New Roman"/>
          <w:color w:val="auto"/>
          <w:kern w:val="2"/>
          <w:sz w:val="24"/>
          <w:szCs w:val="24"/>
          <w:lang w:val="en-US" w:eastAsia="zh-CN" w:bidi="ar-SA"/>
        </w:rPr>
        <w:t>措施可达到消防</w:t>
      </w:r>
      <w:r>
        <w:rPr>
          <w:rFonts w:hint="eastAsia" w:ascii="Times New Roman" w:hAnsi="Times New Roman" w:eastAsia="宋体" w:cs="Times New Roman"/>
          <w:color w:val="auto"/>
          <w:kern w:val="2"/>
          <w:sz w:val="24"/>
          <w:szCs w:val="24"/>
          <w:lang w:val="en-US" w:eastAsia="zh-CN" w:bidi="ar-SA"/>
        </w:rPr>
        <w:t>及</w:t>
      </w:r>
      <w:r>
        <w:rPr>
          <w:rFonts w:hint="default" w:ascii="Times New Roman" w:hAnsi="Times New Roman" w:eastAsia="宋体" w:cs="Times New Roman"/>
          <w:color w:val="auto"/>
          <w:kern w:val="2"/>
          <w:sz w:val="24"/>
          <w:szCs w:val="24"/>
          <w:lang w:val="en-US" w:eastAsia="zh-CN" w:bidi="ar-SA"/>
        </w:rPr>
        <w:t>事故废水的厂内</w:t>
      </w:r>
      <w:r>
        <w:rPr>
          <w:rFonts w:hint="eastAsia" w:ascii="Times New Roman" w:hAnsi="Times New Roman" w:eastAsia="宋体" w:cs="Times New Roman"/>
          <w:color w:val="auto"/>
          <w:kern w:val="2"/>
          <w:sz w:val="24"/>
          <w:szCs w:val="24"/>
          <w:lang w:val="en-US" w:eastAsia="zh-CN" w:bidi="ar-SA"/>
        </w:rPr>
        <w:t>截流管控，避免进入外环境</w:t>
      </w:r>
      <w:r>
        <w:rPr>
          <w:rFonts w:hint="default" w:ascii="Times New Roman" w:hAnsi="Times New Roman" w:eastAsia="宋体" w:cs="Times New Roman"/>
          <w:color w:val="auto"/>
          <w:kern w:val="2"/>
          <w:sz w:val="24"/>
          <w:szCs w:val="24"/>
          <w:lang w:val="en-US" w:eastAsia="zh-CN" w:bidi="ar-SA"/>
        </w:rPr>
        <w:t>。</w:t>
      </w:r>
    </w:p>
    <w:p w14:paraId="74B0898F">
      <w:pPr>
        <w:pStyle w:val="20"/>
        <w:tabs>
          <w:tab w:val="center" w:pos="4153"/>
          <w:tab w:val="right" w:pos="8306"/>
        </w:tabs>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w:t>
      </w:r>
      <w:r>
        <w:rPr>
          <w:rFonts w:hint="eastAsia" w:eastAsia="宋体" w:cs="Times New Roman"/>
          <w:color w:val="auto"/>
          <w:kern w:val="2"/>
          <w:sz w:val="24"/>
          <w:szCs w:val="24"/>
          <w:lang w:val="en-US" w:eastAsia="zh-CN" w:bidi="ar-SA"/>
        </w:rPr>
        <w:t>三级防控体系图</w:t>
      </w:r>
      <w:r>
        <w:rPr>
          <w:rFonts w:hint="default" w:ascii="Times New Roman" w:hAnsi="Times New Roman" w:eastAsia="宋体" w:cs="Times New Roman"/>
          <w:color w:val="auto"/>
          <w:kern w:val="2"/>
          <w:sz w:val="24"/>
          <w:szCs w:val="24"/>
          <w:lang w:val="en-US" w:eastAsia="zh-CN" w:bidi="ar-SA"/>
        </w:rPr>
        <w:t>见图</w:t>
      </w:r>
      <w:r>
        <w:rPr>
          <w:rFonts w:hint="eastAsia" w:eastAsia="宋体" w:cs="Times New Roman"/>
          <w:color w:val="auto"/>
          <w:kern w:val="2"/>
          <w:sz w:val="24"/>
          <w:szCs w:val="24"/>
          <w:lang w:val="en-US" w:eastAsia="zh-CN" w:bidi="ar-SA"/>
        </w:rPr>
        <w:t>8-2</w:t>
      </w:r>
      <w:r>
        <w:rPr>
          <w:rFonts w:hint="default" w:ascii="Times New Roman" w:hAnsi="Times New Roman" w:eastAsia="宋体" w:cs="Times New Roman"/>
          <w:color w:val="auto"/>
          <w:kern w:val="2"/>
          <w:sz w:val="24"/>
          <w:szCs w:val="24"/>
          <w:lang w:val="en-US" w:eastAsia="zh-CN" w:bidi="ar-SA"/>
        </w:rPr>
        <w:t>。</w:t>
      </w:r>
    </w:p>
    <w:p w14:paraId="33AFAB0A">
      <w:pPr>
        <w:rPr>
          <w:rFonts w:hint="default"/>
          <w:lang w:val="en-US" w:eastAsia="zh-CN"/>
        </w:rPr>
      </w:pPr>
      <w:r>
        <w:rPr>
          <w:sz w:val="21"/>
        </w:rPr>
        <mc:AlternateContent>
          <mc:Choice Requires="wpc">
            <w:drawing>
              <wp:inline distT="0" distB="0" distL="114300" distR="114300">
                <wp:extent cx="5273675" cy="3071495"/>
                <wp:effectExtent l="0" t="0" r="0" b="0"/>
                <wp:docPr id="101" name="画布 101"/>
                <wp:cNvGraphicFramePr/>
                <a:graphic xmlns:a="http://schemas.openxmlformats.org/drawingml/2006/main">
                  <a:graphicData uri="http://schemas.microsoft.com/office/word/2010/wordprocessingCanvas">
                    <wpc:wpc>
                      <wpc:bg/>
                      <wpc:whole/>
                      <wps:wsp>
                        <wps:cNvPr id="120" name="文本框 120"/>
                        <wps:cNvSpPr txBox="1"/>
                        <wps:spPr>
                          <a:xfrm>
                            <a:off x="2179320" y="163195"/>
                            <a:ext cx="1055370" cy="2717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FE1E846">
                              <w:pPr>
                                <w:jc w:val="center"/>
                                <w:rPr>
                                  <w:rFonts w:hint="default" w:eastAsia="宋体"/>
                                  <w:lang w:val="en-US" w:eastAsia="zh-CN"/>
                                </w:rPr>
                              </w:pPr>
                              <w:r>
                                <w:rPr>
                                  <w:rFonts w:hint="eastAsia"/>
                                  <w:lang w:val="en-US" w:eastAsia="zh-CN"/>
                                </w:rPr>
                                <w:t>围堰、排水沟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2" name="文本框 172"/>
                        <wps:cNvSpPr txBox="1"/>
                        <wps:spPr>
                          <a:xfrm>
                            <a:off x="2179320" y="1037590"/>
                            <a:ext cx="1039495" cy="5130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AC6E04">
                              <w:pPr>
                                <w:jc w:val="center"/>
                                <w:rPr>
                                  <w:rFonts w:hint="default" w:eastAsia="宋体"/>
                                  <w:lang w:val="en-US" w:eastAsia="zh-CN"/>
                                </w:rPr>
                              </w:pPr>
                              <w:r>
                                <w:rPr>
                                  <w:rFonts w:hint="eastAsia"/>
                                  <w:lang w:val="en-US" w:eastAsia="zh-CN"/>
                                </w:rPr>
                                <w:t>事故池、初期雨水收集池</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197" name="组合 197"/>
                        <wpg:cNvGrpSpPr/>
                        <wpg:grpSpPr>
                          <a:xfrm>
                            <a:off x="2508885" y="2139950"/>
                            <a:ext cx="388620" cy="358140"/>
                            <a:chOff x="3951" y="3260"/>
                            <a:chExt cx="612" cy="564"/>
                          </a:xfrm>
                        </wpg:grpSpPr>
                        <wps:wsp>
                          <wps:cNvPr id="185" name="椭圆 185"/>
                          <wps:cNvSpPr/>
                          <wps:spPr>
                            <a:xfrm>
                              <a:off x="3951" y="3260"/>
                              <a:ext cx="612" cy="565"/>
                            </a:xfrm>
                            <a:prstGeom prst="ellipse">
                              <a:avLst/>
                            </a:prstGeom>
                            <a:noFill/>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9" name="直接连接符 189"/>
                          <wps:cNvCnPr>
                            <a:stCxn id="185" idx="1"/>
                            <a:endCxn id="185" idx="5"/>
                          </wps:cNvCnPr>
                          <wps:spPr>
                            <a:xfrm>
                              <a:off x="4041" y="3343"/>
                              <a:ext cx="432" cy="399"/>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0" name="直接连接符 190"/>
                          <wps:cNvCnPr>
                            <a:stCxn id="185" idx="7"/>
                            <a:endCxn id="185" idx="3"/>
                          </wps:cNvCnPr>
                          <wps:spPr>
                            <a:xfrm flipH="1">
                              <a:off x="4041" y="3343"/>
                              <a:ext cx="432" cy="399"/>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wgp>
                      <wps:wsp>
                        <wps:cNvPr id="192" name="直接连接符 192"/>
                        <wps:cNvCnPr>
                          <a:stCxn id="120" idx="2"/>
                        </wps:cNvCnPr>
                        <wps:spPr>
                          <a:xfrm>
                            <a:off x="2707005" y="434975"/>
                            <a:ext cx="6985" cy="59944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5" name="直接连接符 195"/>
                        <wps:cNvCnPr>
                          <a:endCxn id="185" idx="0"/>
                        </wps:cNvCnPr>
                        <wps:spPr>
                          <a:xfrm>
                            <a:off x="2700020" y="1549400"/>
                            <a:ext cx="3175" cy="59055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8" name="直接连接符 198"/>
                        <wps:cNvCnPr/>
                        <wps:spPr>
                          <a:xfrm>
                            <a:off x="2708275" y="2488565"/>
                            <a:ext cx="6985" cy="44704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99" name="直接连接符 199"/>
                        <wps:cNvCnPr/>
                        <wps:spPr>
                          <a:xfrm>
                            <a:off x="1402715" y="762000"/>
                            <a:ext cx="2674620" cy="0"/>
                          </a:xfrm>
                          <a:prstGeom prst="line">
                            <a:avLst/>
                          </a:prstGeom>
                          <a:ln w="9525">
                            <a:solidFill>
                              <a:schemeClr val="tx1"/>
                            </a:solidFill>
                            <a:prstDash val="lgDash"/>
                          </a:ln>
                        </wps:spPr>
                        <wps:style>
                          <a:lnRef idx="2">
                            <a:schemeClr val="accent1"/>
                          </a:lnRef>
                          <a:fillRef idx="0">
                            <a:srgbClr val="FFFFFF"/>
                          </a:fillRef>
                          <a:effectRef idx="0">
                            <a:srgbClr val="FFFFFF"/>
                          </a:effectRef>
                          <a:fontRef idx="minor">
                            <a:schemeClr val="tx1"/>
                          </a:fontRef>
                        </wps:style>
                        <wps:bodyPr/>
                      </wps:wsp>
                      <wps:wsp>
                        <wps:cNvPr id="200" name="直接连接符 200"/>
                        <wps:cNvCnPr/>
                        <wps:spPr>
                          <a:xfrm>
                            <a:off x="1388745" y="1828165"/>
                            <a:ext cx="2674620" cy="0"/>
                          </a:xfrm>
                          <a:prstGeom prst="line">
                            <a:avLst/>
                          </a:prstGeom>
                          <a:ln w="9525">
                            <a:solidFill>
                              <a:schemeClr val="tx1"/>
                            </a:solidFill>
                            <a:prstDash val="lgDash"/>
                          </a:ln>
                        </wps:spPr>
                        <wps:style>
                          <a:lnRef idx="2">
                            <a:schemeClr val="accent1"/>
                          </a:lnRef>
                          <a:fillRef idx="0">
                            <a:srgbClr val="FFFFFF"/>
                          </a:fillRef>
                          <a:effectRef idx="0">
                            <a:srgbClr val="FFFFFF"/>
                          </a:effectRef>
                          <a:fontRef idx="minor">
                            <a:schemeClr val="tx1"/>
                          </a:fontRef>
                        </wps:style>
                        <wps:bodyPr/>
                      </wps:wsp>
                      <wps:wsp>
                        <wps:cNvPr id="201" name="文本框 201"/>
                        <wps:cNvSpPr txBox="1"/>
                        <wps:spPr>
                          <a:xfrm>
                            <a:off x="2904490" y="2169795"/>
                            <a:ext cx="1362075" cy="2933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0CE6A16">
                              <w:pPr>
                                <w:rPr>
                                  <w:rFonts w:hint="eastAsia" w:eastAsia="宋体"/>
                                  <w:lang w:val="en-US" w:eastAsia="zh-CN"/>
                                </w:rPr>
                              </w:pPr>
                              <w:r>
                                <w:rPr>
                                  <w:rFonts w:hint="eastAsia"/>
                                  <w:lang w:val="en-US" w:eastAsia="zh-CN"/>
                                </w:rPr>
                                <w:t>厂区雨排口切换阀</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2" name="文本框 202"/>
                        <wps:cNvSpPr txBox="1"/>
                        <wps:spPr>
                          <a:xfrm>
                            <a:off x="779780" y="271780"/>
                            <a:ext cx="908685" cy="27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6687306">
                              <w:pPr>
                                <w:rPr>
                                  <w:rFonts w:hint="default" w:eastAsia="宋体"/>
                                  <w:lang w:val="en-US" w:eastAsia="zh-CN"/>
                                </w:rPr>
                              </w:pPr>
                              <w:r>
                                <w:rPr>
                                  <w:rFonts w:hint="eastAsia"/>
                                  <w:lang w:val="en-US" w:eastAsia="zh-CN"/>
                                </w:rPr>
                                <w:t>一级防控</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3" name="文本框 203"/>
                        <wps:cNvSpPr txBox="1"/>
                        <wps:spPr>
                          <a:xfrm>
                            <a:off x="817245" y="1311275"/>
                            <a:ext cx="908685" cy="27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6E06CFE">
                              <w:pPr>
                                <w:rPr>
                                  <w:rFonts w:hint="default" w:eastAsia="宋体"/>
                                  <w:lang w:val="en-US" w:eastAsia="zh-CN"/>
                                </w:rPr>
                              </w:pPr>
                              <w:r>
                                <w:rPr>
                                  <w:rFonts w:hint="eastAsia"/>
                                  <w:lang w:val="en-US" w:eastAsia="zh-CN"/>
                                </w:rPr>
                                <w:t>二级防控</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4" name="文本框 204"/>
                        <wps:cNvSpPr txBox="1"/>
                        <wps:spPr>
                          <a:xfrm>
                            <a:off x="886460" y="2260600"/>
                            <a:ext cx="777240" cy="27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A6CEC64">
                              <w:pPr>
                                <w:rPr>
                                  <w:rFonts w:hint="default" w:eastAsia="宋体"/>
                                  <w:lang w:val="en-US" w:eastAsia="zh-CN"/>
                                </w:rPr>
                              </w:pPr>
                              <w:r>
                                <w:rPr>
                                  <w:rFonts w:hint="eastAsia"/>
                                  <w:lang w:val="en-US" w:eastAsia="zh-CN"/>
                                </w:rPr>
                                <w:t>三级防控</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41.85pt;width:415.25pt;" coordsize="5273675,3071495" editas="canvas" o:gfxdata="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">
                <o:lock v:ext="edit" aspectratio="f"/>
                <v:shape id="_x0000_s1026" o:spid="_x0000_s1026" style="position:absolute;left:0;top:0;height:3071495;width:5273675;" filled="f" stroked="f" coordsize="21600,21600" o:gfxdata="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JPs67HYAAAABQEAAA8A&#10;AAAAAAAAAQAgAAAAIgAAAGRycy9kb3ducmV2LnhtbFBLAQIUABQAAAAIAIdO4kB9ILR0GQYAAMIk&#10;AAAOAAAAAAAAAAEAIAAAACcBAABkcnMvZTJvRG9jLnhtbFBLBQYAAAAABgAGAFkBAACyCQAAAAA=&#10;">
                  <v:fill on="f" focussize="0,0"/>
                  <v:stroke on="f"/>
                  <v:imagedata o:title=""/>
                  <o:lock v:ext="edit" aspectratio="f"/>
                </v:shape>
                <v:shape id="_x0000_s1026" o:spid="_x0000_s1026" o:spt="202" type="#_x0000_t202" style="position:absolute;left:2179320;top:163195;height:271780;width:1055370;" fillcolor="#FFFFFF [3201]" filled="t" stroked="t" coordsize="21600,21600" o:gfxdata="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dUxynUAAAABQEAAA8AAAAAAAAAAQAgAAAAIgAAAGRycy9kb3ducmV2LnhtbFBLAQIUABQA&#10;AAAIAIdO4kABNVnpZgIAAMYEAAAOAAAAAAAAAAEAIAAAACMBAABkcnMvZTJvRG9jLnhtbFBLBQYA&#10;AAAABgAGAFkBAAD7BQAAAAA=&#10;">
                  <v:fill on="t" focussize="0,0"/>
                  <v:stroke weight="0.5pt" color="#000000 [3204]" joinstyle="round"/>
                  <v:imagedata o:title=""/>
                  <o:lock v:ext="edit" aspectratio="f"/>
                  <v:textbox>
                    <w:txbxContent>
                      <w:p w14:paraId="7FE1E846">
                        <w:pPr>
                          <w:jc w:val="center"/>
                          <w:rPr>
                            <w:rFonts w:hint="default" w:eastAsia="宋体"/>
                            <w:lang w:val="en-US" w:eastAsia="zh-CN"/>
                          </w:rPr>
                        </w:pPr>
                        <w:r>
                          <w:rPr>
                            <w:rFonts w:hint="eastAsia"/>
                            <w:lang w:val="en-US" w:eastAsia="zh-CN"/>
                          </w:rPr>
                          <w:t>围堰、排水沟</w:t>
                        </w:r>
                      </w:p>
                    </w:txbxContent>
                  </v:textbox>
                </v:shape>
                <v:shape id="_x0000_s1026" o:spid="_x0000_s1026" o:spt="202" type="#_x0000_t202" style="position:absolute;left:2179320;top:1037590;height:513080;width:1039495;" fillcolor="#FFFFFF [3201]" filled="t" stroked="t" coordsize="21600,21600" o:gfxdata="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dUxynUAAAABQEAAA8AAAAAAAAAAQAgAAAAIgAAAGRycy9kb3ducmV2LnhtbFBLAQIUABQA&#10;AAAIAIdO4kDFNDmAZgIAAMcEAAAOAAAAAAAAAAEAIAAAACMBAABkcnMvZTJvRG9jLnhtbFBLBQYA&#10;AAAABgAGAFkBAAD7BQAAAAA=&#10;">
                  <v:fill on="t" focussize="0,0"/>
                  <v:stroke weight="0.5pt" color="#000000 [3204]" joinstyle="round"/>
                  <v:imagedata o:title=""/>
                  <o:lock v:ext="edit" aspectratio="f"/>
                  <v:textbox>
                    <w:txbxContent>
                      <w:p w14:paraId="3BAC6E04">
                        <w:pPr>
                          <w:jc w:val="center"/>
                          <w:rPr>
                            <w:rFonts w:hint="default" w:eastAsia="宋体"/>
                            <w:lang w:val="en-US" w:eastAsia="zh-CN"/>
                          </w:rPr>
                        </w:pPr>
                        <w:r>
                          <w:rPr>
                            <w:rFonts w:hint="eastAsia"/>
                            <w:lang w:val="en-US" w:eastAsia="zh-CN"/>
                          </w:rPr>
                          <w:t>事故池、初期雨水收集池</w:t>
                        </w:r>
                      </w:p>
                    </w:txbxContent>
                  </v:textbox>
                </v:shape>
                <v:group id="_x0000_s1026" o:spid="_x0000_s1026" o:spt="203" style="position:absolute;left:2508885;top:2139950;height:358140;width:388620;" coordorigin="3951,3260" coordsize="612,564" o:gfxdata="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">
                  <o:lock v:ext="edit" aspectratio="f"/>
                  <v:shape id="_x0000_s1026" o:spid="_x0000_s1026" o:spt="3" type="#_x0000_t3" style="position:absolute;left:3951;top:3260;height:565;width:612;v-text-anchor:middle;" filled="f" stroked="t" coordsize="21600,21600" o:gfxdata="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tIjDbsAAADc&#10;AAAADwAAAAAAAAABACAAAAAiAAAAZHJzL2Rvd25yZXYueG1sUEsBAhQAFAAAAAgAh07iQDMvBZ47&#10;AAAAOQAAABAAAAAAAAAAAQAgAAAACgEAAGRycy9zaGFwZXhtbC54bWxQSwUGAAAAAAYABgBbAQAA&#10;tAMAAAAA&#10;">
                    <v:fill on="f" focussize="0,0"/>
                    <v:stroke color="#000000 [3213]" joinstyle="round" endarrow="open"/>
                    <v:imagedata o:title=""/>
                    <o:lock v:ext="edit" aspectratio="f"/>
                  </v:shape>
                  <v:line id="_x0000_s1026" o:spid="_x0000_s1026" o:spt="20" style="position:absolute;left:4041;top:3343;height:399;width:432;" filled="f" stroked="t" coordsize="21600,21600" o:gfxdata="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FDPgugAAANwA&#10;AAAPAAAAAAAAAAEAIAAAACIAAABkcnMvZG93bnJldi54bWxQSwECFAAUAAAACACHTuJAMy8FnjsA&#10;AAA5AAAAEAAAAAAAAAABACAAAAAJAQAAZHJzL3NoYXBleG1sLnhtbFBLBQYAAAAABgAGAFsBAACz&#10;AwAAAAA=&#10;">
                    <v:fill on="f" focussize="0,0"/>
                    <v:stroke color="#000000 [3213]" joinstyle="round"/>
                    <v:imagedata o:title=""/>
                    <o:lock v:ext="edit" aspectratio="f"/>
                  </v:line>
                  <v:line id="_x0000_s1026" o:spid="_x0000_s1026" o:spt="20" style="position:absolute;left:4041;top:3343;flip:x;height:399;width:432;" filled="f" stroked="t" coordsize="21600,21600" o:gfxdata="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n48b4A&#10;AADcAAAADwAAAAAAAAABACAAAAAiAAAAZHJzL2Rvd25yZXYueG1sUEsBAhQAFAAAAAgAh07iQDMv&#10;BZ47AAAAOQAAABAAAAAAAAAAAQAgAAAADQEAAGRycy9zaGFwZXhtbC54bWxQSwUGAAAAAAYABgBb&#10;AQAAtwMAAAAA&#10;">
                    <v:fill on="f" focussize="0,0"/>
                    <v:stroke color="#000000 [3213]" joinstyle="round"/>
                    <v:imagedata o:title=""/>
                    <o:lock v:ext="edit" aspectratio="f"/>
                  </v:line>
                </v:group>
                <v:line id="_x0000_s1026" o:spid="_x0000_s1026" o:spt="20" style="position:absolute;left:2707005;top:434975;height:599440;width:6985;" filled="f" stroked="t" coordsize="21600,21600" o:gfxdata="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t6NXO1QAAAAUBAAAPAAAAAAAAAAEAIAAAACIAAABkcnMvZG93bnJldi54bWxQ&#10;SwECFAAUAAAACACHTuJABrUNpfoBAADTAwAADgAAAAAAAAABACAAAAAkAQAAZHJzL2Uyb0RvYy54&#10;bWxQSwUGAAAAAAYABgBZAQAAkAUAAAAA&#10;">
                  <v:fill on="f" focussize="0,0"/>
                  <v:stroke color="#000000 [3213]" joinstyle="round"/>
                  <v:imagedata o:title=""/>
                  <o:lock v:ext="edit" aspectratio="f"/>
                </v:line>
                <v:line id="_x0000_s1026" o:spid="_x0000_s1026" o:spt="20" style="position:absolute;left:2700020;top:1549400;height:590550;width:3175;" filled="f" stroked="t" coordsize="21600,21600" o:gfxdata="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3o1c7VAAAABQEAAA8AAAAAAAAAAQAgAAAAIgAAAGRycy9kb3ducmV2LnhtbFBL&#10;AQIUABQAAAAIAIdO4kB+TEZR+QEAANUDAAAOAAAAAAAAAAEAIAAAACQBAABkcnMvZTJvRG9jLnht&#10;bFBLBQYAAAAABgAGAFkBAACPBQAAAAA=&#10;">
                  <v:fill on="f" focussize="0,0"/>
                  <v:stroke color="#000000 [3213]" joinstyle="round"/>
                  <v:imagedata o:title=""/>
                  <o:lock v:ext="edit" aspectratio="f"/>
                </v:line>
                <v:line id="_x0000_s1026" o:spid="_x0000_s1026" o:spt="20" style="position:absolute;left:2708275;top:2488565;height:447040;width:6985;" filled="f" stroked="t" coordsize="21600,21600" o:gfxdata="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LejVztUA&#10;AAAFAQAADwAAAAAAAAABACAAAAAiAAAAZHJzL2Rvd25yZXYueG1sUEsBAhQAFAAAAAgAh07iQL/y&#10;oKbpAQAArAMAAA4AAAAAAAAAAQAgAAAAJAEAAGRycy9lMm9Eb2MueG1sUEsFBgAAAAAGAAYAWQEA&#10;AH8FAAAAAA==&#10;">
                  <v:fill on="f" focussize="0,0"/>
                  <v:stroke color="#000000 [3213]" joinstyle="round"/>
                  <v:imagedata o:title=""/>
                  <o:lock v:ext="edit" aspectratio="f"/>
                </v:line>
                <v:line id="_x0000_s1026" o:spid="_x0000_s1026" o:spt="20" style="position:absolute;left:1402715;top:762000;height:0;width:2674620;" filled="f" stroked="t" coordsize="21600,21600" o:gfxdata="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RWPkfVAAAA&#10;BQEAAA8AAAAAAAAAAQAgAAAAIgAAAGRycy9kb3ducmV2LnhtbFBLAQIUABQAAAAIAIdO4kC4Ud1e&#10;5wEAAKoDAAAOAAAAAAAAAAEAIAAAACQBAABkcnMvZTJvRG9jLnhtbFBLBQYAAAAABgAGAFkBAAB9&#10;BQAAAAA=&#10;">
                  <v:fill on="f" focussize="0,0"/>
                  <v:stroke color="#000000 [3213]" joinstyle="round" dashstyle="longDash"/>
                  <v:imagedata o:title=""/>
                  <o:lock v:ext="edit" aspectratio="f"/>
                </v:line>
                <v:line id="_x0000_s1026" o:spid="_x0000_s1026" o:spt="20" style="position:absolute;left:1388745;top:1828165;height:0;width:2674620;" filled="f" stroked="t" coordsize="21600,21600" o:gfxdata="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RWPkfV&#10;AAAABQEAAA8AAAAAAAAAAQAgAAAAIgAAAGRycy9kb3ducmV2LnhtbFBLAQIUABQAAAAIAIdO4kD/&#10;VLnA6gEAAKsDAAAOAAAAAAAAAAEAIAAAACQBAABkcnMvZTJvRG9jLnhtbFBLBQYAAAAABgAGAFkB&#10;AACABQAAAAA=&#10;">
                  <v:fill on="f" focussize="0,0"/>
                  <v:stroke color="#000000 [3213]" joinstyle="round" dashstyle="longDash"/>
                  <v:imagedata o:title=""/>
                  <o:lock v:ext="edit" aspectratio="f"/>
                </v:line>
                <v:shape id="_x0000_s1026" o:spid="_x0000_s1026" o:spt="202" type="#_x0000_t202" style="position:absolute;left:2904490;top:2169795;height:293370;width:1362075;" fillcolor="#FFFFFF [3201]" filled="t" stroked="f" coordsize="21600,21600" o:gfxdata="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ddI360gAA&#10;AAUBAAAPAAAAAAAAAAEAIAAAACIAAABkcnMvZG93bnJldi54bWxQSwECFAAUAAAACACHTuJA3gAR&#10;Al0CAACfBAAADgAAAAAAAAABACAAAAAhAQAAZHJzL2Uyb0RvYy54bWxQSwUGAAAAAAYABgBZAQAA&#10;8AUAAAAA&#10;">
                  <v:fill on="t" focussize="0,0"/>
                  <v:stroke on="f" weight="0.5pt"/>
                  <v:imagedata o:title=""/>
                  <o:lock v:ext="edit" aspectratio="f"/>
                  <v:textbox>
                    <w:txbxContent>
                      <w:p w14:paraId="30CE6A16">
                        <w:pPr>
                          <w:rPr>
                            <w:rFonts w:hint="eastAsia" w:eastAsia="宋体"/>
                            <w:lang w:val="en-US" w:eastAsia="zh-CN"/>
                          </w:rPr>
                        </w:pPr>
                        <w:r>
                          <w:rPr>
                            <w:rFonts w:hint="eastAsia"/>
                            <w:lang w:val="en-US" w:eastAsia="zh-CN"/>
                          </w:rPr>
                          <w:t>厂区雨排口切换阀</w:t>
                        </w:r>
                      </w:p>
                    </w:txbxContent>
                  </v:textbox>
                </v:shape>
                <v:shape id="_x0000_s1026" o:spid="_x0000_s1026" o:spt="202" type="#_x0000_t202" style="position:absolute;left:779780;top:271780;height:279400;width:908685;" fillcolor="#FFFFFF [3201]" filled="t" stroked="f" coordsize="21600,21600" o:gfxdata="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10jfrSAAAABQEA&#10;AA8AAAAAAAAAAQAgAAAAIgAAAGRycy9kb3ducmV2LnhtbFBLAQIUABQAAAAIAIdO4kCoj66uWQIA&#10;AJwEAAAOAAAAAAAAAAEAIAAAACEBAABkcnMvZTJvRG9jLnhtbFBLBQYAAAAABgAGAFkBAADsBQAA&#10;AAA=&#10;">
                  <v:fill on="t" focussize="0,0"/>
                  <v:stroke on="f" weight="0.5pt"/>
                  <v:imagedata o:title=""/>
                  <o:lock v:ext="edit" aspectratio="f"/>
                  <v:textbox>
                    <w:txbxContent>
                      <w:p w14:paraId="46687306">
                        <w:pPr>
                          <w:rPr>
                            <w:rFonts w:hint="default" w:eastAsia="宋体"/>
                            <w:lang w:val="en-US" w:eastAsia="zh-CN"/>
                          </w:rPr>
                        </w:pPr>
                        <w:r>
                          <w:rPr>
                            <w:rFonts w:hint="eastAsia"/>
                            <w:lang w:val="en-US" w:eastAsia="zh-CN"/>
                          </w:rPr>
                          <w:t>一级防控</w:t>
                        </w:r>
                      </w:p>
                    </w:txbxContent>
                  </v:textbox>
                </v:shape>
                <v:shape id="_x0000_s1026" o:spid="_x0000_s1026" o:spt="202" type="#_x0000_t202" style="position:absolute;left:817245;top:1311275;height:279400;width:908685;" fillcolor="#FFFFFF [3201]" filled="t" stroked="f" coordsize="21600,21600" o:gfxdata="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10jfrS&#10;AAAABQEAAA8AAAAAAAAAAQAgAAAAIgAAAGRycy9kb3ducmV2LnhtbFBLAQIUABQAAAAIAIdO4kDz&#10;j1FJXwIAAJ0EAAAOAAAAAAAAAAEAIAAAACEBAABkcnMvZTJvRG9jLnhtbFBLBQYAAAAABgAGAFkB&#10;AADyBQAAAAA=&#10;">
                  <v:fill on="t" focussize="0,0"/>
                  <v:stroke on="f" weight="0.5pt"/>
                  <v:imagedata o:title=""/>
                  <o:lock v:ext="edit" aspectratio="f"/>
                  <v:textbox>
                    <w:txbxContent>
                      <w:p w14:paraId="56E06CFE">
                        <w:pPr>
                          <w:rPr>
                            <w:rFonts w:hint="default" w:eastAsia="宋体"/>
                            <w:lang w:val="en-US" w:eastAsia="zh-CN"/>
                          </w:rPr>
                        </w:pPr>
                        <w:r>
                          <w:rPr>
                            <w:rFonts w:hint="eastAsia"/>
                            <w:lang w:val="en-US" w:eastAsia="zh-CN"/>
                          </w:rPr>
                          <w:t>二级防控</w:t>
                        </w:r>
                      </w:p>
                    </w:txbxContent>
                  </v:textbox>
                </v:shape>
                <v:shape id="_x0000_s1026" o:spid="_x0000_s1026" o:spt="202" type="#_x0000_t202" style="position:absolute;left:886460;top:2260600;height:279400;width:777240;" fillcolor="#FFFFFF [3201]" filled="t" stroked="f" coordsize="21600,21600" o:gfxdata="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HXSN+tIAAAAF&#10;AQAADwAAAAAAAAABACAAAAAiAAAAZHJzL2Rvd25yZXYueG1sUEsBAhQAFAAAAAgAh07iQDoMW4pb&#10;AgAAnQQAAA4AAAAAAAAAAQAgAAAAIQEAAGRycy9lMm9Eb2MueG1sUEsFBgAAAAAGAAYAWQEAAO4F&#10;AAAAAA==&#10;">
                  <v:fill on="t" focussize="0,0"/>
                  <v:stroke on="f" weight="0.5pt"/>
                  <v:imagedata o:title=""/>
                  <o:lock v:ext="edit" aspectratio="f"/>
                  <v:textbox>
                    <w:txbxContent>
                      <w:p w14:paraId="1A6CEC64">
                        <w:pPr>
                          <w:rPr>
                            <w:rFonts w:hint="default" w:eastAsia="宋体"/>
                            <w:lang w:val="en-US" w:eastAsia="zh-CN"/>
                          </w:rPr>
                        </w:pPr>
                        <w:r>
                          <w:rPr>
                            <w:rFonts w:hint="eastAsia"/>
                            <w:lang w:val="en-US" w:eastAsia="zh-CN"/>
                          </w:rPr>
                          <w:t>三级防控</w:t>
                        </w:r>
                      </w:p>
                    </w:txbxContent>
                  </v:textbox>
                </v:shape>
                <w10:wrap type="none"/>
                <w10:anchorlock/>
              </v:group>
            </w:pict>
          </mc:Fallback>
        </mc:AlternateContent>
      </w:r>
    </w:p>
    <w:p w14:paraId="77327D75">
      <w:pPr>
        <w:spacing w:before="174" w:line="360" w:lineRule="auto"/>
        <w:ind w:left="2353"/>
        <w:rPr>
          <w:rFonts w:ascii="宋体" w:hAnsi="宋体" w:eastAsia="宋体" w:cs="宋体"/>
          <w:color w:val="auto"/>
          <w:sz w:val="23"/>
          <w:szCs w:val="23"/>
        </w:rPr>
      </w:pPr>
      <w:r>
        <w:rPr>
          <w:rFonts w:hint="default" w:ascii="Times New Roman" w:hAnsi="Times New Roman" w:eastAsia="宋体" w:cs="Times New Roman"/>
          <w:b/>
          <w:bCs/>
          <w:color w:val="auto"/>
          <w:kern w:val="2"/>
          <w:sz w:val="24"/>
          <w:szCs w:val="24"/>
          <w:highlight w:val="none"/>
          <w:lang w:val="en-US" w:eastAsia="zh-CN" w:bidi="ar-SA"/>
        </w:rPr>
        <w:t>图</w:t>
      </w:r>
      <w:r>
        <w:rPr>
          <w:rFonts w:hint="eastAsia" w:cs="Times New Roman"/>
          <w:b/>
          <w:bCs/>
          <w:color w:val="auto"/>
          <w:kern w:val="2"/>
          <w:sz w:val="24"/>
          <w:szCs w:val="24"/>
          <w:highlight w:val="none"/>
          <w:lang w:val="en-US" w:eastAsia="zh-CN" w:bidi="ar-SA"/>
        </w:rPr>
        <w:t>8-2</w:t>
      </w:r>
      <w:r>
        <w:rPr>
          <w:rFonts w:hint="default" w:ascii="Times New Roman" w:hAnsi="Times New Roman" w:eastAsia="宋体" w:cs="Times New Roman"/>
          <w:b/>
          <w:bCs/>
          <w:color w:val="auto"/>
          <w:kern w:val="2"/>
          <w:sz w:val="24"/>
          <w:szCs w:val="24"/>
          <w:highlight w:val="none"/>
          <w:lang w:val="en-US" w:eastAsia="zh-CN" w:bidi="ar-SA"/>
        </w:rPr>
        <w:t xml:space="preserve">  </w:t>
      </w:r>
      <w:r>
        <w:rPr>
          <w:rFonts w:hint="eastAsia" w:ascii="Times New Roman" w:hAnsi="Times New Roman" w:cs="Times New Roman"/>
          <w:b/>
          <w:bCs/>
          <w:color w:val="auto"/>
          <w:kern w:val="2"/>
          <w:sz w:val="24"/>
          <w:szCs w:val="24"/>
          <w:highlight w:val="none"/>
          <w:lang w:val="en-US" w:eastAsia="zh-CN" w:bidi="ar-SA"/>
        </w:rPr>
        <w:t>三级防控</w:t>
      </w:r>
      <w:r>
        <w:rPr>
          <w:rFonts w:hint="eastAsia" w:cs="Times New Roman"/>
          <w:b/>
          <w:bCs/>
          <w:color w:val="auto"/>
          <w:kern w:val="2"/>
          <w:sz w:val="24"/>
          <w:szCs w:val="24"/>
          <w:highlight w:val="none"/>
          <w:lang w:val="en-US" w:eastAsia="zh-CN" w:bidi="ar-SA"/>
        </w:rPr>
        <w:t>措施体系图</w:t>
      </w:r>
    </w:p>
    <w:p w14:paraId="2D88ED0B">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根据《化工建设项目环境保护设计规范》 (GB/T50483-2019) ，应急事故池应考虑最大一个容量的设备或贮罐物料量、消防水量及当地最大降雨量等。本项目需设置的应急事故水池容积的量按如下公式进行计算：</w:t>
      </w:r>
    </w:p>
    <w:p w14:paraId="692A918B">
      <w:pPr>
        <w:pStyle w:val="20"/>
        <w:tabs>
          <w:tab w:val="center" w:pos="4153"/>
          <w:tab w:val="right" w:pos="8306"/>
        </w:tabs>
        <w:spacing w:line="360" w:lineRule="auto"/>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事故池</w:t>
      </w:r>
      <w:r>
        <w:rPr>
          <w:rFonts w:hint="default" w:ascii="Times New Roman" w:hAnsi="Times New Roman" w:eastAsia="宋体" w:cs="Times New Roman"/>
          <w:color w:val="auto"/>
          <w:sz w:val="24"/>
          <w:szCs w:val="24"/>
          <w:lang w:val="en-US" w:eastAsia="zh-CN"/>
        </w:rPr>
        <w:t>=  (V</w:t>
      </w:r>
      <w:r>
        <w:rPr>
          <w:rFonts w:hint="default" w:ascii="Times New Roman" w:hAnsi="Times New Roman" w:eastAsia="宋体" w:cs="Times New Roman"/>
          <w:color w:val="auto"/>
          <w:sz w:val="24"/>
          <w:szCs w:val="24"/>
          <w:vertAlign w:val="subscript"/>
          <w:lang w:val="en-US" w:eastAsia="zh-CN"/>
        </w:rPr>
        <w:t>1</w:t>
      </w: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雨</w:t>
      </w:r>
      <w:r>
        <w:rPr>
          <w:rFonts w:hint="default" w:ascii="Times New Roman" w:hAnsi="Times New Roman" w:eastAsia="宋体" w:cs="Times New Roman"/>
          <w:color w:val="auto"/>
          <w:sz w:val="24"/>
          <w:szCs w:val="24"/>
          <w:lang w:val="en-US" w:eastAsia="zh-CN"/>
        </w:rPr>
        <w:t xml:space="preserve"> ) max-V</w:t>
      </w:r>
      <w:r>
        <w:rPr>
          <w:rFonts w:hint="default" w:ascii="Times New Roman" w:hAnsi="Times New Roman" w:eastAsia="宋体" w:cs="Times New Roman"/>
          <w:color w:val="auto"/>
          <w:sz w:val="24"/>
          <w:szCs w:val="24"/>
          <w:vertAlign w:val="subscript"/>
          <w:lang w:val="en-US" w:eastAsia="zh-CN"/>
        </w:rPr>
        <w:t>3</w:t>
      </w:r>
    </w:p>
    <w:p w14:paraId="32565087">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其中，  (V1+V2+V雨 ) max——最大容积的一台设备或储罐的物料贮量，m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3F619E44">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1</w:t>
      </w:r>
      <w:r>
        <w:rPr>
          <w:rFonts w:hint="default" w:ascii="Times New Roman" w:hAnsi="Times New Roman" w:eastAsia="宋体" w:cs="Times New Roman"/>
          <w:color w:val="auto"/>
          <w:sz w:val="24"/>
          <w:szCs w:val="24"/>
          <w:lang w:val="en-US" w:eastAsia="zh-CN"/>
        </w:rPr>
        <w:t>——最大容积的一台设备或储罐的物料贮量，m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7C7F9312">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——在装置区或贮罐区发生火灾时的消防水量，包括扑灭火灾所需用水量或泡沫液量和保护邻近设备或贮罐的喷淋冷却水量，m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460533C8">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雨</w:t>
      </w:r>
      <w:r>
        <w:rPr>
          <w:rFonts w:hint="default" w:ascii="Times New Roman" w:hAnsi="Times New Roman" w:eastAsia="宋体" w:cs="Times New Roman"/>
          <w:color w:val="auto"/>
          <w:sz w:val="24"/>
          <w:szCs w:val="24"/>
          <w:lang w:val="en-US" w:eastAsia="zh-CN"/>
        </w:rPr>
        <w:t>——事故期间混入事故废水收集系统的降雨量，m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322A666B">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——相关围堰、环沟、管道等可以暂存事故废水的设施的有效容积，m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4881F9A0">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本项目确定各参数如下：</w:t>
      </w:r>
    </w:p>
    <w:p w14:paraId="725D4947">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①V</w:t>
      </w:r>
      <w:r>
        <w:rPr>
          <w:rFonts w:hint="default" w:ascii="Times New Roman" w:hAnsi="Times New Roman" w:eastAsia="宋体" w:cs="Times New Roman"/>
          <w:color w:val="auto"/>
          <w:sz w:val="24"/>
          <w:szCs w:val="24"/>
          <w:vertAlign w:val="subscript"/>
          <w:lang w:val="en-US" w:eastAsia="zh-CN"/>
        </w:rPr>
        <w:t>1</w:t>
      </w:r>
      <w:r>
        <w:rPr>
          <w:rFonts w:hint="default" w:ascii="Times New Roman" w:hAnsi="Times New Roman" w:eastAsia="宋体" w:cs="Times New Roman"/>
          <w:color w:val="auto"/>
          <w:sz w:val="24"/>
          <w:szCs w:val="24"/>
          <w:lang w:val="en-US" w:eastAsia="zh-CN"/>
        </w:rPr>
        <w:t>：选取硝酸铵单罐最大储罐有效容积为40m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，故 V</w:t>
      </w:r>
      <w:r>
        <w:rPr>
          <w:rFonts w:hint="default" w:ascii="Times New Roman" w:hAnsi="Times New Roman" w:eastAsia="宋体" w:cs="Times New Roman"/>
          <w:color w:val="auto"/>
          <w:sz w:val="24"/>
          <w:szCs w:val="24"/>
          <w:vertAlign w:val="subscript"/>
          <w:lang w:val="en-US" w:eastAsia="zh-CN"/>
        </w:rPr>
        <w:t>1</w:t>
      </w:r>
      <w:r>
        <w:rPr>
          <w:rFonts w:hint="default" w:ascii="Times New Roman" w:hAnsi="Times New Roman" w:eastAsia="宋体" w:cs="Times New Roman"/>
          <w:color w:val="auto"/>
          <w:sz w:val="24"/>
          <w:szCs w:val="24"/>
          <w:lang w:val="en-US" w:eastAsia="zh-CN"/>
        </w:rPr>
        <w:t>=40m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5D63B9D4">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②V</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根据本项目消防设计方案，依据《工业炸药生产企业硝酸铵溶液储罐（区）安全管理规程》、《石油库设计规范》和《消防给水及消火栓系统技术规范》，本项目最大1起火灾发生时，储罐内部喷淋水量为5L/s，火灾延续时间为1h，室外消火栓设计水量为16.3L/s，火灾延续时间4h，则最大1起火灾灭火水量为253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，故</w:t>
      </w:r>
      <w:r>
        <w:rPr>
          <w:rFonts w:hint="default" w:ascii="Times New Roman" w:hAnsi="Times New Roman" w:eastAsia="宋体" w:cs="Times New Roman"/>
          <w:color w:val="auto"/>
          <w:sz w:val="24"/>
          <w:szCs w:val="24"/>
          <w:highlight w:val="none"/>
          <w:lang w:val="en-US" w:eastAsia="zh-CN"/>
        </w:rPr>
        <w:t>V</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=253m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14:paraId="3211BC2B">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③V</w:t>
      </w:r>
      <w:r>
        <w:rPr>
          <w:rFonts w:hint="default" w:ascii="Times New Roman" w:hAnsi="Times New Roman" w:eastAsia="宋体" w:cs="Times New Roman"/>
          <w:color w:val="auto"/>
          <w:sz w:val="24"/>
          <w:szCs w:val="24"/>
          <w:vertAlign w:val="subscript"/>
          <w:lang w:val="en-US" w:eastAsia="zh-CN"/>
        </w:rPr>
        <w:t>雨</w:t>
      </w: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雨</w:t>
      </w:r>
      <w:r>
        <w:rPr>
          <w:rFonts w:hint="default" w:ascii="Times New Roman" w:hAnsi="Times New Roman" w:eastAsia="宋体" w:cs="Times New Roman"/>
          <w:color w:val="auto"/>
          <w:sz w:val="24"/>
          <w:szCs w:val="24"/>
          <w:lang w:val="en-US" w:eastAsia="zh-CN"/>
        </w:rPr>
        <w:t>＝10qF</w:t>
      </w:r>
    </w:p>
    <w:p w14:paraId="66FB4BDC">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q—降雨强度 (mm ) ，按平均日降雨量计算 (q=qa/n，qa为当地多年平均降雨量，</w:t>
      </w:r>
      <w:r>
        <w:rPr>
          <w:rFonts w:hint="default" w:ascii="Times New Roman" w:hAnsi="Times New Roman" w:eastAsia="宋体" w:cs="Times New Roman"/>
          <w:color w:val="auto"/>
          <w:sz w:val="24"/>
          <w:szCs w:val="24"/>
          <w:highlight w:val="none"/>
          <w:lang w:val="en-US" w:eastAsia="zh-CN"/>
        </w:rPr>
        <w:t>喀左县年均降雨量为491.5mm，n为年平均降雨日数，为60天），则本项目降雨强度为8.2mm。</w:t>
      </w:r>
    </w:p>
    <w:p w14:paraId="0511C6EC">
      <w:pPr>
        <w:pStyle w:val="18"/>
        <w:tabs>
          <w:tab w:val="left" w:pos="660"/>
        </w:tabs>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F—必须进入事故废水收集系统的雨水汇水面积</w:t>
      </w:r>
      <w:r>
        <w:rPr>
          <w:rFonts w:hint="eastAsia" w:ascii="Times New Roman" w:hAnsi="Times New Roman" w:eastAsia="宋体" w:cs="Times New Roman"/>
          <w:color w:val="auto"/>
          <w:sz w:val="24"/>
          <w:szCs w:val="24"/>
          <w:lang w:val="en-US" w:eastAsia="zh-CN"/>
        </w:rPr>
        <w:t>，hm</w:t>
      </w:r>
      <w:r>
        <w:rPr>
          <w:rFonts w:hint="eastAsia"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；收集</w:t>
      </w:r>
      <w:r>
        <w:rPr>
          <w:rFonts w:hint="eastAsia" w:ascii="Times New Roman" w:hAnsi="Times New Roman" w:eastAsia="宋体" w:cs="Times New Roman"/>
          <w:color w:val="auto"/>
          <w:sz w:val="24"/>
          <w:szCs w:val="24"/>
          <w:lang w:val="en-US" w:eastAsia="zh-CN"/>
        </w:rPr>
        <w:t>初期</w:t>
      </w:r>
      <w:r>
        <w:rPr>
          <w:rFonts w:hint="default" w:ascii="Times New Roman" w:hAnsi="Times New Roman" w:eastAsia="宋体" w:cs="Times New Roman"/>
          <w:color w:val="auto"/>
          <w:sz w:val="24"/>
          <w:szCs w:val="24"/>
          <w:lang w:val="en-US" w:eastAsia="zh-CN"/>
        </w:rPr>
        <w:t>雨水面积为生产区和贮存区</w:t>
      </w:r>
      <w:r>
        <w:rPr>
          <w:rFonts w:hint="eastAsia" w:ascii="Times New Roman" w:hAnsi="Times New Roman" w:eastAsia="宋体" w:cs="Times New Roman"/>
          <w:color w:val="auto"/>
          <w:sz w:val="24"/>
          <w:szCs w:val="24"/>
          <w:lang w:val="en-US" w:eastAsia="zh-CN"/>
        </w:rPr>
        <w:t>可能污染的区域及</w:t>
      </w:r>
      <w:r>
        <w:rPr>
          <w:rFonts w:hint="default" w:ascii="Times New Roman" w:hAnsi="Times New Roman" w:eastAsia="宋体" w:cs="Times New Roman"/>
          <w:color w:val="auto"/>
          <w:sz w:val="24"/>
          <w:szCs w:val="24"/>
          <w:lang w:val="en-US" w:eastAsia="zh-CN"/>
        </w:rPr>
        <w:t>道路等，汇水面积为</w:t>
      </w:r>
      <w:r>
        <w:rPr>
          <w:rFonts w:hint="eastAsia" w:ascii="Times New Roman" w:hAnsi="Times New Roman" w:eastAsia="宋体" w:cs="Times New Roman"/>
          <w:color w:val="auto"/>
          <w:sz w:val="24"/>
          <w:szCs w:val="24"/>
          <w:highlight w:val="none"/>
          <w:lang w:val="en-US" w:eastAsia="zh-CN"/>
        </w:rPr>
        <w:t>新增占地面积</w:t>
      </w:r>
      <w:r>
        <w:rPr>
          <w:rFonts w:hint="eastAsia"/>
          <w:color w:val="auto"/>
          <w:sz w:val="24"/>
          <w:highlight w:val="none"/>
          <w:lang w:val="en-US" w:eastAsia="zh-CN"/>
        </w:rPr>
        <w:t>3.6196h</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w:t>
      </w:r>
    </w:p>
    <w:p w14:paraId="58851382">
      <w:pPr>
        <w:keepNext/>
        <w:keepLines w:val="0"/>
        <w:pageBreakBefore w:val="0"/>
        <w:kinsoku/>
        <w:wordWrap/>
        <w:overflowPunct/>
        <w:topLinePunct w:val="0"/>
        <w:autoSpaceDE/>
        <w:autoSpaceDN/>
        <w:bidi w:val="0"/>
        <w:adjustRightInd/>
        <w:spacing w:line="360" w:lineRule="auto"/>
        <w:ind w:right="0" w:firstLine="480"/>
        <w:textAlignment w:val="auto"/>
        <w:rPr>
          <w:rFonts w:hint="default"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经计算，初期雨水量为</w:t>
      </w:r>
      <w:r>
        <w:rPr>
          <w:rFonts w:hint="default" w:ascii="Times New Roman" w:hAnsi="Times New Roman" w:eastAsia="宋体" w:cs="Times New Roman"/>
          <w:color w:val="auto"/>
          <w:sz w:val="24"/>
          <w:szCs w:val="24"/>
          <w:lang w:val="en-US" w:eastAsia="zh-CN"/>
        </w:rPr>
        <w:t>V</w:t>
      </w:r>
      <w:r>
        <w:rPr>
          <w:rFonts w:hint="default" w:ascii="Times New Roman" w:hAnsi="Times New Roman" w:eastAsia="宋体" w:cs="Times New Roman"/>
          <w:color w:val="auto"/>
          <w:sz w:val="24"/>
          <w:szCs w:val="24"/>
          <w:vertAlign w:val="subscript"/>
          <w:lang w:val="en-US" w:eastAsia="zh-CN"/>
        </w:rPr>
        <w:t>雨</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8.2</w:t>
      </w:r>
      <w:r>
        <w:rPr>
          <w:rFonts w:hint="default" w:ascii="Times New Roman" w:hAnsi="Times New Roman" w:eastAsia="宋体" w:cs="Times New Roman"/>
          <w:color w:val="auto"/>
          <w:sz w:val="24"/>
          <w:szCs w:val="24"/>
          <w:lang w:val="en-US" w:eastAsia="zh-CN"/>
        </w:rPr>
        <w:t>×</w:t>
      </w:r>
      <w:r>
        <w:rPr>
          <w:rFonts w:hint="eastAsia"/>
          <w:color w:val="auto"/>
          <w:sz w:val="24"/>
          <w:lang w:val="en-US" w:eastAsia="zh-CN"/>
        </w:rPr>
        <w:t>3.6196=296.8</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default" w:ascii="Times New Roman" w:hAnsi="Times New Roman" w:eastAsia="宋体" w:cs="Times New Roman"/>
          <w:color w:val="auto"/>
          <w:sz w:val="24"/>
          <w:szCs w:val="24"/>
          <w:lang w:val="en-US" w:eastAsia="zh-CN"/>
        </w:rPr>
        <w:t>则发生事故时可能进入该系统的最大雨水量为</w:t>
      </w:r>
      <w:r>
        <w:rPr>
          <w:rFonts w:hint="default" w:ascii="Times New Roman" w:hAnsi="Times New Roman" w:eastAsia="宋体" w:cs="Times New Roman"/>
          <w:color w:val="auto"/>
          <w:sz w:val="24"/>
          <w:szCs w:val="24"/>
          <w:highlight w:val="none"/>
          <w:lang w:val="en-US" w:eastAsia="zh-CN"/>
        </w:rPr>
        <w:t>V</w:t>
      </w:r>
      <w:r>
        <w:rPr>
          <w:rFonts w:hint="default" w:ascii="Times New Roman" w:hAnsi="Times New Roman" w:eastAsia="宋体" w:cs="Times New Roman"/>
          <w:color w:val="auto"/>
          <w:sz w:val="24"/>
          <w:szCs w:val="24"/>
          <w:highlight w:val="none"/>
          <w:vertAlign w:val="subscript"/>
          <w:lang w:val="en-US" w:eastAsia="zh-CN"/>
        </w:rPr>
        <w:t>雨</w:t>
      </w:r>
      <w:r>
        <w:rPr>
          <w:rFonts w:hint="default" w:ascii="Times New Roman" w:hAnsi="Times New Roman" w:eastAsia="宋体" w:cs="Times New Roman"/>
          <w:color w:val="auto"/>
          <w:sz w:val="24"/>
          <w:szCs w:val="24"/>
          <w:highlight w:val="none"/>
          <w:lang w:val="en-US" w:eastAsia="zh-CN"/>
        </w:rPr>
        <w:t>=</w:t>
      </w:r>
      <w:r>
        <w:rPr>
          <w:rFonts w:hint="eastAsia"/>
          <w:color w:val="auto"/>
          <w:sz w:val="24"/>
          <w:lang w:val="en-US" w:eastAsia="zh-CN"/>
        </w:rPr>
        <w:t>296.8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lang w:val="en-US" w:eastAsia="zh-CN"/>
        </w:rPr>
        <w:t>初期雨水经初期雨水收集池</w:t>
      </w:r>
      <w:r>
        <w:rPr>
          <w:rFonts w:hint="eastAsia" w:cs="Times New Roman"/>
          <w:color w:val="auto"/>
          <w:sz w:val="24"/>
          <w:szCs w:val="24"/>
          <w:lang w:val="en-US" w:eastAsia="zh-CN"/>
        </w:rPr>
        <w:t>（有效容积300m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收集后</w:t>
      </w:r>
      <w:r>
        <w:rPr>
          <w:rFonts w:hint="eastAsia" w:cs="Times New Roman"/>
          <w:color w:val="auto"/>
          <w:sz w:val="24"/>
          <w:szCs w:val="24"/>
          <w:lang w:val="en-US" w:eastAsia="zh-CN"/>
        </w:rPr>
        <w:t>进入</w:t>
      </w:r>
      <w:r>
        <w:rPr>
          <w:rFonts w:hint="eastAsia" w:ascii="Times New Roman" w:hAnsi="Times New Roman" w:eastAsia="宋体" w:cs="Times New Roman"/>
          <w:color w:val="auto"/>
          <w:sz w:val="24"/>
          <w:szCs w:val="24"/>
          <w:lang w:val="en-US" w:eastAsia="zh-CN"/>
        </w:rPr>
        <w:t>辽宁红山一体化污水处理站</w:t>
      </w:r>
      <w:r>
        <w:rPr>
          <w:rFonts w:hint="eastAsia" w:cs="Times New Roman"/>
          <w:color w:val="auto"/>
          <w:sz w:val="24"/>
          <w:szCs w:val="24"/>
          <w:lang w:val="en-US" w:eastAsia="zh-CN"/>
        </w:rPr>
        <w:t>处理后回用于厂区道路洒扫</w:t>
      </w:r>
      <w:r>
        <w:rPr>
          <w:rFonts w:hint="eastAsia" w:ascii="Times New Roman" w:hAnsi="Times New Roman" w:cs="Times New Roman"/>
          <w:color w:val="auto"/>
          <w:sz w:val="24"/>
          <w:szCs w:val="24"/>
          <w:lang w:val="en-US" w:eastAsia="zh-CN"/>
        </w:rPr>
        <w:t>。</w:t>
      </w:r>
    </w:p>
    <w:p w14:paraId="546CEF03">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④V</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：取硝酸铵溶液储罐区围</w:t>
      </w:r>
      <w:r>
        <w:rPr>
          <w:rFonts w:hint="default" w:ascii="Times New Roman" w:hAnsi="Times New Roman" w:eastAsia="宋体" w:cs="Times New Roman"/>
          <w:color w:val="auto"/>
          <w:sz w:val="24"/>
          <w:szCs w:val="24"/>
          <w:highlight w:val="none"/>
          <w:lang w:val="en-US" w:eastAsia="zh-CN"/>
        </w:rPr>
        <w:t>堰190m</w:t>
      </w:r>
      <w:r>
        <w:rPr>
          <w:rFonts w:hint="default" w:ascii="Times New Roman" w:hAnsi="Times New Roman" w:eastAsia="宋体" w:cs="Times New Roman"/>
          <w:color w:val="auto"/>
          <w:sz w:val="24"/>
          <w:szCs w:val="24"/>
          <w:highlight w:val="none"/>
          <w:vertAlign w:val="superscript"/>
          <w:lang w:val="en-US" w:eastAsia="zh-CN"/>
        </w:rPr>
        <w:t>3</w:t>
      </w:r>
    </w:p>
    <w:p w14:paraId="548C4A1D">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事故池容积计算为V</w:t>
      </w:r>
      <w:r>
        <w:rPr>
          <w:rFonts w:hint="default" w:ascii="Times New Roman" w:hAnsi="Times New Roman" w:eastAsia="宋体" w:cs="Times New Roman"/>
          <w:color w:val="auto"/>
          <w:sz w:val="24"/>
          <w:szCs w:val="24"/>
          <w:highlight w:val="none"/>
          <w:vertAlign w:val="subscript"/>
          <w:lang w:val="en-US" w:eastAsia="zh-CN"/>
        </w:rPr>
        <w:t>总</w:t>
      </w:r>
      <w:r>
        <w:rPr>
          <w:rFonts w:hint="default" w:ascii="Times New Roman" w:hAnsi="Times New Roman" w:eastAsia="宋体" w:cs="Times New Roman"/>
          <w:color w:val="auto"/>
          <w:sz w:val="24"/>
          <w:szCs w:val="24"/>
          <w:highlight w:val="none"/>
          <w:lang w:val="en-US" w:eastAsia="zh-CN"/>
        </w:rPr>
        <w:t>= (V</w:t>
      </w:r>
      <w:r>
        <w:rPr>
          <w:rFonts w:hint="default" w:ascii="Times New Roman" w:hAnsi="Times New Roman" w:eastAsia="宋体" w:cs="Times New Roman"/>
          <w:color w:val="auto"/>
          <w:sz w:val="24"/>
          <w:szCs w:val="24"/>
          <w:highlight w:val="none"/>
          <w:vertAlign w:val="subscript"/>
          <w:lang w:val="en-US" w:eastAsia="zh-CN"/>
        </w:rPr>
        <w:t>1</w:t>
      </w:r>
      <w:r>
        <w:rPr>
          <w:rFonts w:hint="default" w:ascii="Times New Roman" w:hAnsi="Times New Roman" w:eastAsia="宋体" w:cs="Times New Roman"/>
          <w:color w:val="auto"/>
          <w:sz w:val="24"/>
          <w:szCs w:val="24"/>
          <w:highlight w:val="none"/>
          <w:lang w:val="en-US" w:eastAsia="zh-CN"/>
        </w:rPr>
        <w:t>+V</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+V</w:t>
      </w:r>
      <w:r>
        <w:rPr>
          <w:rFonts w:hint="default" w:ascii="Times New Roman" w:hAnsi="Times New Roman" w:eastAsia="宋体" w:cs="Times New Roman"/>
          <w:color w:val="auto"/>
          <w:sz w:val="24"/>
          <w:szCs w:val="24"/>
          <w:highlight w:val="none"/>
          <w:vertAlign w:val="subscript"/>
          <w:lang w:val="en-US" w:eastAsia="zh-CN"/>
        </w:rPr>
        <w:t>雨</w:t>
      </w:r>
      <w:r>
        <w:rPr>
          <w:rFonts w:hint="default" w:ascii="Times New Roman" w:hAnsi="Times New Roman" w:eastAsia="宋体" w:cs="Times New Roman"/>
          <w:color w:val="auto"/>
          <w:sz w:val="24"/>
          <w:szCs w:val="24"/>
          <w:highlight w:val="none"/>
          <w:lang w:val="en-US" w:eastAsia="zh-CN"/>
        </w:rPr>
        <w:t>) max-V</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 (40+253+</w:t>
      </w:r>
      <w:r>
        <w:rPr>
          <w:rFonts w:hint="eastAsia" w:eastAsia="宋体" w:cs="Times New Roman"/>
          <w:color w:val="auto"/>
          <w:sz w:val="24"/>
          <w:szCs w:val="24"/>
          <w:highlight w:val="none"/>
          <w:lang w:val="en-US" w:eastAsia="zh-CN"/>
        </w:rPr>
        <w:t>296.8</w:t>
      </w:r>
      <w:r>
        <w:rPr>
          <w:rFonts w:hint="default" w:ascii="Times New Roman" w:hAnsi="Times New Roman" w:eastAsia="宋体" w:cs="Times New Roman"/>
          <w:color w:val="auto"/>
          <w:sz w:val="24"/>
          <w:szCs w:val="24"/>
          <w:highlight w:val="none"/>
          <w:lang w:val="en-US" w:eastAsia="zh-CN"/>
        </w:rPr>
        <w:t>)-190=</w:t>
      </w:r>
      <w:r>
        <w:rPr>
          <w:rFonts w:hint="eastAsia" w:eastAsia="宋体" w:cs="Times New Roman"/>
          <w:color w:val="auto"/>
          <w:sz w:val="24"/>
          <w:szCs w:val="24"/>
          <w:highlight w:val="none"/>
          <w:lang w:val="en-US" w:eastAsia="zh-CN"/>
        </w:rPr>
        <w:t>399.8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14:paraId="13CE46F6">
      <w:pPr>
        <w:adjustRightInd/>
        <w:snapToGrid/>
        <w:spacing w:line="360" w:lineRule="auto"/>
        <w:ind w:firstLine="480" w:firstLineChars="200"/>
        <w:textAlignment w:val="auto"/>
        <w:rPr>
          <w:rFonts w:hint="eastAsia" w:ascii="Times New Roman" w:hAnsi="Times New Roman" w:cs="Times New Roman"/>
          <w:snapToGrid/>
          <w:color w:val="auto"/>
          <w:kern w:val="2"/>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综上，事故水池总有效容积应不小于</w:t>
      </w:r>
      <w:r>
        <w:rPr>
          <w:rFonts w:hint="eastAsia" w:eastAsia="宋体" w:cs="Times New Roman"/>
          <w:color w:val="auto"/>
          <w:sz w:val="24"/>
          <w:szCs w:val="24"/>
          <w:highlight w:val="none"/>
          <w:lang w:val="en-US" w:eastAsia="zh-CN"/>
        </w:rPr>
        <w:t>399.8</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，本项目已设置1座600m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的事故</w:t>
      </w:r>
      <w:r>
        <w:rPr>
          <w:rFonts w:hint="default" w:ascii="Times New Roman" w:hAnsi="Times New Roman" w:eastAsia="宋体" w:cs="Times New Roman"/>
          <w:color w:val="auto"/>
          <w:sz w:val="24"/>
          <w:szCs w:val="24"/>
          <w:lang w:val="en-US" w:eastAsia="zh-CN"/>
        </w:rPr>
        <w:t>池，位于生产线南侧，满足事故废水容纳要求。</w:t>
      </w:r>
      <w:r>
        <w:rPr>
          <w:rFonts w:hint="default" w:ascii="Times New Roman" w:hAnsi="Times New Roman" w:cs="Times New Roman"/>
          <w:snapToGrid/>
          <w:color w:val="auto"/>
          <w:kern w:val="2"/>
          <w:sz w:val="24"/>
          <w:szCs w:val="24"/>
          <w:highlight w:val="none"/>
        </w:rPr>
        <w:t>待事故过后</w:t>
      </w:r>
      <w:r>
        <w:rPr>
          <w:rFonts w:hint="eastAsia" w:ascii="Times New Roman" w:hAnsi="Times New Roman" w:cs="Times New Roman"/>
          <w:snapToGrid/>
          <w:color w:val="auto"/>
          <w:kern w:val="2"/>
          <w:sz w:val="24"/>
          <w:szCs w:val="24"/>
          <w:highlight w:val="none"/>
          <w:lang w:val="en-US" w:eastAsia="zh-CN"/>
        </w:rPr>
        <w:t>浓度较低的废水</w:t>
      </w:r>
      <w:r>
        <w:rPr>
          <w:rFonts w:hint="default" w:ascii="Times New Roman" w:hAnsi="Times New Roman" w:cs="Times New Roman"/>
          <w:snapToGrid/>
          <w:color w:val="auto"/>
          <w:kern w:val="2"/>
          <w:sz w:val="24"/>
          <w:szCs w:val="24"/>
          <w:highlight w:val="none"/>
        </w:rPr>
        <w:t>经</w:t>
      </w:r>
      <w:r>
        <w:rPr>
          <w:rFonts w:hint="eastAsia" w:ascii="Times New Roman" w:hAnsi="Times New Roman" w:eastAsia="宋体" w:cs="Times New Roman"/>
          <w:color w:val="auto"/>
          <w:sz w:val="24"/>
          <w:szCs w:val="24"/>
          <w:lang w:val="en-US" w:eastAsia="zh-CN"/>
        </w:rPr>
        <w:t>辽宁红山一体化污水处理站</w:t>
      </w:r>
      <w:r>
        <w:rPr>
          <w:rFonts w:hint="eastAsia" w:cs="Times New Roman"/>
          <w:color w:val="auto"/>
          <w:sz w:val="24"/>
          <w:szCs w:val="24"/>
          <w:lang w:val="en-US" w:eastAsia="zh-CN"/>
        </w:rPr>
        <w:t>处理后回用于厂区道路洒扫</w:t>
      </w:r>
      <w:r>
        <w:rPr>
          <w:rFonts w:hint="eastAsia" w:ascii="Times New Roman" w:hAnsi="Times New Roman" w:cs="Times New Roman"/>
          <w:snapToGrid/>
          <w:color w:val="auto"/>
          <w:kern w:val="2"/>
          <w:sz w:val="24"/>
          <w:szCs w:val="24"/>
          <w:highlight w:val="none"/>
          <w:lang w:val="en-US" w:eastAsia="zh-CN"/>
        </w:rPr>
        <w:t>，浓度较高的可按危险废液委托有资质单位处置，不排入外环境造成地表水影响。</w:t>
      </w:r>
    </w:p>
    <w:p w14:paraId="57E8B3BD">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本项目厂区地理位置标高在3</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0m～3</w:t>
      </w:r>
      <w:r>
        <w:rPr>
          <w:rFonts w:hint="eastAsia"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val="en-US" w:eastAsia="zh-CN"/>
        </w:rPr>
        <w:t>0m，项目初期雨水池（</w:t>
      </w:r>
      <w:r>
        <w:rPr>
          <w:rFonts w:hint="eastAsia" w:eastAsia="宋体" w:cs="Times New Roman"/>
          <w:color w:val="auto"/>
          <w:sz w:val="24"/>
          <w:szCs w:val="24"/>
          <w:lang w:val="en-US" w:eastAsia="zh-CN"/>
        </w:rPr>
        <w:t>有效容积300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）及事故池（600m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）位于项目南侧，地理标高分别为33</w:t>
      </w:r>
      <w:r>
        <w:rPr>
          <w:rFonts w:hint="eastAsia" w:eastAsia="宋体" w:cs="Times New Roman"/>
          <w:color w:val="auto"/>
          <w:sz w:val="24"/>
          <w:szCs w:val="24"/>
          <w:lang w:val="en-US" w:eastAsia="zh-CN"/>
        </w:rPr>
        <w:t>9</w:t>
      </w:r>
      <w:r>
        <w:rPr>
          <w:rFonts w:hint="default" w:ascii="Times New Roman" w:hAnsi="Times New Roman" w:eastAsia="宋体" w:cs="Times New Roman"/>
          <w:color w:val="auto"/>
          <w:sz w:val="24"/>
          <w:szCs w:val="24"/>
          <w:lang w:val="en-US" w:eastAsia="zh-CN"/>
        </w:rPr>
        <w:t>m 和 336m，位于厂区地势较低处，本项目事故废水和初期雨水均可自流进入事故池和初期雨水池，可以满足项目使用需求。</w:t>
      </w:r>
    </w:p>
    <w:p w14:paraId="1E65DE77">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事故废水在管理方面应采取如下防范措施：</w:t>
      </w:r>
    </w:p>
    <w:p w14:paraId="7D228437">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 xml:space="preserve"> 加强项目建设中的监控和管理，把好设备和管线安装前的预处理关、 设备和管线规范安装关设备和管线吹扫关，通过对项目建设过程中的监控和管理，缩短各系统的水清洗和冲洗时间，减少排水量；</w:t>
      </w:r>
    </w:p>
    <w:p w14:paraId="5150168B">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 xml:space="preserve"> 操作人员应严格遵守有关的规章制度，加强巡查，发现问题及时解决，避免造成不良后果；</w:t>
      </w:r>
    </w:p>
    <w:p w14:paraId="19B08B0B">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 xml:space="preserve"> 管理人员和操作人员应熟知厂区事故水处理系统各个组成的功能和设置情况，保证出现事故情况时能够迅速响应；</w:t>
      </w:r>
    </w:p>
    <w:p w14:paraId="48B7FC23">
      <w:pPr>
        <w:pStyle w:val="20"/>
        <w:tabs>
          <w:tab w:val="center" w:pos="4153"/>
          <w:tab w:val="right" w:pos="8306"/>
        </w:tabs>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 xml:space="preserve"> 企业应针对可能发生的事故水外泄情况，为迅速、有序地开展应急行动而预先制定行动方案。</w:t>
      </w:r>
    </w:p>
    <w:p w14:paraId="45527D23">
      <w:pPr>
        <w:spacing w:line="360" w:lineRule="auto"/>
        <w:ind w:firstLine="482" w:firstLineChars="200"/>
        <w:rPr>
          <w:rFonts w:hint="default" w:ascii="Times New Roman" w:hAnsi="Times New Roman" w:cs="Times New Roman"/>
          <w:b/>
          <w:bCs/>
          <w:color w:val="auto"/>
          <w:sz w:val="24"/>
          <w:szCs w:val="24"/>
          <w:lang w:val="en-US" w:eastAsia="zh-CN"/>
        </w:rPr>
      </w:pPr>
      <w:bookmarkStart w:id="606" w:name="_Toc19686"/>
      <w:bookmarkStart w:id="607" w:name="_Toc20010"/>
      <w:r>
        <w:rPr>
          <w:rFonts w:hint="eastAsia" w:cs="Times New Roman"/>
          <w:b/>
          <w:bCs/>
          <w:color w:val="auto"/>
          <w:sz w:val="24"/>
          <w:szCs w:val="24"/>
          <w:lang w:val="en-US" w:eastAsia="zh-CN"/>
        </w:rPr>
        <w:t>3.地下水</w:t>
      </w:r>
      <w:r>
        <w:rPr>
          <w:rFonts w:hint="default" w:ascii="Times New Roman" w:hAnsi="Times New Roman" w:cs="Times New Roman"/>
          <w:b/>
          <w:bCs/>
          <w:color w:val="auto"/>
          <w:sz w:val="24"/>
          <w:szCs w:val="24"/>
          <w:lang w:val="en-US" w:eastAsia="zh-CN"/>
        </w:rPr>
        <w:t>风险防范措施</w:t>
      </w:r>
    </w:p>
    <w:p w14:paraId="63D5F1D9">
      <w:pPr>
        <w:spacing w:line="360" w:lineRule="auto"/>
        <w:ind w:firstLine="480" w:firstLineChars="200"/>
        <w:rPr>
          <w:rFonts w:hint="eastAsia" w:cs="Times New Roman"/>
          <w:b w:val="0"/>
          <w:bCs w:val="0"/>
          <w:snapToGrid/>
          <w:color w:val="auto"/>
          <w:kern w:val="2"/>
          <w:sz w:val="24"/>
          <w:szCs w:val="24"/>
          <w:highlight w:val="none"/>
          <w:lang w:val="en-US" w:eastAsia="zh-CN"/>
        </w:rPr>
      </w:pPr>
      <w:r>
        <w:rPr>
          <w:rFonts w:hint="eastAsia" w:ascii="Times New Roman" w:hAnsi="Times New Roman" w:cs="Times New Roman"/>
          <w:b w:val="0"/>
          <w:bCs w:val="0"/>
          <w:snapToGrid/>
          <w:color w:val="auto"/>
          <w:kern w:val="2"/>
          <w:sz w:val="24"/>
          <w:szCs w:val="24"/>
          <w:highlight w:val="none"/>
          <w:lang w:val="en-US" w:eastAsia="zh-CN"/>
        </w:rPr>
        <w:t>本次项目厂区各生产装置、辅助设施及公用工程设施采取不同等级的防渗方案</w:t>
      </w:r>
      <w:r>
        <w:rPr>
          <w:rFonts w:hint="eastAsia" w:cs="Times New Roman"/>
          <w:b w:val="0"/>
          <w:bCs w:val="0"/>
          <w:snapToGrid/>
          <w:color w:val="auto"/>
          <w:kern w:val="2"/>
          <w:sz w:val="24"/>
          <w:szCs w:val="24"/>
          <w:highlight w:val="none"/>
          <w:lang w:val="en-US" w:eastAsia="zh-CN"/>
        </w:rPr>
        <w:t>，并定期检查，防止污染地下水环境。</w:t>
      </w:r>
    </w:p>
    <w:p w14:paraId="34D74A33">
      <w:pPr>
        <w:numPr>
          <w:ilvl w:val="0"/>
          <w:numId w:val="0"/>
        </w:numPr>
        <w:spacing w:line="360" w:lineRule="auto"/>
        <w:rPr>
          <w:rFonts w:hint="default" w:ascii="Times New Roman" w:hAnsi="Times New Roman" w:cs="Times New Roman"/>
          <w:b/>
          <w:bCs/>
          <w:color w:val="auto"/>
          <w:sz w:val="24"/>
          <w:szCs w:val="24"/>
          <w:lang w:val="en-US" w:eastAsia="zh-CN"/>
        </w:rPr>
      </w:pPr>
    </w:p>
    <w:p w14:paraId="638FDDC3">
      <w:pPr>
        <w:keepNext w:val="0"/>
        <w:keepLines w:val="0"/>
        <w:widowControl/>
        <w:suppressLineNumbers w:val="0"/>
        <w:spacing w:line="360" w:lineRule="auto"/>
        <w:jc w:val="left"/>
        <w:outlineLvl w:val="1"/>
        <w:rPr>
          <w:rFonts w:hint="default" w:ascii="Times New Roman" w:hAnsi="Times New Roman" w:eastAsia="宋体" w:cs="Times New Roman"/>
          <w:b/>
          <w:bCs/>
          <w:color w:val="auto"/>
          <w:kern w:val="0"/>
          <w:sz w:val="28"/>
          <w:szCs w:val="28"/>
          <w:lang w:val="en-US" w:eastAsia="zh-CN" w:bidi="ar"/>
        </w:rPr>
      </w:pPr>
      <w:bookmarkStart w:id="608" w:name="_Toc1496"/>
      <w:bookmarkStart w:id="609" w:name="_Toc17910"/>
      <w:bookmarkStart w:id="610" w:name="_Toc23204"/>
      <w:bookmarkStart w:id="611" w:name="_Toc6935"/>
      <w:bookmarkStart w:id="612" w:name="_Toc25917"/>
      <w:r>
        <w:rPr>
          <w:rFonts w:hint="eastAsia" w:cs="Times New Roman"/>
          <w:b/>
          <w:bCs/>
          <w:color w:val="auto"/>
          <w:kern w:val="0"/>
          <w:sz w:val="28"/>
          <w:szCs w:val="28"/>
          <w:lang w:val="en-US" w:eastAsia="zh-CN" w:bidi="ar"/>
        </w:rPr>
        <w:t>8</w:t>
      </w:r>
      <w:r>
        <w:rPr>
          <w:rFonts w:hint="eastAsia" w:ascii="Times New Roman" w:hAnsi="Times New Roman" w:eastAsia="宋体" w:cs="Times New Roman"/>
          <w:b/>
          <w:bCs/>
          <w:color w:val="auto"/>
          <w:kern w:val="0"/>
          <w:sz w:val="28"/>
          <w:szCs w:val="28"/>
          <w:lang w:val="en-US" w:eastAsia="zh-CN" w:bidi="ar"/>
        </w:rPr>
        <w:t>.2</w:t>
      </w:r>
      <w:r>
        <w:rPr>
          <w:rFonts w:hint="default" w:ascii="Times New Roman" w:hAnsi="Times New Roman" w:eastAsia="宋体" w:cs="Times New Roman"/>
          <w:b/>
          <w:bCs/>
          <w:color w:val="auto"/>
          <w:kern w:val="0"/>
          <w:sz w:val="28"/>
          <w:szCs w:val="28"/>
          <w:lang w:val="en-US" w:eastAsia="zh-CN" w:bidi="ar"/>
        </w:rPr>
        <w:t>突发环境事件应急预案编制要求</w:t>
      </w:r>
      <w:bookmarkEnd w:id="606"/>
      <w:bookmarkEnd w:id="608"/>
      <w:bookmarkEnd w:id="609"/>
      <w:bookmarkEnd w:id="610"/>
      <w:bookmarkEnd w:id="611"/>
      <w:bookmarkEnd w:id="612"/>
    </w:p>
    <w:p w14:paraId="1E5EC5D6">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r>
        <w:rPr>
          <w:rFonts w:hint="default" w:ascii="Times New Roman" w:hAnsi="Times New Roman" w:eastAsia="宋体" w:cs="Times New Roman"/>
          <w:b w:val="0"/>
          <w:bCs w:val="0"/>
          <w:snapToGrid/>
          <w:color w:val="auto"/>
          <w:kern w:val="2"/>
          <w:sz w:val="24"/>
          <w:szCs w:val="24"/>
          <w:highlight w:val="none"/>
          <w:lang w:val="en-US" w:eastAsia="zh-CN"/>
        </w:rPr>
        <w:t>朝阳红山化工有限责任公司现有工程已按照相关要求，编制了《朝阳红山化工有限责任公司突发环境事件应急预案》</w:t>
      </w:r>
      <w:r>
        <w:rPr>
          <w:rFonts w:hint="eastAsia" w:ascii="Times New Roman" w:hAnsi="Times New Roman" w:eastAsia="宋体"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已取得</w:t>
      </w:r>
      <w:r>
        <w:rPr>
          <w:rFonts w:hint="eastAsia" w:ascii="Times New Roman" w:hAnsi="Times New Roman" w:eastAsia="宋体" w:cs="Times New Roman"/>
          <w:b w:val="0"/>
          <w:bCs w:val="0"/>
          <w:snapToGrid/>
          <w:color w:val="auto"/>
          <w:kern w:val="2"/>
          <w:sz w:val="24"/>
          <w:szCs w:val="24"/>
          <w:highlight w:val="none"/>
          <w:lang w:val="en-US" w:eastAsia="zh-CN"/>
        </w:rPr>
        <w:t>朝阳市生态环境局喀左分局</w:t>
      </w:r>
      <w:r>
        <w:rPr>
          <w:rFonts w:hint="default" w:ascii="Times New Roman" w:hAnsi="Times New Roman" w:eastAsia="宋体" w:cs="Times New Roman"/>
          <w:b w:val="0"/>
          <w:bCs w:val="0"/>
          <w:snapToGrid/>
          <w:color w:val="auto"/>
          <w:kern w:val="2"/>
          <w:sz w:val="24"/>
          <w:szCs w:val="24"/>
          <w:highlight w:val="none"/>
          <w:lang w:val="en-US" w:eastAsia="zh-CN"/>
        </w:rPr>
        <w:t xml:space="preserve">备案 </w:t>
      </w:r>
      <w:r>
        <w:rPr>
          <w:rFonts w:hint="eastAsia" w:ascii="Times New Roman" w:hAnsi="Times New Roman" w:eastAsia="宋体"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备案编号：211324-2024-010-M</w:t>
      </w:r>
      <w:r>
        <w:rPr>
          <w:rFonts w:hint="eastAsia" w:ascii="Times New Roman" w:hAnsi="Times New Roman" w:eastAsia="宋体"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，本次扩建项目</w:t>
      </w:r>
      <w:r>
        <w:rPr>
          <w:rFonts w:hint="eastAsia" w:ascii="Times New Roman" w:hAnsi="Times New Roman" w:eastAsia="宋体" w:cs="Times New Roman"/>
          <w:b w:val="0"/>
          <w:bCs w:val="0"/>
          <w:snapToGrid/>
          <w:color w:val="auto"/>
          <w:kern w:val="2"/>
          <w:sz w:val="24"/>
          <w:szCs w:val="24"/>
          <w:highlight w:val="none"/>
          <w:lang w:val="en-US" w:eastAsia="zh-CN"/>
        </w:rPr>
        <w:t>实施</w:t>
      </w:r>
      <w:r>
        <w:rPr>
          <w:rFonts w:hint="default" w:ascii="Times New Roman" w:hAnsi="Times New Roman" w:eastAsia="宋体" w:cs="Times New Roman"/>
          <w:b w:val="0"/>
          <w:bCs w:val="0"/>
          <w:snapToGrid/>
          <w:color w:val="auto"/>
          <w:kern w:val="2"/>
          <w:sz w:val="24"/>
          <w:szCs w:val="24"/>
          <w:highlight w:val="none"/>
          <w:lang w:val="en-US" w:eastAsia="zh-CN"/>
        </w:rPr>
        <w:t>后应对现有预案进行</w:t>
      </w:r>
      <w:r>
        <w:rPr>
          <w:rFonts w:hint="eastAsia" w:ascii="Times New Roman" w:hAnsi="Times New Roman" w:eastAsia="宋体" w:cs="Times New Roman"/>
          <w:b w:val="0"/>
          <w:bCs w:val="0"/>
          <w:snapToGrid/>
          <w:color w:val="auto"/>
          <w:kern w:val="2"/>
          <w:sz w:val="24"/>
          <w:szCs w:val="24"/>
          <w:highlight w:val="none"/>
          <w:lang w:val="en-US" w:eastAsia="zh-CN"/>
        </w:rPr>
        <w:t>修编</w:t>
      </w:r>
      <w:r>
        <w:rPr>
          <w:rFonts w:hint="default" w:ascii="Times New Roman" w:hAnsi="Times New Roman" w:eastAsia="宋体" w:cs="Times New Roman"/>
          <w:b w:val="0"/>
          <w:bCs w:val="0"/>
          <w:snapToGrid/>
          <w:color w:val="auto"/>
          <w:kern w:val="2"/>
          <w:sz w:val="24"/>
          <w:szCs w:val="24"/>
          <w:highlight w:val="none"/>
          <w:lang w:val="en-US" w:eastAsia="zh-CN"/>
        </w:rPr>
        <w:t>，</w:t>
      </w:r>
      <w:r>
        <w:rPr>
          <w:rFonts w:hint="eastAsia" w:ascii="Times New Roman" w:hAnsi="Times New Roman" w:eastAsia="宋体" w:cs="Times New Roman"/>
          <w:b w:val="0"/>
          <w:bCs w:val="0"/>
          <w:snapToGrid/>
          <w:color w:val="auto"/>
          <w:kern w:val="2"/>
          <w:sz w:val="24"/>
          <w:szCs w:val="24"/>
          <w:highlight w:val="none"/>
          <w:lang w:val="en-US" w:eastAsia="zh-CN"/>
        </w:rPr>
        <w:t>将本次项目内容纳入管理范围</w:t>
      </w:r>
      <w:r>
        <w:rPr>
          <w:rFonts w:hint="default" w:ascii="Times New Roman" w:hAnsi="Times New Roman" w:eastAsia="宋体" w:cs="Times New Roman"/>
          <w:b w:val="0"/>
          <w:bCs w:val="0"/>
          <w:snapToGrid/>
          <w:color w:val="auto"/>
          <w:kern w:val="2"/>
          <w:sz w:val="24"/>
          <w:szCs w:val="24"/>
          <w:highlight w:val="none"/>
          <w:lang w:val="en-US" w:eastAsia="zh-CN"/>
        </w:rPr>
        <w:t>。</w:t>
      </w:r>
    </w:p>
    <w:p w14:paraId="32F9E6A4">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r>
        <w:rPr>
          <w:rFonts w:hint="eastAsia" w:ascii="Times New Roman" w:hAnsi="Times New Roman" w:eastAsia="宋体" w:cs="Times New Roman"/>
          <w:b w:val="0"/>
          <w:bCs w:val="0"/>
          <w:snapToGrid/>
          <w:color w:val="auto"/>
          <w:kern w:val="2"/>
          <w:sz w:val="24"/>
          <w:szCs w:val="24"/>
          <w:highlight w:val="none"/>
          <w:lang w:val="en-US" w:eastAsia="zh-CN"/>
        </w:rPr>
        <w:t>本项目</w:t>
      </w:r>
      <w:r>
        <w:rPr>
          <w:rFonts w:hint="default" w:ascii="Times New Roman" w:hAnsi="Times New Roman" w:eastAsia="宋体" w:cs="Times New Roman"/>
          <w:b w:val="0"/>
          <w:bCs w:val="0"/>
          <w:snapToGrid/>
          <w:color w:val="auto"/>
          <w:kern w:val="2"/>
          <w:sz w:val="24"/>
          <w:szCs w:val="24"/>
          <w:highlight w:val="none"/>
          <w:lang w:val="en-US" w:eastAsia="zh-CN"/>
        </w:rPr>
        <w:t>建成后，全厂</w:t>
      </w:r>
      <w:bookmarkStart w:id="613" w:name="OLE_LINK151"/>
      <w:r>
        <w:rPr>
          <w:rFonts w:hint="default" w:ascii="Times New Roman" w:hAnsi="Times New Roman" w:eastAsia="宋体" w:cs="Times New Roman"/>
          <w:b w:val="0"/>
          <w:bCs w:val="0"/>
          <w:snapToGrid/>
          <w:color w:val="auto"/>
          <w:kern w:val="2"/>
          <w:sz w:val="24"/>
          <w:szCs w:val="24"/>
          <w:highlight w:val="none"/>
          <w:lang w:val="en-US" w:eastAsia="zh-CN"/>
        </w:rPr>
        <w:t>生产规模将</w:t>
      </w:r>
      <w:r>
        <w:rPr>
          <w:rFonts w:hint="eastAsia" w:ascii="Times New Roman" w:hAnsi="Times New Roman" w:eastAsia="宋体" w:cs="Times New Roman"/>
          <w:b w:val="0"/>
          <w:bCs w:val="0"/>
          <w:snapToGrid/>
          <w:color w:val="auto"/>
          <w:kern w:val="2"/>
          <w:sz w:val="24"/>
          <w:szCs w:val="24"/>
          <w:highlight w:val="none"/>
          <w:lang w:val="en-US" w:eastAsia="zh-CN"/>
        </w:rPr>
        <w:t>有所</w:t>
      </w:r>
      <w:r>
        <w:rPr>
          <w:rFonts w:hint="default" w:ascii="Times New Roman" w:hAnsi="Times New Roman" w:eastAsia="宋体" w:cs="Times New Roman"/>
          <w:b w:val="0"/>
          <w:bCs w:val="0"/>
          <w:snapToGrid/>
          <w:color w:val="auto"/>
          <w:kern w:val="2"/>
          <w:sz w:val="24"/>
          <w:szCs w:val="24"/>
          <w:highlight w:val="none"/>
          <w:lang w:val="en-US" w:eastAsia="zh-CN"/>
        </w:rPr>
        <w:t>增加</w:t>
      </w:r>
      <w:bookmarkEnd w:id="613"/>
      <w:r>
        <w:rPr>
          <w:rFonts w:hint="default" w:ascii="Times New Roman" w:hAnsi="Times New Roman" w:eastAsia="宋体" w:cs="Times New Roman"/>
          <w:b w:val="0"/>
          <w:bCs w:val="0"/>
          <w:snapToGrid/>
          <w:color w:val="auto"/>
          <w:kern w:val="2"/>
          <w:sz w:val="24"/>
          <w:szCs w:val="24"/>
          <w:highlight w:val="none"/>
          <w:lang w:val="en-US" w:eastAsia="zh-CN"/>
        </w:rPr>
        <w:t>，故建设单位应根据扩建项目的特点，</w:t>
      </w:r>
      <w:r>
        <w:rPr>
          <w:rFonts w:hint="eastAsia" w:ascii="Times New Roman" w:hAnsi="Times New Roman" w:eastAsia="宋体" w:cs="Times New Roman"/>
          <w:b w:val="0"/>
          <w:bCs w:val="0"/>
          <w:snapToGrid/>
          <w:color w:val="auto"/>
          <w:kern w:val="2"/>
          <w:sz w:val="24"/>
          <w:szCs w:val="24"/>
          <w:highlight w:val="none"/>
          <w:lang w:val="en-US" w:eastAsia="zh-CN"/>
        </w:rPr>
        <w:t>及时修编</w:t>
      </w:r>
      <w:r>
        <w:rPr>
          <w:rFonts w:hint="default" w:ascii="Times New Roman" w:hAnsi="Times New Roman" w:eastAsia="宋体" w:cs="Times New Roman"/>
          <w:b w:val="0"/>
          <w:bCs w:val="0"/>
          <w:snapToGrid/>
          <w:color w:val="auto"/>
          <w:kern w:val="2"/>
          <w:sz w:val="24"/>
          <w:szCs w:val="24"/>
          <w:highlight w:val="none"/>
          <w:lang w:val="en-US" w:eastAsia="zh-CN"/>
        </w:rPr>
        <w:t>突发环境事故应急预案并报生态环境局备案。应急预案应重点关注火灾、爆炸事故的应急处置、紧急安全疏散、应急监测等内容。</w:t>
      </w:r>
      <w:r>
        <w:rPr>
          <w:rFonts w:hint="eastAsia" w:ascii="Times New Roman" w:hAnsi="Times New Roman" w:eastAsia="宋体" w:cs="Times New Roman"/>
          <w:b w:val="0"/>
          <w:bCs w:val="0"/>
          <w:snapToGrid/>
          <w:color w:val="auto"/>
          <w:kern w:val="2"/>
          <w:sz w:val="24"/>
          <w:szCs w:val="24"/>
          <w:highlight w:val="none"/>
          <w:lang w:val="en-US" w:eastAsia="zh-CN"/>
        </w:rPr>
        <w:t>编制要求如下：</w:t>
      </w:r>
    </w:p>
    <w:p w14:paraId="40E2C9C0">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14" w:name="_Toc17396"/>
      <w:r>
        <w:rPr>
          <w:rFonts w:hint="default" w:ascii="Times New Roman" w:hAnsi="Times New Roman" w:eastAsia="宋体" w:cs="Times New Roman"/>
          <w:b w:val="0"/>
          <w:bCs w:val="0"/>
          <w:snapToGrid/>
          <w:color w:val="auto"/>
          <w:kern w:val="2"/>
          <w:sz w:val="24"/>
          <w:szCs w:val="24"/>
          <w:highlight w:val="none"/>
          <w:lang w:val="en-US" w:eastAsia="zh-CN"/>
        </w:rPr>
        <w:t>（一）应急计划区</w:t>
      </w:r>
      <w:bookmarkEnd w:id="614"/>
    </w:p>
    <w:p w14:paraId="24AA643B">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15" w:name="_Toc10648"/>
      <w:r>
        <w:rPr>
          <w:rFonts w:hint="default" w:ascii="Times New Roman" w:hAnsi="Times New Roman" w:eastAsia="宋体" w:cs="Times New Roman"/>
          <w:b w:val="0"/>
          <w:bCs w:val="0"/>
          <w:snapToGrid/>
          <w:color w:val="auto"/>
          <w:kern w:val="2"/>
          <w:sz w:val="24"/>
          <w:szCs w:val="24"/>
          <w:highlight w:val="none"/>
          <w:lang w:val="en-US" w:eastAsia="zh-CN"/>
        </w:rPr>
        <w:t>建设单位将根据所发生的事故类型，对应相应级别的预案，并开启同级别的</w:t>
      </w:r>
      <w:r>
        <w:rPr>
          <w:rFonts w:hint="eastAsia" w:ascii="Times New Roman" w:hAnsi="Times New Roman" w:cs="Times New Roman"/>
          <w:b w:val="0"/>
          <w:bCs w:val="0"/>
          <w:snapToGrid/>
          <w:color w:val="auto"/>
          <w:kern w:val="2"/>
          <w:sz w:val="24"/>
          <w:szCs w:val="24"/>
          <w:highlight w:val="none"/>
          <w:lang w:val="en-US" w:eastAsia="zh-CN"/>
        </w:rPr>
        <w:t>响应</w:t>
      </w:r>
      <w:r>
        <w:rPr>
          <w:rFonts w:hint="default" w:ascii="Times New Roman" w:hAnsi="Times New Roman" w:eastAsia="宋体" w:cs="Times New Roman"/>
          <w:b w:val="0"/>
          <w:bCs w:val="0"/>
          <w:snapToGrid/>
          <w:color w:val="auto"/>
          <w:kern w:val="2"/>
          <w:sz w:val="24"/>
          <w:szCs w:val="24"/>
          <w:highlight w:val="none"/>
          <w:lang w:val="en-US" w:eastAsia="zh-CN"/>
        </w:rPr>
        <w:t>程序，应急计划区也将随之有所变化。根据本项目的实际情况和区位特点，应急计划区由小到大依次为：事故现场</w:t>
      </w:r>
      <w:r>
        <w:rPr>
          <w:rFonts w:hint="eastAsia" w:ascii="Times New Roman" w:hAnsi="Times New Roman" w:cs="Times New Roman"/>
          <w:b w:val="0"/>
          <w:bCs w:val="0"/>
          <w:snapToGrid/>
          <w:color w:val="auto"/>
          <w:kern w:val="2"/>
          <w:sz w:val="24"/>
          <w:szCs w:val="24"/>
          <w:highlight w:val="none"/>
          <w:lang w:val="en-US" w:eastAsia="zh-CN"/>
        </w:rPr>
        <w:t>、厂区</w:t>
      </w:r>
      <w:r>
        <w:rPr>
          <w:rFonts w:hint="default" w:ascii="Times New Roman" w:hAnsi="Times New Roman" w:eastAsia="宋体" w:cs="Times New Roman"/>
          <w:b w:val="0"/>
          <w:bCs w:val="0"/>
          <w:snapToGrid/>
          <w:color w:val="auto"/>
          <w:kern w:val="2"/>
          <w:sz w:val="24"/>
          <w:szCs w:val="24"/>
          <w:highlight w:val="none"/>
          <w:lang w:val="en-US" w:eastAsia="zh-CN"/>
        </w:rPr>
        <w:t>及其周边区域。</w:t>
      </w:r>
      <w:bookmarkEnd w:id="615"/>
    </w:p>
    <w:p w14:paraId="7BE5EE90">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16" w:name="_Toc10487"/>
      <w:r>
        <w:rPr>
          <w:rFonts w:hint="default" w:ascii="Times New Roman" w:hAnsi="Times New Roman" w:eastAsia="宋体" w:cs="Times New Roman"/>
          <w:b w:val="0"/>
          <w:bCs w:val="0"/>
          <w:snapToGrid/>
          <w:color w:val="auto"/>
          <w:kern w:val="2"/>
          <w:sz w:val="24"/>
          <w:szCs w:val="24"/>
          <w:highlight w:val="none"/>
          <w:lang w:val="en-US" w:eastAsia="zh-CN"/>
        </w:rPr>
        <w:t>（二）应急组织机构、人员</w:t>
      </w:r>
      <w:bookmarkEnd w:id="616"/>
    </w:p>
    <w:p w14:paraId="2FCFB18C">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17" w:name="_Toc10216"/>
      <w:r>
        <w:rPr>
          <w:rFonts w:hint="default" w:ascii="Times New Roman" w:hAnsi="Times New Roman" w:eastAsia="宋体" w:cs="Times New Roman"/>
          <w:b w:val="0"/>
          <w:bCs w:val="0"/>
          <w:snapToGrid/>
          <w:color w:val="auto"/>
          <w:kern w:val="2"/>
          <w:sz w:val="24"/>
          <w:szCs w:val="24"/>
          <w:highlight w:val="none"/>
          <w:lang w:val="en-US" w:eastAsia="zh-CN"/>
        </w:rPr>
        <w:t>建设单位应建立处理紧急事故时临时性的组织和较完善的体系机构（组织系统机构）。紧急事故的组织系统机构指由关键人员组成的采取规范化行动处理紧急事故的人员和活动系统。包括紧急组织、配备人数和疏散方案、紧急响应和训练、报警系统和紧急联络通讯系统。因工厂现场工作人员较少，组织机构中明确了执行处理紧急事故的最少人员数量以及各自的任务与职责。紧急组织中关键人员主要是事故处理的负责人员、通讯联络人员以及处理事故现场指挥人员。建立了</w:t>
      </w:r>
      <w:r>
        <w:rPr>
          <w:rFonts w:hint="eastAsia" w:cs="Times New Roman"/>
          <w:b w:val="0"/>
          <w:bCs w:val="0"/>
          <w:snapToGrid/>
          <w:color w:val="auto"/>
          <w:kern w:val="2"/>
          <w:sz w:val="24"/>
          <w:szCs w:val="24"/>
          <w:highlight w:val="none"/>
          <w:lang w:val="en-US" w:eastAsia="zh-CN"/>
        </w:rPr>
        <w:t>为</w:t>
      </w:r>
      <w:r>
        <w:rPr>
          <w:rFonts w:hint="default" w:ascii="Times New Roman" w:hAnsi="Times New Roman" w:eastAsia="宋体" w:cs="Times New Roman"/>
          <w:b w:val="0"/>
          <w:bCs w:val="0"/>
          <w:snapToGrid/>
          <w:color w:val="auto"/>
          <w:kern w:val="2"/>
          <w:sz w:val="24"/>
          <w:szCs w:val="24"/>
          <w:highlight w:val="none"/>
          <w:lang w:val="en-US" w:eastAsia="zh-CN"/>
        </w:rPr>
        <w:t>确保紧急组织能迅速规范化处理各类紧急事故时的报警系统和紧急联络通讯系统。</w:t>
      </w:r>
      <w:bookmarkEnd w:id="617"/>
    </w:p>
    <w:p w14:paraId="7BCE18F3">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18" w:name="_Toc18965"/>
      <w:r>
        <w:rPr>
          <w:rFonts w:hint="default" w:ascii="Times New Roman" w:hAnsi="Times New Roman" w:eastAsia="宋体" w:cs="Times New Roman"/>
          <w:b w:val="0"/>
          <w:bCs w:val="0"/>
          <w:snapToGrid/>
          <w:color w:val="auto"/>
          <w:kern w:val="2"/>
          <w:sz w:val="24"/>
          <w:szCs w:val="24"/>
          <w:highlight w:val="none"/>
          <w:lang w:val="en-US" w:eastAsia="zh-CN"/>
        </w:rPr>
        <w:t>（三）预案分级响应条件</w:t>
      </w:r>
      <w:bookmarkEnd w:id="618"/>
    </w:p>
    <w:p w14:paraId="48560D10">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19" w:name="_Toc1020"/>
      <w:r>
        <w:rPr>
          <w:rFonts w:hint="default" w:ascii="Times New Roman" w:hAnsi="Times New Roman" w:eastAsia="宋体" w:cs="Times New Roman"/>
          <w:b w:val="0"/>
          <w:bCs w:val="0"/>
          <w:snapToGrid/>
          <w:color w:val="auto"/>
          <w:kern w:val="2"/>
          <w:sz w:val="24"/>
          <w:szCs w:val="24"/>
          <w:highlight w:val="none"/>
          <w:lang w:val="en-US" w:eastAsia="zh-CN"/>
        </w:rPr>
        <w:t>依据危险物质事故的类别、危害程度的级别和从业人员的评估结果，可能发生的事故现场情况分析结果，设定预案的启动条件。同时企业突发环境事件应急预案应体现分级响应、区域联动的原则，与地方政府突发环境事件应急预案相衔接，明确分级响应程序。</w:t>
      </w:r>
      <w:bookmarkEnd w:id="619"/>
    </w:p>
    <w:p w14:paraId="24A1A7F3">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0" w:name="_Toc15533"/>
      <w:r>
        <w:rPr>
          <w:rFonts w:hint="default" w:ascii="Times New Roman" w:hAnsi="Times New Roman" w:eastAsia="宋体" w:cs="Times New Roman"/>
          <w:b w:val="0"/>
          <w:bCs w:val="0"/>
          <w:snapToGrid/>
          <w:color w:val="auto"/>
          <w:kern w:val="2"/>
          <w:sz w:val="24"/>
          <w:szCs w:val="24"/>
          <w:highlight w:val="none"/>
          <w:lang w:val="en-US" w:eastAsia="zh-CN"/>
        </w:rPr>
        <w:t>（四）应急环境监测、抢险、救援及控制措施</w:t>
      </w:r>
      <w:bookmarkEnd w:id="620"/>
    </w:p>
    <w:p w14:paraId="2CC84084">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1" w:name="_Toc18523"/>
      <w:r>
        <w:rPr>
          <w:rFonts w:hint="default" w:ascii="Times New Roman" w:hAnsi="Times New Roman" w:eastAsia="宋体" w:cs="Times New Roman"/>
          <w:b w:val="0"/>
          <w:bCs w:val="0"/>
          <w:snapToGrid/>
          <w:color w:val="auto"/>
          <w:kern w:val="2"/>
          <w:sz w:val="24"/>
          <w:szCs w:val="24"/>
          <w:highlight w:val="none"/>
          <w:lang w:val="en-US" w:eastAsia="zh-CN"/>
        </w:rPr>
        <w:t>由资质单位对事故现场及主要影响敏感点进行现场应急监测，对事故性质、参数与后果进行评估，为指挥部门提供决策依据。</w:t>
      </w:r>
      <w:bookmarkEnd w:id="621"/>
    </w:p>
    <w:p w14:paraId="3A9EEC7C">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2" w:name="_Toc2370"/>
      <w:r>
        <w:rPr>
          <w:rFonts w:hint="default" w:ascii="Times New Roman" w:hAnsi="Times New Roman" w:eastAsia="宋体" w:cs="Times New Roman"/>
          <w:b w:val="0"/>
          <w:bCs w:val="0"/>
          <w:snapToGrid/>
          <w:color w:val="auto"/>
          <w:kern w:val="2"/>
          <w:sz w:val="24"/>
          <w:szCs w:val="24"/>
          <w:highlight w:val="none"/>
          <w:lang w:val="en-US" w:eastAsia="zh-CN"/>
        </w:rPr>
        <w:t>（五）</w:t>
      </w:r>
      <w:r>
        <w:rPr>
          <w:rFonts w:hint="eastAsia" w:ascii="Times New Roman" w:hAnsi="Times New Roman" w:cs="Times New Roman"/>
          <w:b w:val="0"/>
          <w:bCs w:val="0"/>
          <w:snapToGrid/>
          <w:color w:val="auto"/>
          <w:kern w:val="2"/>
          <w:sz w:val="24"/>
          <w:szCs w:val="24"/>
          <w:highlight w:val="none"/>
          <w:lang w:val="en-US" w:eastAsia="zh-CN"/>
        </w:rPr>
        <w:t>制定</w:t>
      </w:r>
      <w:r>
        <w:rPr>
          <w:rFonts w:hint="default" w:ascii="Times New Roman" w:hAnsi="Times New Roman" w:eastAsia="宋体" w:cs="Times New Roman"/>
          <w:b w:val="0"/>
          <w:bCs w:val="0"/>
          <w:snapToGrid/>
          <w:color w:val="auto"/>
          <w:kern w:val="2"/>
          <w:sz w:val="24"/>
          <w:szCs w:val="24"/>
          <w:highlight w:val="none"/>
          <w:lang w:val="en-US" w:eastAsia="zh-CN"/>
        </w:rPr>
        <w:t>预防事故措施</w:t>
      </w:r>
      <w:bookmarkEnd w:id="622"/>
    </w:p>
    <w:p w14:paraId="6B43771D">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3" w:name="_Toc19241"/>
      <w:r>
        <w:rPr>
          <w:rFonts w:hint="default" w:ascii="Times New Roman" w:hAnsi="Times New Roman" w:eastAsia="宋体" w:cs="Times New Roman"/>
          <w:b w:val="0"/>
          <w:bCs w:val="0"/>
          <w:snapToGrid/>
          <w:color w:val="auto"/>
          <w:kern w:val="2"/>
          <w:sz w:val="24"/>
          <w:szCs w:val="24"/>
          <w:highlight w:val="none"/>
          <w:lang w:val="en-US" w:eastAsia="zh-CN"/>
        </w:rPr>
        <w:t>对已确定的危险目标，根据其可能导致事故的途径，采取有针对性的预防措施，避免事故发生。各种预防措施必须建立责任制，落实到部门</w:t>
      </w:r>
      <w:r>
        <w:rPr>
          <w:rFonts w:hint="eastAsia" w:ascii="Times New Roman" w:hAnsi="Times New Roman"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单位</w:t>
      </w:r>
      <w:r>
        <w:rPr>
          <w:rFonts w:hint="eastAsia" w:ascii="Times New Roman" w:hAnsi="Times New Roman"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和个人。同时还应制订一旦发生大量有害物料泄漏、着火等情况时，尽力降低危害程度的措施。</w:t>
      </w:r>
      <w:bookmarkEnd w:id="623"/>
    </w:p>
    <w:p w14:paraId="7064C339">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4" w:name="_Toc9807"/>
      <w:r>
        <w:rPr>
          <w:rFonts w:hint="default" w:ascii="Times New Roman" w:hAnsi="Times New Roman" w:eastAsia="宋体" w:cs="Times New Roman"/>
          <w:b w:val="0"/>
          <w:bCs w:val="0"/>
          <w:snapToGrid/>
          <w:color w:val="auto"/>
          <w:kern w:val="2"/>
          <w:sz w:val="24"/>
          <w:szCs w:val="24"/>
          <w:highlight w:val="none"/>
          <w:lang w:val="en-US" w:eastAsia="zh-CN"/>
        </w:rPr>
        <w:t>（六）紧急安全疏散</w:t>
      </w:r>
      <w:bookmarkEnd w:id="624"/>
    </w:p>
    <w:p w14:paraId="09BF18D3">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5" w:name="_Toc26170"/>
      <w:r>
        <w:rPr>
          <w:rFonts w:hint="default" w:ascii="Times New Roman" w:hAnsi="Times New Roman" w:eastAsia="宋体" w:cs="Times New Roman"/>
          <w:b w:val="0"/>
          <w:bCs w:val="0"/>
          <w:snapToGrid/>
          <w:color w:val="auto"/>
          <w:kern w:val="2"/>
          <w:sz w:val="24"/>
          <w:szCs w:val="24"/>
          <w:highlight w:val="none"/>
          <w:lang w:val="en-US" w:eastAsia="zh-CN"/>
        </w:rPr>
        <w:t>在发生重大危险事故，可能对厂区内外人群安全构成威胁时，必须在指挥部统一指挥下</w:t>
      </w:r>
      <w:r>
        <w:rPr>
          <w:rFonts w:hint="eastAsia" w:ascii="Times New Roman" w:hAnsi="Times New Roman"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对与事故应急救援无关的人员进行紧急疏散。企业在最高建筑物上应设立</w:t>
      </w:r>
      <w:r>
        <w:rPr>
          <w:rFonts w:hint="eastAsia" w:ascii="Times New Roman" w:hAnsi="Times New Roman"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风向标</w:t>
      </w:r>
      <w:r>
        <w:rPr>
          <w:rFonts w:hint="eastAsia" w:ascii="Times New Roman" w:hAnsi="Times New Roman"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。疏散的方向、距离和集中地点，必须根据不同事故，</w:t>
      </w:r>
      <w:r>
        <w:rPr>
          <w:rFonts w:hint="eastAsia" w:ascii="Times New Roman" w:hAnsi="Times New Roman" w:cs="Times New Roman"/>
          <w:b w:val="0"/>
          <w:bCs w:val="0"/>
          <w:snapToGrid/>
          <w:color w:val="auto"/>
          <w:kern w:val="2"/>
          <w:sz w:val="24"/>
          <w:szCs w:val="24"/>
          <w:highlight w:val="none"/>
          <w:lang w:val="en-US" w:eastAsia="zh-CN"/>
        </w:rPr>
        <w:t>作出</w:t>
      </w:r>
      <w:r>
        <w:rPr>
          <w:rFonts w:hint="default" w:ascii="Times New Roman" w:hAnsi="Times New Roman" w:eastAsia="宋体" w:cs="Times New Roman"/>
          <w:b w:val="0"/>
          <w:bCs w:val="0"/>
          <w:snapToGrid/>
          <w:color w:val="auto"/>
          <w:kern w:val="2"/>
          <w:sz w:val="24"/>
          <w:szCs w:val="24"/>
          <w:highlight w:val="none"/>
          <w:lang w:val="en-US" w:eastAsia="zh-CN"/>
        </w:rPr>
        <w:t>具体规定，总的原则是疏散安全点处于当时的上风向。对可能威胁到厂外居民安全时，指挥部应立即和地方有关部门联系，引导居民迅速撤离到安全地点。</w:t>
      </w:r>
      <w:bookmarkEnd w:id="625"/>
    </w:p>
    <w:p w14:paraId="4C2F6835">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6" w:name="_Toc22165"/>
      <w:r>
        <w:rPr>
          <w:rFonts w:hint="default" w:ascii="Times New Roman" w:hAnsi="Times New Roman" w:eastAsia="宋体" w:cs="Times New Roman"/>
          <w:b w:val="0"/>
          <w:bCs w:val="0"/>
          <w:snapToGrid/>
          <w:color w:val="auto"/>
          <w:kern w:val="2"/>
          <w:sz w:val="24"/>
          <w:szCs w:val="24"/>
          <w:highlight w:val="none"/>
          <w:lang w:val="en-US" w:eastAsia="zh-CN"/>
        </w:rPr>
        <w:t>（七）应急救援保障</w:t>
      </w:r>
      <w:bookmarkEnd w:id="626"/>
    </w:p>
    <w:p w14:paraId="30C62B54">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7" w:name="_Toc18587"/>
      <w:r>
        <w:rPr>
          <w:rFonts w:hint="default" w:ascii="Times New Roman" w:hAnsi="Times New Roman" w:eastAsia="宋体" w:cs="Times New Roman"/>
          <w:b w:val="0"/>
          <w:bCs w:val="0"/>
          <w:snapToGrid/>
          <w:color w:val="auto"/>
          <w:kern w:val="2"/>
          <w:sz w:val="24"/>
          <w:szCs w:val="24"/>
          <w:highlight w:val="none"/>
          <w:lang w:val="en-US" w:eastAsia="zh-CN"/>
        </w:rPr>
        <w:t>（1）内部保障</w:t>
      </w:r>
      <w:bookmarkEnd w:id="627"/>
    </w:p>
    <w:p w14:paraId="430169D5">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8" w:name="_Toc28408"/>
      <w:r>
        <w:rPr>
          <w:rFonts w:hint="default" w:ascii="Times New Roman" w:hAnsi="Times New Roman" w:eastAsia="宋体" w:cs="Times New Roman"/>
          <w:b w:val="0"/>
          <w:bCs w:val="0"/>
          <w:snapToGrid/>
          <w:color w:val="auto"/>
          <w:kern w:val="2"/>
          <w:sz w:val="24"/>
          <w:szCs w:val="24"/>
          <w:highlight w:val="none"/>
          <w:lang w:val="en-US" w:eastAsia="zh-CN"/>
        </w:rPr>
        <w:t>确定应急队伍；消防设施配置图、工艺流程图、现场平面布置图和周围地区图、气象资料、危险化学品安全技术说明书、互救信息等存放地点、保管人；应急通信系统；应急电源、照明；应急救援装备、物资、药品等；保障制度目录（包括：责任制，值班制度，培训制度，应急救援装备、物资、药品等检查、维护制度，演练制度）。</w:t>
      </w:r>
      <w:bookmarkEnd w:id="628"/>
    </w:p>
    <w:p w14:paraId="34583F25">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29" w:name="_Toc30084"/>
      <w:r>
        <w:rPr>
          <w:rFonts w:hint="default" w:ascii="Times New Roman" w:hAnsi="Times New Roman" w:eastAsia="宋体" w:cs="Times New Roman"/>
          <w:b w:val="0"/>
          <w:bCs w:val="0"/>
          <w:snapToGrid/>
          <w:color w:val="auto"/>
          <w:kern w:val="2"/>
          <w:sz w:val="24"/>
          <w:szCs w:val="24"/>
          <w:highlight w:val="none"/>
          <w:lang w:val="en-US" w:eastAsia="zh-CN"/>
        </w:rPr>
        <w:t>（2）外部救援</w:t>
      </w:r>
      <w:bookmarkEnd w:id="629"/>
    </w:p>
    <w:p w14:paraId="3A032231">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0" w:name="_Toc26663"/>
      <w:r>
        <w:rPr>
          <w:rFonts w:hint="default" w:ascii="Times New Roman" w:hAnsi="Times New Roman" w:eastAsia="宋体" w:cs="Times New Roman"/>
          <w:b w:val="0"/>
          <w:bCs w:val="0"/>
          <w:snapToGrid/>
          <w:color w:val="auto"/>
          <w:kern w:val="2"/>
          <w:sz w:val="24"/>
          <w:szCs w:val="24"/>
          <w:highlight w:val="none"/>
          <w:lang w:val="en-US" w:eastAsia="zh-CN"/>
        </w:rPr>
        <w:t>依据对外部应急救援能力的分析结果，确定以下内容：企业互助的方式；请求政府协调应急救援力量；应急救援信息咨询；专家信息。</w:t>
      </w:r>
      <w:bookmarkEnd w:id="630"/>
    </w:p>
    <w:p w14:paraId="5365E7B3">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1" w:name="_Toc25560"/>
      <w:r>
        <w:rPr>
          <w:rFonts w:hint="default" w:ascii="Times New Roman" w:hAnsi="Times New Roman" w:eastAsia="宋体" w:cs="Times New Roman"/>
          <w:b w:val="0"/>
          <w:bCs w:val="0"/>
          <w:snapToGrid/>
          <w:color w:val="auto"/>
          <w:kern w:val="2"/>
          <w:sz w:val="24"/>
          <w:szCs w:val="24"/>
          <w:highlight w:val="none"/>
          <w:lang w:val="en-US" w:eastAsia="zh-CN"/>
        </w:rPr>
        <w:t>（3）救援物资保障</w:t>
      </w:r>
      <w:bookmarkEnd w:id="631"/>
    </w:p>
    <w:p w14:paraId="71EEE5AE">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2" w:name="_Toc675"/>
      <w:r>
        <w:rPr>
          <w:rFonts w:hint="default" w:ascii="Times New Roman" w:hAnsi="Times New Roman" w:eastAsia="宋体" w:cs="Times New Roman"/>
          <w:b w:val="0"/>
          <w:bCs w:val="0"/>
          <w:snapToGrid/>
          <w:color w:val="auto"/>
          <w:kern w:val="2"/>
          <w:sz w:val="24"/>
          <w:szCs w:val="24"/>
          <w:highlight w:val="none"/>
          <w:lang w:val="en-US" w:eastAsia="zh-CN"/>
        </w:rPr>
        <w:t>企业应根据项目涉及的</w:t>
      </w:r>
      <w:r>
        <w:rPr>
          <w:rFonts w:hint="eastAsia" w:ascii="Times New Roman" w:hAnsi="Times New Roman" w:cs="Times New Roman"/>
          <w:b w:val="0"/>
          <w:bCs w:val="0"/>
          <w:snapToGrid/>
          <w:color w:val="auto"/>
          <w:kern w:val="2"/>
          <w:sz w:val="24"/>
          <w:szCs w:val="24"/>
          <w:highlight w:val="none"/>
          <w:lang w:val="en-US" w:eastAsia="zh-CN"/>
        </w:rPr>
        <w:t>风险</w:t>
      </w:r>
      <w:r>
        <w:rPr>
          <w:rFonts w:hint="default" w:ascii="Times New Roman" w:hAnsi="Times New Roman" w:eastAsia="宋体" w:cs="Times New Roman"/>
          <w:b w:val="0"/>
          <w:bCs w:val="0"/>
          <w:snapToGrid/>
          <w:color w:val="auto"/>
          <w:kern w:val="2"/>
          <w:sz w:val="24"/>
          <w:szCs w:val="24"/>
          <w:highlight w:val="none"/>
          <w:lang w:val="en-US" w:eastAsia="zh-CN"/>
        </w:rPr>
        <w:t>物质的理化性质，配置不同的应急救援物资，如防护用品、消防用具等专门存放于各车间出口处，以便于事故发生时，救援人员能够以最合适的方法和最快的速度处理事故，降低事故风险影响范围和程度。</w:t>
      </w:r>
      <w:bookmarkEnd w:id="632"/>
    </w:p>
    <w:p w14:paraId="0B6B6ADA">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3" w:name="_Toc2714"/>
      <w:r>
        <w:rPr>
          <w:rFonts w:hint="default" w:ascii="Times New Roman" w:hAnsi="Times New Roman" w:eastAsia="宋体" w:cs="Times New Roman"/>
          <w:b w:val="0"/>
          <w:bCs w:val="0"/>
          <w:snapToGrid/>
          <w:color w:val="auto"/>
          <w:kern w:val="2"/>
          <w:sz w:val="24"/>
          <w:szCs w:val="24"/>
          <w:highlight w:val="none"/>
          <w:lang w:val="en-US" w:eastAsia="zh-CN"/>
        </w:rPr>
        <w:t>（八）事故应急救援关闭程序</w:t>
      </w:r>
      <w:bookmarkEnd w:id="633"/>
    </w:p>
    <w:p w14:paraId="33C4B03C">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4" w:name="_Toc14305"/>
      <w:r>
        <w:rPr>
          <w:rFonts w:hint="default" w:ascii="Times New Roman" w:hAnsi="Times New Roman" w:eastAsia="宋体" w:cs="Times New Roman"/>
          <w:b w:val="0"/>
          <w:bCs w:val="0"/>
          <w:snapToGrid/>
          <w:color w:val="auto"/>
          <w:kern w:val="2"/>
          <w:sz w:val="24"/>
          <w:szCs w:val="24"/>
          <w:highlight w:val="none"/>
          <w:lang w:val="en-US" w:eastAsia="zh-CN"/>
        </w:rPr>
        <w:t>确定事故应急救援工作结束；通知本单位相关部门、周边社区及人员，事故危险已解除。</w:t>
      </w:r>
      <w:bookmarkEnd w:id="634"/>
    </w:p>
    <w:p w14:paraId="39EB8EE6">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5" w:name="_Toc18936"/>
      <w:r>
        <w:rPr>
          <w:rFonts w:hint="default" w:ascii="Times New Roman" w:hAnsi="Times New Roman" w:eastAsia="宋体" w:cs="Times New Roman"/>
          <w:b w:val="0"/>
          <w:bCs w:val="0"/>
          <w:snapToGrid/>
          <w:color w:val="auto"/>
          <w:kern w:val="2"/>
          <w:sz w:val="24"/>
          <w:szCs w:val="24"/>
          <w:highlight w:val="none"/>
          <w:lang w:val="en-US" w:eastAsia="zh-CN"/>
        </w:rPr>
        <w:t>（九）应急培训计划</w:t>
      </w:r>
      <w:bookmarkEnd w:id="635"/>
    </w:p>
    <w:p w14:paraId="4690256C">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6" w:name="_Toc18844"/>
      <w:r>
        <w:rPr>
          <w:rFonts w:hint="default" w:ascii="Times New Roman" w:hAnsi="Times New Roman" w:eastAsia="宋体" w:cs="Times New Roman"/>
          <w:b w:val="0"/>
          <w:bCs w:val="0"/>
          <w:snapToGrid/>
          <w:color w:val="auto"/>
          <w:kern w:val="2"/>
          <w:sz w:val="24"/>
          <w:szCs w:val="24"/>
          <w:highlight w:val="none"/>
          <w:lang w:val="en-US" w:eastAsia="zh-CN"/>
        </w:rPr>
        <w:t>依据对从业人员能力的评估和社区或周边人员素质的分析结果，确定以下内容：应急救援人员的培训；员工应急响应的培训；社区或周边人员应急响应知识的宣传。如发生事故，可以更好</w:t>
      </w:r>
      <w:r>
        <w:rPr>
          <w:rFonts w:hint="eastAsia" w:ascii="Times New Roman" w:hAnsi="Times New Roman" w:cs="Times New Roman"/>
          <w:b w:val="0"/>
          <w:bCs w:val="0"/>
          <w:snapToGrid/>
          <w:color w:val="auto"/>
          <w:kern w:val="2"/>
          <w:sz w:val="24"/>
          <w:szCs w:val="24"/>
          <w:highlight w:val="none"/>
          <w:lang w:val="en-US" w:eastAsia="zh-CN"/>
        </w:rPr>
        <w:t>地</w:t>
      </w:r>
      <w:r>
        <w:rPr>
          <w:rFonts w:hint="default" w:ascii="Times New Roman" w:hAnsi="Times New Roman" w:eastAsia="宋体" w:cs="Times New Roman"/>
          <w:b w:val="0"/>
          <w:bCs w:val="0"/>
          <w:snapToGrid/>
          <w:color w:val="auto"/>
          <w:kern w:val="2"/>
          <w:sz w:val="24"/>
          <w:szCs w:val="24"/>
          <w:highlight w:val="none"/>
          <w:lang w:val="en-US" w:eastAsia="zh-CN"/>
        </w:rPr>
        <w:t>疏散、防护污染。</w:t>
      </w:r>
      <w:bookmarkEnd w:id="636"/>
    </w:p>
    <w:p w14:paraId="1B937B48">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7" w:name="_Toc24040"/>
      <w:r>
        <w:rPr>
          <w:rFonts w:hint="default" w:ascii="Times New Roman" w:hAnsi="Times New Roman" w:eastAsia="宋体" w:cs="Times New Roman"/>
          <w:b w:val="0"/>
          <w:bCs w:val="0"/>
          <w:snapToGrid/>
          <w:color w:val="auto"/>
          <w:kern w:val="2"/>
          <w:sz w:val="24"/>
          <w:szCs w:val="24"/>
          <w:highlight w:val="none"/>
          <w:lang w:val="en-US" w:eastAsia="zh-CN"/>
        </w:rPr>
        <w:t>（十）演练计划</w:t>
      </w:r>
      <w:bookmarkEnd w:id="637"/>
    </w:p>
    <w:p w14:paraId="43705EE1">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8" w:name="_Toc2191"/>
      <w:r>
        <w:rPr>
          <w:rFonts w:hint="default" w:ascii="Times New Roman" w:hAnsi="Times New Roman" w:eastAsia="宋体" w:cs="Times New Roman"/>
          <w:b w:val="0"/>
          <w:bCs w:val="0"/>
          <w:snapToGrid/>
          <w:color w:val="auto"/>
          <w:kern w:val="2"/>
          <w:sz w:val="24"/>
          <w:szCs w:val="24"/>
          <w:highlight w:val="none"/>
          <w:lang w:val="en-US" w:eastAsia="zh-CN"/>
        </w:rPr>
        <w:t>依据现有资源的评估结果，确定以下内容：演练准备；演练范围与频次；演练组织。</w:t>
      </w:r>
      <w:bookmarkEnd w:id="638"/>
    </w:p>
    <w:p w14:paraId="57ECDDCE">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39" w:name="_Toc11876"/>
      <w:r>
        <w:rPr>
          <w:rFonts w:hint="default" w:ascii="Times New Roman" w:hAnsi="Times New Roman" w:eastAsia="宋体" w:cs="Times New Roman"/>
          <w:b w:val="0"/>
          <w:bCs w:val="0"/>
          <w:snapToGrid/>
          <w:color w:val="auto"/>
          <w:kern w:val="2"/>
          <w:sz w:val="24"/>
          <w:szCs w:val="24"/>
          <w:highlight w:val="none"/>
          <w:lang w:val="en-US" w:eastAsia="zh-CN"/>
        </w:rPr>
        <w:t>（十一）事故善后处理</w:t>
      </w:r>
      <w:bookmarkEnd w:id="639"/>
    </w:p>
    <w:p w14:paraId="37BD3F4B">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0" w:name="_Toc30260"/>
      <w:r>
        <w:rPr>
          <w:rFonts w:hint="default" w:ascii="Times New Roman" w:hAnsi="Times New Roman" w:eastAsia="宋体" w:cs="Times New Roman"/>
          <w:b w:val="0"/>
          <w:bCs w:val="0"/>
          <w:snapToGrid/>
          <w:color w:val="auto"/>
          <w:kern w:val="2"/>
          <w:sz w:val="24"/>
          <w:szCs w:val="24"/>
          <w:highlight w:val="none"/>
          <w:lang w:val="en-US" w:eastAsia="zh-CN"/>
        </w:rPr>
        <w:t>1、应急预案中止</w:t>
      </w:r>
      <w:bookmarkEnd w:id="640"/>
    </w:p>
    <w:p w14:paraId="6B843D68">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1" w:name="_Toc12999"/>
      <w:r>
        <w:rPr>
          <w:rFonts w:hint="default" w:ascii="Times New Roman" w:hAnsi="Times New Roman" w:eastAsia="宋体" w:cs="Times New Roman"/>
          <w:b w:val="0"/>
          <w:bCs w:val="0"/>
          <w:snapToGrid/>
          <w:color w:val="auto"/>
          <w:kern w:val="2"/>
          <w:sz w:val="24"/>
          <w:szCs w:val="24"/>
          <w:highlight w:val="none"/>
          <w:lang w:val="en-US" w:eastAsia="zh-CN"/>
        </w:rPr>
        <w:t>当风险事故状态得以控制并结束时，应急领导小组领导宣布应急预案停止，事故现场应急救援临时指挥部予以撤销，恢复正常运作秩序。</w:t>
      </w:r>
      <w:bookmarkEnd w:id="641"/>
    </w:p>
    <w:p w14:paraId="6321D123">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2" w:name="_Toc16694"/>
      <w:r>
        <w:rPr>
          <w:rFonts w:hint="default" w:ascii="Times New Roman" w:hAnsi="Times New Roman" w:eastAsia="宋体" w:cs="Times New Roman"/>
          <w:b w:val="0"/>
          <w:bCs w:val="0"/>
          <w:snapToGrid/>
          <w:color w:val="auto"/>
          <w:kern w:val="2"/>
          <w:sz w:val="24"/>
          <w:szCs w:val="24"/>
          <w:highlight w:val="none"/>
          <w:lang w:val="en-US" w:eastAsia="zh-CN"/>
        </w:rPr>
        <w:t>2、恢复措施工程</w:t>
      </w:r>
      <w:bookmarkEnd w:id="642"/>
    </w:p>
    <w:p w14:paraId="16846766">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3" w:name="_Toc2270"/>
      <w:r>
        <w:rPr>
          <w:rFonts w:hint="default" w:ascii="Times New Roman" w:hAnsi="Times New Roman" w:eastAsia="宋体" w:cs="Times New Roman"/>
          <w:b w:val="0"/>
          <w:bCs w:val="0"/>
          <w:snapToGrid/>
          <w:color w:val="auto"/>
          <w:kern w:val="2"/>
          <w:sz w:val="24"/>
          <w:szCs w:val="24"/>
          <w:highlight w:val="none"/>
          <w:lang w:val="en-US" w:eastAsia="zh-CN"/>
        </w:rPr>
        <w:t>针对事故发生设备及场所进行现场踏勘，实施恢复工作，对损坏设备进行检修、更换、维护、试行和运行等。</w:t>
      </w:r>
      <w:bookmarkEnd w:id="643"/>
    </w:p>
    <w:p w14:paraId="679D7BC0">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4" w:name="_Toc23225"/>
      <w:r>
        <w:rPr>
          <w:rFonts w:hint="default" w:ascii="Times New Roman" w:hAnsi="Times New Roman" w:eastAsia="宋体" w:cs="Times New Roman"/>
          <w:b w:val="0"/>
          <w:bCs w:val="0"/>
          <w:snapToGrid/>
          <w:color w:val="auto"/>
          <w:kern w:val="2"/>
          <w:sz w:val="24"/>
          <w:szCs w:val="24"/>
          <w:highlight w:val="none"/>
          <w:lang w:val="en-US" w:eastAsia="zh-CN"/>
        </w:rPr>
        <w:t>3、事故评估报告编制</w:t>
      </w:r>
      <w:bookmarkEnd w:id="644"/>
    </w:p>
    <w:p w14:paraId="51A2557B">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5" w:name="_Toc9634"/>
      <w:r>
        <w:rPr>
          <w:rFonts w:hint="default" w:ascii="Times New Roman" w:hAnsi="Times New Roman" w:eastAsia="宋体" w:cs="Times New Roman"/>
          <w:b w:val="0"/>
          <w:bCs w:val="0"/>
          <w:snapToGrid/>
          <w:color w:val="auto"/>
          <w:kern w:val="2"/>
          <w:sz w:val="24"/>
          <w:szCs w:val="24"/>
          <w:highlight w:val="none"/>
          <w:lang w:val="en-US" w:eastAsia="zh-CN"/>
        </w:rPr>
        <w:t>针对发生的风险事故，将事故的起因、经过加以详尽的分析；统计事故所影响的范围</w:t>
      </w:r>
      <w:r>
        <w:rPr>
          <w:rFonts w:hint="eastAsia" w:ascii="Times New Roman" w:hAnsi="Times New Roman" w:cs="Times New Roman"/>
          <w:b w:val="0"/>
          <w:bCs w:val="0"/>
          <w:snapToGrid/>
          <w:color w:val="auto"/>
          <w:kern w:val="2"/>
          <w:sz w:val="24"/>
          <w:szCs w:val="24"/>
          <w:highlight w:val="none"/>
          <w:lang w:val="en-US" w:eastAsia="zh-CN"/>
        </w:rPr>
        <w:t>（</w:t>
      </w:r>
      <w:r>
        <w:rPr>
          <w:rFonts w:hint="default" w:ascii="Times New Roman" w:hAnsi="Times New Roman" w:eastAsia="宋体" w:cs="Times New Roman"/>
          <w:b w:val="0"/>
          <w:bCs w:val="0"/>
          <w:snapToGrid/>
          <w:color w:val="auto"/>
          <w:kern w:val="2"/>
          <w:sz w:val="24"/>
          <w:szCs w:val="24"/>
          <w:highlight w:val="none"/>
          <w:lang w:val="en-US" w:eastAsia="zh-CN"/>
        </w:rPr>
        <w:t>人口、大气、水体）和危害程度，以及造成的损失；总结事故的经验教训；确定事故的处罚情况。</w:t>
      </w:r>
      <w:bookmarkEnd w:id="645"/>
    </w:p>
    <w:p w14:paraId="4C18BD80">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6" w:name="_Toc4776"/>
      <w:r>
        <w:rPr>
          <w:rFonts w:hint="default" w:ascii="Times New Roman" w:hAnsi="Times New Roman" w:eastAsia="宋体" w:cs="Times New Roman"/>
          <w:b w:val="0"/>
          <w:bCs w:val="0"/>
          <w:snapToGrid/>
          <w:color w:val="auto"/>
          <w:kern w:val="2"/>
          <w:sz w:val="24"/>
          <w:szCs w:val="24"/>
          <w:highlight w:val="none"/>
          <w:lang w:val="en-US" w:eastAsia="zh-CN"/>
        </w:rPr>
        <w:t>4、信息公开</w:t>
      </w:r>
      <w:bookmarkEnd w:id="646"/>
    </w:p>
    <w:p w14:paraId="36A9A2B5">
      <w:pPr>
        <w:adjustRightInd/>
        <w:snapToGrid/>
        <w:spacing w:line="360" w:lineRule="auto"/>
        <w:ind w:firstLine="480" w:firstLineChars="200"/>
        <w:textAlignment w:val="auto"/>
        <w:outlineLvl w:val="9"/>
        <w:rPr>
          <w:rFonts w:hint="default" w:ascii="Times New Roman" w:hAnsi="Times New Roman" w:eastAsia="宋体" w:cs="Times New Roman"/>
          <w:b w:val="0"/>
          <w:bCs w:val="0"/>
          <w:snapToGrid/>
          <w:color w:val="auto"/>
          <w:kern w:val="2"/>
          <w:sz w:val="24"/>
          <w:szCs w:val="24"/>
          <w:highlight w:val="none"/>
          <w:lang w:val="en-US" w:eastAsia="zh-CN"/>
        </w:rPr>
      </w:pPr>
      <w:bookmarkStart w:id="647" w:name="_Toc29890"/>
      <w:r>
        <w:rPr>
          <w:rFonts w:hint="default" w:ascii="Times New Roman" w:hAnsi="Times New Roman" w:eastAsia="宋体" w:cs="Times New Roman"/>
          <w:b w:val="0"/>
          <w:bCs w:val="0"/>
          <w:snapToGrid/>
          <w:color w:val="auto"/>
          <w:kern w:val="2"/>
          <w:sz w:val="24"/>
          <w:szCs w:val="24"/>
          <w:highlight w:val="none"/>
          <w:lang w:val="en-US" w:eastAsia="zh-CN"/>
        </w:rPr>
        <w:t>对所编制的事故评估报告进行外部公开，确保信息传达的准确、及时。</w:t>
      </w:r>
      <w:bookmarkEnd w:id="647"/>
    </w:p>
    <w:p w14:paraId="7356A12D">
      <w:pPr>
        <w:keepNext w:val="0"/>
        <w:keepLines w:val="0"/>
        <w:widowControl/>
        <w:suppressLineNumbers w:val="0"/>
        <w:spacing w:line="360" w:lineRule="auto"/>
        <w:jc w:val="left"/>
        <w:outlineLvl w:val="1"/>
        <w:rPr>
          <w:rFonts w:hint="eastAsia" w:ascii="Times New Roman" w:hAnsi="Times New Roman" w:eastAsia="宋体" w:cs="Times New Roman"/>
          <w:b/>
          <w:bCs/>
          <w:color w:val="auto"/>
          <w:kern w:val="0"/>
          <w:sz w:val="28"/>
          <w:szCs w:val="28"/>
          <w:lang w:val="en-US" w:eastAsia="zh-CN" w:bidi="ar"/>
        </w:rPr>
      </w:pPr>
      <w:bookmarkStart w:id="648" w:name="_Toc9499"/>
      <w:bookmarkStart w:id="649" w:name="_Toc30601"/>
      <w:r>
        <w:rPr>
          <w:rFonts w:hint="eastAsia" w:ascii="Times New Roman" w:hAnsi="Times New Roman" w:eastAsia="宋体" w:cs="Times New Roman"/>
          <w:b/>
          <w:bCs/>
          <w:color w:val="auto"/>
          <w:kern w:val="0"/>
          <w:sz w:val="28"/>
          <w:szCs w:val="28"/>
          <w:lang w:val="en-US" w:eastAsia="zh-CN" w:bidi="ar"/>
        </w:rPr>
        <w:t>8.3应急监测方案</w:t>
      </w:r>
      <w:bookmarkEnd w:id="648"/>
      <w:bookmarkEnd w:id="649"/>
    </w:p>
    <w:p w14:paraId="23147E55">
      <w:pPr>
        <w:spacing w:before="8" w:line="360" w:lineRule="auto"/>
        <w:ind w:left="116" w:right="64" w:firstLine="480"/>
        <w:jc w:val="both"/>
        <w:rPr>
          <w:rFonts w:ascii="宋体" w:hAnsi="宋体" w:eastAsia="宋体" w:cs="宋体"/>
          <w:color w:val="auto"/>
          <w:sz w:val="24"/>
          <w:szCs w:val="24"/>
        </w:rPr>
      </w:pPr>
      <w:r>
        <w:rPr>
          <w:rFonts w:hint="eastAsia" w:ascii="宋体" w:hAnsi="宋体" w:eastAsia="宋体" w:cs="宋体"/>
          <w:color w:val="auto"/>
          <w:spacing w:val="-1"/>
          <w:sz w:val="24"/>
          <w:szCs w:val="24"/>
          <w:lang w:val="en-US" w:eastAsia="zh-CN"/>
        </w:rPr>
        <w:t>应急监测方案</w:t>
      </w:r>
      <w:r>
        <w:rPr>
          <w:rFonts w:ascii="宋体" w:hAnsi="宋体" w:eastAsia="宋体" w:cs="宋体"/>
          <w:color w:val="auto"/>
          <w:spacing w:val="-1"/>
          <w:sz w:val="24"/>
          <w:szCs w:val="24"/>
        </w:rPr>
        <w:t>见下表。</w:t>
      </w:r>
    </w:p>
    <w:p w14:paraId="6A3F17DD">
      <w:pPr>
        <w:spacing w:before="1" w:line="228" w:lineRule="auto"/>
        <w:ind w:left="2892"/>
        <w:rPr>
          <w:rFonts w:ascii="宋体" w:hAnsi="宋体" w:eastAsia="宋体" w:cs="宋体"/>
          <w:color w:val="auto"/>
          <w:sz w:val="21"/>
          <w:szCs w:val="21"/>
        </w:rPr>
      </w:pPr>
      <w:r>
        <w:rPr>
          <w:rFonts w:ascii="宋体" w:hAnsi="宋体" w:eastAsia="宋体" w:cs="宋体"/>
          <w:b/>
          <w:bCs/>
          <w:color w:val="auto"/>
          <w:spacing w:val="4"/>
          <w:sz w:val="21"/>
          <w:szCs w:val="21"/>
        </w:rPr>
        <w:t>表</w:t>
      </w:r>
      <w:r>
        <w:rPr>
          <w:rFonts w:ascii="宋体" w:hAnsi="宋体" w:eastAsia="宋体" w:cs="宋体"/>
          <w:color w:val="auto"/>
          <w:spacing w:val="-42"/>
          <w:sz w:val="21"/>
          <w:szCs w:val="21"/>
        </w:rPr>
        <w:t xml:space="preserve"> </w:t>
      </w:r>
      <w:r>
        <w:rPr>
          <w:rFonts w:hint="eastAsia" w:ascii="Times New Roman" w:hAnsi="Times New Roman" w:eastAsia="宋体" w:cs="Times New Roman"/>
          <w:b/>
          <w:bCs/>
          <w:color w:val="auto"/>
          <w:spacing w:val="4"/>
          <w:sz w:val="21"/>
          <w:szCs w:val="21"/>
          <w:lang w:val="en-US" w:eastAsia="zh-CN"/>
        </w:rPr>
        <w:t>8-1</w:t>
      </w:r>
      <w:r>
        <w:rPr>
          <w:rFonts w:ascii="Times New Roman" w:hAnsi="Times New Roman" w:eastAsia="Times New Roman" w:cs="Times New Roman"/>
          <w:b/>
          <w:bCs/>
          <w:color w:val="auto"/>
          <w:spacing w:val="4"/>
          <w:sz w:val="21"/>
          <w:szCs w:val="21"/>
        </w:rPr>
        <w:t xml:space="preserve">  </w:t>
      </w:r>
      <w:r>
        <w:rPr>
          <w:rFonts w:ascii="宋体" w:hAnsi="宋体" w:eastAsia="宋体" w:cs="宋体"/>
          <w:b/>
          <w:bCs/>
          <w:color w:val="auto"/>
          <w:spacing w:val="4"/>
          <w:sz w:val="21"/>
          <w:szCs w:val="21"/>
        </w:rPr>
        <w:t>监测因子一览表</w:t>
      </w:r>
    </w:p>
    <w:p w14:paraId="3B71E761">
      <w:pPr>
        <w:spacing w:line="133" w:lineRule="auto"/>
        <w:rPr>
          <w:rFonts w:ascii="Arial"/>
          <w:color w:val="auto"/>
          <w:sz w:val="21"/>
          <w:szCs w:val="21"/>
        </w:rPr>
      </w:pPr>
    </w:p>
    <w:tbl>
      <w:tblPr>
        <w:tblStyle w:val="85"/>
        <w:tblW w:w="8514"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60"/>
        <w:gridCol w:w="910"/>
        <w:gridCol w:w="1095"/>
        <w:gridCol w:w="5149"/>
      </w:tblGrid>
      <w:tr w14:paraId="45132F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1360" w:type="dxa"/>
            <w:tcBorders>
              <w:tl2br w:val="nil"/>
              <w:tr2bl w:val="nil"/>
            </w:tcBorders>
            <w:vAlign w:val="center"/>
          </w:tcPr>
          <w:p w14:paraId="36E8B063">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b/>
                <w:bCs/>
                <w:color w:val="auto"/>
                <w:spacing w:val="3"/>
                <w:sz w:val="21"/>
                <w:szCs w:val="21"/>
              </w:rPr>
              <w:t>情景</w:t>
            </w:r>
          </w:p>
        </w:tc>
        <w:tc>
          <w:tcPr>
            <w:tcW w:w="910" w:type="dxa"/>
            <w:tcBorders>
              <w:tl2br w:val="nil"/>
              <w:tr2bl w:val="nil"/>
            </w:tcBorders>
            <w:vAlign w:val="center"/>
          </w:tcPr>
          <w:p w14:paraId="54626864">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b/>
                <w:bCs/>
                <w:color w:val="auto"/>
                <w:spacing w:val="4"/>
                <w:sz w:val="21"/>
                <w:szCs w:val="21"/>
              </w:rPr>
              <w:t>发生情</w:t>
            </w:r>
            <w:r>
              <w:rPr>
                <w:b/>
                <w:bCs/>
                <w:color w:val="auto"/>
                <w:spacing w:val="-3"/>
                <w:sz w:val="21"/>
                <w:szCs w:val="21"/>
              </w:rPr>
              <w:t>况</w:t>
            </w:r>
          </w:p>
        </w:tc>
        <w:tc>
          <w:tcPr>
            <w:tcW w:w="1095" w:type="dxa"/>
            <w:tcBorders>
              <w:tl2br w:val="nil"/>
              <w:tr2bl w:val="nil"/>
            </w:tcBorders>
            <w:vAlign w:val="center"/>
          </w:tcPr>
          <w:p w14:paraId="06F45628">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eastAsia="宋体"/>
                <w:color w:val="auto"/>
                <w:sz w:val="21"/>
                <w:szCs w:val="21"/>
                <w:lang w:eastAsia="zh-CN"/>
              </w:rPr>
            </w:pPr>
            <w:r>
              <w:rPr>
                <w:rFonts w:hint="eastAsia"/>
                <w:b/>
                <w:bCs/>
                <w:color w:val="auto"/>
                <w:spacing w:val="6"/>
                <w:sz w:val="21"/>
                <w:szCs w:val="21"/>
                <w:lang w:val="en-US" w:eastAsia="zh-CN"/>
              </w:rPr>
              <w:t>项目</w:t>
            </w:r>
          </w:p>
        </w:tc>
        <w:tc>
          <w:tcPr>
            <w:tcW w:w="5149" w:type="dxa"/>
            <w:tcBorders>
              <w:tl2br w:val="nil"/>
              <w:tr2bl w:val="nil"/>
            </w:tcBorders>
            <w:vAlign w:val="center"/>
          </w:tcPr>
          <w:p w14:paraId="3E9B421B">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b/>
                <w:bCs/>
                <w:color w:val="auto"/>
                <w:spacing w:val="6"/>
                <w:sz w:val="21"/>
                <w:szCs w:val="21"/>
              </w:rPr>
              <w:t>监测因子</w:t>
            </w:r>
          </w:p>
        </w:tc>
      </w:tr>
      <w:tr w14:paraId="0B9C71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0" w:hRule="atLeast"/>
        </w:trPr>
        <w:tc>
          <w:tcPr>
            <w:tcW w:w="1360" w:type="dxa"/>
            <w:vMerge w:val="restart"/>
            <w:tcBorders>
              <w:tl2br w:val="nil"/>
              <w:tr2bl w:val="nil"/>
            </w:tcBorders>
            <w:vAlign w:val="center"/>
          </w:tcPr>
          <w:p w14:paraId="4410477A">
            <w:pPr>
              <w:pStyle w:val="115"/>
              <w:keepNext w:val="0"/>
              <w:keepLines w:val="0"/>
              <w:pageBreakBefore w:val="0"/>
              <w:widowControl w:val="0"/>
              <w:kinsoku/>
              <w:wordWrap/>
              <w:overflowPunct/>
              <w:topLinePunct w:val="0"/>
              <w:autoSpaceDE/>
              <w:autoSpaceDN/>
              <w:bidi w:val="0"/>
              <w:adjustRightInd/>
              <w:snapToGrid/>
              <w:spacing w:line="240" w:lineRule="auto"/>
              <w:ind w:left="0" w:right="0" w:firstLine="26"/>
              <w:jc w:val="center"/>
              <w:textAlignment w:val="auto"/>
              <w:rPr>
                <w:color w:val="auto"/>
                <w:sz w:val="21"/>
                <w:szCs w:val="21"/>
              </w:rPr>
            </w:pPr>
            <w:r>
              <w:rPr>
                <w:color w:val="auto"/>
                <w:spacing w:val="3"/>
                <w:sz w:val="21"/>
                <w:szCs w:val="21"/>
              </w:rPr>
              <w:t>由生产、输</w:t>
            </w:r>
            <w:r>
              <w:rPr>
                <w:color w:val="auto"/>
                <w:spacing w:val="8"/>
                <w:sz w:val="21"/>
                <w:szCs w:val="21"/>
              </w:rPr>
              <w:t>送物料、维修等引发的火灾、爆炸</w:t>
            </w:r>
          </w:p>
        </w:tc>
        <w:tc>
          <w:tcPr>
            <w:tcW w:w="910" w:type="dxa"/>
            <w:vMerge w:val="restart"/>
            <w:tcBorders>
              <w:tl2br w:val="nil"/>
              <w:tr2bl w:val="nil"/>
            </w:tcBorders>
            <w:vAlign w:val="center"/>
          </w:tcPr>
          <w:p w14:paraId="51701ECD">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2"/>
                <w:sz w:val="21"/>
                <w:szCs w:val="21"/>
              </w:rPr>
              <w:t>火灾、</w:t>
            </w:r>
          </w:p>
          <w:p w14:paraId="29BFB026">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6"/>
                <w:sz w:val="21"/>
                <w:szCs w:val="21"/>
              </w:rPr>
              <w:t>爆炸事</w:t>
            </w:r>
          </w:p>
          <w:p w14:paraId="409AE03C">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z w:val="21"/>
                <w:szCs w:val="21"/>
              </w:rPr>
              <w:t>故</w:t>
            </w:r>
          </w:p>
        </w:tc>
        <w:tc>
          <w:tcPr>
            <w:tcW w:w="1095" w:type="dxa"/>
            <w:tcBorders>
              <w:tl2br w:val="nil"/>
              <w:tr2bl w:val="nil"/>
            </w:tcBorders>
            <w:vAlign w:val="center"/>
          </w:tcPr>
          <w:p w14:paraId="68FB4512">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3"/>
                <w:sz w:val="21"/>
                <w:szCs w:val="21"/>
              </w:rPr>
              <w:t>大气</w:t>
            </w:r>
          </w:p>
        </w:tc>
        <w:tc>
          <w:tcPr>
            <w:tcW w:w="5149" w:type="dxa"/>
            <w:tcBorders>
              <w:tl2br w:val="nil"/>
              <w:tr2bl w:val="nil"/>
            </w:tcBorders>
            <w:vAlign w:val="center"/>
          </w:tcPr>
          <w:p w14:paraId="376B8FEF">
            <w:pPr>
              <w:pStyle w:val="115"/>
              <w:keepNext w:val="0"/>
              <w:keepLines w:val="0"/>
              <w:pageBreakBefore w:val="0"/>
              <w:widowControl w:val="0"/>
              <w:kinsoku/>
              <w:wordWrap/>
              <w:overflowPunct/>
              <w:topLinePunct w:val="0"/>
              <w:autoSpaceDE/>
              <w:autoSpaceDN/>
              <w:bidi w:val="0"/>
              <w:adjustRightInd/>
              <w:snapToGrid/>
              <w:spacing w:line="240" w:lineRule="auto"/>
              <w:ind w:left="0" w:right="0" w:hanging="1"/>
              <w:jc w:val="both"/>
              <w:textAlignment w:val="auto"/>
              <w:rPr>
                <w:color w:val="auto"/>
                <w:sz w:val="21"/>
                <w:szCs w:val="21"/>
              </w:rPr>
            </w:pPr>
            <w:r>
              <w:rPr>
                <w:color w:val="auto"/>
                <w:spacing w:val="10"/>
                <w:sz w:val="21"/>
                <w:szCs w:val="21"/>
              </w:rPr>
              <w:t>颗粒物、二氧化硫、氮氧化物、非甲烷总烃、</w:t>
            </w:r>
            <w:r>
              <w:rPr>
                <w:rFonts w:ascii="Times New Roman" w:hAnsi="Times New Roman" w:eastAsia="Times New Roman" w:cs="Times New Roman"/>
                <w:color w:val="auto"/>
                <w:sz w:val="21"/>
                <w:szCs w:val="21"/>
              </w:rPr>
              <w:t>CO</w:t>
            </w:r>
            <w:r>
              <w:rPr>
                <w:rFonts w:ascii="Times New Roman" w:hAnsi="Times New Roman" w:eastAsia="Times New Roman" w:cs="Times New Roman"/>
                <w:color w:val="auto"/>
                <w:spacing w:val="-24"/>
                <w:sz w:val="21"/>
                <w:szCs w:val="21"/>
              </w:rPr>
              <w:t xml:space="preserve"> </w:t>
            </w:r>
            <w:r>
              <w:rPr>
                <w:color w:val="auto"/>
                <w:spacing w:val="10"/>
                <w:sz w:val="21"/>
                <w:szCs w:val="21"/>
              </w:rPr>
              <w:t>、臭</w:t>
            </w:r>
            <w:r>
              <w:rPr>
                <w:color w:val="auto"/>
                <w:spacing w:val="6"/>
                <w:sz w:val="21"/>
                <w:szCs w:val="21"/>
              </w:rPr>
              <w:t>气浓度</w:t>
            </w:r>
          </w:p>
        </w:tc>
      </w:tr>
      <w:tr w14:paraId="3FB8E9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6" w:hRule="atLeast"/>
        </w:trPr>
        <w:tc>
          <w:tcPr>
            <w:tcW w:w="1360" w:type="dxa"/>
            <w:vMerge w:val="continue"/>
            <w:tcBorders>
              <w:tl2br w:val="nil"/>
              <w:tr2bl w:val="nil"/>
            </w:tcBorders>
            <w:vAlign w:val="center"/>
          </w:tcPr>
          <w:p w14:paraId="17AC093E">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Arial"/>
                <w:color w:val="auto"/>
                <w:sz w:val="21"/>
                <w:szCs w:val="21"/>
              </w:rPr>
            </w:pPr>
          </w:p>
        </w:tc>
        <w:tc>
          <w:tcPr>
            <w:tcW w:w="910" w:type="dxa"/>
            <w:vMerge w:val="continue"/>
            <w:tcBorders>
              <w:tl2br w:val="nil"/>
              <w:tr2bl w:val="nil"/>
            </w:tcBorders>
            <w:vAlign w:val="center"/>
          </w:tcPr>
          <w:p w14:paraId="2951582E">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Arial"/>
                <w:color w:val="auto"/>
                <w:sz w:val="21"/>
                <w:szCs w:val="21"/>
              </w:rPr>
            </w:pPr>
          </w:p>
        </w:tc>
        <w:tc>
          <w:tcPr>
            <w:tcW w:w="1095" w:type="dxa"/>
            <w:tcBorders>
              <w:tl2br w:val="nil"/>
              <w:tr2bl w:val="nil"/>
            </w:tcBorders>
            <w:vAlign w:val="center"/>
          </w:tcPr>
          <w:p w14:paraId="4EAF73DE">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6"/>
                <w:sz w:val="21"/>
                <w:szCs w:val="21"/>
              </w:rPr>
              <w:t>地下水</w:t>
            </w:r>
          </w:p>
        </w:tc>
        <w:tc>
          <w:tcPr>
            <w:tcW w:w="5149" w:type="dxa"/>
            <w:tcBorders>
              <w:tl2br w:val="nil"/>
              <w:tr2bl w:val="nil"/>
            </w:tcBorders>
            <w:vAlign w:val="center"/>
          </w:tcPr>
          <w:p w14:paraId="69381FCA">
            <w:pPr>
              <w:pStyle w:val="115"/>
              <w:keepNext w:val="0"/>
              <w:keepLines w:val="0"/>
              <w:pageBreakBefore w:val="0"/>
              <w:widowControl w:val="0"/>
              <w:kinsoku/>
              <w:wordWrap/>
              <w:overflowPunct/>
              <w:topLinePunct w:val="0"/>
              <w:autoSpaceDE/>
              <w:autoSpaceDN/>
              <w:bidi w:val="0"/>
              <w:adjustRightInd/>
              <w:snapToGrid/>
              <w:spacing w:line="240" w:lineRule="auto"/>
              <w:ind w:left="0" w:right="0" w:hanging="7"/>
              <w:jc w:val="both"/>
              <w:textAlignment w:val="auto"/>
              <w:rPr>
                <w:color w:val="auto"/>
                <w:sz w:val="21"/>
                <w:szCs w:val="21"/>
              </w:rPr>
            </w:pPr>
            <w:r>
              <w:rPr>
                <w:rFonts w:ascii="Times New Roman" w:hAnsi="Times New Roman" w:eastAsia="Times New Roman" w:cs="Times New Roman"/>
                <w:color w:val="auto"/>
                <w:sz w:val="21"/>
                <w:szCs w:val="21"/>
              </w:rPr>
              <w:t>pH</w:t>
            </w:r>
            <w:r>
              <w:rPr>
                <w:rFonts w:ascii="Times New Roman" w:hAnsi="Times New Roman" w:eastAsia="Times New Roman" w:cs="Times New Roman"/>
                <w:color w:val="auto"/>
                <w:spacing w:val="-27"/>
                <w:sz w:val="21"/>
                <w:szCs w:val="21"/>
              </w:rPr>
              <w:t xml:space="preserve"> </w:t>
            </w:r>
            <w:r>
              <w:rPr>
                <w:color w:val="auto"/>
                <w:spacing w:val="6"/>
                <w:sz w:val="21"/>
                <w:szCs w:val="21"/>
              </w:rPr>
              <w:t>、耗氧量、氨氮、硝酸盐、亚硝酸盐、挥发</w:t>
            </w:r>
            <w:r>
              <w:rPr>
                <w:color w:val="auto"/>
                <w:spacing w:val="5"/>
                <w:sz w:val="21"/>
                <w:szCs w:val="21"/>
              </w:rPr>
              <w:t>性酚类、</w:t>
            </w:r>
            <w:r>
              <w:rPr>
                <w:color w:val="auto"/>
                <w:spacing w:val="8"/>
                <w:sz w:val="21"/>
                <w:szCs w:val="21"/>
              </w:rPr>
              <w:t>氰化物、砷、汞、六价铬、总硬度、铅、氟、镉、铁、</w:t>
            </w:r>
            <w:r>
              <w:rPr>
                <w:color w:val="auto"/>
                <w:spacing w:val="14"/>
                <w:sz w:val="21"/>
                <w:szCs w:val="21"/>
              </w:rPr>
              <w:t>锰、溶解性总固体、硫酸盐、氯化物、总大肠菌群、</w:t>
            </w:r>
            <w:r>
              <w:rPr>
                <w:color w:val="auto"/>
                <w:spacing w:val="9"/>
                <w:sz w:val="21"/>
                <w:szCs w:val="21"/>
              </w:rPr>
              <w:t>细菌总数、石油类等</w:t>
            </w:r>
          </w:p>
        </w:tc>
      </w:tr>
      <w:tr w14:paraId="4D6B76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360" w:type="dxa"/>
            <w:vMerge w:val="continue"/>
            <w:tcBorders>
              <w:tl2br w:val="nil"/>
              <w:tr2bl w:val="nil"/>
            </w:tcBorders>
            <w:vAlign w:val="center"/>
          </w:tcPr>
          <w:p w14:paraId="0861EFF1">
            <w:pPr>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rFonts w:ascii="Arial"/>
                <w:color w:val="auto"/>
                <w:sz w:val="21"/>
                <w:szCs w:val="21"/>
              </w:rPr>
            </w:pPr>
          </w:p>
        </w:tc>
        <w:tc>
          <w:tcPr>
            <w:tcW w:w="910" w:type="dxa"/>
            <w:vMerge w:val="continue"/>
            <w:tcBorders>
              <w:tl2br w:val="nil"/>
              <w:tr2bl w:val="nil"/>
            </w:tcBorders>
            <w:vAlign w:val="center"/>
          </w:tcPr>
          <w:p w14:paraId="55026606">
            <w:pPr>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rFonts w:ascii="Arial"/>
                <w:color w:val="auto"/>
                <w:sz w:val="21"/>
                <w:szCs w:val="21"/>
              </w:rPr>
            </w:pPr>
          </w:p>
        </w:tc>
        <w:tc>
          <w:tcPr>
            <w:tcW w:w="1095" w:type="dxa"/>
            <w:tcBorders>
              <w:tl2br w:val="nil"/>
              <w:tr2bl w:val="nil"/>
            </w:tcBorders>
            <w:vAlign w:val="center"/>
          </w:tcPr>
          <w:p w14:paraId="0DE4B2FB">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6"/>
                <w:sz w:val="21"/>
                <w:szCs w:val="21"/>
              </w:rPr>
              <w:t>地表水</w:t>
            </w:r>
          </w:p>
        </w:tc>
        <w:tc>
          <w:tcPr>
            <w:tcW w:w="5149" w:type="dxa"/>
            <w:tcBorders>
              <w:tl2br w:val="nil"/>
              <w:tr2bl w:val="nil"/>
            </w:tcBorders>
            <w:vAlign w:val="center"/>
          </w:tcPr>
          <w:p w14:paraId="2A0A1415">
            <w:pPr>
              <w:pStyle w:val="115"/>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color w:val="auto"/>
                <w:sz w:val="21"/>
                <w:szCs w:val="21"/>
              </w:rPr>
            </w:pPr>
            <w:r>
              <w:rPr>
                <w:color w:val="auto"/>
                <w:spacing w:val="8"/>
                <w:sz w:val="21"/>
                <w:szCs w:val="21"/>
              </w:rPr>
              <w:t>流量、</w:t>
            </w:r>
            <w:r>
              <w:rPr>
                <w:rFonts w:ascii="Times New Roman" w:hAnsi="Times New Roman" w:eastAsia="Times New Roman" w:cs="Times New Roman"/>
                <w:color w:val="auto"/>
                <w:sz w:val="21"/>
                <w:szCs w:val="21"/>
              </w:rPr>
              <w:t>pH</w:t>
            </w:r>
            <w:r>
              <w:rPr>
                <w:rFonts w:ascii="Times New Roman" w:hAnsi="Times New Roman" w:eastAsia="Times New Roman" w:cs="Times New Roman"/>
                <w:color w:val="auto"/>
                <w:spacing w:val="-15"/>
                <w:sz w:val="21"/>
                <w:szCs w:val="21"/>
              </w:rPr>
              <w:t xml:space="preserve"> </w:t>
            </w:r>
            <w:r>
              <w:rPr>
                <w:color w:val="auto"/>
                <w:spacing w:val="8"/>
                <w:sz w:val="21"/>
                <w:szCs w:val="21"/>
              </w:rPr>
              <w:t>、</w:t>
            </w:r>
            <w:r>
              <w:rPr>
                <w:rFonts w:ascii="Times New Roman" w:hAnsi="Times New Roman" w:eastAsia="Times New Roman" w:cs="Times New Roman"/>
                <w:color w:val="auto"/>
                <w:sz w:val="21"/>
                <w:szCs w:val="21"/>
              </w:rPr>
              <w:t>COD</w:t>
            </w:r>
            <w:r>
              <w:rPr>
                <w:rFonts w:ascii="Times New Roman" w:hAnsi="Times New Roman" w:eastAsia="Times New Roman" w:cs="Times New Roman"/>
                <w:color w:val="auto"/>
                <w:spacing w:val="-24"/>
                <w:sz w:val="21"/>
                <w:szCs w:val="21"/>
              </w:rPr>
              <w:t xml:space="preserve"> </w:t>
            </w:r>
            <w:r>
              <w:rPr>
                <w:color w:val="auto"/>
                <w:spacing w:val="8"/>
                <w:sz w:val="21"/>
                <w:szCs w:val="21"/>
              </w:rPr>
              <w:t>、</w:t>
            </w:r>
            <w:r>
              <w:rPr>
                <w:rFonts w:ascii="Times New Roman" w:hAnsi="Times New Roman" w:eastAsia="Times New Roman" w:cs="Times New Roman"/>
                <w:color w:val="auto"/>
                <w:sz w:val="21"/>
                <w:szCs w:val="21"/>
              </w:rPr>
              <w:t>BOD</w:t>
            </w:r>
            <w:r>
              <w:rPr>
                <w:rFonts w:ascii="Times New Roman" w:hAnsi="Times New Roman" w:eastAsia="Times New Roman" w:cs="Times New Roman"/>
                <w:color w:val="auto"/>
                <w:spacing w:val="-25"/>
                <w:sz w:val="21"/>
                <w:szCs w:val="21"/>
              </w:rPr>
              <w:t xml:space="preserve"> </w:t>
            </w:r>
            <w:r>
              <w:rPr>
                <w:color w:val="auto"/>
                <w:spacing w:val="8"/>
                <w:sz w:val="21"/>
                <w:szCs w:val="21"/>
              </w:rPr>
              <w:t>、氨氮、总氮、总磷、石油类</w:t>
            </w:r>
            <w:r>
              <w:rPr>
                <w:color w:val="auto"/>
                <w:sz w:val="21"/>
                <w:szCs w:val="21"/>
              </w:rPr>
              <w:t>等</w:t>
            </w:r>
          </w:p>
        </w:tc>
      </w:tr>
      <w:tr w14:paraId="2C1791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0" w:hRule="atLeast"/>
        </w:trPr>
        <w:tc>
          <w:tcPr>
            <w:tcW w:w="1360" w:type="dxa"/>
            <w:vMerge w:val="continue"/>
            <w:tcBorders>
              <w:tl2br w:val="nil"/>
              <w:tr2bl w:val="nil"/>
            </w:tcBorders>
            <w:vAlign w:val="center"/>
          </w:tcPr>
          <w:p w14:paraId="492E9FAA">
            <w:pPr>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rFonts w:ascii="Arial"/>
                <w:color w:val="auto"/>
                <w:sz w:val="21"/>
                <w:szCs w:val="21"/>
              </w:rPr>
            </w:pPr>
          </w:p>
        </w:tc>
        <w:tc>
          <w:tcPr>
            <w:tcW w:w="910" w:type="dxa"/>
            <w:vMerge w:val="continue"/>
            <w:tcBorders>
              <w:tl2br w:val="nil"/>
              <w:tr2bl w:val="nil"/>
            </w:tcBorders>
            <w:vAlign w:val="center"/>
          </w:tcPr>
          <w:p w14:paraId="65F5D226">
            <w:pPr>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rFonts w:ascii="Arial"/>
                <w:color w:val="auto"/>
                <w:sz w:val="21"/>
                <w:szCs w:val="21"/>
              </w:rPr>
            </w:pPr>
          </w:p>
        </w:tc>
        <w:tc>
          <w:tcPr>
            <w:tcW w:w="1095" w:type="dxa"/>
            <w:tcBorders>
              <w:tl2br w:val="nil"/>
              <w:tr2bl w:val="nil"/>
            </w:tcBorders>
            <w:vAlign w:val="center"/>
          </w:tcPr>
          <w:p w14:paraId="20924EFD">
            <w:pPr>
              <w:pStyle w:val="11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szCs w:val="21"/>
              </w:rPr>
            </w:pPr>
            <w:r>
              <w:rPr>
                <w:color w:val="auto"/>
                <w:spacing w:val="4"/>
                <w:sz w:val="21"/>
                <w:szCs w:val="21"/>
              </w:rPr>
              <w:t>土壤</w:t>
            </w:r>
          </w:p>
        </w:tc>
        <w:tc>
          <w:tcPr>
            <w:tcW w:w="5149" w:type="dxa"/>
            <w:tcBorders>
              <w:tl2br w:val="nil"/>
              <w:tr2bl w:val="nil"/>
            </w:tcBorders>
            <w:vAlign w:val="center"/>
          </w:tcPr>
          <w:p w14:paraId="62FEBB4B">
            <w:pPr>
              <w:pStyle w:val="115"/>
              <w:keepNext w:val="0"/>
              <w:keepLines w:val="0"/>
              <w:pageBreakBefore w:val="0"/>
              <w:widowControl w:val="0"/>
              <w:kinsoku/>
              <w:wordWrap/>
              <w:overflowPunct/>
              <w:topLinePunct w:val="0"/>
              <w:autoSpaceDE/>
              <w:autoSpaceDN/>
              <w:bidi w:val="0"/>
              <w:adjustRightInd/>
              <w:snapToGrid/>
              <w:spacing w:line="240" w:lineRule="auto"/>
              <w:ind w:left="0" w:right="0"/>
              <w:jc w:val="both"/>
              <w:textAlignment w:val="auto"/>
              <w:rPr>
                <w:color w:val="auto"/>
                <w:sz w:val="21"/>
                <w:szCs w:val="21"/>
              </w:rPr>
            </w:pPr>
            <w:r>
              <w:rPr>
                <w:color w:val="auto"/>
                <w:spacing w:val="6"/>
                <w:sz w:val="21"/>
                <w:szCs w:val="21"/>
              </w:rPr>
              <w:t>基本</w:t>
            </w:r>
            <w:r>
              <w:rPr>
                <w:color w:val="auto"/>
                <w:spacing w:val="-28"/>
                <w:sz w:val="21"/>
                <w:szCs w:val="21"/>
              </w:rPr>
              <w:t xml:space="preserve"> </w:t>
            </w:r>
            <w:r>
              <w:rPr>
                <w:rFonts w:ascii="Times New Roman" w:hAnsi="Times New Roman" w:eastAsia="Times New Roman" w:cs="Times New Roman"/>
                <w:color w:val="auto"/>
                <w:spacing w:val="6"/>
                <w:sz w:val="21"/>
                <w:szCs w:val="21"/>
              </w:rPr>
              <w:t xml:space="preserve">45 </w:t>
            </w:r>
            <w:r>
              <w:rPr>
                <w:color w:val="auto"/>
                <w:spacing w:val="6"/>
                <w:sz w:val="21"/>
                <w:szCs w:val="21"/>
              </w:rPr>
              <w:t>项，</w:t>
            </w:r>
            <w:r>
              <w:rPr>
                <w:rFonts w:ascii="Times New Roman" w:hAnsi="Times New Roman" w:eastAsia="Times New Roman" w:cs="Times New Roman"/>
                <w:color w:val="auto"/>
                <w:sz w:val="21"/>
                <w:szCs w:val="21"/>
              </w:rPr>
              <w:t>PH</w:t>
            </w:r>
            <w:r>
              <w:rPr>
                <w:rFonts w:ascii="Times New Roman" w:hAnsi="Times New Roman" w:eastAsia="Times New Roman" w:cs="Times New Roman"/>
                <w:color w:val="auto"/>
                <w:spacing w:val="-24"/>
                <w:sz w:val="21"/>
                <w:szCs w:val="21"/>
              </w:rPr>
              <w:t xml:space="preserve"> </w:t>
            </w:r>
            <w:r>
              <w:rPr>
                <w:color w:val="auto"/>
                <w:spacing w:val="6"/>
                <w:sz w:val="21"/>
                <w:szCs w:val="21"/>
              </w:rPr>
              <w:t>、土壤含盐量、石油烃</w:t>
            </w:r>
            <w:r>
              <w:rPr>
                <w:rFonts w:ascii="Times New Roman" w:hAnsi="Times New Roman" w:eastAsia="Times New Roman" w:cs="Times New Roman"/>
                <w:color w:val="auto"/>
                <w:spacing w:val="6"/>
                <w:sz w:val="21"/>
                <w:szCs w:val="21"/>
              </w:rPr>
              <w:t>(C</w:t>
            </w:r>
            <w:r>
              <w:rPr>
                <w:rFonts w:ascii="Times New Roman" w:hAnsi="Times New Roman" w:eastAsia="Times New Roman" w:cs="Times New Roman"/>
                <w:color w:val="auto"/>
                <w:spacing w:val="6"/>
                <w:sz w:val="21"/>
                <w:szCs w:val="21"/>
                <w:vertAlign w:val="subscript"/>
              </w:rPr>
              <w:t>10</w:t>
            </w:r>
            <w:r>
              <w:rPr>
                <w:rFonts w:ascii="Times New Roman" w:hAnsi="Times New Roman" w:eastAsia="Times New Roman" w:cs="Times New Roman"/>
                <w:color w:val="auto"/>
                <w:spacing w:val="6"/>
                <w:sz w:val="21"/>
                <w:szCs w:val="21"/>
              </w:rPr>
              <w:t>-C</w:t>
            </w:r>
            <w:r>
              <w:rPr>
                <w:rFonts w:ascii="Times New Roman" w:hAnsi="Times New Roman" w:eastAsia="Times New Roman" w:cs="Times New Roman"/>
                <w:color w:val="auto"/>
                <w:spacing w:val="6"/>
                <w:sz w:val="21"/>
                <w:szCs w:val="21"/>
                <w:vertAlign w:val="subscript"/>
              </w:rPr>
              <w:t>40</w:t>
            </w:r>
            <w:r>
              <w:rPr>
                <w:rFonts w:ascii="Times New Roman" w:hAnsi="Times New Roman" w:eastAsia="Times New Roman" w:cs="Times New Roman"/>
                <w:color w:val="auto"/>
                <w:spacing w:val="6"/>
                <w:sz w:val="21"/>
                <w:szCs w:val="21"/>
              </w:rPr>
              <w:t>)</w:t>
            </w:r>
            <w:r>
              <w:rPr>
                <w:color w:val="auto"/>
                <w:spacing w:val="6"/>
                <w:sz w:val="21"/>
                <w:szCs w:val="21"/>
              </w:rPr>
              <w:t>等</w:t>
            </w:r>
          </w:p>
        </w:tc>
      </w:tr>
    </w:tbl>
    <w:p w14:paraId="0323BC8D">
      <w:pPr>
        <w:pStyle w:val="10"/>
        <w:spacing w:before="78" w:line="220" w:lineRule="auto"/>
        <w:outlineLvl w:val="0"/>
        <w:rPr>
          <w:color w:val="auto"/>
          <w:sz w:val="24"/>
          <w:szCs w:val="24"/>
        </w:rPr>
      </w:pPr>
      <w:bookmarkStart w:id="650" w:name="_Toc2962"/>
      <w:bookmarkStart w:id="651" w:name="_Toc25688"/>
      <w:bookmarkStart w:id="652" w:name="_Toc7696"/>
      <w:bookmarkStart w:id="653" w:name="_Toc26552"/>
      <w:bookmarkStart w:id="654" w:name="_Toc2380"/>
      <w:r>
        <w:rPr>
          <w:rFonts w:hint="eastAsia" w:cs="Times New Roman"/>
          <w:b/>
          <w:bCs/>
          <w:color w:val="auto"/>
          <w:spacing w:val="-6"/>
          <w:sz w:val="24"/>
          <w:szCs w:val="24"/>
          <w:lang w:val="en-US" w:eastAsia="zh-CN"/>
        </w:rPr>
        <w:t>9</w:t>
      </w:r>
      <w:r>
        <w:rPr>
          <w:b/>
          <w:bCs/>
          <w:color w:val="auto"/>
          <w:spacing w:val="-6"/>
          <w:sz w:val="24"/>
          <w:szCs w:val="24"/>
        </w:rPr>
        <w:t>环境风险分析结论</w:t>
      </w:r>
      <w:bookmarkEnd w:id="650"/>
      <w:bookmarkEnd w:id="651"/>
      <w:bookmarkEnd w:id="652"/>
      <w:bookmarkEnd w:id="653"/>
      <w:bookmarkEnd w:id="654"/>
    </w:p>
    <w:p w14:paraId="5A68DC2E">
      <w:pPr>
        <w:adjustRightInd/>
        <w:snapToGrid/>
        <w:spacing w:line="360" w:lineRule="auto"/>
        <w:ind w:firstLine="480" w:firstLineChars="200"/>
        <w:textAlignment w:val="auto"/>
        <w:rPr>
          <w:rFonts w:hint="default" w:ascii="Times New Roman" w:hAnsi="Times New Roman" w:cs="Times New Roman"/>
          <w:snapToGrid/>
          <w:color w:val="auto"/>
          <w:kern w:val="2"/>
          <w:sz w:val="24"/>
          <w:szCs w:val="24"/>
          <w:highlight w:val="none"/>
        </w:rPr>
      </w:pPr>
      <w:r>
        <w:rPr>
          <w:rFonts w:hint="default" w:ascii="Times New Roman" w:hAnsi="Times New Roman" w:cs="Times New Roman"/>
          <w:snapToGrid/>
          <w:color w:val="auto"/>
          <w:kern w:val="2"/>
          <w:sz w:val="24"/>
          <w:szCs w:val="24"/>
          <w:highlight w:val="none"/>
        </w:rPr>
        <w:t>在综合落实拟采取的污染控制措施和风险防范措施的基础上，本项目和公司现有工程对周围环境的环境风险影响较小，对周围环境的环境风险可控</w:t>
      </w:r>
      <w:r>
        <w:rPr>
          <w:rFonts w:hint="eastAsia" w:cs="Times New Roman"/>
          <w:snapToGrid/>
          <w:color w:val="auto"/>
          <w:kern w:val="2"/>
          <w:sz w:val="24"/>
          <w:szCs w:val="24"/>
          <w:highlight w:val="none"/>
          <w:lang w:eastAsia="zh-CN"/>
        </w:rPr>
        <w:t>，</w:t>
      </w:r>
      <w:r>
        <w:rPr>
          <w:rFonts w:hint="eastAsia" w:cs="Times New Roman"/>
          <w:snapToGrid/>
          <w:color w:val="auto"/>
          <w:kern w:val="2"/>
          <w:sz w:val="24"/>
          <w:szCs w:val="24"/>
          <w:highlight w:val="none"/>
          <w:lang w:val="en-US" w:eastAsia="zh-CN"/>
        </w:rPr>
        <w:t>风险水平可以接受</w:t>
      </w:r>
      <w:r>
        <w:rPr>
          <w:rFonts w:hint="default" w:ascii="Times New Roman" w:hAnsi="Times New Roman" w:cs="Times New Roman"/>
          <w:snapToGrid/>
          <w:color w:val="auto"/>
          <w:kern w:val="2"/>
          <w:sz w:val="24"/>
          <w:szCs w:val="24"/>
          <w:highlight w:val="none"/>
        </w:rPr>
        <w:t>。</w:t>
      </w:r>
    </w:p>
    <w:p w14:paraId="3266863C">
      <w:pPr>
        <w:adjustRightInd/>
        <w:snapToGrid/>
        <w:spacing w:line="360" w:lineRule="auto"/>
        <w:textAlignment w:val="auto"/>
        <w:rPr>
          <w:rFonts w:hint="default" w:ascii="Times New Roman" w:hAnsi="Times New Roman" w:cs="Times New Roman"/>
          <w:snapToGrid/>
          <w:color w:val="auto"/>
          <w:kern w:val="2"/>
          <w:sz w:val="24"/>
          <w:szCs w:val="24"/>
          <w:highlight w:val="none"/>
        </w:rPr>
        <w:sectPr>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pPr>
    </w:p>
    <w:p w14:paraId="1194825F">
      <w:pPr>
        <w:adjustRightInd/>
        <w:snapToGrid/>
        <w:spacing w:line="360" w:lineRule="auto"/>
        <w:textAlignment w:val="auto"/>
        <w:rPr>
          <w:rFonts w:hint="default" w:ascii="Times New Roman" w:hAnsi="Times New Roman" w:cs="Times New Roman"/>
          <w:snapToGrid/>
          <w:color w:val="auto"/>
          <w:kern w:val="2"/>
          <w:sz w:val="24"/>
          <w:szCs w:val="24"/>
          <w:highlight w:val="none"/>
        </w:rPr>
      </w:pPr>
    </w:p>
    <w:p w14:paraId="484AB6A1">
      <w:pPr>
        <w:tabs>
          <w:tab w:val="left" w:pos="3392"/>
        </w:tabs>
        <w:jc w:val="center"/>
        <w:rPr>
          <w:rFonts w:hint="default" w:ascii="Times New Roman" w:hAnsi="Times New Roman" w:cs="Times New Roman"/>
          <w:b/>
          <w:bCs/>
          <w:color w:val="auto"/>
          <w:sz w:val="28"/>
          <w:szCs w:val="28"/>
        </w:rPr>
      </w:pPr>
      <w:r>
        <w:rPr>
          <w:rFonts w:hint="default" w:ascii="Times New Roman" w:hAnsi="Times New Roman" w:cs="Times New Roman"/>
          <w:b/>
          <w:bCs/>
          <w:color w:val="auto"/>
          <w:sz w:val="28"/>
          <w:szCs w:val="28"/>
        </w:rPr>
        <w:t>风险自查表</w:t>
      </w:r>
    </w:p>
    <w:tbl>
      <w:tblPr>
        <w:tblStyle w:val="32"/>
        <w:tblW w:w="8320" w:type="dxa"/>
        <w:tblInd w:w="-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12"/>
        <w:gridCol w:w="728"/>
        <w:gridCol w:w="1264"/>
        <w:gridCol w:w="1412"/>
        <w:gridCol w:w="544"/>
        <w:gridCol w:w="933"/>
        <w:gridCol w:w="1078"/>
        <w:gridCol w:w="393"/>
        <w:gridCol w:w="1556"/>
      </w:tblGrid>
      <w:tr w14:paraId="580FAA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1140" w:type="dxa"/>
            <w:gridSpan w:val="2"/>
            <w:tcBorders>
              <w:tl2br w:val="nil"/>
              <w:tr2bl w:val="nil"/>
            </w:tcBorders>
            <w:noWrap w:val="0"/>
            <w:vAlign w:val="center"/>
          </w:tcPr>
          <w:p w14:paraId="54582EE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工作内容</w:t>
            </w:r>
          </w:p>
        </w:tc>
        <w:tc>
          <w:tcPr>
            <w:tcW w:w="7180" w:type="dxa"/>
            <w:gridSpan w:val="7"/>
            <w:tcBorders>
              <w:tl2br w:val="nil"/>
              <w:tr2bl w:val="nil"/>
            </w:tcBorders>
            <w:noWrap w:val="0"/>
            <w:vAlign w:val="center"/>
          </w:tcPr>
          <w:p w14:paraId="1B4DC8F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lang w:val="en-US" w:eastAsia="zh-CN"/>
              </w:rPr>
            </w:pPr>
            <w:r>
              <w:rPr>
                <w:rFonts w:hint="default" w:ascii="Times New Roman" w:hAnsi="Times New Roman" w:cs="Times New Roman"/>
                <w:color w:val="auto"/>
                <w:sz w:val="18"/>
                <w:lang w:val="en-US" w:eastAsia="zh-CN"/>
              </w:rPr>
              <w:t>自查项</w:t>
            </w:r>
          </w:p>
        </w:tc>
      </w:tr>
      <w:tr w14:paraId="3D31F5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412" w:type="dxa"/>
            <w:vMerge w:val="restart"/>
            <w:tcBorders>
              <w:tl2br w:val="nil"/>
              <w:tr2bl w:val="nil"/>
            </w:tcBorders>
            <w:noWrap w:val="0"/>
            <w:vAlign w:val="center"/>
          </w:tcPr>
          <w:p w14:paraId="05FD24FC">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p>
          <w:p w14:paraId="4D84DCD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3"/>
              </w:rPr>
            </w:pPr>
          </w:p>
          <w:p w14:paraId="224EF19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风险调查</w:t>
            </w:r>
          </w:p>
        </w:tc>
        <w:tc>
          <w:tcPr>
            <w:tcW w:w="728" w:type="dxa"/>
            <w:vMerge w:val="restart"/>
            <w:tcBorders>
              <w:tl2br w:val="nil"/>
              <w:tr2bl w:val="nil"/>
            </w:tcBorders>
            <w:noWrap w:val="0"/>
            <w:vAlign w:val="center"/>
          </w:tcPr>
          <w:p w14:paraId="0C8A3037">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危险物质</w:t>
            </w:r>
          </w:p>
        </w:tc>
        <w:tc>
          <w:tcPr>
            <w:tcW w:w="1264" w:type="dxa"/>
            <w:tcBorders>
              <w:tl2br w:val="nil"/>
              <w:tr2bl w:val="nil"/>
            </w:tcBorders>
            <w:noWrap w:val="0"/>
            <w:vAlign w:val="center"/>
          </w:tcPr>
          <w:p w14:paraId="4543A394">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名称</w:t>
            </w:r>
          </w:p>
        </w:tc>
        <w:tc>
          <w:tcPr>
            <w:tcW w:w="1412" w:type="dxa"/>
            <w:tcBorders>
              <w:tl2br w:val="nil"/>
              <w:tr2bl w:val="nil"/>
            </w:tcBorders>
            <w:noWrap w:val="0"/>
            <w:vAlign w:val="center"/>
          </w:tcPr>
          <w:p w14:paraId="480F6AEE">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硝酸铵</w:t>
            </w:r>
          </w:p>
        </w:tc>
        <w:tc>
          <w:tcPr>
            <w:tcW w:w="1477" w:type="dxa"/>
            <w:gridSpan w:val="2"/>
            <w:tcBorders>
              <w:tl2br w:val="nil"/>
              <w:tr2bl w:val="nil"/>
            </w:tcBorders>
            <w:noWrap w:val="0"/>
            <w:vAlign w:val="center"/>
          </w:tcPr>
          <w:p w14:paraId="3342754D">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油类物质</w:t>
            </w:r>
          </w:p>
        </w:tc>
        <w:tc>
          <w:tcPr>
            <w:tcW w:w="1471" w:type="dxa"/>
            <w:gridSpan w:val="2"/>
            <w:tcBorders>
              <w:tl2br w:val="nil"/>
              <w:tr2bl w:val="nil"/>
            </w:tcBorders>
            <w:noWrap w:val="0"/>
            <w:vAlign w:val="center"/>
          </w:tcPr>
          <w:p w14:paraId="7E31235A">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sz w:val="18"/>
                <w:lang w:val="en-US" w:eastAsia="zh-CN"/>
              </w:rPr>
            </w:pPr>
            <w:r>
              <w:rPr>
                <w:rFonts w:hint="default" w:ascii="Times New Roman" w:hAnsi="Times New Roman" w:eastAsia="宋体" w:cs="Times New Roman"/>
                <w:color w:val="auto"/>
                <w:sz w:val="18"/>
                <w:lang w:val="en-US" w:eastAsia="zh-CN"/>
              </w:rPr>
              <w:t>油墨(2-丁酮)</w:t>
            </w:r>
          </w:p>
        </w:tc>
        <w:tc>
          <w:tcPr>
            <w:tcW w:w="1556" w:type="dxa"/>
            <w:tcBorders>
              <w:tl2br w:val="nil"/>
              <w:tr2bl w:val="nil"/>
            </w:tcBorders>
            <w:noWrap w:val="0"/>
            <w:vAlign w:val="center"/>
          </w:tcPr>
          <w:p w14:paraId="64B861E0">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sz w:val="18"/>
                <w:lang w:val="en-US" w:eastAsia="zh-CN"/>
              </w:rPr>
            </w:pPr>
            <w:r>
              <w:rPr>
                <w:rFonts w:hint="default" w:ascii="Times New Roman" w:hAnsi="Times New Roman" w:eastAsia="宋体" w:cs="Times New Roman"/>
                <w:color w:val="auto"/>
                <w:sz w:val="18"/>
                <w:lang w:val="en-US" w:eastAsia="zh-CN"/>
              </w:rPr>
              <w:t>油墨添加剂(2-丁酮</w:t>
            </w:r>
            <w:r>
              <w:rPr>
                <w:rFonts w:hint="eastAsia" w:cs="Times New Roman"/>
                <w:color w:val="auto"/>
                <w:sz w:val="18"/>
                <w:lang w:val="en-US" w:eastAsia="zh-CN"/>
              </w:rPr>
              <w:t>、乙酸乙酯</w:t>
            </w:r>
            <w:r>
              <w:rPr>
                <w:rFonts w:hint="default" w:ascii="Times New Roman" w:hAnsi="Times New Roman" w:eastAsia="宋体" w:cs="Times New Roman"/>
                <w:color w:val="auto"/>
                <w:sz w:val="18"/>
                <w:lang w:val="en-US" w:eastAsia="zh-CN"/>
              </w:rPr>
              <w:t>)</w:t>
            </w:r>
          </w:p>
        </w:tc>
      </w:tr>
      <w:tr w14:paraId="37E5DE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412" w:type="dxa"/>
            <w:vMerge w:val="continue"/>
            <w:tcBorders>
              <w:tl2br w:val="nil"/>
              <w:tr2bl w:val="nil"/>
            </w:tcBorders>
            <w:noWrap w:val="0"/>
            <w:vAlign w:val="center"/>
          </w:tcPr>
          <w:p w14:paraId="666D2184">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p>
        </w:tc>
        <w:tc>
          <w:tcPr>
            <w:tcW w:w="728" w:type="dxa"/>
            <w:vMerge w:val="continue"/>
            <w:tcBorders>
              <w:tl2br w:val="nil"/>
              <w:tr2bl w:val="nil"/>
            </w:tcBorders>
            <w:noWrap w:val="0"/>
            <w:vAlign w:val="center"/>
          </w:tcPr>
          <w:p w14:paraId="1A96E57E">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p>
        </w:tc>
        <w:tc>
          <w:tcPr>
            <w:tcW w:w="1264" w:type="dxa"/>
            <w:tcBorders>
              <w:tl2br w:val="nil"/>
              <w:tr2bl w:val="nil"/>
            </w:tcBorders>
            <w:noWrap w:val="0"/>
            <w:vAlign w:val="center"/>
          </w:tcPr>
          <w:p w14:paraId="23D2E1D2">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存在总量/t</w:t>
            </w:r>
          </w:p>
        </w:tc>
        <w:tc>
          <w:tcPr>
            <w:tcW w:w="1412" w:type="dxa"/>
            <w:tcBorders>
              <w:tl2br w:val="nil"/>
              <w:tr2bl w:val="nil"/>
            </w:tcBorders>
            <w:noWrap w:val="0"/>
            <w:vAlign w:val="center"/>
          </w:tcPr>
          <w:p w14:paraId="4E07A56F">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snapToGrid/>
                <w:color w:val="auto"/>
                <w:sz w:val="21"/>
                <w:szCs w:val="21"/>
                <w:highlight w:val="none"/>
                <w:lang w:val="en-US" w:eastAsia="zh-CN"/>
              </w:rPr>
              <w:t>561.5</w:t>
            </w:r>
          </w:p>
        </w:tc>
        <w:tc>
          <w:tcPr>
            <w:tcW w:w="1477" w:type="dxa"/>
            <w:gridSpan w:val="2"/>
            <w:tcBorders>
              <w:tl2br w:val="nil"/>
              <w:tr2bl w:val="nil"/>
            </w:tcBorders>
            <w:noWrap w:val="0"/>
            <w:vAlign w:val="center"/>
          </w:tcPr>
          <w:p w14:paraId="73C353C2">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w:t>
            </w:r>
            <w:r>
              <w:rPr>
                <w:rFonts w:hint="eastAsia" w:cs="Times New Roman"/>
                <w:color w:val="auto"/>
                <w:sz w:val="18"/>
                <w:szCs w:val="18"/>
                <w:lang w:val="en-US" w:eastAsia="zh-CN"/>
              </w:rPr>
              <w:t>6</w:t>
            </w:r>
          </w:p>
        </w:tc>
        <w:tc>
          <w:tcPr>
            <w:tcW w:w="1471" w:type="dxa"/>
            <w:gridSpan w:val="2"/>
            <w:tcBorders>
              <w:tl2br w:val="nil"/>
              <w:tr2bl w:val="nil"/>
            </w:tcBorders>
            <w:noWrap w:val="0"/>
            <w:vAlign w:val="center"/>
          </w:tcPr>
          <w:p w14:paraId="7A767CB4">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sz w:val="18"/>
                <w:lang w:val="en-US" w:eastAsia="zh-CN"/>
              </w:rPr>
            </w:pPr>
            <w:r>
              <w:rPr>
                <w:rFonts w:hint="eastAsia" w:cs="Times New Roman"/>
                <w:color w:val="auto"/>
                <w:sz w:val="18"/>
                <w:lang w:val="en-US" w:eastAsia="zh-CN"/>
              </w:rPr>
              <w:t>0.001</w:t>
            </w:r>
          </w:p>
        </w:tc>
        <w:tc>
          <w:tcPr>
            <w:tcW w:w="1556" w:type="dxa"/>
            <w:tcBorders>
              <w:tl2br w:val="nil"/>
              <w:tr2bl w:val="nil"/>
            </w:tcBorders>
            <w:noWrap w:val="0"/>
            <w:vAlign w:val="center"/>
          </w:tcPr>
          <w:p w14:paraId="7AF1FCCA">
            <w:pPr>
              <w:pStyle w:val="40"/>
              <w:keepNext w:val="0"/>
              <w:keepLines w:val="0"/>
              <w:pageBreakBefore w:val="0"/>
              <w:widowControl w:val="0"/>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0.002</w:t>
            </w:r>
          </w:p>
        </w:tc>
      </w:tr>
      <w:tr w14:paraId="6FD37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412" w:type="dxa"/>
            <w:vMerge w:val="continue"/>
            <w:tcBorders>
              <w:tl2br w:val="nil"/>
              <w:tr2bl w:val="nil"/>
            </w:tcBorders>
            <w:noWrap w:val="0"/>
            <w:vAlign w:val="center"/>
          </w:tcPr>
          <w:p w14:paraId="7F1AFBAC">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restart"/>
            <w:tcBorders>
              <w:tl2br w:val="nil"/>
              <w:tr2bl w:val="nil"/>
            </w:tcBorders>
            <w:noWrap w:val="0"/>
            <w:vAlign w:val="center"/>
          </w:tcPr>
          <w:p w14:paraId="1240E2D4">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p>
          <w:p w14:paraId="019A868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1"/>
              </w:rPr>
            </w:pPr>
          </w:p>
          <w:p w14:paraId="3C597AD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环境敏感性</w:t>
            </w:r>
          </w:p>
        </w:tc>
        <w:tc>
          <w:tcPr>
            <w:tcW w:w="1264" w:type="dxa"/>
            <w:vMerge w:val="restart"/>
            <w:tcBorders>
              <w:tl2br w:val="nil"/>
              <w:tr2bl w:val="nil"/>
            </w:tcBorders>
            <w:noWrap w:val="0"/>
            <w:vAlign w:val="center"/>
          </w:tcPr>
          <w:p w14:paraId="72CD69D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大气</w:t>
            </w:r>
          </w:p>
        </w:tc>
        <w:tc>
          <w:tcPr>
            <w:tcW w:w="2889" w:type="dxa"/>
            <w:gridSpan w:val="3"/>
            <w:tcBorders>
              <w:tl2br w:val="nil"/>
              <w:tr2bl w:val="nil"/>
            </w:tcBorders>
            <w:noWrap w:val="0"/>
            <w:vAlign w:val="center"/>
          </w:tcPr>
          <w:p w14:paraId="39E942F8">
            <w:pPr>
              <w:pStyle w:val="40"/>
              <w:keepNext w:val="0"/>
              <w:keepLines w:val="0"/>
              <w:pageBreakBefore w:val="0"/>
              <w:widowControl w:val="0"/>
              <w:tabs>
                <w:tab w:val="left" w:pos="2622"/>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500 m</w:t>
            </w:r>
            <w:r>
              <w:rPr>
                <w:rFonts w:hint="default" w:ascii="Times New Roman" w:hAnsi="Times New Roman" w:eastAsia="宋体" w:cs="Times New Roman"/>
                <w:color w:val="auto"/>
                <w:spacing w:val="-2"/>
                <w:sz w:val="18"/>
              </w:rPr>
              <w:t xml:space="preserve"> </w:t>
            </w:r>
            <w:r>
              <w:rPr>
                <w:rFonts w:hint="default" w:ascii="Times New Roman" w:hAnsi="Times New Roman" w:eastAsia="宋体" w:cs="Times New Roman"/>
                <w:color w:val="auto"/>
                <w:sz w:val="18"/>
              </w:rPr>
              <w:t>范围内人口数</w:t>
            </w:r>
            <w:r>
              <w:rPr>
                <w:rFonts w:hint="default" w:ascii="Times New Roman" w:hAnsi="Times New Roman" w:eastAsia="宋体" w:cs="Times New Roman"/>
                <w:color w:val="auto"/>
                <w:sz w:val="18"/>
                <w:u w:val="single"/>
              </w:rPr>
              <w:t xml:space="preserve"> </w:t>
            </w:r>
            <w:r>
              <w:rPr>
                <w:rFonts w:hint="eastAsia" w:ascii="Times New Roman" w:hAnsi="Times New Roman" w:eastAsia="宋体" w:cs="Times New Roman"/>
                <w:color w:val="auto"/>
                <w:sz w:val="18"/>
                <w:u w:val="single"/>
                <w:lang w:val="en-US" w:eastAsia="zh-CN"/>
              </w:rPr>
              <w:t xml:space="preserve"> 0  </w:t>
            </w:r>
            <w:r>
              <w:rPr>
                <w:rFonts w:hint="default" w:ascii="Times New Roman" w:hAnsi="Times New Roman" w:eastAsia="宋体" w:cs="Times New Roman"/>
                <w:color w:val="auto"/>
                <w:sz w:val="18"/>
              </w:rPr>
              <w:t>人</w:t>
            </w:r>
          </w:p>
        </w:tc>
        <w:tc>
          <w:tcPr>
            <w:tcW w:w="3027" w:type="dxa"/>
            <w:gridSpan w:val="3"/>
            <w:tcBorders>
              <w:tl2br w:val="nil"/>
              <w:tr2bl w:val="nil"/>
            </w:tcBorders>
            <w:noWrap w:val="0"/>
            <w:vAlign w:val="center"/>
          </w:tcPr>
          <w:p w14:paraId="6425533C">
            <w:pPr>
              <w:pStyle w:val="40"/>
              <w:keepNext w:val="0"/>
              <w:keepLines w:val="0"/>
              <w:pageBreakBefore w:val="0"/>
              <w:widowControl w:val="0"/>
              <w:tabs>
                <w:tab w:val="left" w:pos="2621"/>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5 km</w:t>
            </w:r>
            <w:r>
              <w:rPr>
                <w:rFonts w:hint="default" w:ascii="Times New Roman" w:hAnsi="Times New Roman" w:eastAsia="宋体" w:cs="Times New Roman"/>
                <w:color w:val="auto"/>
                <w:spacing w:val="-2"/>
                <w:sz w:val="18"/>
              </w:rPr>
              <w:t xml:space="preserve"> </w:t>
            </w:r>
            <w:r>
              <w:rPr>
                <w:rFonts w:hint="default" w:ascii="Times New Roman" w:hAnsi="Times New Roman" w:eastAsia="宋体" w:cs="Times New Roman"/>
                <w:color w:val="auto"/>
                <w:sz w:val="18"/>
              </w:rPr>
              <w:t>范围内人口数</w:t>
            </w:r>
            <w:r>
              <w:rPr>
                <w:rFonts w:hint="eastAsia" w:ascii="Times New Roman" w:hAnsi="Times New Roman" w:eastAsia="宋体" w:cs="Times New Roman"/>
                <w:color w:val="auto"/>
                <w:sz w:val="18"/>
                <w:u w:val="single"/>
                <w:lang w:val="en-US" w:eastAsia="zh-CN"/>
              </w:rPr>
              <w:t xml:space="preserve"> 5</w:t>
            </w:r>
            <w:r>
              <w:rPr>
                <w:rFonts w:hint="eastAsia" w:cs="Times New Roman"/>
                <w:color w:val="auto"/>
                <w:sz w:val="18"/>
                <w:u w:val="single"/>
                <w:lang w:val="en-US" w:eastAsia="zh-CN"/>
              </w:rPr>
              <w:t>0175</w:t>
            </w:r>
            <w:r>
              <w:rPr>
                <w:rFonts w:hint="eastAsia" w:ascii="Times New Roman" w:hAnsi="Times New Roman" w:eastAsia="宋体" w:cs="Times New Roman"/>
                <w:color w:val="auto"/>
                <w:sz w:val="18"/>
                <w:u w:val="single"/>
                <w:lang w:val="en-US" w:eastAsia="zh-CN"/>
              </w:rPr>
              <w:t xml:space="preserve"> </w:t>
            </w:r>
            <w:r>
              <w:rPr>
                <w:rFonts w:hint="default" w:ascii="Times New Roman" w:hAnsi="Times New Roman" w:eastAsia="宋体" w:cs="Times New Roman"/>
                <w:color w:val="auto"/>
                <w:sz w:val="18"/>
              </w:rPr>
              <w:t>人</w:t>
            </w:r>
          </w:p>
        </w:tc>
      </w:tr>
      <w:tr w14:paraId="480402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412" w:type="dxa"/>
            <w:vMerge w:val="continue"/>
            <w:tcBorders>
              <w:tl2br w:val="nil"/>
              <w:tr2bl w:val="nil"/>
            </w:tcBorders>
            <w:noWrap w:val="0"/>
            <w:vAlign w:val="center"/>
          </w:tcPr>
          <w:p w14:paraId="794912B6">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3B4CF2C8">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vMerge w:val="continue"/>
            <w:tcBorders>
              <w:tl2br w:val="nil"/>
              <w:tr2bl w:val="nil"/>
            </w:tcBorders>
            <w:noWrap w:val="0"/>
            <w:vAlign w:val="center"/>
          </w:tcPr>
          <w:p w14:paraId="3B2D393E">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4360" w:type="dxa"/>
            <w:gridSpan w:val="5"/>
            <w:tcBorders>
              <w:tl2br w:val="nil"/>
              <w:tr2bl w:val="nil"/>
            </w:tcBorders>
            <w:noWrap w:val="0"/>
            <w:vAlign w:val="center"/>
          </w:tcPr>
          <w:p w14:paraId="4220EA2E">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每公里管段周边 200 m 范围内人口数（最大）</w:t>
            </w:r>
          </w:p>
        </w:tc>
        <w:tc>
          <w:tcPr>
            <w:tcW w:w="1556" w:type="dxa"/>
            <w:tcBorders>
              <w:tl2br w:val="nil"/>
              <w:tr2bl w:val="nil"/>
            </w:tcBorders>
            <w:noWrap w:val="0"/>
            <w:vAlign w:val="center"/>
          </w:tcPr>
          <w:p w14:paraId="4B236B71">
            <w:pPr>
              <w:pStyle w:val="40"/>
              <w:keepNext w:val="0"/>
              <w:keepLines w:val="0"/>
              <w:pageBreakBefore w:val="0"/>
              <w:widowControl w:val="0"/>
              <w:tabs>
                <w:tab w:val="left" w:pos="1090"/>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eastAsia" w:ascii="Times New Roman" w:hAnsi="Times New Roman" w:eastAsia="宋体" w:cs="Times New Roman"/>
                <w:color w:val="auto"/>
                <w:sz w:val="18"/>
                <w:u w:val="single"/>
                <w:lang w:val="en-US" w:eastAsia="zh-CN"/>
              </w:rPr>
              <w:t xml:space="preserve">  </w:t>
            </w:r>
            <w:r>
              <w:rPr>
                <w:rFonts w:hint="default" w:ascii="Times New Roman" w:hAnsi="Times New Roman" w:eastAsia="宋体" w:cs="Times New Roman"/>
                <w:color w:val="auto"/>
                <w:sz w:val="18"/>
              </w:rPr>
              <w:t>人</w:t>
            </w:r>
          </w:p>
        </w:tc>
      </w:tr>
      <w:tr w14:paraId="34EDC5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412" w:type="dxa"/>
            <w:vMerge w:val="continue"/>
            <w:tcBorders>
              <w:tl2br w:val="nil"/>
              <w:tr2bl w:val="nil"/>
            </w:tcBorders>
            <w:noWrap w:val="0"/>
            <w:vAlign w:val="center"/>
          </w:tcPr>
          <w:p w14:paraId="2BE2DC02">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43F7E684">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vMerge w:val="restart"/>
            <w:tcBorders>
              <w:tl2br w:val="nil"/>
              <w:tr2bl w:val="nil"/>
            </w:tcBorders>
            <w:noWrap w:val="0"/>
            <w:vAlign w:val="center"/>
          </w:tcPr>
          <w:p w14:paraId="199F01CC">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地表水</w:t>
            </w:r>
          </w:p>
        </w:tc>
        <w:tc>
          <w:tcPr>
            <w:tcW w:w="1412" w:type="dxa"/>
            <w:tcBorders>
              <w:tl2br w:val="nil"/>
              <w:tr2bl w:val="nil"/>
            </w:tcBorders>
            <w:noWrap w:val="0"/>
            <w:vAlign w:val="center"/>
          </w:tcPr>
          <w:p w14:paraId="538AFF47">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highlight w:val="none"/>
              </w:rPr>
            </w:pPr>
            <w:r>
              <w:rPr>
                <w:rFonts w:hint="default" w:ascii="Times New Roman" w:hAnsi="Times New Roman" w:eastAsia="宋体" w:cs="Times New Roman"/>
                <w:color w:val="auto"/>
                <w:sz w:val="18"/>
                <w:highlight w:val="none"/>
              </w:rPr>
              <w:t>地表水功能</w:t>
            </w:r>
          </w:p>
          <w:p w14:paraId="5F519B74">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highlight w:val="none"/>
              </w:rPr>
              <w:t>敏感性</w:t>
            </w:r>
          </w:p>
        </w:tc>
        <w:tc>
          <w:tcPr>
            <w:tcW w:w="1477" w:type="dxa"/>
            <w:gridSpan w:val="2"/>
            <w:tcBorders>
              <w:tl2br w:val="nil"/>
              <w:tr2bl w:val="nil"/>
            </w:tcBorders>
            <w:noWrap w:val="0"/>
            <w:vAlign w:val="center"/>
          </w:tcPr>
          <w:p w14:paraId="139F576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F1 □</w:t>
            </w:r>
          </w:p>
        </w:tc>
        <w:tc>
          <w:tcPr>
            <w:tcW w:w="1471" w:type="dxa"/>
            <w:gridSpan w:val="2"/>
            <w:tcBorders>
              <w:tl2br w:val="nil"/>
              <w:tr2bl w:val="nil"/>
            </w:tcBorders>
            <w:noWrap w:val="0"/>
            <w:vAlign w:val="center"/>
          </w:tcPr>
          <w:p w14:paraId="4867F831">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eastAsia" w:ascii="Times New Roman" w:hAnsi="Times New Roman" w:eastAsia="宋体" w:cs="Times New Roman"/>
                <w:color w:val="auto"/>
                <w:sz w:val="18"/>
                <w:lang w:eastAsia="zh-CN"/>
              </w:rPr>
            </w:pPr>
            <w:r>
              <w:rPr>
                <w:rFonts w:hint="default" w:ascii="Times New Roman" w:hAnsi="Times New Roman" w:eastAsia="宋体" w:cs="Times New Roman"/>
                <w:color w:val="auto"/>
                <w:sz w:val="18"/>
              </w:rPr>
              <w:t xml:space="preserve">F2 </w:t>
            </w:r>
            <w:r>
              <w:rPr>
                <w:rFonts w:hint="eastAsia" w:ascii="Times New Roman" w:hAnsi="Times New Roman" w:eastAsia="宋体" w:cs="Times New Roman"/>
                <w:color w:val="auto"/>
                <w:sz w:val="18"/>
                <w:lang w:eastAsia="zh-CN"/>
              </w:rPr>
              <w:t>☑</w:t>
            </w:r>
          </w:p>
        </w:tc>
        <w:tc>
          <w:tcPr>
            <w:tcW w:w="1556" w:type="dxa"/>
            <w:tcBorders>
              <w:tl2br w:val="nil"/>
              <w:tr2bl w:val="nil"/>
            </w:tcBorders>
            <w:noWrap w:val="0"/>
            <w:vAlign w:val="center"/>
          </w:tcPr>
          <w:p w14:paraId="3D62280A">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F3 </w:t>
            </w:r>
            <w:r>
              <w:rPr>
                <w:rFonts w:hint="default" w:ascii="Times New Roman" w:hAnsi="Times New Roman" w:eastAsia="宋体" w:cs="Times New Roman"/>
                <w:color w:val="auto"/>
                <w:sz w:val="18"/>
              </w:rPr>
              <w:sym w:font="Wingdings 2" w:char="00A3"/>
            </w:r>
          </w:p>
        </w:tc>
      </w:tr>
      <w:tr w14:paraId="092F19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0" w:hRule="atLeast"/>
        </w:trPr>
        <w:tc>
          <w:tcPr>
            <w:tcW w:w="412" w:type="dxa"/>
            <w:vMerge w:val="continue"/>
            <w:tcBorders>
              <w:tl2br w:val="nil"/>
              <w:tr2bl w:val="nil"/>
            </w:tcBorders>
            <w:noWrap w:val="0"/>
            <w:vAlign w:val="center"/>
          </w:tcPr>
          <w:p w14:paraId="326FAFEC">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4D2487EC">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vMerge w:val="continue"/>
            <w:tcBorders>
              <w:tl2br w:val="nil"/>
              <w:tr2bl w:val="nil"/>
            </w:tcBorders>
            <w:noWrap w:val="0"/>
            <w:vAlign w:val="center"/>
          </w:tcPr>
          <w:p w14:paraId="68EF934D">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412" w:type="dxa"/>
            <w:tcBorders>
              <w:tl2br w:val="nil"/>
              <w:tr2bl w:val="nil"/>
            </w:tcBorders>
            <w:noWrap w:val="0"/>
            <w:vAlign w:val="center"/>
          </w:tcPr>
          <w:p w14:paraId="4ED70E5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环境敏感目标</w:t>
            </w:r>
          </w:p>
          <w:p w14:paraId="120B3C91">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分级</w:t>
            </w:r>
          </w:p>
        </w:tc>
        <w:tc>
          <w:tcPr>
            <w:tcW w:w="1477" w:type="dxa"/>
            <w:gridSpan w:val="2"/>
            <w:tcBorders>
              <w:tl2br w:val="nil"/>
              <w:tr2bl w:val="nil"/>
            </w:tcBorders>
            <w:noWrap w:val="0"/>
            <w:vAlign w:val="center"/>
          </w:tcPr>
          <w:p w14:paraId="236C8BAD">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S1 □</w:t>
            </w:r>
          </w:p>
        </w:tc>
        <w:tc>
          <w:tcPr>
            <w:tcW w:w="1471" w:type="dxa"/>
            <w:gridSpan w:val="2"/>
            <w:tcBorders>
              <w:tl2br w:val="nil"/>
              <w:tr2bl w:val="nil"/>
            </w:tcBorders>
            <w:noWrap w:val="0"/>
            <w:vAlign w:val="center"/>
          </w:tcPr>
          <w:p w14:paraId="508FFA5D">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S2 □</w:t>
            </w:r>
          </w:p>
        </w:tc>
        <w:tc>
          <w:tcPr>
            <w:tcW w:w="1556" w:type="dxa"/>
            <w:tcBorders>
              <w:tl2br w:val="nil"/>
              <w:tr2bl w:val="nil"/>
            </w:tcBorders>
            <w:noWrap w:val="0"/>
            <w:vAlign w:val="center"/>
          </w:tcPr>
          <w:p w14:paraId="557527D0">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S3 </w:t>
            </w:r>
            <w:r>
              <w:rPr>
                <w:rFonts w:hint="default" w:ascii="Times New Roman" w:hAnsi="Times New Roman" w:eastAsia="宋体" w:cs="Times New Roman"/>
                <w:color w:val="auto"/>
                <w:sz w:val="18"/>
              </w:rPr>
              <w:sym w:font="Wingdings 2" w:char="0052"/>
            </w:r>
          </w:p>
        </w:tc>
      </w:tr>
      <w:tr w14:paraId="65A5AB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2" w:hRule="atLeast"/>
        </w:trPr>
        <w:tc>
          <w:tcPr>
            <w:tcW w:w="412" w:type="dxa"/>
            <w:vMerge w:val="continue"/>
            <w:tcBorders>
              <w:tl2br w:val="nil"/>
              <w:tr2bl w:val="nil"/>
            </w:tcBorders>
            <w:noWrap w:val="0"/>
            <w:vAlign w:val="center"/>
          </w:tcPr>
          <w:p w14:paraId="40405FE6">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667DE035">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vMerge w:val="restart"/>
            <w:tcBorders>
              <w:tl2br w:val="nil"/>
              <w:tr2bl w:val="nil"/>
            </w:tcBorders>
            <w:noWrap w:val="0"/>
            <w:vAlign w:val="center"/>
          </w:tcPr>
          <w:p w14:paraId="04E78CA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地下水</w:t>
            </w:r>
          </w:p>
        </w:tc>
        <w:tc>
          <w:tcPr>
            <w:tcW w:w="1412" w:type="dxa"/>
            <w:tcBorders>
              <w:tl2br w:val="nil"/>
              <w:tr2bl w:val="nil"/>
            </w:tcBorders>
            <w:noWrap w:val="0"/>
            <w:vAlign w:val="center"/>
          </w:tcPr>
          <w:p w14:paraId="3ACE724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地下水功能</w:t>
            </w:r>
          </w:p>
          <w:p w14:paraId="01F383BD">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敏感性</w:t>
            </w:r>
          </w:p>
        </w:tc>
        <w:tc>
          <w:tcPr>
            <w:tcW w:w="1477" w:type="dxa"/>
            <w:gridSpan w:val="2"/>
            <w:tcBorders>
              <w:tl2br w:val="nil"/>
              <w:tr2bl w:val="nil"/>
            </w:tcBorders>
            <w:noWrap w:val="0"/>
            <w:vAlign w:val="center"/>
          </w:tcPr>
          <w:p w14:paraId="729C8366">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G1 </w:t>
            </w:r>
            <w:r>
              <w:rPr>
                <w:rFonts w:hint="default" w:ascii="Times New Roman" w:hAnsi="Times New Roman" w:eastAsia="宋体" w:cs="Times New Roman"/>
                <w:color w:val="auto"/>
                <w:sz w:val="18"/>
              </w:rPr>
              <w:sym w:font="Wingdings 2" w:char="0052"/>
            </w:r>
          </w:p>
        </w:tc>
        <w:tc>
          <w:tcPr>
            <w:tcW w:w="1471" w:type="dxa"/>
            <w:gridSpan w:val="2"/>
            <w:tcBorders>
              <w:tl2br w:val="nil"/>
              <w:tr2bl w:val="nil"/>
            </w:tcBorders>
            <w:noWrap w:val="0"/>
            <w:vAlign w:val="center"/>
          </w:tcPr>
          <w:p w14:paraId="545F3F7A">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G2 □</w:t>
            </w:r>
          </w:p>
        </w:tc>
        <w:tc>
          <w:tcPr>
            <w:tcW w:w="1556" w:type="dxa"/>
            <w:tcBorders>
              <w:tl2br w:val="nil"/>
              <w:tr2bl w:val="nil"/>
            </w:tcBorders>
            <w:noWrap w:val="0"/>
            <w:vAlign w:val="center"/>
          </w:tcPr>
          <w:p w14:paraId="3043739E">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G3 </w:t>
            </w:r>
            <w:r>
              <w:rPr>
                <w:rFonts w:hint="default" w:ascii="Times New Roman" w:hAnsi="Times New Roman" w:eastAsia="宋体" w:cs="Times New Roman"/>
                <w:color w:val="auto"/>
                <w:sz w:val="18"/>
              </w:rPr>
              <w:sym w:font="Wingdings 2" w:char="00A3"/>
            </w:r>
          </w:p>
        </w:tc>
      </w:tr>
      <w:tr w14:paraId="36AEF0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412" w:type="dxa"/>
            <w:vMerge w:val="continue"/>
            <w:tcBorders>
              <w:tl2br w:val="nil"/>
              <w:tr2bl w:val="nil"/>
            </w:tcBorders>
            <w:noWrap w:val="0"/>
            <w:vAlign w:val="center"/>
          </w:tcPr>
          <w:p w14:paraId="33A05E3A">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3C663934">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vMerge w:val="continue"/>
            <w:tcBorders>
              <w:tl2br w:val="nil"/>
              <w:tr2bl w:val="nil"/>
            </w:tcBorders>
            <w:noWrap w:val="0"/>
            <w:vAlign w:val="center"/>
          </w:tcPr>
          <w:p w14:paraId="7C36CAF4">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412" w:type="dxa"/>
            <w:tcBorders>
              <w:tl2br w:val="nil"/>
              <w:tr2bl w:val="nil"/>
            </w:tcBorders>
            <w:noWrap w:val="0"/>
            <w:vAlign w:val="center"/>
          </w:tcPr>
          <w:p w14:paraId="63B65CBD">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包气带防污性能</w:t>
            </w:r>
          </w:p>
        </w:tc>
        <w:tc>
          <w:tcPr>
            <w:tcW w:w="1477" w:type="dxa"/>
            <w:gridSpan w:val="2"/>
            <w:tcBorders>
              <w:tl2br w:val="nil"/>
              <w:tr2bl w:val="nil"/>
            </w:tcBorders>
            <w:noWrap w:val="0"/>
            <w:vAlign w:val="center"/>
          </w:tcPr>
          <w:p w14:paraId="203AC24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D1 □</w:t>
            </w:r>
          </w:p>
        </w:tc>
        <w:tc>
          <w:tcPr>
            <w:tcW w:w="1471" w:type="dxa"/>
            <w:gridSpan w:val="2"/>
            <w:tcBorders>
              <w:tl2br w:val="nil"/>
              <w:tr2bl w:val="nil"/>
            </w:tcBorders>
            <w:noWrap w:val="0"/>
            <w:vAlign w:val="center"/>
          </w:tcPr>
          <w:p w14:paraId="1D24347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D2 </w:t>
            </w:r>
            <w:r>
              <w:rPr>
                <w:rFonts w:hint="default" w:ascii="Times New Roman" w:hAnsi="Times New Roman" w:eastAsia="宋体" w:cs="Times New Roman"/>
                <w:color w:val="auto"/>
                <w:sz w:val="18"/>
              </w:rPr>
              <w:sym w:font="Wingdings 2" w:char="0052"/>
            </w:r>
          </w:p>
        </w:tc>
        <w:tc>
          <w:tcPr>
            <w:tcW w:w="1556" w:type="dxa"/>
            <w:tcBorders>
              <w:tl2br w:val="nil"/>
              <w:tr2bl w:val="nil"/>
            </w:tcBorders>
            <w:noWrap w:val="0"/>
            <w:vAlign w:val="center"/>
          </w:tcPr>
          <w:p w14:paraId="257DF9E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D3 </w:t>
            </w:r>
            <w:r>
              <w:rPr>
                <w:rFonts w:hint="default" w:ascii="Times New Roman" w:hAnsi="Times New Roman" w:eastAsia="宋体" w:cs="Times New Roman"/>
                <w:color w:val="auto"/>
                <w:sz w:val="18"/>
              </w:rPr>
              <w:sym w:font="Wingdings 2" w:char="00A3"/>
            </w:r>
          </w:p>
        </w:tc>
      </w:tr>
      <w:tr w14:paraId="66DC6F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140" w:type="dxa"/>
            <w:gridSpan w:val="2"/>
            <w:vMerge w:val="restart"/>
            <w:tcBorders>
              <w:tl2br w:val="nil"/>
              <w:tr2bl w:val="nil"/>
            </w:tcBorders>
            <w:noWrap w:val="0"/>
            <w:vAlign w:val="center"/>
          </w:tcPr>
          <w:p w14:paraId="1F55265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9"/>
              </w:rPr>
            </w:pPr>
          </w:p>
          <w:p w14:paraId="4167394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物质及工艺系统危险性</w:t>
            </w:r>
          </w:p>
        </w:tc>
        <w:tc>
          <w:tcPr>
            <w:tcW w:w="1264" w:type="dxa"/>
            <w:tcBorders>
              <w:tl2br w:val="nil"/>
              <w:tr2bl w:val="nil"/>
            </w:tcBorders>
            <w:noWrap w:val="0"/>
            <w:vAlign w:val="center"/>
          </w:tcPr>
          <w:p w14:paraId="7836C7C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i/>
                <w:color w:val="auto"/>
                <w:sz w:val="18"/>
              </w:rPr>
              <w:t xml:space="preserve">Q </w:t>
            </w:r>
            <w:r>
              <w:rPr>
                <w:rFonts w:hint="default" w:ascii="Times New Roman" w:hAnsi="Times New Roman" w:eastAsia="宋体" w:cs="Times New Roman"/>
                <w:color w:val="auto"/>
                <w:sz w:val="18"/>
              </w:rPr>
              <w:t>值</w:t>
            </w:r>
          </w:p>
        </w:tc>
        <w:tc>
          <w:tcPr>
            <w:tcW w:w="1412" w:type="dxa"/>
            <w:tcBorders>
              <w:tl2br w:val="nil"/>
              <w:tr2bl w:val="nil"/>
            </w:tcBorders>
            <w:noWrap w:val="0"/>
            <w:vAlign w:val="center"/>
          </w:tcPr>
          <w:p w14:paraId="6F3CE10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i/>
                <w:color w:val="auto"/>
                <w:sz w:val="18"/>
              </w:rPr>
              <w:t>Q</w:t>
            </w:r>
            <w:r>
              <w:rPr>
                <w:rFonts w:hint="default" w:ascii="Times New Roman" w:hAnsi="Times New Roman" w:eastAsia="宋体" w:cs="Times New Roman"/>
                <w:color w:val="auto"/>
                <w:sz w:val="18"/>
              </w:rPr>
              <w:t xml:space="preserve">＜1 </w:t>
            </w:r>
            <w:r>
              <w:rPr>
                <w:rFonts w:hint="default" w:ascii="Times New Roman" w:hAnsi="Times New Roman" w:eastAsia="宋体" w:cs="Times New Roman"/>
                <w:color w:val="auto"/>
                <w:sz w:val="18"/>
              </w:rPr>
              <w:sym w:font="Wingdings 2" w:char="00A3"/>
            </w:r>
          </w:p>
        </w:tc>
        <w:tc>
          <w:tcPr>
            <w:tcW w:w="1477" w:type="dxa"/>
            <w:gridSpan w:val="2"/>
            <w:tcBorders>
              <w:tl2br w:val="nil"/>
              <w:tr2bl w:val="nil"/>
            </w:tcBorders>
            <w:noWrap w:val="0"/>
            <w:vAlign w:val="center"/>
          </w:tcPr>
          <w:p w14:paraId="16274134">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1≤</w:t>
            </w:r>
            <w:r>
              <w:rPr>
                <w:rFonts w:hint="default" w:ascii="Times New Roman" w:hAnsi="Times New Roman" w:eastAsia="宋体" w:cs="Times New Roman"/>
                <w:i/>
                <w:color w:val="auto"/>
                <w:sz w:val="18"/>
              </w:rPr>
              <w:t>Q</w:t>
            </w:r>
            <w:r>
              <w:rPr>
                <w:rFonts w:hint="default" w:ascii="Times New Roman" w:hAnsi="Times New Roman" w:eastAsia="宋体" w:cs="Times New Roman"/>
                <w:color w:val="auto"/>
                <w:sz w:val="18"/>
              </w:rPr>
              <w:t xml:space="preserve">＜10 </w:t>
            </w:r>
            <w:r>
              <w:rPr>
                <w:rFonts w:hint="default" w:ascii="Times New Roman" w:hAnsi="Times New Roman" w:eastAsia="宋体" w:cs="Times New Roman"/>
                <w:color w:val="auto"/>
                <w:sz w:val="18"/>
              </w:rPr>
              <w:sym w:font="Wingdings 2" w:char="00A3"/>
            </w:r>
          </w:p>
        </w:tc>
        <w:tc>
          <w:tcPr>
            <w:tcW w:w="1471" w:type="dxa"/>
            <w:gridSpan w:val="2"/>
            <w:tcBorders>
              <w:tl2br w:val="nil"/>
              <w:tr2bl w:val="nil"/>
            </w:tcBorders>
            <w:noWrap w:val="0"/>
            <w:vAlign w:val="center"/>
          </w:tcPr>
          <w:p w14:paraId="5ED13E41">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10≤</w:t>
            </w:r>
            <w:r>
              <w:rPr>
                <w:rFonts w:hint="default" w:ascii="Times New Roman" w:hAnsi="Times New Roman" w:eastAsia="宋体" w:cs="Times New Roman"/>
                <w:i/>
                <w:color w:val="auto"/>
                <w:sz w:val="18"/>
              </w:rPr>
              <w:t>Q</w:t>
            </w:r>
            <w:r>
              <w:rPr>
                <w:rFonts w:hint="default" w:ascii="Times New Roman" w:hAnsi="Times New Roman" w:eastAsia="宋体" w:cs="Times New Roman"/>
                <w:color w:val="auto"/>
                <w:sz w:val="18"/>
              </w:rPr>
              <w:t xml:space="preserve">＜100 </w:t>
            </w:r>
            <w:r>
              <w:rPr>
                <w:rFonts w:hint="default" w:ascii="Times New Roman" w:hAnsi="Times New Roman" w:eastAsia="宋体" w:cs="Times New Roman"/>
                <w:color w:val="auto"/>
                <w:sz w:val="18"/>
              </w:rPr>
              <w:sym w:font="Wingdings 2" w:char="0052"/>
            </w:r>
          </w:p>
        </w:tc>
        <w:tc>
          <w:tcPr>
            <w:tcW w:w="1556" w:type="dxa"/>
            <w:tcBorders>
              <w:tl2br w:val="nil"/>
              <w:tr2bl w:val="nil"/>
            </w:tcBorders>
            <w:noWrap w:val="0"/>
            <w:vAlign w:val="center"/>
          </w:tcPr>
          <w:p w14:paraId="3A9090C0">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i/>
                <w:color w:val="auto"/>
                <w:sz w:val="18"/>
              </w:rPr>
              <w:t>Q</w:t>
            </w:r>
            <w:r>
              <w:rPr>
                <w:rFonts w:hint="default" w:ascii="Times New Roman" w:hAnsi="Times New Roman" w:eastAsia="宋体" w:cs="Times New Roman"/>
                <w:color w:val="auto"/>
                <w:sz w:val="18"/>
              </w:rPr>
              <w:t xml:space="preserve">＞100 </w:t>
            </w:r>
            <w:r>
              <w:rPr>
                <w:rFonts w:hint="default" w:ascii="Times New Roman" w:hAnsi="Times New Roman" w:eastAsia="宋体" w:cs="Times New Roman"/>
                <w:color w:val="auto"/>
                <w:sz w:val="18"/>
              </w:rPr>
              <w:sym w:font="Wingdings 2" w:char="00A3"/>
            </w:r>
          </w:p>
        </w:tc>
      </w:tr>
      <w:tr w14:paraId="19F7D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1140" w:type="dxa"/>
            <w:gridSpan w:val="2"/>
            <w:vMerge w:val="continue"/>
            <w:tcBorders>
              <w:tl2br w:val="nil"/>
              <w:tr2bl w:val="nil"/>
            </w:tcBorders>
            <w:noWrap w:val="0"/>
            <w:vAlign w:val="center"/>
          </w:tcPr>
          <w:p w14:paraId="03034D7A">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tcBorders>
              <w:tl2br w:val="nil"/>
              <w:tr2bl w:val="nil"/>
            </w:tcBorders>
            <w:noWrap w:val="0"/>
            <w:vAlign w:val="center"/>
          </w:tcPr>
          <w:p w14:paraId="68736CA4">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M 值</w:t>
            </w:r>
          </w:p>
        </w:tc>
        <w:tc>
          <w:tcPr>
            <w:tcW w:w="1412" w:type="dxa"/>
            <w:tcBorders>
              <w:tl2br w:val="nil"/>
              <w:tr2bl w:val="nil"/>
            </w:tcBorders>
            <w:noWrap w:val="0"/>
            <w:vAlign w:val="center"/>
          </w:tcPr>
          <w:p w14:paraId="703152F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M1 </w:t>
            </w:r>
            <w:r>
              <w:rPr>
                <w:rFonts w:hint="default" w:ascii="Times New Roman" w:hAnsi="Times New Roman" w:eastAsia="宋体" w:cs="Times New Roman"/>
                <w:color w:val="auto"/>
                <w:sz w:val="18"/>
              </w:rPr>
              <w:sym w:font="Wingdings 2" w:char="00A3"/>
            </w:r>
          </w:p>
        </w:tc>
        <w:tc>
          <w:tcPr>
            <w:tcW w:w="1477" w:type="dxa"/>
            <w:gridSpan w:val="2"/>
            <w:tcBorders>
              <w:tl2br w:val="nil"/>
              <w:tr2bl w:val="nil"/>
            </w:tcBorders>
            <w:noWrap w:val="0"/>
            <w:vAlign w:val="center"/>
          </w:tcPr>
          <w:p w14:paraId="58D0CDD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M2 </w:t>
            </w:r>
            <w:r>
              <w:rPr>
                <w:rFonts w:hint="default" w:ascii="Times New Roman" w:hAnsi="Times New Roman" w:eastAsia="宋体" w:cs="Times New Roman"/>
                <w:color w:val="auto"/>
                <w:sz w:val="18"/>
              </w:rPr>
              <w:sym w:font="Wingdings 2" w:char="00A3"/>
            </w:r>
          </w:p>
        </w:tc>
        <w:tc>
          <w:tcPr>
            <w:tcW w:w="1471" w:type="dxa"/>
            <w:gridSpan w:val="2"/>
            <w:tcBorders>
              <w:tl2br w:val="nil"/>
              <w:tr2bl w:val="nil"/>
            </w:tcBorders>
            <w:noWrap w:val="0"/>
            <w:vAlign w:val="center"/>
          </w:tcPr>
          <w:p w14:paraId="5476B8C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M3 </w:t>
            </w:r>
            <w:r>
              <w:rPr>
                <w:rFonts w:hint="default" w:ascii="Times New Roman" w:hAnsi="Times New Roman" w:eastAsia="宋体" w:cs="Times New Roman"/>
                <w:color w:val="auto"/>
                <w:sz w:val="18"/>
              </w:rPr>
              <w:sym w:font="Wingdings 2" w:char="00A3"/>
            </w:r>
          </w:p>
        </w:tc>
        <w:tc>
          <w:tcPr>
            <w:tcW w:w="1556" w:type="dxa"/>
            <w:tcBorders>
              <w:tl2br w:val="nil"/>
              <w:tr2bl w:val="nil"/>
            </w:tcBorders>
            <w:noWrap w:val="0"/>
            <w:vAlign w:val="center"/>
          </w:tcPr>
          <w:p w14:paraId="20378946">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M4 </w:t>
            </w:r>
            <w:r>
              <w:rPr>
                <w:rFonts w:hint="default" w:ascii="Times New Roman" w:hAnsi="Times New Roman" w:eastAsia="宋体" w:cs="Times New Roman"/>
                <w:color w:val="auto"/>
                <w:sz w:val="18"/>
              </w:rPr>
              <w:sym w:font="Wingdings 2" w:char="0052"/>
            </w:r>
          </w:p>
        </w:tc>
      </w:tr>
      <w:tr w14:paraId="66DE3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1140" w:type="dxa"/>
            <w:gridSpan w:val="2"/>
            <w:vMerge w:val="continue"/>
            <w:tcBorders>
              <w:tl2br w:val="nil"/>
              <w:tr2bl w:val="nil"/>
            </w:tcBorders>
            <w:noWrap w:val="0"/>
            <w:vAlign w:val="center"/>
          </w:tcPr>
          <w:p w14:paraId="1F49DCE8">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tcBorders>
              <w:tl2br w:val="nil"/>
              <w:tr2bl w:val="nil"/>
            </w:tcBorders>
            <w:noWrap w:val="0"/>
            <w:vAlign w:val="center"/>
          </w:tcPr>
          <w:p w14:paraId="40EB7F5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P 值</w:t>
            </w:r>
          </w:p>
        </w:tc>
        <w:tc>
          <w:tcPr>
            <w:tcW w:w="1412" w:type="dxa"/>
            <w:tcBorders>
              <w:tl2br w:val="nil"/>
              <w:tr2bl w:val="nil"/>
            </w:tcBorders>
            <w:noWrap w:val="0"/>
            <w:vAlign w:val="center"/>
          </w:tcPr>
          <w:p w14:paraId="5C1F52F6">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P1 </w:t>
            </w:r>
            <w:r>
              <w:rPr>
                <w:rFonts w:hint="default" w:ascii="Times New Roman" w:hAnsi="Times New Roman" w:eastAsia="宋体" w:cs="Times New Roman"/>
                <w:color w:val="auto"/>
                <w:sz w:val="18"/>
              </w:rPr>
              <w:sym w:font="Wingdings 2" w:char="00A3"/>
            </w:r>
          </w:p>
        </w:tc>
        <w:tc>
          <w:tcPr>
            <w:tcW w:w="1477" w:type="dxa"/>
            <w:gridSpan w:val="2"/>
            <w:tcBorders>
              <w:tl2br w:val="nil"/>
              <w:tr2bl w:val="nil"/>
            </w:tcBorders>
            <w:noWrap w:val="0"/>
            <w:vAlign w:val="center"/>
          </w:tcPr>
          <w:p w14:paraId="0187762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P2 □</w:t>
            </w:r>
          </w:p>
        </w:tc>
        <w:tc>
          <w:tcPr>
            <w:tcW w:w="1471" w:type="dxa"/>
            <w:gridSpan w:val="2"/>
            <w:tcBorders>
              <w:tl2br w:val="nil"/>
              <w:tr2bl w:val="nil"/>
            </w:tcBorders>
            <w:noWrap w:val="0"/>
            <w:vAlign w:val="center"/>
          </w:tcPr>
          <w:p w14:paraId="0B8B135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P3 </w:t>
            </w:r>
            <w:r>
              <w:rPr>
                <w:rFonts w:hint="default" w:ascii="Times New Roman" w:hAnsi="Times New Roman" w:eastAsia="宋体" w:cs="Times New Roman"/>
                <w:color w:val="auto"/>
                <w:sz w:val="18"/>
              </w:rPr>
              <w:sym w:font="Wingdings 2" w:char="00A3"/>
            </w:r>
          </w:p>
        </w:tc>
        <w:tc>
          <w:tcPr>
            <w:tcW w:w="1556" w:type="dxa"/>
            <w:tcBorders>
              <w:tl2br w:val="nil"/>
              <w:tr2bl w:val="nil"/>
            </w:tcBorders>
            <w:noWrap w:val="0"/>
            <w:vAlign w:val="center"/>
          </w:tcPr>
          <w:p w14:paraId="7F70D9B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P4 </w:t>
            </w:r>
            <w:r>
              <w:rPr>
                <w:rFonts w:hint="default" w:ascii="Times New Roman" w:hAnsi="Times New Roman" w:eastAsia="宋体" w:cs="Times New Roman"/>
                <w:color w:val="auto"/>
                <w:sz w:val="18"/>
              </w:rPr>
              <w:sym w:font="Wingdings 2" w:char="0052"/>
            </w:r>
          </w:p>
        </w:tc>
      </w:tr>
      <w:tr w14:paraId="482640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8" w:hRule="atLeast"/>
        </w:trPr>
        <w:tc>
          <w:tcPr>
            <w:tcW w:w="1140" w:type="dxa"/>
            <w:gridSpan w:val="2"/>
            <w:vMerge w:val="restart"/>
            <w:tcBorders>
              <w:tl2br w:val="nil"/>
              <w:tr2bl w:val="nil"/>
            </w:tcBorders>
            <w:noWrap w:val="0"/>
            <w:vAlign w:val="center"/>
          </w:tcPr>
          <w:p w14:paraId="2988DC6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9"/>
              </w:rPr>
            </w:pPr>
          </w:p>
          <w:p w14:paraId="7F4F53E6">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环境敏感程度</w:t>
            </w:r>
          </w:p>
        </w:tc>
        <w:tc>
          <w:tcPr>
            <w:tcW w:w="1264" w:type="dxa"/>
            <w:tcBorders>
              <w:tl2br w:val="nil"/>
              <w:tr2bl w:val="nil"/>
            </w:tcBorders>
            <w:noWrap w:val="0"/>
            <w:vAlign w:val="center"/>
          </w:tcPr>
          <w:p w14:paraId="7E9D7A9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大气</w:t>
            </w:r>
          </w:p>
        </w:tc>
        <w:tc>
          <w:tcPr>
            <w:tcW w:w="1956" w:type="dxa"/>
            <w:gridSpan w:val="2"/>
            <w:tcBorders>
              <w:tl2br w:val="nil"/>
              <w:tr2bl w:val="nil"/>
            </w:tcBorders>
            <w:noWrap w:val="0"/>
            <w:vAlign w:val="center"/>
          </w:tcPr>
          <w:p w14:paraId="02A0CA3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E1  </w:t>
            </w:r>
            <w:r>
              <w:rPr>
                <w:rFonts w:hint="default" w:ascii="Times New Roman" w:hAnsi="Times New Roman" w:eastAsia="宋体" w:cs="Times New Roman"/>
                <w:color w:val="auto"/>
                <w:sz w:val="18"/>
              </w:rPr>
              <w:sym w:font="Wingdings 2" w:char="0052"/>
            </w:r>
          </w:p>
        </w:tc>
        <w:tc>
          <w:tcPr>
            <w:tcW w:w="2011" w:type="dxa"/>
            <w:gridSpan w:val="2"/>
            <w:tcBorders>
              <w:tl2br w:val="nil"/>
              <w:tr2bl w:val="nil"/>
            </w:tcBorders>
            <w:noWrap w:val="0"/>
            <w:vAlign w:val="center"/>
          </w:tcPr>
          <w:p w14:paraId="24840424">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E2  </w:t>
            </w:r>
            <w:r>
              <w:rPr>
                <w:rFonts w:hint="default" w:ascii="Times New Roman" w:hAnsi="Times New Roman" w:eastAsia="宋体" w:cs="Times New Roman"/>
                <w:color w:val="auto"/>
                <w:sz w:val="18"/>
              </w:rPr>
              <w:sym w:font="Wingdings 2" w:char="00A3"/>
            </w:r>
          </w:p>
        </w:tc>
        <w:tc>
          <w:tcPr>
            <w:tcW w:w="1949" w:type="dxa"/>
            <w:gridSpan w:val="2"/>
            <w:tcBorders>
              <w:tl2br w:val="nil"/>
              <w:tr2bl w:val="nil"/>
            </w:tcBorders>
            <w:noWrap w:val="0"/>
            <w:vAlign w:val="center"/>
          </w:tcPr>
          <w:p w14:paraId="4E5B755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E3  </w:t>
            </w:r>
            <w:r>
              <w:rPr>
                <w:rFonts w:hint="default" w:ascii="Times New Roman" w:hAnsi="Times New Roman" w:eastAsia="宋体" w:cs="Times New Roman"/>
                <w:color w:val="auto"/>
                <w:sz w:val="18"/>
              </w:rPr>
              <w:sym w:font="Wingdings 2" w:char="00A3"/>
            </w:r>
          </w:p>
        </w:tc>
      </w:tr>
      <w:tr w14:paraId="20F172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7" w:hRule="atLeast"/>
        </w:trPr>
        <w:tc>
          <w:tcPr>
            <w:tcW w:w="1140" w:type="dxa"/>
            <w:gridSpan w:val="2"/>
            <w:vMerge w:val="continue"/>
            <w:tcBorders>
              <w:tl2br w:val="nil"/>
              <w:tr2bl w:val="nil"/>
            </w:tcBorders>
            <w:noWrap w:val="0"/>
            <w:vAlign w:val="center"/>
          </w:tcPr>
          <w:p w14:paraId="6594DF46">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tcBorders>
              <w:tl2br w:val="nil"/>
              <w:tr2bl w:val="nil"/>
            </w:tcBorders>
            <w:noWrap w:val="0"/>
            <w:vAlign w:val="center"/>
          </w:tcPr>
          <w:p w14:paraId="4DEE6F6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highlight w:val="none"/>
              </w:rPr>
              <w:t>地表水</w:t>
            </w:r>
          </w:p>
        </w:tc>
        <w:tc>
          <w:tcPr>
            <w:tcW w:w="1956" w:type="dxa"/>
            <w:gridSpan w:val="2"/>
            <w:tcBorders>
              <w:tl2br w:val="nil"/>
              <w:tr2bl w:val="nil"/>
            </w:tcBorders>
            <w:noWrap w:val="0"/>
            <w:vAlign w:val="center"/>
          </w:tcPr>
          <w:p w14:paraId="6F9F84C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E1  □</w:t>
            </w:r>
          </w:p>
        </w:tc>
        <w:tc>
          <w:tcPr>
            <w:tcW w:w="2011" w:type="dxa"/>
            <w:gridSpan w:val="2"/>
            <w:tcBorders>
              <w:tl2br w:val="nil"/>
              <w:tr2bl w:val="nil"/>
            </w:tcBorders>
            <w:noWrap w:val="0"/>
            <w:vAlign w:val="center"/>
          </w:tcPr>
          <w:p w14:paraId="6C3F708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eastAsia" w:ascii="Times New Roman" w:hAnsi="Times New Roman" w:eastAsia="宋体" w:cs="Times New Roman"/>
                <w:color w:val="auto"/>
                <w:sz w:val="18"/>
                <w:lang w:eastAsia="zh-CN"/>
              </w:rPr>
            </w:pPr>
            <w:r>
              <w:rPr>
                <w:rFonts w:hint="default" w:ascii="Times New Roman" w:hAnsi="Times New Roman" w:eastAsia="宋体" w:cs="Times New Roman"/>
                <w:color w:val="auto"/>
                <w:sz w:val="18"/>
              </w:rPr>
              <w:t xml:space="preserve">E2  </w:t>
            </w:r>
            <w:r>
              <w:rPr>
                <w:rFonts w:hint="eastAsia" w:ascii="Times New Roman" w:hAnsi="Times New Roman" w:eastAsia="宋体" w:cs="Times New Roman"/>
                <w:color w:val="auto"/>
                <w:sz w:val="18"/>
                <w:lang w:eastAsia="zh-CN"/>
              </w:rPr>
              <w:t>☑</w:t>
            </w:r>
          </w:p>
        </w:tc>
        <w:tc>
          <w:tcPr>
            <w:tcW w:w="1949" w:type="dxa"/>
            <w:gridSpan w:val="2"/>
            <w:tcBorders>
              <w:tl2br w:val="nil"/>
              <w:tr2bl w:val="nil"/>
            </w:tcBorders>
            <w:noWrap w:val="0"/>
            <w:vAlign w:val="center"/>
          </w:tcPr>
          <w:p w14:paraId="709CFB6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E3  </w:t>
            </w:r>
            <w:r>
              <w:rPr>
                <w:rFonts w:hint="default" w:ascii="Times New Roman" w:hAnsi="Times New Roman" w:eastAsia="宋体" w:cs="Times New Roman"/>
                <w:color w:val="auto"/>
                <w:sz w:val="18"/>
              </w:rPr>
              <w:sym w:font="Wingdings 2" w:char="00A3"/>
            </w:r>
          </w:p>
        </w:tc>
      </w:tr>
      <w:tr w14:paraId="584328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5" w:hRule="atLeast"/>
        </w:trPr>
        <w:tc>
          <w:tcPr>
            <w:tcW w:w="1140" w:type="dxa"/>
            <w:gridSpan w:val="2"/>
            <w:vMerge w:val="continue"/>
            <w:tcBorders>
              <w:tl2br w:val="nil"/>
              <w:tr2bl w:val="nil"/>
            </w:tcBorders>
            <w:noWrap w:val="0"/>
            <w:vAlign w:val="center"/>
          </w:tcPr>
          <w:p w14:paraId="0D85DE4B">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tcBorders>
              <w:tl2br w:val="nil"/>
              <w:tr2bl w:val="nil"/>
            </w:tcBorders>
            <w:noWrap w:val="0"/>
            <w:vAlign w:val="center"/>
          </w:tcPr>
          <w:p w14:paraId="0B77E0B6">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地下水</w:t>
            </w:r>
          </w:p>
        </w:tc>
        <w:tc>
          <w:tcPr>
            <w:tcW w:w="1956" w:type="dxa"/>
            <w:gridSpan w:val="2"/>
            <w:tcBorders>
              <w:tl2br w:val="nil"/>
              <w:tr2bl w:val="nil"/>
            </w:tcBorders>
            <w:noWrap w:val="0"/>
            <w:vAlign w:val="center"/>
          </w:tcPr>
          <w:p w14:paraId="10D8F3D7">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E1  </w:t>
            </w:r>
            <w:r>
              <w:rPr>
                <w:rFonts w:hint="default" w:ascii="Times New Roman" w:hAnsi="Times New Roman" w:eastAsia="宋体" w:cs="Times New Roman"/>
                <w:color w:val="auto"/>
                <w:sz w:val="18"/>
              </w:rPr>
              <w:sym w:font="Wingdings 2" w:char="0052"/>
            </w:r>
          </w:p>
        </w:tc>
        <w:tc>
          <w:tcPr>
            <w:tcW w:w="2011" w:type="dxa"/>
            <w:gridSpan w:val="2"/>
            <w:tcBorders>
              <w:tl2br w:val="nil"/>
              <w:tr2bl w:val="nil"/>
            </w:tcBorders>
            <w:noWrap w:val="0"/>
            <w:vAlign w:val="center"/>
          </w:tcPr>
          <w:p w14:paraId="34DB3FA0">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E2  </w:t>
            </w:r>
            <w:r>
              <w:rPr>
                <w:rFonts w:hint="default" w:ascii="Times New Roman" w:hAnsi="Times New Roman" w:eastAsia="宋体" w:cs="Times New Roman"/>
                <w:color w:val="auto"/>
                <w:sz w:val="18"/>
              </w:rPr>
              <w:sym w:font="Wingdings 2" w:char="00A3"/>
            </w:r>
          </w:p>
        </w:tc>
        <w:tc>
          <w:tcPr>
            <w:tcW w:w="1949" w:type="dxa"/>
            <w:gridSpan w:val="2"/>
            <w:tcBorders>
              <w:tl2br w:val="nil"/>
              <w:tr2bl w:val="nil"/>
            </w:tcBorders>
            <w:noWrap w:val="0"/>
            <w:vAlign w:val="center"/>
          </w:tcPr>
          <w:p w14:paraId="5F2FFCC4">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E3  </w:t>
            </w:r>
            <w:r>
              <w:rPr>
                <w:rFonts w:hint="default" w:ascii="Times New Roman" w:hAnsi="Times New Roman" w:eastAsia="宋体" w:cs="Times New Roman"/>
                <w:color w:val="auto"/>
                <w:sz w:val="18"/>
              </w:rPr>
              <w:sym w:font="Wingdings 2" w:char="00A3"/>
            </w:r>
          </w:p>
        </w:tc>
      </w:tr>
      <w:tr w14:paraId="0544EF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1140" w:type="dxa"/>
            <w:gridSpan w:val="2"/>
            <w:tcBorders>
              <w:tl2br w:val="nil"/>
              <w:tr2bl w:val="nil"/>
            </w:tcBorders>
            <w:noWrap w:val="0"/>
            <w:vAlign w:val="center"/>
          </w:tcPr>
          <w:p w14:paraId="5CA6A1EE">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环境风险</w:t>
            </w:r>
          </w:p>
          <w:p w14:paraId="755E9A80">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潜势</w:t>
            </w:r>
          </w:p>
        </w:tc>
        <w:tc>
          <w:tcPr>
            <w:tcW w:w="1264" w:type="dxa"/>
            <w:tcBorders>
              <w:tl2br w:val="nil"/>
              <w:tr2bl w:val="nil"/>
            </w:tcBorders>
            <w:noWrap w:val="0"/>
            <w:vAlign w:val="center"/>
          </w:tcPr>
          <w:p w14:paraId="31C1114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Ⅳ</w:t>
            </w:r>
            <w:r>
              <w:rPr>
                <w:rFonts w:hint="default" w:ascii="Times New Roman" w:hAnsi="Times New Roman" w:eastAsia="宋体" w:cs="Times New Roman"/>
                <w:color w:val="auto"/>
                <w:sz w:val="18"/>
                <w:vertAlign w:val="superscript"/>
              </w:rPr>
              <w:t>+</w:t>
            </w:r>
            <w:r>
              <w:rPr>
                <w:rFonts w:hint="default" w:ascii="Times New Roman" w:hAnsi="Times New Roman" w:eastAsia="宋体" w:cs="Times New Roman"/>
                <w:color w:val="auto"/>
                <w:sz w:val="18"/>
                <w:vertAlign w:val="baseline"/>
              </w:rPr>
              <w:t xml:space="preserve"> </w:t>
            </w:r>
            <w:r>
              <w:rPr>
                <w:rFonts w:hint="default" w:ascii="Times New Roman" w:hAnsi="Times New Roman" w:eastAsia="宋体" w:cs="Times New Roman"/>
                <w:color w:val="auto"/>
                <w:sz w:val="18"/>
              </w:rPr>
              <w:sym w:font="Wingdings 2" w:char="00A3"/>
            </w:r>
          </w:p>
        </w:tc>
        <w:tc>
          <w:tcPr>
            <w:tcW w:w="1412" w:type="dxa"/>
            <w:tcBorders>
              <w:tl2br w:val="nil"/>
              <w:tr2bl w:val="nil"/>
            </w:tcBorders>
            <w:noWrap w:val="0"/>
            <w:vAlign w:val="center"/>
          </w:tcPr>
          <w:p w14:paraId="5C1226A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Ⅳ  </w:t>
            </w:r>
            <w:r>
              <w:rPr>
                <w:rFonts w:hint="default" w:ascii="Times New Roman" w:hAnsi="Times New Roman" w:eastAsia="宋体" w:cs="Times New Roman"/>
                <w:color w:val="auto"/>
                <w:sz w:val="18"/>
              </w:rPr>
              <w:sym w:font="Wingdings 2" w:char="00A3"/>
            </w:r>
          </w:p>
        </w:tc>
        <w:tc>
          <w:tcPr>
            <w:tcW w:w="1477" w:type="dxa"/>
            <w:gridSpan w:val="2"/>
            <w:tcBorders>
              <w:tl2br w:val="nil"/>
              <w:tr2bl w:val="nil"/>
            </w:tcBorders>
            <w:noWrap w:val="0"/>
            <w:vAlign w:val="center"/>
          </w:tcPr>
          <w:p w14:paraId="4F4F51CD">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Ⅲ  </w:t>
            </w:r>
            <w:r>
              <w:rPr>
                <w:rFonts w:hint="default" w:ascii="Times New Roman" w:hAnsi="Times New Roman" w:eastAsia="宋体" w:cs="Times New Roman"/>
                <w:color w:val="auto"/>
                <w:sz w:val="18"/>
              </w:rPr>
              <w:sym w:font="Wingdings 2" w:char="0052"/>
            </w:r>
          </w:p>
        </w:tc>
        <w:tc>
          <w:tcPr>
            <w:tcW w:w="1471" w:type="dxa"/>
            <w:gridSpan w:val="2"/>
            <w:tcBorders>
              <w:tl2br w:val="nil"/>
              <w:tr2bl w:val="nil"/>
            </w:tcBorders>
            <w:noWrap w:val="0"/>
            <w:vAlign w:val="center"/>
          </w:tcPr>
          <w:p w14:paraId="11E17461">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Ⅱ  </w:t>
            </w:r>
            <w:r>
              <w:rPr>
                <w:rFonts w:hint="default" w:ascii="Times New Roman" w:hAnsi="Times New Roman" w:eastAsia="宋体" w:cs="Times New Roman"/>
                <w:color w:val="auto"/>
                <w:sz w:val="18"/>
              </w:rPr>
              <w:sym w:font="Wingdings 2" w:char="00A3"/>
            </w:r>
          </w:p>
        </w:tc>
        <w:tc>
          <w:tcPr>
            <w:tcW w:w="1556" w:type="dxa"/>
            <w:tcBorders>
              <w:tl2br w:val="nil"/>
              <w:tr2bl w:val="nil"/>
            </w:tcBorders>
            <w:noWrap w:val="0"/>
            <w:vAlign w:val="center"/>
          </w:tcPr>
          <w:p w14:paraId="3FD8D9A9">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I  </w:t>
            </w:r>
            <w:r>
              <w:rPr>
                <w:rFonts w:hint="default" w:ascii="Times New Roman" w:hAnsi="Times New Roman" w:eastAsia="宋体" w:cs="Times New Roman"/>
                <w:color w:val="auto"/>
                <w:sz w:val="18"/>
              </w:rPr>
              <w:sym w:font="Wingdings 2" w:char="00A3"/>
            </w:r>
          </w:p>
        </w:tc>
      </w:tr>
      <w:tr w14:paraId="498234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6" w:hRule="atLeast"/>
        </w:trPr>
        <w:tc>
          <w:tcPr>
            <w:tcW w:w="1140" w:type="dxa"/>
            <w:gridSpan w:val="2"/>
            <w:tcBorders>
              <w:tl2br w:val="nil"/>
              <w:tr2bl w:val="nil"/>
            </w:tcBorders>
            <w:noWrap w:val="0"/>
            <w:vAlign w:val="center"/>
          </w:tcPr>
          <w:p w14:paraId="1E3F6A4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评价等级</w:t>
            </w:r>
          </w:p>
        </w:tc>
        <w:tc>
          <w:tcPr>
            <w:tcW w:w="2676" w:type="dxa"/>
            <w:gridSpan w:val="2"/>
            <w:tcBorders>
              <w:tl2br w:val="nil"/>
              <w:tr2bl w:val="nil"/>
            </w:tcBorders>
            <w:noWrap w:val="0"/>
            <w:vAlign w:val="center"/>
          </w:tcPr>
          <w:p w14:paraId="68D35CD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一 级 </w:t>
            </w:r>
            <w:r>
              <w:rPr>
                <w:rFonts w:hint="default" w:ascii="Times New Roman" w:hAnsi="Times New Roman" w:eastAsia="宋体" w:cs="Times New Roman"/>
                <w:color w:val="auto"/>
                <w:sz w:val="18"/>
              </w:rPr>
              <w:sym w:font="Wingdings 2" w:char="00A3"/>
            </w:r>
          </w:p>
        </w:tc>
        <w:tc>
          <w:tcPr>
            <w:tcW w:w="1477" w:type="dxa"/>
            <w:gridSpan w:val="2"/>
            <w:tcBorders>
              <w:tl2br w:val="nil"/>
              <w:tr2bl w:val="nil"/>
            </w:tcBorders>
            <w:noWrap w:val="0"/>
            <w:vAlign w:val="center"/>
          </w:tcPr>
          <w:p w14:paraId="7E10385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二 级 </w:t>
            </w:r>
            <w:r>
              <w:rPr>
                <w:rFonts w:hint="default" w:ascii="Times New Roman" w:hAnsi="Times New Roman" w:eastAsia="宋体" w:cs="Times New Roman"/>
                <w:color w:val="auto"/>
                <w:sz w:val="18"/>
              </w:rPr>
              <w:sym w:font="Wingdings 2" w:char="0052"/>
            </w:r>
          </w:p>
        </w:tc>
        <w:tc>
          <w:tcPr>
            <w:tcW w:w="1471" w:type="dxa"/>
            <w:gridSpan w:val="2"/>
            <w:tcBorders>
              <w:tl2br w:val="nil"/>
              <w:tr2bl w:val="nil"/>
            </w:tcBorders>
            <w:noWrap w:val="0"/>
            <w:vAlign w:val="center"/>
          </w:tcPr>
          <w:p w14:paraId="75538FC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三 级 </w:t>
            </w:r>
            <w:r>
              <w:rPr>
                <w:rFonts w:hint="default" w:ascii="Times New Roman" w:hAnsi="Times New Roman" w:eastAsia="宋体" w:cs="Times New Roman"/>
                <w:color w:val="auto"/>
                <w:sz w:val="18"/>
              </w:rPr>
              <w:sym w:font="Wingdings 2" w:char="00A3"/>
            </w:r>
          </w:p>
        </w:tc>
        <w:tc>
          <w:tcPr>
            <w:tcW w:w="1556" w:type="dxa"/>
            <w:tcBorders>
              <w:tl2br w:val="nil"/>
              <w:tr2bl w:val="nil"/>
            </w:tcBorders>
            <w:noWrap w:val="0"/>
            <w:vAlign w:val="center"/>
          </w:tcPr>
          <w:p w14:paraId="5348FB9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简单分析 </w:t>
            </w:r>
            <w:r>
              <w:rPr>
                <w:rFonts w:hint="default" w:ascii="Times New Roman" w:hAnsi="Times New Roman" w:eastAsia="宋体" w:cs="Times New Roman"/>
                <w:color w:val="auto"/>
                <w:sz w:val="18"/>
              </w:rPr>
              <w:sym w:font="Wingdings 2" w:char="00A3"/>
            </w:r>
          </w:p>
        </w:tc>
      </w:tr>
      <w:tr w14:paraId="2E921E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412" w:type="dxa"/>
            <w:vMerge w:val="restart"/>
            <w:tcBorders>
              <w:tl2br w:val="nil"/>
              <w:tr2bl w:val="nil"/>
            </w:tcBorders>
            <w:noWrap w:val="0"/>
            <w:vAlign w:val="center"/>
          </w:tcPr>
          <w:p w14:paraId="4A1FCF99">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风险识别</w:t>
            </w:r>
          </w:p>
        </w:tc>
        <w:tc>
          <w:tcPr>
            <w:tcW w:w="728" w:type="dxa"/>
            <w:tcBorders>
              <w:tl2br w:val="nil"/>
              <w:tr2bl w:val="nil"/>
            </w:tcBorders>
            <w:noWrap w:val="0"/>
            <w:vAlign w:val="center"/>
          </w:tcPr>
          <w:p w14:paraId="6CBF2C31">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物质危险性</w:t>
            </w:r>
          </w:p>
        </w:tc>
        <w:tc>
          <w:tcPr>
            <w:tcW w:w="3220" w:type="dxa"/>
            <w:gridSpan w:val="3"/>
            <w:tcBorders>
              <w:tl2br w:val="nil"/>
              <w:tr2bl w:val="nil"/>
            </w:tcBorders>
            <w:noWrap w:val="0"/>
            <w:vAlign w:val="center"/>
          </w:tcPr>
          <w:p w14:paraId="7982FE40">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有毒有害  </w:t>
            </w:r>
            <w:r>
              <w:rPr>
                <w:rFonts w:hint="default" w:ascii="Times New Roman" w:hAnsi="Times New Roman" w:eastAsia="宋体" w:cs="Times New Roman"/>
                <w:color w:val="auto"/>
                <w:sz w:val="18"/>
              </w:rPr>
              <w:sym w:font="Wingdings 2" w:char="0052"/>
            </w:r>
          </w:p>
        </w:tc>
        <w:tc>
          <w:tcPr>
            <w:tcW w:w="3960" w:type="dxa"/>
            <w:gridSpan w:val="4"/>
            <w:tcBorders>
              <w:tl2br w:val="nil"/>
              <w:tr2bl w:val="nil"/>
            </w:tcBorders>
            <w:noWrap w:val="0"/>
            <w:vAlign w:val="center"/>
          </w:tcPr>
          <w:p w14:paraId="54F80EBA">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highlight w:val="none"/>
              </w:rPr>
              <w:t xml:space="preserve">易燃易爆  </w:t>
            </w:r>
            <w:r>
              <w:rPr>
                <w:rFonts w:hint="default" w:ascii="Times New Roman" w:hAnsi="Times New Roman" w:eastAsia="宋体" w:cs="Times New Roman"/>
                <w:color w:val="auto"/>
                <w:sz w:val="18"/>
                <w:highlight w:val="none"/>
              </w:rPr>
              <w:sym w:font="Wingdings 2" w:char="0052"/>
            </w:r>
          </w:p>
        </w:tc>
      </w:tr>
      <w:tr w14:paraId="3F62D2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 w:hRule="atLeast"/>
        </w:trPr>
        <w:tc>
          <w:tcPr>
            <w:tcW w:w="412" w:type="dxa"/>
            <w:vMerge w:val="continue"/>
            <w:tcBorders>
              <w:tl2br w:val="nil"/>
              <w:tr2bl w:val="nil"/>
            </w:tcBorders>
            <w:noWrap w:val="0"/>
            <w:vAlign w:val="center"/>
          </w:tcPr>
          <w:p w14:paraId="2258E7DC">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tcBorders>
              <w:tl2br w:val="nil"/>
              <w:tr2bl w:val="nil"/>
            </w:tcBorders>
            <w:noWrap w:val="0"/>
            <w:vAlign w:val="center"/>
          </w:tcPr>
          <w:p w14:paraId="51749C8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环境风险</w:t>
            </w:r>
          </w:p>
          <w:p w14:paraId="23F1DCEE">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类型</w:t>
            </w:r>
          </w:p>
        </w:tc>
        <w:tc>
          <w:tcPr>
            <w:tcW w:w="2676" w:type="dxa"/>
            <w:gridSpan w:val="2"/>
            <w:tcBorders>
              <w:tl2br w:val="nil"/>
              <w:tr2bl w:val="nil"/>
            </w:tcBorders>
            <w:noWrap w:val="0"/>
            <w:vAlign w:val="center"/>
          </w:tcPr>
          <w:p w14:paraId="63FF6EB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泄 漏 </w:t>
            </w:r>
            <w:r>
              <w:rPr>
                <w:rFonts w:hint="default" w:ascii="Times New Roman" w:hAnsi="Times New Roman" w:eastAsia="宋体" w:cs="Times New Roman"/>
                <w:color w:val="auto"/>
                <w:sz w:val="18"/>
              </w:rPr>
              <w:sym w:font="Wingdings 2" w:char="0052"/>
            </w:r>
          </w:p>
        </w:tc>
        <w:tc>
          <w:tcPr>
            <w:tcW w:w="4504" w:type="dxa"/>
            <w:gridSpan w:val="5"/>
            <w:tcBorders>
              <w:tl2br w:val="nil"/>
              <w:tr2bl w:val="nil"/>
            </w:tcBorders>
            <w:noWrap w:val="0"/>
            <w:vAlign w:val="center"/>
          </w:tcPr>
          <w:p w14:paraId="00ABBFE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highlight w:val="none"/>
              </w:rPr>
              <w:t xml:space="preserve">火灾、爆炸引发伴生/次生污染物排放 </w:t>
            </w:r>
            <w:r>
              <w:rPr>
                <w:rFonts w:hint="default" w:ascii="Times New Roman" w:hAnsi="Times New Roman" w:eastAsia="宋体" w:cs="Times New Roman"/>
                <w:color w:val="auto"/>
                <w:sz w:val="18"/>
                <w:highlight w:val="none"/>
              </w:rPr>
              <w:sym w:font="Wingdings 2" w:char="0052"/>
            </w:r>
          </w:p>
        </w:tc>
      </w:tr>
      <w:tr w14:paraId="52BF75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412" w:type="dxa"/>
            <w:vMerge w:val="continue"/>
            <w:tcBorders>
              <w:tl2br w:val="nil"/>
              <w:tr2bl w:val="nil"/>
            </w:tcBorders>
            <w:noWrap w:val="0"/>
            <w:vAlign w:val="center"/>
          </w:tcPr>
          <w:p w14:paraId="175A2B5E">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tcBorders>
              <w:tl2br w:val="nil"/>
              <w:tr2bl w:val="nil"/>
            </w:tcBorders>
            <w:noWrap w:val="0"/>
            <w:vAlign w:val="center"/>
          </w:tcPr>
          <w:p w14:paraId="5BB6A2B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影响途径</w:t>
            </w:r>
          </w:p>
        </w:tc>
        <w:tc>
          <w:tcPr>
            <w:tcW w:w="2676" w:type="dxa"/>
            <w:gridSpan w:val="2"/>
            <w:tcBorders>
              <w:tl2br w:val="nil"/>
              <w:tr2bl w:val="nil"/>
            </w:tcBorders>
            <w:noWrap w:val="0"/>
            <w:vAlign w:val="center"/>
          </w:tcPr>
          <w:p w14:paraId="07C0488C">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大 气 </w:t>
            </w:r>
            <w:r>
              <w:rPr>
                <w:rFonts w:hint="default" w:ascii="Times New Roman" w:hAnsi="Times New Roman" w:eastAsia="宋体" w:cs="Times New Roman"/>
                <w:color w:val="auto"/>
                <w:sz w:val="18"/>
              </w:rPr>
              <w:sym w:font="Wingdings 2" w:char="0052"/>
            </w:r>
          </w:p>
        </w:tc>
        <w:tc>
          <w:tcPr>
            <w:tcW w:w="2555" w:type="dxa"/>
            <w:gridSpan w:val="3"/>
            <w:tcBorders>
              <w:tl2br w:val="nil"/>
              <w:tr2bl w:val="nil"/>
            </w:tcBorders>
            <w:noWrap w:val="0"/>
            <w:vAlign w:val="center"/>
          </w:tcPr>
          <w:p w14:paraId="5E209C7C">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highlight w:val="none"/>
              </w:rPr>
              <w:t>地表水</w:t>
            </w:r>
            <w:r>
              <w:rPr>
                <w:rFonts w:hint="default" w:ascii="Times New Roman" w:hAnsi="Times New Roman" w:eastAsia="宋体" w:cs="Times New Roman"/>
                <w:color w:val="auto"/>
                <w:sz w:val="18"/>
              </w:rPr>
              <w:t xml:space="preserve"> </w:t>
            </w:r>
            <w:r>
              <w:rPr>
                <w:rFonts w:hint="default" w:ascii="Times New Roman" w:hAnsi="Times New Roman" w:eastAsia="宋体" w:cs="Times New Roman"/>
                <w:color w:val="auto"/>
                <w:sz w:val="18"/>
              </w:rPr>
              <w:sym w:font="Wingdings 2" w:char="0052"/>
            </w:r>
          </w:p>
        </w:tc>
        <w:tc>
          <w:tcPr>
            <w:tcW w:w="1949" w:type="dxa"/>
            <w:gridSpan w:val="2"/>
            <w:tcBorders>
              <w:tl2br w:val="nil"/>
              <w:tr2bl w:val="nil"/>
            </w:tcBorders>
            <w:noWrap w:val="0"/>
            <w:vAlign w:val="center"/>
          </w:tcPr>
          <w:p w14:paraId="1CFBFF9A">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地下水  </w:t>
            </w:r>
            <w:r>
              <w:rPr>
                <w:rFonts w:hint="default" w:ascii="Times New Roman" w:hAnsi="Times New Roman" w:eastAsia="宋体" w:cs="Times New Roman"/>
                <w:color w:val="auto"/>
                <w:sz w:val="18"/>
              </w:rPr>
              <w:sym w:font="Wingdings 2" w:char="0052"/>
            </w:r>
          </w:p>
        </w:tc>
      </w:tr>
      <w:tr w14:paraId="027B4C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1140" w:type="dxa"/>
            <w:gridSpan w:val="2"/>
            <w:tcBorders>
              <w:tl2br w:val="nil"/>
              <w:tr2bl w:val="nil"/>
            </w:tcBorders>
            <w:noWrap w:val="0"/>
            <w:vAlign w:val="center"/>
          </w:tcPr>
          <w:p w14:paraId="3B9CE09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事故情形分析</w:t>
            </w:r>
          </w:p>
        </w:tc>
        <w:tc>
          <w:tcPr>
            <w:tcW w:w="1264" w:type="dxa"/>
            <w:tcBorders>
              <w:tl2br w:val="nil"/>
              <w:tr2bl w:val="nil"/>
            </w:tcBorders>
            <w:noWrap w:val="0"/>
            <w:vAlign w:val="center"/>
          </w:tcPr>
          <w:p w14:paraId="7864DE7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源强设定方法</w:t>
            </w:r>
          </w:p>
        </w:tc>
        <w:tc>
          <w:tcPr>
            <w:tcW w:w="1412" w:type="dxa"/>
            <w:tcBorders>
              <w:tl2br w:val="nil"/>
              <w:tr2bl w:val="nil"/>
            </w:tcBorders>
            <w:noWrap w:val="0"/>
            <w:vAlign w:val="center"/>
          </w:tcPr>
          <w:p w14:paraId="44C7D985">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计算法 </w:t>
            </w:r>
            <w:r>
              <w:rPr>
                <w:rFonts w:hint="default" w:ascii="Times New Roman" w:hAnsi="Times New Roman" w:eastAsia="宋体" w:cs="Times New Roman"/>
                <w:color w:val="auto"/>
                <w:sz w:val="18"/>
              </w:rPr>
              <w:sym w:font="Wingdings 2" w:char="00A3"/>
            </w:r>
          </w:p>
        </w:tc>
        <w:tc>
          <w:tcPr>
            <w:tcW w:w="2555" w:type="dxa"/>
            <w:gridSpan w:val="3"/>
            <w:tcBorders>
              <w:tl2br w:val="nil"/>
              <w:tr2bl w:val="nil"/>
            </w:tcBorders>
            <w:noWrap w:val="0"/>
            <w:vAlign w:val="center"/>
          </w:tcPr>
          <w:p w14:paraId="5F1B2909">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经验估算法 </w:t>
            </w:r>
            <w:r>
              <w:rPr>
                <w:rFonts w:hint="default" w:ascii="Times New Roman" w:hAnsi="Times New Roman" w:eastAsia="宋体" w:cs="Times New Roman"/>
                <w:color w:val="auto"/>
                <w:sz w:val="18"/>
              </w:rPr>
              <w:sym w:font="Wingdings 2" w:char="0052"/>
            </w:r>
          </w:p>
        </w:tc>
        <w:tc>
          <w:tcPr>
            <w:tcW w:w="1949" w:type="dxa"/>
            <w:gridSpan w:val="2"/>
            <w:tcBorders>
              <w:tl2br w:val="nil"/>
              <w:tr2bl w:val="nil"/>
            </w:tcBorders>
            <w:noWrap w:val="0"/>
            <w:vAlign w:val="center"/>
          </w:tcPr>
          <w:p w14:paraId="5BE3FA3A">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其他估算法 □</w:t>
            </w:r>
          </w:p>
        </w:tc>
      </w:tr>
      <w:tr w14:paraId="1FE38E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3" w:hRule="atLeast"/>
        </w:trPr>
        <w:tc>
          <w:tcPr>
            <w:tcW w:w="412" w:type="dxa"/>
            <w:vMerge w:val="restart"/>
            <w:tcBorders>
              <w:tl2br w:val="nil"/>
              <w:tr2bl w:val="nil"/>
            </w:tcBorders>
            <w:noWrap w:val="0"/>
            <w:vAlign w:val="center"/>
          </w:tcPr>
          <w:p w14:paraId="2277BF6F">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风险预测与评价</w:t>
            </w:r>
          </w:p>
        </w:tc>
        <w:tc>
          <w:tcPr>
            <w:tcW w:w="728" w:type="dxa"/>
            <w:vMerge w:val="restart"/>
            <w:tcBorders>
              <w:tl2br w:val="nil"/>
              <w:tr2bl w:val="nil"/>
            </w:tcBorders>
            <w:noWrap w:val="0"/>
            <w:vAlign w:val="center"/>
          </w:tcPr>
          <w:p w14:paraId="28D6BEBA">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2"/>
              </w:rPr>
            </w:pPr>
          </w:p>
          <w:p w14:paraId="20F17F0D">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大气</w:t>
            </w:r>
          </w:p>
        </w:tc>
        <w:tc>
          <w:tcPr>
            <w:tcW w:w="1264" w:type="dxa"/>
            <w:tcBorders>
              <w:tl2br w:val="nil"/>
              <w:tr2bl w:val="nil"/>
            </w:tcBorders>
            <w:noWrap w:val="0"/>
            <w:vAlign w:val="center"/>
          </w:tcPr>
          <w:p w14:paraId="1916D248">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预测模型</w:t>
            </w:r>
          </w:p>
        </w:tc>
        <w:tc>
          <w:tcPr>
            <w:tcW w:w="1412" w:type="dxa"/>
            <w:tcBorders>
              <w:tl2br w:val="nil"/>
              <w:tr2bl w:val="nil"/>
            </w:tcBorders>
            <w:noWrap w:val="0"/>
            <w:vAlign w:val="center"/>
          </w:tcPr>
          <w:p w14:paraId="0FBC71CE">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SLAB </w:t>
            </w:r>
            <w:r>
              <w:rPr>
                <w:rFonts w:hint="default" w:ascii="Times New Roman" w:hAnsi="Times New Roman" w:eastAsia="宋体" w:cs="Times New Roman"/>
                <w:color w:val="auto"/>
                <w:sz w:val="18"/>
              </w:rPr>
              <w:sym w:font="Wingdings 2" w:char="0052"/>
            </w:r>
          </w:p>
        </w:tc>
        <w:tc>
          <w:tcPr>
            <w:tcW w:w="2555" w:type="dxa"/>
            <w:gridSpan w:val="3"/>
            <w:tcBorders>
              <w:tl2br w:val="nil"/>
              <w:tr2bl w:val="nil"/>
            </w:tcBorders>
            <w:noWrap w:val="0"/>
            <w:vAlign w:val="center"/>
          </w:tcPr>
          <w:p w14:paraId="5BAE04C7">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AFTOX </w:t>
            </w:r>
            <w:r>
              <w:rPr>
                <w:rFonts w:hint="default" w:ascii="Times New Roman" w:hAnsi="Times New Roman" w:eastAsia="宋体" w:cs="Times New Roman"/>
                <w:color w:val="auto"/>
                <w:sz w:val="18"/>
              </w:rPr>
              <w:sym w:font="Wingdings 2" w:char="00A3"/>
            </w:r>
          </w:p>
        </w:tc>
        <w:tc>
          <w:tcPr>
            <w:tcW w:w="1949" w:type="dxa"/>
            <w:gridSpan w:val="2"/>
            <w:tcBorders>
              <w:tl2br w:val="nil"/>
              <w:tr2bl w:val="nil"/>
            </w:tcBorders>
            <w:noWrap w:val="0"/>
            <w:vAlign w:val="center"/>
          </w:tcPr>
          <w:p w14:paraId="6524E54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 xml:space="preserve">其 他 </w:t>
            </w:r>
            <w:r>
              <w:rPr>
                <w:rFonts w:hint="default" w:ascii="Times New Roman" w:hAnsi="Times New Roman" w:eastAsia="宋体" w:cs="Times New Roman"/>
                <w:color w:val="auto"/>
                <w:sz w:val="18"/>
              </w:rPr>
              <w:sym w:font="Wingdings 2" w:char="00A3"/>
            </w:r>
          </w:p>
        </w:tc>
      </w:tr>
      <w:tr w14:paraId="5B869A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412" w:type="dxa"/>
            <w:vMerge w:val="continue"/>
            <w:tcBorders>
              <w:tl2br w:val="nil"/>
              <w:tr2bl w:val="nil"/>
            </w:tcBorders>
            <w:noWrap w:val="0"/>
            <w:vAlign w:val="center"/>
          </w:tcPr>
          <w:p w14:paraId="2D03CA94">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0EE1A161">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vMerge w:val="restart"/>
            <w:tcBorders>
              <w:tl2br w:val="nil"/>
              <w:tr2bl w:val="nil"/>
            </w:tcBorders>
            <w:noWrap w:val="0"/>
            <w:vAlign w:val="center"/>
          </w:tcPr>
          <w:p w14:paraId="53A032F9">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预测结果</w:t>
            </w:r>
          </w:p>
        </w:tc>
        <w:tc>
          <w:tcPr>
            <w:tcW w:w="5916" w:type="dxa"/>
            <w:gridSpan w:val="6"/>
            <w:tcBorders>
              <w:tl2br w:val="nil"/>
              <w:tr2bl w:val="nil"/>
            </w:tcBorders>
            <w:noWrap w:val="0"/>
            <w:vAlign w:val="center"/>
          </w:tcPr>
          <w:p w14:paraId="68B3D4F4">
            <w:pPr>
              <w:pStyle w:val="40"/>
              <w:keepNext w:val="0"/>
              <w:keepLines w:val="0"/>
              <w:pageBreakBefore w:val="0"/>
              <w:widowControl w:val="0"/>
              <w:tabs>
                <w:tab w:val="left" w:pos="4624"/>
              </w:tabs>
              <w:kinsoku/>
              <w:wordWrap/>
              <w:overflowPunct/>
              <w:topLinePunct w:val="0"/>
              <w:autoSpaceDE w:val="0"/>
              <w:autoSpaceDN w:val="0"/>
              <w:bidi w:val="0"/>
              <w:adjustRightInd/>
              <w:snapToGrid/>
              <w:spacing w:before="0" w:line="240" w:lineRule="exact"/>
              <w:ind w:left="0" w:right="0" w:firstLine="0"/>
              <w:jc w:val="center"/>
              <w:textAlignment w:val="auto"/>
              <w:rPr>
                <w:rFonts w:hint="eastAsia" w:ascii="Times New Roman" w:hAnsi="Times New Roman" w:eastAsia="宋体" w:cs="Times New Roman"/>
                <w:color w:val="auto"/>
                <w:sz w:val="18"/>
                <w:lang w:val="en-US" w:eastAsia="zh-CN"/>
              </w:rPr>
            </w:pPr>
            <w:r>
              <w:rPr>
                <w:rFonts w:hint="eastAsia" w:ascii="Times New Roman" w:hAnsi="Times New Roman" w:eastAsia="宋体" w:cs="Times New Roman"/>
                <w:color w:val="auto"/>
                <w:sz w:val="18"/>
                <w:lang w:val="en-US" w:eastAsia="zh-CN"/>
              </w:rPr>
              <w:t>NO2</w:t>
            </w:r>
            <w:r>
              <w:rPr>
                <w:rFonts w:hint="default" w:ascii="Times New Roman" w:hAnsi="Times New Roman" w:eastAsia="宋体" w:cs="Times New Roman"/>
                <w:color w:val="auto"/>
                <w:sz w:val="18"/>
              </w:rPr>
              <w:t>大气毒性终点浓度-1最大影响范围</w:t>
            </w:r>
            <w:r>
              <w:rPr>
                <w:rFonts w:hint="eastAsia" w:ascii="Times New Roman" w:hAnsi="Times New Roman" w:eastAsia="宋体" w:cs="Times New Roman"/>
                <w:color w:val="auto"/>
                <w:sz w:val="18"/>
                <w:lang w:val="en-US" w:eastAsia="zh-CN"/>
              </w:rPr>
              <w:t>均为</w:t>
            </w:r>
            <w:r>
              <w:rPr>
                <w:rFonts w:hint="eastAsia" w:ascii="Times New Roman" w:hAnsi="Times New Roman" w:eastAsia="宋体" w:cs="Times New Roman"/>
                <w:color w:val="auto"/>
                <w:sz w:val="18"/>
                <w:u w:val="single"/>
                <w:lang w:val="en-US" w:eastAsia="zh-CN"/>
              </w:rPr>
              <w:t xml:space="preserve"> 660  </w:t>
            </w:r>
            <w:r>
              <w:rPr>
                <w:rFonts w:hint="default" w:ascii="Times New Roman" w:hAnsi="Times New Roman" w:eastAsia="宋体" w:cs="Times New Roman"/>
                <w:color w:val="auto"/>
                <w:sz w:val="18"/>
              </w:rPr>
              <w:t>m</w:t>
            </w:r>
            <w:r>
              <w:rPr>
                <w:rFonts w:hint="eastAsia" w:ascii="Times New Roman" w:hAnsi="Times New Roman" w:eastAsia="宋体" w:cs="Times New Roman"/>
                <w:color w:val="auto"/>
                <w:sz w:val="18"/>
                <w:lang w:eastAsia="zh-CN"/>
              </w:rPr>
              <w:t>，</w:t>
            </w:r>
            <w:r>
              <w:rPr>
                <w:rFonts w:hint="default" w:ascii="Times New Roman" w:hAnsi="Times New Roman" w:eastAsia="宋体" w:cs="Times New Roman"/>
                <w:color w:val="auto"/>
                <w:sz w:val="18"/>
              </w:rPr>
              <w:t>大气毒性终点浓度-2 最大影响范围</w:t>
            </w:r>
            <w:r>
              <w:rPr>
                <w:rFonts w:hint="eastAsia" w:ascii="Times New Roman" w:hAnsi="Times New Roman" w:eastAsia="宋体" w:cs="Times New Roman"/>
                <w:color w:val="auto"/>
                <w:sz w:val="18"/>
                <w:lang w:val="en-US" w:eastAsia="zh-CN"/>
              </w:rPr>
              <w:t>均为</w:t>
            </w:r>
            <w:r>
              <w:rPr>
                <w:rFonts w:hint="eastAsia" w:ascii="Times New Roman" w:hAnsi="Times New Roman" w:eastAsia="宋体" w:cs="Times New Roman"/>
                <w:color w:val="auto"/>
                <w:sz w:val="18"/>
                <w:u w:val="single"/>
                <w:lang w:val="en-US" w:eastAsia="zh-CN"/>
              </w:rPr>
              <w:t xml:space="preserve"> 920 </w:t>
            </w:r>
            <w:r>
              <w:rPr>
                <w:rFonts w:hint="default" w:ascii="Times New Roman" w:hAnsi="Times New Roman" w:eastAsia="宋体" w:cs="Times New Roman"/>
                <w:color w:val="auto"/>
                <w:sz w:val="18"/>
              </w:rPr>
              <w:t>m</w:t>
            </w:r>
            <w:r>
              <w:rPr>
                <w:rFonts w:hint="eastAsia" w:ascii="Times New Roman" w:hAnsi="Times New Roman" w:eastAsia="宋体" w:cs="Times New Roman"/>
                <w:color w:val="auto"/>
                <w:sz w:val="18"/>
                <w:lang w:val="en-US" w:eastAsia="zh-CN"/>
              </w:rPr>
              <w:t>；</w:t>
            </w:r>
          </w:p>
        </w:tc>
      </w:tr>
      <w:tr w14:paraId="4BD959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412" w:type="dxa"/>
            <w:vMerge w:val="continue"/>
            <w:tcBorders>
              <w:tl2br w:val="nil"/>
              <w:tr2bl w:val="nil"/>
            </w:tcBorders>
            <w:noWrap w:val="0"/>
            <w:vAlign w:val="center"/>
          </w:tcPr>
          <w:p w14:paraId="7203FB47">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774A1538">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1264" w:type="dxa"/>
            <w:vMerge w:val="continue"/>
            <w:tcBorders>
              <w:tl2br w:val="nil"/>
              <w:tr2bl w:val="nil"/>
            </w:tcBorders>
            <w:noWrap w:val="0"/>
            <w:vAlign w:val="center"/>
          </w:tcPr>
          <w:p w14:paraId="00CFE8F6">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5916" w:type="dxa"/>
            <w:gridSpan w:val="6"/>
            <w:tcBorders>
              <w:tl2br w:val="nil"/>
              <w:tr2bl w:val="nil"/>
            </w:tcBorders>
            <w:noWrap w:val="0"/>
            <w:vAlign w:val="center"/>
          </w:tcPr>
          <w:p w14:paraId="2D9123CA">
            <w:pPr>
              <w:pStyle w:val="40"/>
              <w:keepNext w:val="0"/>
              <w:keepLines w:val="0"/>
              <w:pageBreakBefore w:val="0"/>
              <w:widowControl w:val="0"/>
              <w:tabs>
                <w:tab w:val="left" w:pos="4624"/>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highlight w:val="none"/>
              </w:rPr>
            </w:pPr>
            <w:r>
              <w:rPr>
                <w:rFonts w:hint="eastAsia" w:ascii="Times New Roman" w:hAnsi="Times New Roman" w:eastAsia="宋体" w:cs="Times New Roman"/>
                <w:color w:val="auto"/>
                <w:sz w:val="18"/>
                <w:highlight w:val="none"/>
                <w:lang w:val="en-US" w:eastAsia="zh-CN"/>
              </w:rPr>
              <w:t>次生污染物CO</w:t>
            </w:r>
            <w:r>
              <w:rPr>
                <w:rFonts w:hint="default" w:ascii="Times New Roman" w:hAnsi="Times New Roman" w:eastAsia="宋体" w:cs="Times New Roman"/>
                <w:color w:val="auto"/>
                <w:sz w:val="18"/>
                <w:highlight w:val="none"/>
              </w:rPr>
              <w:t>大气毒性终点浓度-1  最大影响范围</w:t>
            </w:r>
            <w:r>
              <w:rPr>
                <w:rFonts w:hint="eastAsia" w:ascii="Times New Roman" w:hAnsi="Times New Roman" w:eastAsia="宋体" w:cs="Times New Roman"/>
                <w:color w:val="auto"/>
                <w:sz w:val="18"/>
                <w:highlight w:val="none"/>
                <w:u w:val="single"/>
                <w:lang w:val="en-US" w:eastAsia="zh-CN"/>
              </w:rPr>
              <w:t xml:space="preserve">  0  </w:t>
            </w:r>
            <w:r>
              <w:rPr>
                <w:rFonts w:hint="default" w:ascii="Times New Roman" w:hAnsi="Times New Roman" w:eastAsia="宋体" w:cs="Times New Roman"/>
                <w:color w:val="auto"/>
                <w:sz w:val="18"/>
                <w:highlight w:val="none"/>
              </w:rPr>
              <w:t>m</w:t>
            </w:r>
          </w:p>
          <w:p w14:paraId="0C7DF098">
            <w:pPr>
              <w:pStyle w:val="40"/>
              <w:keepNext w:val="0"/>
              <w:keepLines w:val="0"/>
              <w:pageBreakBefore w:val="0"/>
              <w:widowControl w:val="0"/>
              <w:tabs>
                <w:tab w:val="left" w:pos="4624"/>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eastAsia" w:ascii="Times New Roman" w:hAnsi="Times New Roman" w:eastAsia="宋体" w:cs="Times New Roman"/>
                <w:color w:val="auto"/>
                <w:sz w:val="18"/>
                <w:highlight w:val="none"/>
                <w:lang w:val="en-US" w:eastAsia="zh-CN"/>
              </w:rPr>
              <w:t>次生污染物CO</w:t>
            </w:r>
            <w:r>
              <w:rPr>
                <w:rFonts w:hint="default" w:ascii="Times New Roman" w:hAnsi="Times New Roman" w:eastAsia="宋体" w:cs="Times New Roman"/>
                <w:color w:val="auto"/>
                <w:sz w:val="18"/>
                <w:highlight w:val="none"/>
              </w:rPr>
              <w:t>大气毒性终点浓度-2  最大影响范围</w:t>
            </w:r>
            <w:r>
              <w:rPr>
                <w:rFonts w:hint="eastAsia" w:ascii="Times New Roman" w:hAnsi="Times New Roman" w:eastAsia="宋体" w:cs="Times New Roman"/>
                <w:color w:val="auto"/>
                <w:sz w:val="18"/>
                <w:highlight w:val="none"/>
                <w:u w:val="single"/>
                <w:lang w:val="en-US" w:eastAsia="zh-CN"/>
              </w:rPr>
              <w:t xml:space="preserve">  0  </w:t>
            </w:r>
            <w:r>
              <w:rPr>
                <w:rFonts w:hint="default" w:ascii="Times New Roman" w:hAnsi="Times New Roman" w:eastAsia="宋体" w:cs="Times New Roman"/>
                <w:color w:val="auto"/>
                <w:sz w:val="18"/>
                <w:highlight w:val="none"/>
              </w:rPr>
              <w:t>m</w:t>
            </w:r>
          </w:p>
        </w:tc>
      </w:tr>
      <w:tr w14:paraId="2EF424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412" w:type="dxa"/>
            <w:vMerge w:val="continue"/>
            <w:tcBorders>
              <w:tl2br w:val="nil"/>
              <w:tr2bl w:val="nil"/>
            </w:tcBorders>
            <w:noWrap w:val="0"/>
            <w:vAlign w:val="center"/>
          </w:tcPr>
          <w:p w14:paraId="7B43915E">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tcBorders>
              <w:tl2br w:val="nil"/>
              <w:tr2bl w:val="nil"/>
            </w:tcBorders>
            <w:noWrap w:val="0"/>
            <w:vAlign w:val="center"/>
          </w:tcPr>
          <w:p w14:paraId="3724A20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地表水</w:t>
            </w:r>
          </w:p>
        </w:tc>
        <w:tc>
          <w:tcPr>
            <w:tcW w:w="7180" w:type="dxa"/>
            <w:gridSpan w:val="7"/>
            <w:tcBorders>
              <w:tl2br w:val="nil"/>
              <w:tr2bl w:val="nil"/>
            </w:tcBorders>
            <w:noWrap w:val="0"/>
            <w:vAlign w:val="center"/>
          </w:tcPr>
          <w:p w14:paraId="11849114">
            <w:pPr>
              <w:pStyle w:val="40"/>
              <w:keepNext w:val="0"/>
              <w:keepLines w:val="0"/>
              <w:pageBreakBefore w:val="0"/>
              <w:widowControl w:val="0"/>
              <w:tabs>
                <w:tab w:val="left" w:pos="4178"/>
                <w:tab w:val="left" w:pos="5528"/>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lang w:val="en-US" w:eastAsia="zh-CN"/>
              </w:rPr>
            </w:pPr>
            <w:r>
              <w:rPr>
                <w:rFonts w:hint="default" w:ascii="Times New Roman" w:hAnsi="Times New Roman" w:eastAsia="宋体" w:cs="Times New Roman"/>
                <w:color w:val="auto"/>
                <w:sz w:val="18"/>
              </w:rPr>
              <w:t>最近环境敏感目标</w:t>
            </w:r>
            <w:r>
              <w:rPr>
                <w:rFonts w:hint="default" w:ascii="Times New Roman" w:hAnsi="Times New Roman" w:eastAsia="宋体" w:cs="Times New Roman"/>
                <w:color w:val="auto"/>
                <w:sz w:val="18"/>
                <w:u w:val="single"/>
              </w:rPr>
              <w:t xml:space="preserve"> </w:t>
            </w:r>
            <w:r>
              <w:rPr>
                <w:rFonts w:hint="eastAsia" w:ascii="Times New Roman" w:hAnsi="Times New Roman" w:eastAsia="宋体" w:cs="Times New Roman"/>
                <w:color w:val="auto"/>
                <w:sz w:val="18"/>
                <w:u w:val="single"/>
                <w:lang w:val="en-US" w:eastAsia="zh-CN"/>
              </w:rPr>
              <w:t xml:space="preserve">   </w:t>
            </w:r>
            <w:r>
              <w:rPr>
                <w:rFonts w:hint="default" w:ascii="Times New Roman" w:hAnsi="Times New Roman" w:eastAsia="宋体" w:cs="Times New Roman"/>
                <w:color w:val="auto"/>
                <w:sz w:val="18"/>
              </w:rPr>
              <w:t>，到达时间</w:t>
            </w:r>
            <w:r>
              <w:rPr>
                <w:rFonts w:hint="default" w:ascii="Times New Roman" w:hAnsi="Times New Roman" w:eastAsia="宋体" w:cs="Times New Roman"/>
                <w:color w:val="auto"/>
                <w:sz w:val="18"/>
                <w:u w:val="single"/>
              </w:rPr>
              <w:t xml:space="preserve"> </w:t>
            </w:r>
            <w:r>
              <w:rPr>
                <w:rFonts w:hint="eastAsia" w:ascii="Times New Roman" w:hAnsi="Times New Roman" w:eastAsia="宋体" w:cs="Times New Roman"/>
                <w:color w:val="auto"/>
                <w:sz w:val="18"/>
                <w:u w:val="single"/>
                <w:lang w:val="en-US" w:eastAsia="zh-CN"/>
              </w:rPr>
              <w:t xml:space="preserve">    </w:t>
            </w:r>
          </w:p>
        </w:tc>
      </w:tr>
      <w:tr w14:paraId="0EA7FA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412" w:type="dxa"/>
            <w:vMerge w:val="continue"/>
            <w:tcBorders>
              <w:tl2br w:val="nil"/>
              <w:tr2bl w:val="nil"/>
            </w:tcBorders>
            <w:noWrap w:val="0"/>
            <w:vAlign w:val="center"/>
          </w:tcPr>
          <w:p w14:paraId="565CE3F7">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restart"/>
            <w:tcBorders>
              <w:tl2br w:val="nil"/>
              <w:tr2bl w:val="nil"/>
            </w:tcBorders>
            <w:noWrap w:val="0"/>
            <w:vAlign w:val="center"/>
          </w:tcPr>
          <w:p w14:paraId="7CFC5B53">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地下水</w:t>
            </w:r>
          </w:p>
        </w:tc>
        <w:tc>
          <w:tcPr>
            <w:tcW w:w="7180" w:type="dxa"/>
            <w:gridSpan w:val="7"/>
            <w:tcBorders>
              <w:tl2br w:val="nil"/>
              <w:tr2bl w:val="nil"/>
            </w:tcBorders>
            <w:noWrap w:val="0"/>
            <w:vAlign w:val="center"/>
          </w:tcPr>
          <w:p w14:paraId="108E756E">
            <w:pPr>
              <w:pStyle w:val="40"/>
              <w:keepNext w:val="0"/>
              <w:keepLines w:val="0"/>
              <w:pageBreakBefore w:val="0"/>
              <w:widowControl w:val="0"/>
              <w:tabs>
                <w:tab w:val="left" w:pos="2287"/>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下游厂区边界到达时间</w:t>
            </w:r>
            <w:r>
              <w:rPr>
                <w:rFonts w:hint="default" w:ascii="Times New Roman" w:hAnsi="Times New Roman" w:eastAsia="宋体" w:cs="Times New Roman"/>
                <w:color w:val="auto"/>
                <w:sz w:val="18"/>
                <w:u w:val="single"/>
              </w:rPr>
              <w:t xml:space="preserve"> </w:t>
            </w:r>
            <w:r>
              <w:rPr>
                <w:rFonts w:hint="default" w:ascii="Times New Roman" w:hAnsi="Times New Roman" w:eastAsia="宋体" w:cs="Times New Roman"/>
                <w:color w:val="auto"/>
                <w:sz w:val="18"/>
                <w:u w:val="single"/>
              </w:rPr>
              <w:tab/>
            </w:r>
            <w:r>
              <w:rPr>
                <w:rFonts w:hint="default" w:ascii="Times New Roman" w:hAnsi="Times New Roman" w:eastAsia="宋体" w:cs="Times New Roman"/>
                <w:color w:val="auto"/>
                <w:sz w:val="18"/>
              </w:rPr>
              <w:t>d</w:t>
            </w:r>
          </w:p>
        </w:tc>
      </w:tr>
      <w:tr w14:paraId="152A53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412" w:type="dxa"/>
            <w:vMerge w:val="continue"/>
            <w:tcBorders>
              <w:tl2br w:val="nil"/>
              <w:tr2bl w:val="nil"/>
            </w:tcBorders>
            <w:noWrap w:val="0"/>
            <w:vAlign w:val="center"/>
          </w:tcPr>
          <w:p w14:paraId="099E0B2B">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28" w:type="dxa"/>
            <w:vMerge w:val="continue"/>
            <w:tcBorders>
              <w:tl2br w:val="nil"/>
              <w:tr2bl w:val="nil"/>
            </w:tcBorders>
            <w:noWrap w:val="0"/>
            <w:vAlign w:val="center"/>
          </w:tcPr>
          <w:p w14:paraId="1266E7B8">
            <w:pPr>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2"/>
                <w:szCs w:val="2"/>
              </w:rPr>
            </w:pPr>
          </w:p>
        </w:tc>
        <w:tc>
          <w:tcPr>
            <w:tcW w:w="7180" w:type="dxa"/>
            <w:gridSpan w:val="7"/>
            <w:tcBorders>
              <w:tl2br w:val="nil"/>
              <w:tr2bl w:val="nil"/>
            </w:tcBorders>
            <w:noWrap w:val="0"/>
            <w:vAlign w:val="center"/>
          </w:tcPr>
          <w:p w14:paraId="62E0DF0E">
            <w:pPr>
              <w:pStyle w:val="40"/>
              <w:keepNext w:val="0"/>
              <w:keepLines w:val="0"/>
              <w:pageBreakBefore w:val="0"/>
              <w:widowControl w:val="0"/>
              <w:tabs>
                <w:tab w:val="left" w:pos="4178"/>
                <w:tab w:val="left" w:pos="5528"/>
              </w:tabs>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最近环境敏感目标</w:t>
            </w:r>
            <w:r>
              <w:rPr>
                <w:rFonts w:hint="default" w:ascii="Times New Roman" w:hAnsi="Times New Roman" w:eastAsia="宋体" w:cs="Times New Roman"/>
                <w:color w:val="auto"/>
                <w:sz w:val="18"/>
                <w:u w:val="single"/>
              </w:rPr>
              <w:t xml:space="preserve"> </w:t>
            </w:r>
            <w:r>
              <w:rPr>
                <w:rFonts w:hint="default" w:ascii="Times New Roman" w:hAnsi="Times New Roman" w:eastAsia="宋体" w:cs="Times New Roman"/>
                <w:color w:val="auto"/>
                <w:sz w:val="18"/>
                <w:u w:val="single"/>
              </w:rPr>
              <w:tab/>
            </w:r>
            <w:r>
              <w:rPr>
                <w:rFonts w:hint="default" w:ascii="Times New Roman" w:hAnsi="Times New Roman" w:eastAsia="宋体" w:cs="Times New Roman"/>
                <w:color w:val="auto"/>
                <w:sz w:val="18"/>
              </w:rPr>
              <w:t>，到达时间</w:t>
            </w:r>
            <w:r>
              <w:rPr>
                <w:rFonts w:hint="default" w:ascii="Times New Roman" w:hAnsi="Times New Roman" w:eastAsia="宋体" w:cs="Times New Roman"/>
                <w:color w:val="auto"/>
                <w:sz w:val="18"/>
                <w:u w:val="single"/>
              </w:rPr>
              <w:t xml:space="preserve"> </w:t>
            </w:r>
            <w:r>
              <w:rPr>
                <w:rFonts w:hint="default" w:ascii="Times New Roman" w:hAnsi="Times New Roman" w:eastAsia="宋体" w:cs="Times New Roman"/>
                <w:color w:val="auto"/>
                <w:sz w:val="18"/>
                <w:u w:val="single"/>
              </w:rPr>
              <w:tab/>
            </w:r>
            <w:r>
              <w:rPr>
                <w:rFonts w:hint="default" w:ascii="Times New Roman" w:hAnsi="Times New Roman" w:eastAsia="宋体" w:cs="Times New Roman"/>
                <w:color w:val="auto"/>
                <w:sz w:val="18"/>
                <w:u w:val="single"/>
              </w:rPr>
              <w:t>d</w:t>
            </w:r>
          </w:p>
        </w:tc>
      </w:tr>
      <w:tr w14:paraId="4F764C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5" w:hRule="atLeast"/>
        </w:trPr>
        <w:tc>
          <w:tcPr>
            <w:tcW w:w="1140" w:type="dxa"/>
            <w:gridSpan w:val="2"/>
            <w:tcBorders>
              <w:tl2br w:val="nil"/>
              <w:tr2bl w:val="nil"/>
            </w:tcBorders>
            <w:noWrap w:val="0"/>
            <w:vAlign w:val="center"/>
          </w:tcPr>
          <w:p w14:paraId="7C4E7BE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重点风险防范措施</w:t>
            </w:r>
          </w:p>
        </w:tc>
        <w:tc>
          <w:tcPr>
            <w:tcW w:w="7180" w:type="dxa"/>
            <w:gridSpan w:val="7"/>
            <w:tcBorders>
              <w:tl2br w:val="nil"/>
              <w:tr2bl w:val="nil"/>
            </w:tcBorders>
            <w:noWrap w:val="0"/>
            <w:vAlign w:val="center"/>
          </w:tcPr>
          <w:p w14:paraId="0DB3E318">
            <w:pPr>
              <w:keepNext/>
              <w:keepLines w:val="0"/>
              <w:pageBreakBefore w:val="0"/>
              <w:kinsoku/>
              <w:wordWrap/>
              <w:overflowPunct/>
              <w:topLinePunct w:val="0"/>
              <w:bidi w:val="0"/>
              <w:spacing w:line="240" w:lineRule="auto"/>
              <w:ind w:firstLine="0"/>
              <w:jc w:val="left"/>
              <w:outlineLvl w:val="9"/>
              <w:rPr>
                <w:rFonts w:hint="default"/>
                <w:color w:val="auto"/>
                <w:lang w:val="en-US" w:eastAsia="zh-CN"/>
              </w:rPr>
            </w:pPr>
            <w:r>
              <w:rPr>
                <w:rFonts w:hint="default" w:ascii="Times New Roman" w:hAnsi="Times New Roman" w:eastAsia="宋体" w:cs="Times New Roman"/>
                <w:color w:val="auto"/>
                <w:sz w:val="18"/>
                <w:szCs w:val="18"/>
                <w:highlight w:val="none"/>
                <w:lang w:val="en-US" w:eastAsia="zh-CN"/>
              </w:rPr>
              <w:t>硝酸铵罐区设置围堰，围堰尺寸17.3m*9.2m*1.2m，有效容积190m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val="en-US" w:eastAsia="zh-CN"/>
              </w:rPr>
              <w:t>。新建有效容积为300m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val="en-US" w:eastAsia="zh-CN"/>
              </w:rPr>
              <w:t>的初期雨水收集池，用于收集本项目产生的初期雨水。依托厂区现有600m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val="en-US" w:eastAsia="zh-CN"/>
              </w:rPr>
              <w:t>事故池。</w:t>
            </w:r>
            <w:r>
              <w:rPr>
                <w:rFonts w:hint="default" w:ascii="Times New Roman" w:hAnsi="Times New Roman" w:eastAsia="宋体" w:cs="Times New Roman"/>
                <w:color w:val="auto"/>
                <w:sz w:val="18"/>
                <w:szCs w:val="18"/>
                <w:lang w:val="en-US" w:eastAsia="zh-CN"/>
              </w:rPr>
              <w:t>建筑物防火防爆措施、厂区分区防渗。</w:t>
            </w:r>
          </w:p>
        </w:tc>
      </w:tr>
      <w:tr w14:paraId="71CFAD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trPr>
        <w:tc>
          <w:tcPr>
            <w:tcW w:w="1140" w:type="dxa"/>
            <w:gridSpan w:val="2"/>
            <w:tcBorders>
              <w:tl2br w:val="nil"/>
              <w:tr2bl w:val="nil"/>
            </w:tcBorders>
            <w:noWrap w:val="0"/>
            <w:vAlign w:val="center"/>
          </w:tcPr>
          <w:p w14:paraId="406CD282">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评价结论</w:t>
            </w:r>
          </w:p>
          <w:p w14:paraId="2BB76E40">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rPr>
            </w:pPr>
            <w:r>
              <w:rPr>
                <w:rFonts w:hint="default" w:ascii="Times New Roman" w:hAnsi="Times New Roman" w:eastAsia="宋体" w:cs="Times New Roman"/>
                <w:color w:val="auto"/>
                <w:sz w:val="18"/>
              </w:rPr>
              <w:t>与建议</w:t>
            </w:r>
          </w:p>
        </w:tc>
        <w:tc>
          <w:tcPr>
            <w:tcW w:w="7180" w:type="dxa"/>
            <w:gridSpan w:val="7"/>
            <w:tcBorders>
              <w:tl2br w:val="nil"/>
              <w:tr2bl w:val="nil"/>
            </w:tcBorders>
            <w:noWrap w:val="0"/>
            <w:vAlign w:val="center"/>
          </w:tcPr>
          <w:p w14:paraId="6FFA5DCB">
            <w:pPr>
              <w:pStyle w:val="40"/>
              <w:keepNext w:val="0"/>
              <w:keepLines w:val="0"/>
              <w:pageBreakBefore w:val="0"/>
              <w:widowControl w:val="0"/>
              <w:kinsoku/>
              <w:wordWrap/>
              <w:overflowPunct/>
              <w:topLinePunct w:val="0"/>
              <w:autoSpaceDE w:val="0"/>
              <w:autoSpaceDN w:val="0"/>
              <w:bidi w:val="0"/>
              <w:adjustRightInd/>
              <w:snapToGrid/>
              <w:spacing w:before="0" w:line="240" w:lineRule="exact"/>
              <w:ind w:left="0" w:right="0" w:firstLine="0"/>
              <w:jc w:val="center"/>
              <w:textAlignment w:val="auto"/>
              <w:rPr>
                <w:rFonts w:hint="default" w:ascii="Times New Roman" w:hAnsi="Times New Roman" w:eastAsia="宋体" w:cs="Times New Roman"/>
                <w:color w:val="auto"/>
                <w:sz w:val="18"/>
                <w:lang w:val="en-US" w:eastAsia="zh-CN"/>
              </w:rPr>
            </w:pPr>
            <w:r>
              <w:rPr>
                <w:rFonts w:hint="default" w:ascii="Times New Roman" w:hAnsi="Times New Roman" w:eastAsia="宋体" w:cs="Times New Roman"/>
                <w:color w:val="auto"/>
                <w:sz w:val="18"/>
                <w:lang w:val="en-US" w:eastAsia="zh-CN"/>
              </w:rPr>
              <w:t>风险可以接受</w:t>
            </w:r>
          </w:p>
        </w:tc>
      </w:tr>
      <w:bookmarkEnd w:id="607"/>
    </w:tbl>
    <w:p w14:paraId="21FCF595">
      <w:pPr>
        <w:rPr>
          <w:rFonts w:hint="eastAsia"/>
          <w:color w:val="auto"/>
          <w:lang w:val="en-US" w:eastAsia="zh-CN"/>
        </w:rPr>
      </w:pPr>
    </w:p>
    <w:sectPr>
      <w:pgSz w:w="11905"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904F9FEF-7FA4-43C4-92C3-B2FD47A8B6BC}"/>
  </w:font>
  <w:font w:name="黑体">
    <w:panose1 w:val="02010609060101010101"/>
    <w:charset w:val="86"/>
    <w:family w:val="auto"/>
    <w:pitch w:val="default"/>
    <w:sig w:usb0="800002BF" w:usb1="38CF7CFA" w:usb2="00000016" w:usb3="00000000" w:csb0="00040001" w:csb1="00000000"/>
    <w:embedRegular r:id="rId2" w:fontKey="{CF290C3E-5B8E-4BA6-B2FF-BAD65F15A33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3EB08295-0353-4240-A4B5-1EE5DCBA502A}"/>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embedRegular r:id="rId4" w:fontKey="{4D03AFF6-2406-44B3-AEDC-23D8518806F4}"/>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宋体">
    <w:altName w:val="宋体"/>
    <w:panose1 w:val="02010600040101010101"/>
    <w:charset w:val="86"/>
    <w:family w:val="auto"/>
    <w:pitch w:val="default"/>
    <w:sig w:usb0="00000000" w:usb1="00000000" w:usb2="00000000" w:usb3="00000000" w:csb0="0004009F" w:csb1="DFD7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Helvetica">
    <w:altName w:val="Arial"/>
    <w:panose1 w:val="020B0604020202020204"/>
    <w:charset w:val="00"/>
    <w:family w:val="auto"/>
    <w:pitch w:val="default"/>
    <w:sig w:usb0="00000000" w:usb1="00000000" w:usb2="00000000" w:usb3="00000000" w:csb0="00040001" w:csb1="00000000"/>
    <w:embedRegular r:id="rId5" w:fontKey="{A8571978-8CE0-42B3-9840-DC888A97A90E}"/>
  </w:font>
  <w:font w:name="仿宋">
    <w:panose1 w:val="02010609060101010101"/>
    <w:charset w:val="86"/>
    <w:family w:val="modern"/>
    <w:pitch w:val="default"/>
    <w:sig w:usb0="800002BF" w:usb1="38CF7CFA" w:usb2="00000016" w:usb3="00000000" w:csb0="00040001" w:csb1="00000000"/>
    <w:embedRegular r:id="rId6" w:fontKey="{228C6372-7B35-471C-B5C3-F056AD20078C}"/>
  </w:font>
  <w:font w:name="CIDFont+F1">
    <w:altName w:val="Times New Roman"/>
    <w:panose1 w:val="00000000000000000000"/>
    <w:charset w:val="00"/>
    <w:family w:val="roman"/>
    <w:pitch w:val="default"/>
    <w:sig w:usb0="00000000" w:usb1="00000000" w:usb2="00000000" w:usb3="00000000" w:csb0="00040001" w:csb1="00000000"/>
    <w:embedRegular r:id="rId7" w:fontKey="{ABBEEE39-280D-48F7-9799-4FAB64411475}"/>
  </w:font>
  <w:font w:name="方正小标宋_GBK">
    <w:panose1 w:val="02000000000000000000"/>
    <w:charset w:val="86"/>
    <w:family w:val="script"/>
    <w:pitch w:val="default"/>
    <w:sig w:usb0="A00002BF" w:usb1="38CF7CFA" w:usb2="00082016" w:usb3="00000000" w:csb0="00040001" w:csb1="00000000"/>
    <w:embedRegular r:id="rId8" w:fontKey="{D41703C7-4F44-4F80-A385-24D9E34B1952}"/>
  </w:font>
  <w:font w:name="Wingdings 2">
    <w:altName w:val="Wingdings"/>
    <w:panose1 w:val="05020102010507070707"/>
    <w:charset w:val="02"/>
    <w:family w:val="roman"/>
    <w:pitch w:val="default"/>
    <w:sig w:usb0="00000000" w:usb1="00000000" w:usb2="00000000" w:usb3="00000000" w:csb0="80000000" w:csb1="00000000"/>
    <w:embedRegular r:id="rId9" w:fontKey="{F606ACB5-FA1C-4DF4-83CA-27C39740BE1D}"/>
  </w:font>
  <w:font w:name="Kingsoft UE">
    <w:altName w:val="ESRI AMFM Electric"/>
    <w:panose1 w:val="00000000000000000000"/>
    <w:charset w:val="00"/>
    <w:family w:val="auto"/>
    <w:pitch w:val="default"/>
    <w:sig w:usb0="00000000" w:usb1="00000000" w:usb2="00000000" w:usb3="00000000" w:csb0="00000000" w:csb1="00000000"/>
  </w:font>
  <w:font w:name="ESRI AMFM Electric">
    <w:panose1 w:val="02000400000000000000"/>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C1E2F1">
    <w:pPr>
      <w:pStyle w:val="20"/>
      <w:tabs>
        <w:tab w:val="center" w:pos="4153"/>
        <w:tab w:val="right" w:pos="8306"/>
      </w:tabs>
      <w:ind w:right="360"/>
      <w:jc w:val="both"/>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C1B10">
    <w:pPr>
      <w:pStyle w:val="20"/>
      <w:tabs>
        <w:tab w:val="center" w:pos="4153"/>
        <w:tab w:val="right" w:pos="8306"/>
      </w:tabs>
      <w:ind w:right="360" w:firstLine="360"/>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4" name="文本框 2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EBCD69">
                          <w:pPr>
                            <w:pStyle w:val="20"/>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FD1Dw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9Q4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RQ9Q8NAIAAGUEAAAOAAAAAAAAAAEAIAAAAB8BAABkcnMvZTJvRG9jLnhtbFBL&#10;BQYAAAAABgAGAFkBAADFBQAAAAA=&#10;">
              <v:fill on="f" focussize="0,0"/>
              <v:stroke on="f" weight="0.5pt"/>
              <v:imagedata o:title=""/>
              <o:lock v:ext="edit" aspectratio="f"/>
              <v:textbox inset="0mm,0mm,0mm,0mm" style="mso-fit-shape-to-text:t;">
                <w:txbxContent>
                  <w:p w14:paraId="0CEBCD69">
                    <w:pPr>
                      <w:pStyle w:val="20"/>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9FF8CD">
    <w:pPr>
      <w:pStyle w:val="20"/>
      <w:tabs>
        <w:tab w:val="center" w:pos="4153"/>
        <w:tab w:val="right" w:pos="8306"/>
      </w:tabs>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85" name="文本框 2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90CD04">
                          <w:pPr>
                            <w:pStyle w:val="20"/>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r/SqA0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PZFSWGaZT8/OP7&#10;+efv869vJB1CotqFOSIfHGJj8842aJzhPOAwMW9Kr9MXnAj8EPh0EVg0kfB0aTadzcZwcfiGDfCz&#10;p+vOh/heWE2SkVOPCrbCsuM2xC50CEnZjN1IpdoqKkPqnF6/vRq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6/0qgNAIAAGUEAAAOAAAAAAAAAAEAIAAAAB8BAABkcnMvZTJvRG9jLnhtbFBL&#10;BQYAAAAABgAGAFkBAADFBQAAAAA=&#10;">
              <v:fill on="f" focussize="0,0"/>
              <v:stroke on="f" weight="0.5pt"/>
              <v:imagedata o:title=""/>
              <o:lock v:ext="edit" aspectratio="f"/>
              <v:textbox inset="0mm,0mm,0mm,0mm" style="mso-fit-shape-to-text:t;">
                <w:txbxContent>
                  <w:p w14:paraId="0390CD04">
                    <w:pPr>
                      <w:pStyle w:val="20"/>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48D2B0">
    <w:pPr>
      <w:pStyle w:val="20"/>
      <w:tabs>
        <w:tab w:val="center" w:pos="4153"/>
        <w:tab w:val="right" w:pos="8306"/>
      </w:tabs>
      <w:ind w:right="360" w:firstLine="360"/>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7" name="文本框 2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2F3287">
                          <w:pPr>
                            <w:pStyle w:val="20"/>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2BBkI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9S4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tgQZCNAIAAGUEAAAOAAAAAAAAAAEAIAAAAB8BAABkcnMvZTJvRG9jLnhtbFBL&#10;BQYAAAAABgAGAFkBAADFBQAAAAA=&#10;">
              <v:fill on="f" focussize="0,0"/>
              <v:stroke on="f" weight="0.5pt"/>
              <v:imagedata o:title=""/>
              <o:lock v:ext="edit" aspectratio="f"/>
              <v:textbox inset="0mm,0mm,0mm,0mm" style="mso-fit-shape-to-text:t;">
                <w:txbxContent>
                  <w:p w14:paraId="782F3287">
                    <w:pPr>
                      <w:pStyle w:val="20"/>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A8A57">
    <w:pPr>
      <w:pStyle w:val="20"/>
      <w:tabs>
        <w:tab w:val="center" w:pos="4153"/>
        <w:tab w:val="right" w:pos="8306"/>
      </w:tabs>
      <w:ind w:right="360" w:firstLine="360"/>
    </w:pPr>
    <w:r>
      <w:rPr>
        <w:sz w:val="18"/>
      </w:rPr>
      <mc:AlternateContent>
        <mc:Choice Requires="wps">
          <w:drawing>
            <wp:anchor distT="0" distB="0" distL="114300" distR="114300" simplePos="0" relativeHeight="251715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04F636">
                          <w:pPr>
                            <w:pStyle w:val="20"/>
                          </w:pPr>
                          <w:r>
                            <w:fldChar w:fldCharType="begin"/>
                          </w:r>
                          <w:r>
                            <w:instrText xml:space="preserve"> PAGE  \* MERGEFORMAT </w:instrText>
                          </w:r>
                          <w:r>
                            <w:fldChar w:fldCharType="separate"/>
                          </w:r>
                          <w:r>
                            <w:t>250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55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feMe4z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K3lBimUfLTj++n&#10;nw+nX99IOoREjQszRN47xMb2nW0RPpwHHCbmbeV1+oITgR8CHy8CizYSni5NJ9NpDheHb9gAP3u8&#10;7nyI74XVJBkF9ahgJyw7bELsQ4eQlM3YtVSqq6IypCno1es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feMe4zAgAAZQQAAA4AAAAAAAAAAQAgAAAAHwEAAGRycy9lMm9Eb2MueG1sUEsF&#10;BgAAAAAGAAYAWQEAAMQFAAAAAA==&#10;">
              <v:fill on="f" focussize="0,0"/>
              <v:stroke on="f" weight="0.5pt"/>
              <v:imagedata o:title=""/>
              <o:lock v:ext="edit" aspectratio="f"/>
              <v:textbox inset="0mm,0mm,0mm,0mm" style="mso-fit-shape-to-text:t;">
                <w:txbxContent>
                  <w:p w14:paraId="5F04F636">
                    <w:pPr>
                      <w:pStyle w:val="20"/>
                    </w:pPr>
                    <w:r>
                      <w:fldChar w:fldCharType="begin"/>
                    </w:r>
                    <w:r>
                      <w:instrText xml:space="preserve"> PAGE  \* MERGEFORMAT </w:instrText>
                    </w:r>
                    <w:r>
                      <w:fldChar w:fldCharType="separate"/>
                    </w:r>
                    <w:r>
                      <w:t>250</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D1673D">
    <w:pPr>
      <w:pStyle w:val="20"/>
      <w:tabs>
        <w:tab w:val="center" w:pos="4153"/>
        <w:tab w:val="right" w:pos="8306"/>
      </w:tabs>
      <w:ind w:right="360" w:firstLine="360"/>
    </w:pPr>
    <w:r>
      <w:rPr>
        <w:sz w:val="18"/>
      </w:rPr>
      <mc:AlternateContent>
        <mc:Choice Requires="wps">
          <w:drawing>
            <wp:anchor distT="0" distB="0" distL="114300" distR="114300" simplePos="0" relativeHeight="251732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608" name="文本框 6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F01282">
                          <w:pPr>
                            <w:pStyle w:val="20"/>
                          </w:pPr>
                          <w:r>
                            <w:fldChar w:fldCharType="begin"/>
                          </w:r>
                          <w:r>
                            <w:instrText xml:space="preserve"> PAGE  \* MERGEFORMAT </w:instrText>
                          </w:r>
                          <w:r>
                            <w:fldChar w:fldCharType="separate"/>
                          </w:r>
                          <w:r>
                            <w:t>267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29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CGwtTICAABlBAAADgAAAAAAAAABACAAAAAfAQAAZHJzL2Uyb0RvYy54bWxQSwUG&#10;AAAAAAYABgBZAQAAwwUAAAAA&#10;">
              <v:fill on="f" focussize="0,0"/>
              <v:stroke on="f" weight="0.5pt"/>
              <v:imagedata o:title=""/>
              <o:lock v:ext="edit" aspectratio="f"/>
              <v:textbox inset="0mm,0mm,0mm,0mm" style="mso-fit-shape-to-text:t;">
                <w:txbxContent>
                  <w:p w14:paraId="69F01282">
                    <w:pPr>
                      <w:pStyle w:val="20"/>
                    </w:pPr>
                    <w:r>
                      <w:fldChar w:fldCharType="begin"/>
                    </w:r>
                    <w:r>
                      <w:instrText xml:space="preserve"> PAGE  \* MERGEFORMAT </w:instrText>
                    </w:r>
                    <w:r>
                      <w:fldChar w:fldCharType="separate"/>
                    </w:r>
                    <w:r>
                      <w:t>267</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7C94C">
    <w:pPr>
      <w:pStyle w:val="20"/>
      <w:tabs>
        <w:tab w:val="center" w:pos="4153"/>
        <w:tab w:val="right" w:pos="8306"/>
      </w:tabs>
      <w:ind w:right="360" w:firstLine="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EAADC">
    <w:pPr>
      <w:pStyle w:val="20"/>
      <w:tabs>
        <w:tab w:val="center" w:pos="4153"/>
        <w:tab w:val="right" w:pos="8306"/>
      </w:tabs>
      <w:ind w:right="360" w:firstLine="36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B9BBE">
    <w:pPr>
      <w:pStyle w:val="20"/>
      <w:tabs>
        <w:tab w:val="center" w:pos="4153"/>
        <w:tab w:val="right" w:pos="8306"/>
      </w:tabs>
      <w:ind w:right="360" w:firstLine="36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EDCE96">
    <w:pPr>
      <w:pStyle w:val="20"/>
      <w:tabs>
        <w:tab w:val="center" w:pos="4153"/>
        <w:tab w:val="right" w:pos="8306"/>
      </w:tabs>
      <w:ind w:right="360" w:firstLine="360"/>
    </w:pPr>
    <w:r>
      <w:rPr>
        <w:sz w:val="18"/>
      </w:rPr>
      <mc:AlternateContent>
        <mc:Choice Requires="wps">
          <w:drawing>
            <wp:anchor distT="0" distB="0" distL="114300" distR="114300" simplePos="0" relativeHeight="251731968"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80BC873">
                          <w:pPr>
                            <w:pStyle w:val="20"/>
                          </w:pPr>
                          <w:r>
                            <w:fldChar w:fldCharType="begin"/>
                          </w:r>
                          <w:r>
                            <w:instrText xml:space="preserve"> PAGE  \* MERGEFORMAT </w:instrText>
                          </w:r>
                          <w:r>
                            <w:fldChar w:fldCharType="separate"/>
                          </w:r>
                          <w:r>
                            <w:t>3</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196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yy7tsoBAACb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9TYnjFid+/vnj/OvP+fd3&#10;gj4UqA9QY959wMw0vPMDrs3sB3Rm3oOKNn+REcE4ynu6yCuHRER+tFquVhWGBMbmC+Kzh+chQnov&#10;vSXZaGjE+RVZ+fEjpDF1TsnVnL/TxpQZGvePAzGzh+Xexx6zlYbdMBHa+faEfHocfUMdbjol5oND&#10;ZfOWzEacjd1sHELU+66sUa4H4faQsInSW64wwk6FcWaF3bRfeSke30vWwz+1+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Uyy7tsoBAACbAwAADgAAAAAAAAABACAAAAAeAQAAZHJzL2Uyb0Rv&#10;Yy54bWxQSwUGAAAAAAYABgBZAQAAWgUAAAAA&#10;">
              <v:fill on="f" focussize="0,0"/>
              <v:stroke on="f"/>
              <v:imagedata o:title=""/>
              <o:lock v:ext="edit" aspectratio="f"/>
              <v:textbox inset="0mm,0mm,0mm,0mm" style="mso-fit-shape-to-text:t;">
                <w:txbxContent>
                  <w:p w14:paraId="780BC873">
                    <w:pPr>
                      <w:pStyle w:val="20"/>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1FB8D5">
    <w:pPr>
      <w:pStyle w:val="20"/>
      <w:tabs>
        <w:tab w:val="center" w:pos="4153"/>
        <w:tab w:val="right" w:pos="8306"/>
      </w:tabs>
      <w:ind w:right="360"/>
      <w:jc w:val="both"/>
    </w:pPr>
    <w:r>
      <w:rPr>
        <w:sz w:val="18"/>
      </w:rPr>
      <mc:AlternateContent>
        <mc:Choice Requires="wps">
          <w:drawing>
            <wp:anchor distT="0" distB="0" distL="114300" distR="114300" simplePos="0" relativeHeight="251714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63726C">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45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p w14:paraId="4763726C">
                    <w:pPr>
                      <w:pStyle w:val="2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EE2766">
    <w:pPr>
      <w:pStyle w:val="2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E698346">
                          <w:pPr>
                            <w:pStyle w:val="20"/>
                          </w:pPr>
                          <w:r>
                            <w:fldChar w:fldCharType="begin"/>
                          </w:r>
                          <w:r>
                            <w:instrText xml:space="preserve"> PAGE  \* MERGEFORMAT </w:instrText>
                          </w:r>
                          <w:r>
                            <w:fldChar w:fldCharType="separate"/>
                          </w:r>
                          <w:r>
                            <w:t>1</w:t>
                          </w:r>
                          <w:r>
                            <w:fldChar w:fldCharType="end"/>
                          </w:r>
                        </w:p>
                      </w:txbxContent>
                    </wps:txbx>
                    <wps:bodyPr vert="horz" wrap="none" lIns="0" tIns="0" rIns="0" bIns="0" anchor="t" anchorCtr="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OuNQId8BAADFAwAADgAAAAAA&#10;AAABACAAAAAeAQAAZHJzL2Uyb0RvYy54bWxQSwUGAAAAAAYABgBZAQAAbwUAAAAA&#10;">
              <v:fill on="f" focussize="0,0"/>
              <v:stroke on="f"/>
              <v:imagedata o:title=""/>
              <o:lock v:ext="edit" aspectratio="f"/>
              <v:textbox inset="0mm,0mm,0mm,0mm" style="mso-fit-shape-to-text:t;">
                <w:txbxContent>
                  <w:p w14:paraId="6E698346">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B8DF7D">
    <w:pPr>
      <w:pStyle w:val="2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5ACD59E">
                          <w:pPr>
                            <w:pStyle w:val="20"/>
                          </w:pPr>
                          <w:r>
                            <w:fldChar w:fldCharType="begin"/>
                          </w:r>
                          <w:r>
                            <w:instrText xml:space="preserve"> PAGE  \* MERGEFORMAT </w:instrText>
                          </w:r>
                          <w:r>
                            <w:fldChar w:fldCharType="separate"/>
                          </w:r>
                          <w:r>
                            <w:t>1</w:t>
                          </w:r>
                          <w:r>
                            <w:fldChar w:fldCharType="end"/>
                          </w:r>
                        </w:p>
                      </w:txbxContent>
                    </wps:txbx>
                    <wps:bodyPr vert="horz" wrap="none" lIns="0" tIns="0" rIns="0" bIns="0" anchor="t" anchorCtr="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KwTbcd8BAADFAwAADgAAAAAA&#10;AAABACAAAAAeAQAAZHJzL2Uyb0RvYy54bWxQSwUGAAAAAAYABgBZAQAAbwUAAAAA&#10;">
              <v:fill on="f" focussize="0,0"/>
              <v:stroke on="f"/>
              <v:imagedata o:title=""/>
              <o:lock v:ext="edit" aspectratio="f"/>
              <v:textbox inset="0mm,0mm,0mm,0mm" style="mso-fit-shape-to-text:t;">
                <w:txbxContent>
                  <w:p w14:paraId="15ACD59E">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829E6">
    <w:pPr>
      <w:pStyle w:val="2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3"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DBA3433">
                          <w:pPr>
                            <w:pStyle w:val="20"/>
                          </w:pPr>
                          <w:r>
                            <w:fldChar w:fldCharType="begin"/>
                          </w:r>
                          <w:r>
                            <w:instrText xml:space="preserve"> PAGE  \* MERGEFORMAT </w:instrText>
                          </w:r>
                          <w:r>
                            <w:fldChar w:fldCharType="separate"/>
                          </w:r>
                          <w:r>
                            <w:t>1</w:t>
                          </w:r>
                          <w:r>
                            <w:fldChar w:fldCharType="end"/>
                          </w:r>
                        </w:p>
                      </w:txbxContent>
                    </wps:txbx>
                    <wps:bodyPr vert="horz" wrap="none" lIns="0" tIns="0" rIns="0" bIns="0" anchor="t" anchorCtr="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oboxFd8BAADFAwAADgAAAAAA&#10;AAABACAAAAAeAQAAZHJzL2Uyb0RvYy54bWxQSwUGAAAAAAYABgBZAQAAbwUAAAAA&#10;">
              <v:fill on="f" focussize="0,0"/>
              <v:stroke on="f"/>
              <v:imagedata o:title=""/>
              <o:lock v:ext="edit" aspectratio="f"/>
              <v:textbox inset="0mm,0mm,0mm,0mm" style="mso-fit-shape-to-text:t;">
                <w:txbxContent>
                  <w:p w14:paraId="1DBA3433">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9FA92A">
    <w:pPr>
      <w:pStyle w:val="20"/>
      <w:tabs>
        <w:tab w:val="center" w:pos="4153"/>
        <w:tab w:val="right" w:pos="8306"/>
      </w:tabs>
      <w:ind w:right="360" w:firstLine="360"/>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313370">
                          <w:pPr>
                            <w:pStyle w:val="20"/>
                          </w:pPr>
                          <w:r>
                            <w:fldChar w:fldCharType="begin"/>
                          </w:r>
                          <w:r>
                            <w:instrText xml:space="preserve"> PAGE  \* MERGEFORMAT </w:instrText>
                          </w:r>
                          <w:r>
                            <w:fldChar w:fldCharType="separate"/>
                          </w:r>
                          <w:r>
                            <w:t>118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Kewfk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mhimUfLTj++n&#10;nw+nX99IOoREjQszRN47xMb2nW3ROMN5wGFi3lZepy84EfgBdrwILNpIeLo0nUynOVwcvmED/Ozx&#10;uvMhvhdWk2QU1KOCnbDssAmxDx1CUjZj11KprorKkKagV6/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SnsH5NAIAAGUEAAAOAAAAAAAAAAEAIAAAAB8BAABkcnMvZTJvRG9jLnhtbFBL&#10;BQYAAAAABgAGAFkBAADFBQAAAAA=&#10;">
              <v:fill on="f" focussize="0,0"/>
              <v:stroke on="f" weight="0.5pt"/>
              <v:imagedata o:title=""/>
              <o:lock v:ext="edit" aspectratio="f"/>
              <v:textbox inset="0mm,0mm,0mm,0mm" style="mso-fit-shape-to-text:t;">
                <w:txbxContent>
                  <w:p w14:paraId="4E313370">
                    <w:pPr>
                      <w:pStyle w:val="20"/>
                    </w:pPr>
                    <w:r>
                      <w:fldChar w:fldCharType="begin"/>
                    </w:r>
                    <w:r>
                      <w:instrText xml:space="preserve"> PAGE  \* MERGEFORMAT </w:instrText>
                    </w:r>
                    <w:r>
                      <w:fldChar w:fldCharType="separate"/>
                    </w:r>
                    <w:r>
                      <w:t>118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0E3A07">
    <w:pPr>
      <w:pStyle w:val="20"/>
      <w:tabs>
        <w:tab w:val="center" w:pos="4153"/>
        <w:tab w:val="right" w:pos="8306"/>
      </w:tabs>
      <w:ind w:right="360" w:firstLine="360"/>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2" name="文本框 2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8CCB37">
                          <w:pPr>
                            <w:pStyle w:val="20"/>
                          </w:pPr>
                          <w:r>
                            <w:fldChar w:fldCharType="begin"/>
                          </w:r>
                          <w:r>
                            <w:instrText xml:space="preserve"> PAGE  \* MERGEFORMAT </w:instrText>
                          </w:r>
                          <w:r>
                            <w:fldChar w:fldCharType="separate"/>
                          </w:r>
                          <w:r>
                            <w:t>124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GccE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nGccEzAgAAZQQAAA4AAAAAAAAAAQAgAAAAHwEAAGRycy9lMm9Eb2MueG1sUEsF&#10;BgAAAAAGAAYAWQEAAMQFAAAAAA==&#10;">
              <v:fill on="f" focussize="0,0"/>
              <v:stroke on="f" weight="0.5pt"/>
              <v:imagedata o:title=""/>
              <o:lock v:ext="edit" aspectratio="f"/>
              <v:textbox inset="0mm,0mm,0mm,0mm" style="mso-fit-shape-to-text:t;">
                <w:txbxContent>
                  <w:p w14:paraId="768CCB37">
                    <w:pPr>
                      <w:pStyle w:val="20"/>
                    </w:pPr>
                    <w:r>
                      <w:fldChar w:fldCharType="begin"/>
                    </w:r>
                    <w:r>
                      <w:instrText xml:space="preserve"> PAGE  \* MERGEFORMAT </w:instrText>
                    </w:r>
                    <w:r>
                      <w:fldChar w:fldCharType="separate"/>
                    </w:r>
                    <w:r>
                      <w:t>124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CA03A">
    <w:pPr>
      <w:spacing w:after="185" w:line="28" w:lineRule="exact"/>
      <w:ind w:firstLine="108"/>
      <w:textAlignment w:val="center"/>
    </w:pPr>
  </w:p>
  <w:p w14:paraId="6C9471A1">
    <w:pPr>
      <w:spacing w:line="196" w:lineRule="auto"/>
      <w:ind w:left="4281"/>
      <w:rPr>
        <w:rFonts w:ascii="Times New Roman" w:hAnsi="Times New Roman" w:eastAsia="Times New Roman" w:cs="Times New Roman"/>
        <w:sz w:val="17"/>
        <w:szCs w:val="17"/>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12CF0">
    <w:pPr>
      <w:pStyle w:val="20"/>
      <w:tabs>
        <w:tab w:val="center" w:pos="4153"/>
        <w:tab w:val="right" w:pos="8306"/>
      </w:tabs>
      <w:ind w:right="360" w:firstLine="36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3" name="文本框 2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3C771D">
                          <w:pPr>
                            <w:pStyle w:val="20"/>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6710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Ceu9dNAIAAGUEAAAOAAAAAAAAAAEAIAAAAB8BAABkcnMvZTJvRG9jLnhtbFBL&#10;BQYAAAAABgAGAFkBAADFBQAAAAA=&#10;">
              <v:fill on="f" focussize="0,0"/>
              <v:stroke on="f" weight="0.5pt"/>
              <v:imagedata o:title=""/>
              <o:lock v:ext="edit" aspectratio="f"/>
              <v:textbox inset="0mm,0mm,0mm,0mm" style="mso-fit-shape-to-text:t;">
                <w:txbxContent>
                  <w:p w14:paraId="053C771D">
                    <w:pPr>
                      <w:pStyle w:val="20"/>
                    </w:pPr>
                    <w:r>
                      <w:fldChar w:fldCharType="begin"/>
                    </w:r>
                    <w:r>
                      <w:instrText xml:space="preserve"> PAGE  \* MERGEFORMAT </w:instrText>
                    </w:r>
                    <w:r>
                      <w:fldChar w:fldCharType="separate"/>
                    </w:r>
                    <w:r>
                      <w:t>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F99614">
    <w:pPr>
      <w:pStyle w:val="2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A44F5">
    <w:pPr>
      <w:pStyle w:val="21"/>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8F4A24">
    <w:pPr>
      <w:tabs>
        <w:tab w:val="left" w:pos="187"/>
      </w:tabs>
      <w:spacing w:before="48" w:line="218" w:lineRule="auto"/>
      <w:ind w:left="17"/>
      <w:rPr>
        <w:rFonts w:ascii="宋体" w:hAnsi="宋体" w:eastAsia="宋体" w:cs="宋体"/>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0CF72">
    <w:pPr>
      <w:spacing w:before="14" w:line="29" w:lineRule="exact"/>
      <w:ind w:firstLine="108"/>
      <w:textAlignment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087E55">
    <w:pPr>
      <w:tabs>
        <w:tab w:val="left" w:pos="187"/>
      </w:tabs>
      <w:spacing w:before="48" w:line="218" w:lineRule="auto"/>
      <w:ind w:left="17"/>
      <w:rPr>
        <w:rFonts w:ascii="宋体" w:hAnsi="宋体" w:eastAsia="宋体" w:cs="宋体"/>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FB7AC4"/>
    <w:multiLevelType w:val="singleLevel"/>
    <w:tmpl w:val="8BFB7AC4"/>
    <w:lvl w:ilvl="0" w:tentative="0">
      <w:start w:val="1"/>
      <w:numFmt w:val="decimal"/>
      <w:lvlText w:val="(%1)"/>
      <w:lvlJc w:val="left"/>
      <w:pPr>
        <w:ind w:left="425" w:hanging="425"/>
      </w:pPr>
      <w:rPr>
        <w:rFonts w:hint="default"/>
      </w:rPr>
    </w:lvl>
  </w:abstractNum>
  <w:abstractNum w:abstractNumId="1">
    <w:nsid w:val="99BC2480"/>
    <w:multiLevelType w:val="singleLevel"/>
    <w:tmpl w:val="99BC2480"/>
    <w:lvl w:ilvl="0" w:tentative="0">
      <w:start w:val="1"/>
      <w:numFmt w:val="chineseCounting"/>
      <w:suff w:val="nothing"/>
      <w:lvlText w:val="%1、"/>
      <w:lvlJc w:val="left"/>
      <w:rPr>
        <w:rFonts w:hint="eastAsia"/>
      </w:rPr>
    </w:lvl>
  </w:abstractNum>
  <w:abstractNum w:abstractNumId="2">
    <w:nsid w:val="A11641FD"/>
    <w:multiLevelType w:val="singleLevel"/>
    <w:tmpl w:val="A11641FD"/>
    <w:lvl w:ilvl="0" w:tentative="0">
      <w:start w:val="5"/>
      <w:numFmt w:val="chineseCounting"/>
      <w:suff w:val="nothing"/>
      <w:lvlText w:val="%1、"/>
      <w:lvlJc w:val="left"/>
      <w:rPr>
        <w:rFonts w:hint="eastAsia"/>
      </w:rPr>
    </w:lvl>
  </w:abstractNum>
  <w:abstractNum w:abstractNumId="3">
    <w:nsid w:val="E2D258A0"/>
    <w:multiLevelType w:val="singleLevel"/>
    <w:tmpl w:val="E2D258A0"/>
    <w:lvl w:ilvl="0" w:tentative="0">
      <w:start w:val="4"/>
      <w:numFmt w:val="decimal"/>
      <w:suff w:val="nothing"/>
      <w:lvlText w:val="%1、"/>
      <w:lvlJc w:val="left"/>
    </w:lvl>
  </w:abstractNum>
  <w:abstractNum w:abstractNumId="4">
    <w:nsid w:val="E447E054"/>
    <w:multiLevelType w:val="singleLevel"/>
    <w:tmpl w:val="E447E054"/>
    <w:lvl w:ilvl="0" w:tentative="0">
      <w:start w:val="1"/>
      <w:numFmt w:val="chineseCounting"/>
      <w:suff w:val="nothing"/>
      <w:lvlText w:val="%1、"/>
      <w:lvlJc w:val="left"/>
      <w:rPr>
        <w:rFonts w:hint="eastAsia"/>
      </w:rPr>
    </w:lvl>
  </w:abstractNum>
  <w:abstractNum w:abstractNumId="5">
    <w:nsid w:val="E45BDC4D"/>
    <w:multiLevelType w:val="singleLevel"/>
    <w:tmpl w:val="E45BDC4D"/>
    <w:lvl w:ilvl="0" w:tentative="0">
      <w:start w:val="2"/>
      <w:numFmt w:val="decimal"/>
      <w:suff w:val="nothing"/>
      <w:lvlText w:val="%1、"/>
      <w:lvlJc w:val="left"/>
    </w:lvl>
  </w:abstractNum>
  <w:abstractNum w:abstractNumId="6">
    <w:nsid w:val="EB98616F"/>
    <w:multiLevelType w:val="singleLevel"/>
    <w:tmpl w:val="EB98616F"/>
    <w:lvl w:ilvl="0" w:tentative="0">
      <w:start w:val="4"/>
      <w:numFmt w:val="decimal"/>
      <w:suff w:val="nothing"/>
      <w:lvlText w:val="（%1）"/>
      <w:lvlJc w:val="left"/>
    </w:lvl>
  </w:abstractNum>
  <w:abstractNum w:abstractNumId="7">
    <w:nsid w:val="085084DE"/>
    <w:multiLevelType w:val="singleLevel"/>
    <w:tmpl w:val="085084DE"/>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8">
    <w:nsid w:val="137ADF7F"/>
    <w:multiLevelType w:val="singleLevel"/>
    <w:tmpl w:val="137ADF7F"/>
    <w:lvl w:ilvl="0" w:tentative="0">
      <w:start w:val="2"/>
      <w:numFmt w:val="decimal"/>
      <w:suff w:val="nothing"/>
      <w:lvlText w:val="（%1）"/>
      <w:lvlJc w:val="left"/>
    </w:lvl>
  </w:abstractNum>
  <w:abstractNum w:abstractNumId="9">
    <w:nsid w:val="4A95366C"/>
    <w:multiLevelType w:val="singleLevel"/>
    <w:tmpl w:val="4A95366C"/>
    <w:lvl w:ilvl="0" w:tentative="0">
      <w:start w:val="3"/>
      <w:numFmt w:val="decimal"/>
      <w:suff w:val="nothing"/>
      <w:lvlText w:val="%1、"/>
      <w:lvlJc w:val="left"/>
    </w:lvl>
  </w:abstractNum>
  <w:num w:numId="1">
    <w:abstractNumId w:val="7"/>
  </w:num>
  <w:num w:numId="2">
    <w:abstractNumId w:val="1"/>
  </w:num>
  <w:num w:numId="3">
    <w:abstractNumId w:val="4"/>
  </w:num>
  <w:num w:numId="4">
    <w:abstractNumId w:val="3"/>
  </w:num>
  <w:num w:numId="5">
    <w:abstractNumId w:val="6"/>
  </w:num>
  <w:num w:numId="6">
    <w:abstractNumId w:val="9"/>
  </w:num>
  <w:num w:numId="7">
    <w:abstractNumId w:val="8"/>
  </w:num>
  <w:num w:numId="8">
    <w:abstractNumId w:val="5"/>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g5N2JjOTQzODRlNmViMTE2YWQxNjNkYWU2M2Q1NGEifQ=="/>
  </w:docVars>
  <w:rsids>
    <w:rsidRoot w:val="00172A27"/>
    <w:rsid w:val="000060B3"/>
    <w:rsid w:val="00007D04"/>
    <w:rsid w:val="00036E98"/>
    <w:rsid w:val="0004364B"/>
    <w:rsid w:val="00061B1F"/>
    <w:rsid w:val="000651D2"/>
    <w:rsid w:val="00070239"/>
    <w:rsid w:val="00072BB7"/>
    <w:rsid w:val="000733C4"/>
    <w:rsid w:val="00074783"/>
    <w:rsid w:val="0008070B"/>
    <w:rsid w:val="000810AC"/>
    <w:rsid w:val="00081A02"/>
    <w:rsid w:val="00082231"/>
    <w:rsid w:val="00092D38"/>
    <w:rsid w:val="0009377B"/>
    <w:rsid w:val="000A20C9"/>
    <w:rsid w:val="000A511E"/>
    <w:rsid w:val="000B058F"/>
    <w:rsid w:val="000B4467"/>
    <w:rsid w:val="000B4DB9"/>
    <w:rsid w:val="000C09AC"/>
    <w:rsid w:val="000C767F"/>
    <w:rsid w:val="000D5A44"/>
    <w:rsid w:val="000E3ED2"/>
    <w:rsid w:val="000F469C"/>
    <w:rsid w:val="001000E6"/>
    <w:rsid w:val="00131F42"/>
    <w:rsid w:val="001357F1"/>
    <w:rsid w:val="00140FA8"/>
    <w:rsid w:val="00142FEB"/>
    <w:rsid w:val="00143A2D"/>
    <w:rsid w:val="00145A41"/>
    <w:rsid w:val="00150872"/>
    <w:rsid w:val="00151675"/>
    <w:rsid w:val="00157435"/>
    <w:rsid w:val="00172A27"/>
    <w:rsid w:val="0017504D"/>
    <w:rsid w:val="0017671A"/>
    <w:rsid w:val="00177422"/>
    <w:rsid w:val="00184590"/>
    <w:rsid w:val="001870D1"/>
    <w:rsid w:val="0018781E"/>
    <w:rsid w:val="0019262D"/>
    <w:rsid w:val="001A1B35"/>
    <w:rsid w:val="001A422E"/>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47B98"/>
    <w:rsid w:val="002506BC"/>
    <w:rsid w:val="00254345"/>
    <w:rsid w:val="00257B8E"/>
    <w:rsid w:val="00264557"/>
    <w:rsid w:val="002725B1"/>
    <w:rsid w:val="002805AB"/>
    <w:rsid w:val="00284204"/>
    <w:rsid w:val="00291773"/>
    <w:rsid w:val="002A168C"/>
    <w:rsid w:val="002A3DC7"/>
    <w:rsid w:val="002B49E2"/>
    <w:rsid w:val="002B7B00"/>
    <w:rsid w:val="002B7C44"/>
    <w:rsid w:val="002C0C02"/>
    <w:rsid w:val="002C2B17"/>
    <w:rsid w:val="002D3DD0"/>
    <w:rsid w:val="002E1F3A"/>
    <w:rsid w:val="002E298A"/>
    <w:rsid w:val="00301978"/>
    <w:rsid w:val="0030332C"/>
    <w:rsid w:val="003051C2"/>
    <w:rsid w:val="00312296"/>
    <w:rsid w:val="00314F0E"/>
    <w:rsid w:val="00321D8E"/>
    <w:rsid w:val="00325928"/>
    <w:rsid w:val="00332863"/>
    <w:rsid w:val="003361C6"/>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47E7"/>
    <w:rsid w:val="00406F01"/>
    <w:rsid w:val="00415750"/>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3C72"/>
    <w:rsid w:val="00494670"/>
    <w:rsid w:val="004A3823"/>
    <w:rsid w:val="004E6946"/>
    <w:rsid w:val="004E6EE8"/>
    <w:rsid w:val="004F1AD8"/>
    <w:rsid w:val="005039CB"/>
    <w:rsid w:val="0050558F"/>
    <w:rsid w:val="00506286"/>
    <w:rsid w:val="00507C3A"/>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22171"/>
    <w:rsid w:val="006377A6"/>
    <w:rsid w:val="00637A3D"/>
    <w:rsid w:val="006411EF"/>
    <w:rsid w:val="0064539C"/>
    <w:rsid w:val="0065443A"/>
    <w:rsid w:val="00663A09"/>
    <w:rsid w:val="006748B8"/>
    <w:rsid w:val="006775C3"/>
    <w:rsid w:val="0069137C"/>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21F11"/>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04F77"/>
    <w:rsid w:val="0081293E"/>
    <w:rsid w:val="00815465"/>
    <w:rsid w:val="00817E9A"/>
    <w:rsid w:val="008306BD"/>
    <w:rsid w:val="00831A80"/>
    <w:rsid w:val="00833743"/>
    <w:rsid w:val="008340A4"/>
    <w:rsid w:val="0087135F"/>
    <w:rsid w:val="00872D94"/>
    <w:rsid w:val="00880364"/>
    <w:rsid w:val="00886F6C"/>
    <w:rsid w:val="00891592"/>
    <w:rsid w:val="00891E9E"/>
    <w:rsid w:val="008A2F68"/>
    <w:rsid w:val="008B4FA6"/>
    <w:rsid w:val="008B5282"/>
    <w:rsid w:val="008B7C17"/>
    <w:rsid w:val="008C2D01"/>
    <w:rsid w:val="008C3785"/>
    <w:rsid w:val="008C40E6"/>
    <w:rsid w:val="008C587F"/>
    <w:rsid w:val="008D07DC"/>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0AD4"/>
    <w:rsid w:val="00A32A83"/>
    <w:rsid w:val="00A368DB"/>
    <w:rsid w:val="00A423AA"/>
    <w:rsid w:val="00A53EC6"/>
    <w:rsid w:val="00A55C0F"/>
    <w:rsid w:val="00A8713F"/>
    <w:rsid w:val="00A90BA1"/>
    <w:rsid w:val="00A97A9A"/>
    <w:rsid w:val="00AA0671"/>
    <w:rsid w:val="00AA2531"/>
    <w:rsid w:val="00AB1E09"/>
    <w:rsid w:val="00AB2562"/>
    <w:rsid w:val="00AB3619"/>
    <w:rsid w:val="00AB5330"/>
    <w:rsid w:val="00AB7747"/>
    <w:rsid w:val="00AC14CE"/>
    <w:rsid w:val="00AC2A56"/>
    <w:rsid w:val="00AD055E"/>
    <w:rsid w:val="00AD47A7"/>
    <w:rsid w:val="00AD7C4A"/>
    <w:rsid w:val="00AF0CBF"/>
    <w:rsid w:val="00AF257F"/>
    <w:rsid w:val="00AF33CF"/>
    <w:rsid w:val="00AF4D50"/>
    <w:rsid w:val="00AF6179"/>
    <w:rsid w:val="00B1295A"/>
    <w:rsid w:val="00B20A45"/>
    <w:rsid w:val="00B22C5C"/>
    <w:rsid w:val="00B24F30"/>
    <w:rsid w:val="00B31ABF"/>
    <w:rsid w:val="00B33BE3"/>
    <w:rsid w:val="00B4058D"/>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00968"/>
    <w:rsid w:val="00C10578"/>
    <w:rsid w:val="00C12ED4"/>
    <w:rsid w:val="00C135BC"/>
    <w:rsid w:val="00C15C95"/>
    <w:rsid w:val="00C2596A"/>
    <w:rsid w:val="00C27537"/>
    <w:rsid w:val="00C328FE"/>
    <w:rsid w:val="00C33507"/>
    <w:rsid w:val="00C4409D"/>
    <w:rsid w:val="00C44E72"/>
    <w:rsid w:val="00C45A06"/>
    <w:rsid w:val="00C47E5B"/>
    <w:rsid w:val="00C61E4B"/>
    <w:rsid w:val="00C64BFF"/>
    <w:rsid w:val="00C704E9"/>
    <w:rsid w:val="00C750C8"/>
    <w:rsid w:val="00C763C9"/>
    <w:rsid w:val="00C80057"/>
    <w:rsid w:val="00C82232"/>
    <w:rsid w:val="00C824DE"/>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0A76"/>
    <w:rsid w:val="00D94A7C"/>
    <w:rsid w:val="00D95896"/>
    <w:rsid w:val="00DB2983"/>
    <w:rsid w:val="00DC1257"/>
    <w:rsid w:val="00DC3DC0"/>
    <w:rsid w:val="00DC5B2B"/>
    <w:rsid w:val="00DD24C7"/>
    <w:rsid w:val="00DD318D"/>
    <w:rsid w:val="00DF2E12"/>
    <w:rsid w:val="00DF514A"/>
    <w:rsid w:val="00DF6690"/>
    <w:rsid w:val="00DF6804"/>
    <w:rsid w:val="00E0358D"/>
    <w:rsid w:val="00E04323"/>
    <w:rsid w:val="00E070A2"/>
    <w:rsid w:val="00E11AC0"/>
    <w:rsid w:val="00E2656A"/>
    <w:rsid w:val="00E412D0"/>
    <w:rsid w:val="00E56322"/>
    <w:rsid w:val="00E60982"/>
    <w:rsid w:val="00E62C62"/>
    <w:rsid w:val="00E654C1"/>
    <w:rsid w:val="00E65D97"/>
    <w:rsid w:val="00E72A5A"/>
    <w:rsid w:val="00E73354"/>
    <w:rsid w:val="00E83E0D"/>
    <w:rsid w:val="00E9242D"/>
    <w:rsid w:val="00E97B27"/>
    <w:rsid w:val="00EB5255"/>
    <w:rsid w:val="00EB5C47"/>
    <w:rsid w:val="00ED0639"/>
    <w:rsid w:val="00ED08B1"/>
    <w:rsid w:val="00EF4755"/>
    <w:rsid w:val="00EF7135"/>
    <w:rsid w:val="00F027DB"/>
    <w:rsid w:val="00F14A7A"/>
    <w:rsid w:val="00F15942"/>
    <w:rsid w:val="00F22985"/>
    <w:rsid w:val="00F3383E"/>
    <w:rsid w:val="00F465A7"/>
    <w:rsid w:val="00F50B7C"/>
    <w:rsid w:val="00F550E6"/>
    <w:rsid w:val="00F74345"/>
    <w:rsid w:val="00F80A0A"/>
    <w:rsid w:val="00F825B6"/>
    <w:rsid w:val="00F82B19"/>
    <w:rsid w:val="00F9212D"/>
    <w:rsid w:val="00F965DA"/>
    <w:rsid w:val="00FA406A"/>
    <w:rsid w:val="00FA649C"/>
    <w:rsid w:val="00FB4554"/>
    <w:rsid w:val="00FB503A"/>
    <w:rsid w:val="00FB516C"/>
    <w:rsid w:val="00FD0236"/>
    <w:rsid w:val="00FD18F4"/>
    <w:rsid w:val="00FD54DB"/>
    <w:rsid w:val="00FD619F"/>
    <w:rsid w:val="00FE2974"/>
    <w:rsid w:val="010058D2"/>
    <w:rsid w:val="01101675"/>
    <w:rsid w:val="01290F7E"/>
    <w:rsid w:val="01414C3E"/>
    <w:rsid w:val="01443FD6"/>
    <w:rsid w:val="015155C3"/>
    <w:rsid w:val="015D1E09"/>
    <w:rsid w:val="01832D9B"/>
    <w:rsid w:val="018B424E"/>
    <w:rsid w:val="01910549"/>
    <w:rsid w:val="01AA1AC9"/>
    <w:rsid w:val="01B02F8F"/>
    <w:rsid w:val="01B55185"/>
    <w:rsid w:val="01E81208"/>
    <w:rsid w:val="01EC140E"/>
    <w:rsid w:val="01F77BE2"/>
    <w:rsid w:val="021B7969"/>
    <w:rsid w:val="021D5E60"/>
    <w:rsid w:val="02385327"/>
    <w:rsid w:val="024C3656"/>
    <w:rsid w:val="025514D1"/>
    <w:rsid w:val="02553A1F"/>
    <w:rsid w:val="025D0792"/>
    <w:rsid w:val="02697903"/>
    <w:rsid w:val="029D719B"/>
    <w:rsid w:val="02DB33B5"/>
    <w:rsid w:val="02F552C7"/>
    <w:rsid w:val="02F96569"/>
    <w:rsid w:val="0319342B"/>
    <w:rsid w:val="032A5F84"/>
    <w:rsid w:val="03307EE8"/>
    <w:rsid w:val="033A0811"/>
    <w:rsid w:val="038A570F"/>
    <w:rsid w:val="03926AC2"/>
    <w:rsid w:val="03A03184"/>
    <w:rsid w:val="03EA7B21"/>
    <w:rsid w:val="04021749"/>
    <w:rsid w:val="041206E5"/>
    <w:rsid w:val="04515E48"/>
    <w:rsid w:val="048D3FB8"/>
    <w:rsid w:val="04981661"/>
    <w:rsid w:val="04A63A08"/>
    <w:rsid w:val="04B57B21"/>
    <w:rsid w:val="04D15BD6"/>
    <w:rsid w:val="04DF6853"/>
    <w:rsid w:val="04E56C2A"/>
    <w:rsid w:val="04EC7E43"/>
    <w:rsid w:val="050E2DFB"/>
    <w:rsid w:val="055D08B1"/>
    <w:rsid w:val="056E5BC8"/>
    <w:rsid w:val="05884076"/>
    <w:rsid w:val="05922FC8"/>
    <w:rsid w:val="05986DA1"/>
    <w:rsid w:val="05AD48D3"/>
    <w:rsid w:val="05B30001"/>
    <w:rsid w:val="05CE5296"/>
    <w:rsid w:val="05DA32B4"/>
    <w:rsid w:val="05E370DD"/>
    <w:rsid w:val="05E7456A"/>
    <w:rsid w:val="05F83EAE"/>
    <w:rsid w:val="062630DE"/>
    <w:rsid w:val="063E7D85"/>
    <w:rsid w:val="064424ED"/>
    <w:rsid w:val="06661DC9"/>
    <w:rsid w:val="06782196"/>
    <w:rsid w:val="06887757"/>
    <w:rsid w:val="06F04D07"/>
    <w:rsid w:val="07095395"/>
    <w:rsid w:val="07293586"/>
    <w:rsid w:val="07295285"/>
    <w:rsid w:val="07521CD9"/>
    <w:rsid w:val="07636392"/>
    <w:rsid w:val="07770C56"/>
    <w:rsid w:val="07781649"/>
    <w:rsid w:val="07B6360A"/>
    <w:rsid w:val="07F27D26"/>
    <w:rsid w:val="08094DA1"/>
    <w:rsid w:val="08626C5A"/>
    <w:rsid w:val="0882506A"/>
    <w:rsid w:val="088422F7"/>
    <w:rsid w:val="0892383D"/>
    <w:rsid w:val="08BE68F1"/>
    <w:rsid w:val="08C5771C"/>
    <w:rsid w:val="090B24E0"/>
    <w:rsid w:val="092217DD"/>
    <w:rsid w:val="092B34F0"/>
    <w:rsid w:val="092E2FE0"/>
    <w:rsid w:val="093830AD"/>
    <w:rsid w:val="093A7294"/>
    <w:rsid w:val="09406C9A"/>
    <w:rsid w:val="09560AC0"/>
    <w:rsid w:val="09726438"/>
    <w:rsid w:val="097C62D9"/>
    <w:rsid w:val="097D148E"/>
    <w:rsid w:val="097E2118"/>
    <w:rsid w:val="09A208D9"/>
    <w:rsid w:val="09A84666"/>
    <w:rsid w:val="09C75A8B"/>
    <w:rsid w:val="09CB5AFE"/>
    <w:rsid w:val="09EA3C36"/>
    <w:rsid w:val="09F75E8A"/>
    <w:rsid w:val="0A1531B4"/>
    <w:rsid w:val="0A263993"/>
    <w:rsid w:val="0A2D3AC2"/>
    <w:rsid w:val="0A511BA4"/>
    <w:rsid w:val="0A767561"/>
    <w:rsid w:val="0A771B2F"/>
    <w:rsid w:val="0A910293"/>
    <w:rsid w:val="0AA755DF"/>
    <w:rsid w:val="0ABF65E6"/>
    <w:rsid w:val="0AED603A"/>
    <w:rsid w:val="0AF67B8B"/>
    <w:rsid w:val="0B0A0EE2"/>
    <w:rsid w:val="0B120D44"/>
    <w:rsid w:val="0B3532C7"/>
    <w:rsid w:val="0B5F1B77"/>
    <w:rsid w:val="0B635D33"/>
    <w:rsid w:val="0BC300BA"/>
    <w:rsid w:val="0BCC02E6"/>
    <w:rsid w:val="0BD27BF6"/>
    <w:rsid w:val="0BF70DC5"/>
    <w:rsid w:val="0C290057"/>
    <w:rsid w:val="0C2F779B"/>
    <w:rsid w:val="0C3B3C7D"/>
    <w:rsid w:val="0C6C26E1"/>
    <w:rsid w:val="0C750884"/>
    <w:rsid w:val="0CAB2EAE"/>
    <w:rsid w:val="0CCC263D"/>
    <w:rsid w:val="0CE045F1"/>
    <w:rsid w:val="0CF95922"/>
    <w:rsid w:val="0D482396"/>
    <w:rsid w:val="0D621C7D"/>
    <w:rsid w:val="0D645222"/>
    <w:rsid w:val="0D6A0692"/>
    <w:rsid w:val="0D8F5C1B"/>
    <w:rsid w:val="0D9224C6"/>
    <w:rsid w:val="0D9D2BDC"/>
    <w:rsid w:val="0D9D530A"/>
    <w:rsid w:val="0DA47B70"/>
    <w:rsid w:val="0DA90E87"/>
    <w:rsid w:val="0DBD7052"/>
    <w:rsid w:val="0DCE4335"/>
    <w:rsid w:val="0DF465A6"/>
    <w:rsid w:val="0E492FD3"/>
    <w:rsid w:val="0E73034D"/>
    <w:rsid w:val="0EBB2F43"/>
    <w:rsid w:val="0F000F7B"/>
    <w:rsid w:val="0F115781"/>
    <w:rsid w:val="0F13775A"/>
    <w:rsid w:val="0F195A79"/>
    <w:rsid w:val="0F317386"/>
    <w:rsid w:val="0F504A5E"/>
    <w:rsid w:val="0F535867"/>
    <w:rsid w:val="0F542F43"/>
    <w:rsid w:val="0F5F45FE"/>
    <w:rsid w:val="0F764024"/>
    <w:rsid w:val="0F785DFA"/>
    <w:rsid w:val="0F8A2372"/>
    <w:rsid w:val="0F994C6F"/>
    <w:rsid w:val="0F9A112B"/>
    <w:rsid w:val="0F9D2C6D"/>
    <w:rsid w:val="0FC162AC"/>
    <w:rsid w:val="10134D57"/>
    <w:rsid w:val="106D2F64"/>
    <w:rsid w:val="10B63710"/>
    <w:rsid w:val="10F10820"/>
    <w:rsid w:val="1107415B"/>
    <w:rsid w:val="111927C8"/>
    <w:rsid w:val="111B1BAC"/>
    <w:rsid w:val="111C2F7A"/>
    <w:rsid w:val="11307A5E"/>
    <w:rsid w:val="11407D54"/>
    <w:rsid w:val="11665CA1"/>
    <w:rsid w:val="11760E84"/>
    <w:rsid w:val="11AF0F60"/>
    <w:rsid w:val="11B322D4"/>
    <w:rsid w:val="11C20769"/>
    <w:rsid w:val="11D33F54"/>
    <w:rsid w:val="120D5E88"/>
    <w:rsid w:val="120D5F9F"/>
    <w:rsid w:val="122918AF"/>
    <w:rsid w:val="12394ECF"/>
    <w:rsid w:val="12745F08"/>
    <w:rsid w:val="12986E84"/>
    <w:rsid w:val="129C7320"/>
    <w:rsid w:val="12B75DF4"/>
    <w:rsid w:val="12B90C90"/>
    <w:rsid w:val="12FA5AEA"/>
    <w:rsid w:val="13090559"/>
    <w:rsid w:val="13203641"/>
    <w:rsid w:val="13286CF2"/>
    <w:rsid w:val="136833ED"/>
    <w:rsid w:val="137B6E06"/>
    <w:rsid w:val="137F3CA8"/>
    <w:rsid w:val="13951726"/>
    <w:rsid w:val="139B5716"/>
    <w:rsid w:val="13C22CA3"/>
    <w:rsid w:val="13FB6263"/>
    <w:rsid w:val="140548F9"/>
    <w:rsid w:val="140D6614"/>
    <w:rsid w:val="1417662E"/>
    <w:rsid w:val="14333BA0"/>
    <w:rsid w:val="14396509"/>
    <w:rsid w:val="145E7176"/>
    <w:rsid w:val="145F4995"/>
    <w:rsid w:val="145F72C9"/>
    <w:rsid w:val="14603842"/>
    <w:rsid w:val="146674E2"/>
    <w:rsid w:val="147A532B"/>
    <w:rsid w:val="14DD2C3C"/>
    <w:rsid w:val="14E9658B"/>
    <w:rsid w:val="14F52C04"/>
    <w:rsid w:val="151F7CFF"/>
    <w:rsid w:val="15406386"/>
    <w:rsid w:val="1557566D"/>
    <w:rsid w:val="15607D1F"/>
    <w:rsid w:val="157E7F3B"/>
    <w:rsid w:val="1590401A"/>
    <w:rsid w:val="1598015F"/>
    <w:rsid w:val="15C07E18"/>
    <w:rsid w:val="15E804D9"/>
    <w:rsid w:val="16087E1D"/>
    <w:rsid w:val="164C2CF7"/>
    <w:rsid w:val="16602AFC"/>
    <w:rsid w:val="169A64A2"/>
    <w:rsid w:val="169E17A5"/>
    <w:rsid w:val="16B36EB9"/>
    <w:rsid w:val="16D06A17"/>
    <w:rsid w:val="16F85B85"/>
    <w:rsid w:val="16F94C2D"/>
    <w:rsid w:val="171E5F9D"/>
    <w:rsid w:val="17351974"/>
    <w:rsid w:val="174C4346"/>
    <w:rsid w:val="17701D14"/>
    <w:rsid w:val="17735226"/>
    <w:rsid w:val="17911679"/>
    <w:rsid w:val="179E7583"/>
    <w:rsid w:val="17B200F1"/>
    <w:rsid w:val="17DD62FD"/>
    <w:rsid w:val="17F72BDD"/>
    <w:rsid w:val="180376C9"/>
    <w:rsid w:val="1824217E"/>
    <w:rsid w:val="183C1D65"/>
    <w:rsid w:val="184C14D4"/>
    <w:rsid w:val="189F624C"/>
    <w:rsid w:val="18A433DE"/>
    <w:rsid w:val="18A80715"/>
    <w:rsid w:val="18B66694"/>
    <w:rsid w:val="18C03BA8"/>
    <w:rsid w:val="18F55AE8"/>
    <w:rsid w:val="190633F5"/>
    <w:rsid w:val="193021D4"/>
    <w:rsid w:val="19343D95"/>
    <w:rsid w:val="1958238E"/>
    <w:rsid w:val="195C18B4"/>
    <w:rsid w:val="195C2A8A"/>
    <w:rsid w:val="198033BE"/>
    <w:rsid w:val="198F66A9"/>
    <w:rsid w:val="199F0F19"/>
    <w:rsid w:val="19B60BB4"/>
    <w:rsid w:val="19ED5979"/>
    <w:rsid w:val="1A1C66C0"/>
    <w:rsid w:val="1A2C30E8"/>
    <w:rsid w:val="1A42393B"/>
    <w:rsid w:val="1A5E4366"/>
    <w:rsid w:val="1A6608CB"/>
    <w:rsid w:val="1A6C56F3"/>
    <w:rsid w:val="1A9F67F1"/>
    <w:rsid w:val="1AAD45DE"/>
    <w:rsid w:val="1AB86D8C"/>
    <w:rsid w:val="1ACC4407"/>
    <w:rsid w:val="1AF0473C"/>
    <w:rsid w:val="1AFA1D7A"/>
    <w:rsid w:val="1B046F80"/>
    <w:rsid w:val="1B1D679F"/>
    <w:rsid w:val="1B1F3A52"/>
    <w:rsid w:val="1B324BB2"/>
    <w:rsid w:val="1B3267B5"/>
    <w:rsid w:val="1B3B2058"/>
    <w:rsid w:val="1B40161D"/>
    <w:rsid w:val="1B441859"/>
    <w:rsid w:val="1B5F6014"/>
    <w:rsid w:val="1B6606B1"/>
    <w:rsid w:val="1B9D18C5"/>
    <w:rsid w:val="1BA1589B"/>
    <w:rsid w:val="1BD56A13"/>
    <w:rsid w:val="1BD73063"/>
    <w:rsid w:val="1BF4034C"/>
    <w:rsid w:val="1C027540"/>
    <w:rsid w:val="1C334F74"/>
    <w:rsid w:val="1C5E7925"/>
    <w:rsid w:val="1CA6302B"/>
    <w:rsid w:val="1CAC0D1A"/>
    <w:rsid w:val="1CD51D46"/>
    <w:rsid w:val="1CD95821"/>
    <w:rsid w:val="1CDE4C8B"/>
    <w:rsid w:val="1CE15A7B"/>
    <w:rsid w:val="1CEF6254"/>
    <w:rsid w:val="1CFD070F"/>
    <w:rsid w:val="1D1D0F4A"/>
    <w:rsid w:val="1D1E5901"/>
    <w:rsid w:val="1D20233B"/>
    <w:rsid w:val="1D414069"/>
    <w:rsid w:val="1D443D4D"/>
    <w:rsid w:val="1D513C50"/>
    <w:rsid w:val="1D5F6196"/>
    <w:rsid w:val="1D6132A5"/>
    <w:rsid w:val="1D8C1190"/>
    <w:rsid w:val="1D8E56D5"/>
    <w:rsid w:val="1DE14CA5"/>
    <w:rsid w:val="1DF70D69"/>
    <w:rsid w:val="1DFB0C8D"/>
    <w:rsid w:val="1E104133"/>
    <w:rsid w:val="1E5964A7"/>
    <w:rsid w:val="1E740B22"/>
    <w:rsid w:val="1E7A43DA"/>
    <w:rsid w:val="1E89264F"/>
    <w:rsid w:val="1EBA7E08"/>
    <w:rsid w:val="1ECC52DB"/>
    <w:rsid w:val="1ECD2D05"/>
    <w:rsid w:val="1ED124A0"/>
    <w:rsid w:val="1EEA64BA"/>
    <w:rsid w:val="1F2A450C"/>
    <w:rsid w:val="1F5134CC"/>
    <w:rsid w:val="1F6B5A62"/>
    <w:rsid w:val="1F7237CF"/>
    <w:rsid w:val="1F896D6A"/>
    <w:rsid w:val="1F972A43"/>
    <w:rsid w:val="1FA4694F"/>
    <w:rsid w:val="1FC63B1B"/>
    <w:rsid w:val="1FE7539E"/>
    <w:rsid w:val="202623CD"/>
    <w:rsid w:val="2063580D"/>
    <w:rsid w:val="20671BE0"/>
    <w:rsid w:val="207B5EE4"/>
    <w:rsid w:val="20816D7E"/>
    <w:rsid w:val="2095513F"/>
    <w:rsid w:val="20963CB8"/>
    <w:rsid w:val="20A4168D"/>
    <w:rsid w:val="20A81A1B"/>
    <w:rsid w:val="20AE0EF4"/>
    <w:rsid w:val="20B07FB6"/>
    <w:rsid w:val="20B646FB"/>
    <w:rsid w:val="20D75677"/>
    <w:rsid w:val="20D856D9"/>
    <w:rsid w:val="211A71D1"/>
    <w:rsid w:val="212E0A13"/>
    <w:rsid w:val="212E7BC9"/>
    <w:rsid w:val="213B74B1"/>
    <w:rsid w:val="2145002C"/>
    <w:rsid w:val="215A2310"/>
    <w:rsid w:val="216E084E"/>
    <w:rsid w:val="21752043"/>
    <w:rsid w:val="21837685"/>
    <w:rsid w:val="21D430D8"/>
    <w:rsid w:val="21D83BDD"/>
    <w:rsid w:val="21DE318A"/>
    <w:rsid w:val="21EF5B80"/>
    <w:rsid w:val="21FA37CC"/>
    <w:rsid w:val="220B1F99"/>
    <w:rsid w:val="222B5D7C"/>
    <w:rsid w:val="2243358B"/>
    <w:rsid w:val="22466971"/>
    <w:rsid w:val="225620E5"/>
    <w:rsid w:val="22576990"/>
    <w:rsid w:val="228C2DF9"/>
    <w:rsid w:val="228D2484"/>
    <w:rsid w:val="22A24457"/>
    <w:rsid w:val="22B97759"/>
    <w:rsid w:val="22C534C6"/>
    <w:rsid w:val="22CC02FE"/>
    <w:rsid w:val="22D16A5E"/>
    <w:rsid w:val="22E346B4"/>
    <w:rsid w:val="22F47480"/>
    <w:rsid w:val="233B037C"/>
    <w:rsid w:val="23781D0E"/>
    <w:rsid w:val="238F3631"/>
    <w:rsid w:val="23AD09C0"/>
    <w:rsid w:val="23D45A7A"/>
    <w:rsid w:val="23DE1C48"/>
    <w:rsid w:val="240210CD"/>
    <w:rsid w:val="24291BDE"/>
    <w:rsid w:val="244E28D7"/>
    <w:rsid w:val="247E098A"/>
    <w:rsid w:val="24BF09F7"/>
    <w:rsid w:val="24C02D0D"/>
    <w:rsid w:val="24C30F86"/>
    <w:rsid w:val="24C80C7D"/>
    <w:rsid w:val="24CC572F"/>
    <w:rsid w:val="251814EE"/>
    <w:rsid w:val="252B265E"/>
    <w:rsid w:val="252D53FE"/>
    <w:rsid w:val="25460CAD"/>
    <w:rsid w:val="256A4F48"/>
    <w:rsid w:val="25712D46"/>
    <w:rsid w:val="25AE4721"/>
    <w:rsid w:val="25B6018D"/>
    <w:rsid w:val="25C350B2"/>
    <w:rsid w:val="25DC597B"/>
    <w:rsid w:val="25E94DF1"/>
    <w:rsid w:val="25EC2D81"/>
    <w:rsid w:val="260945AA"/>
    <w:rsid w:val="2664193A"/>
    <w:rsid w:val="2679248C"/>
    <w:rsid w:val="2679323F"/>
    <w:rsid w:val="26A80883"/>
    <w:rsid w:val="26AD4416"/>
    <w:rsid w:val="26C95958"/>
    <w:rsid w:val="26F63C9C"/>
    <w:rsid w:val="270A5516"/>
    <w:rsid w:val="271F6EC3"/>
    <w:rsid w:val="272C04BA"/>
    <w:rsid w:val="276610C4"/>
    <w:rsid w:val="277057A2"/>
    <w:rsid w:val="278068B0"/>
    <w:rsid w:val="27870EF6"/>
    <w:rsid w:val="278D60A8"/>
    <w:rsid w:val="27C07C30"/>
    <w:rsid w:val="27D23622"/>
    <w:rsid w:val="27D81001"/>
    <w:rsid w:val="27E34B00"/>
    <w:rsid w:val="27E46288"/>
    <w:rsid w:val="27F136FF"/>
    <w:rsid w:val="280C2F40"/>
    <w:rsid w:val="280C6D93"/>
    <w:rsid w:val="282F1E84"/>
    <w:rsid w:val="28425D08"/>
    <w:rsid w:val="285939E6"/>
    <w:rsid w:val="28694363"/>
    <w:rsid w:val="288C0666"/>
    <w:rsid w:val="28913AD6"/>
    <w:rsid w:val="28972098"/>
    <w:rsid w:val="28B45D24"/>
    <w:rsid w:val="28C149A7"/>
    <w:rsid w:val="28C332ED"/>
    <w:rsid w:val="291B2A6E"/>
    <w:rsid w:val="29206EB8"/>
    <w:rsid w:val="29467498"/>
    <w:rsid w:val="29560303"/>
    <w:rsid w:val="29571DDB"/>
    <w:rsid w:val="29576D43"/>
    <w:rsid w:val="29595666"/>
    <w:rsid w:val="297B56BC"/>
    <w:rsid w:val="297C1406"/>
    <w:rsid w:val="29874881"/>
    <w:rsid w:val="29AC4D20"/>
    <w:rsid w:val="29B60BCB"/>
    <w:rsid w:val="29E325E0"/>
    <w:rsid w:val="2A180E46"/>
    <w:rsid w:val="2A452503"/>
    <w:rsid w:val="2A605055"/>
    <w:rsid w:val="2AA04816"/>
    <w:rsid w:val="2AB229C5"/>
    <w:rsid w:val="2ADC41F2"/>
    <w:rsid w:val="2B0A6552"/>
    <w:rsid w:val="2B276EB1"/>
    <w:rsid w:val="2B4A1AA4"/>
    <w:rsid w:val="2B5F0D03"/>
    <w:rsid w:val="2BA936A8"/>
    <w:rsid w:val="2C074B56"/>
    <w:rsid w:val="2C2E12C8"/>
    <w:rsid w:val="2C315A5A"/>
    <w:rsid w:val="2C4B1C25"/>
    <w:rsid w:val="2C676CC4"/>
    <w:rsid w:val="2C775307"/>
    <w:rsid w:val="2C820DC9"/>
    <w:rsid w:val="2C9F0485"/>
    <w:rsid w:val="2D0F56E2"/>
    <w:rsid w:val="2D465D37"/>
    <w:rsid w:val="2D6A3D37"/>
    <w:rsid w:val="2D773DC9"/>
    <w:rsid w:val="2D9E56F5"/>
    <w:rsid w:val="2DD50A5E"/>
    <w:rsid w:val="2DE52846"/>
    <w:rsid w:val="2E1027BE"/>
    <w:rsid w:val="2E4B1D2B"/>
    <w:rsid w:val="2E667F96"/>
    <w:rsid w:val="2E6C0638"/>
    <w:rsid w:val="2E8226AB"/>
    <w:rsid w:val="2E9721D2"/>
    <w:rsid w:val="2E996BFA"/>
    <w:rsid w:val="2EB113B8"/>
    <w:rsid w:val="2ECD195F"/>
    <w:rsid w:val="2EDF252C"/>
    <w:rsid w:val="2F056EBF"/>
    <w:rsid w:val="2F067A90"/>
    <w:rsid w:val="2F2E3A0C"/>
    <w:rsid w:val="2F3133EA"/>
    <w:rsid w:val="2F4B7B98"/>
    <w:rsid w:val="2F647E7C"/>
    <w:rsid w:val="2FD065E6"/>
    <w:rsid w:val="2FD96870"/>
    <w:rsid w:val="2FFA2C9C"/>
    <w:rsid w:val="302A5A5B"/>
    <w:rsid w:val="304755EC"/>
    <w:rsid w:val="30580BC9"/>
    <w:rsid w:val="308F0A11"/>
    <w:rsid w:val="30A0642F"/>
    <w:rsid w:val="30AB7EA6"/>
    <w:rsid w:val="30B5373E"/>
    <w:rsid w:val="30B84DBE"/>
    <w:rsid w:val="30CE075D"/>
    <w:rsid w:val="30D00DDA"/>
    <w:rsid w:val="30D33E7C"/>
    <w:rsid w:val="310C05AA"/>
    <w:rsid w:val="311E2ED7"/>
    <w:rsid w:val="312076D2"/>
    <w:rsid w:val="312974A5"/>
    <w:rsid w:val="312E32CE"/>
    <w:rsid w:val="31304969"/>
    <w:rsid w:val="31506E7C"/>
    <w:rsid w:val="315619EE"/>
    <w:rsid w:val="315C449C"/>
    <w:rsid w:val="31674AEF"/>
    <w:rsid w:val="317947B5"/>
    <w:rsid w:val="31B062A8"/>
    <w:rsid w:val="31B82709"/>
    <w:rsid w:val="31BE293E"/>
    <w:rsid w:val="31D05482"/>
    <w:rsid w:val="31F80ED7"/>
    <w:rsid w:val="32033ED7"/>
    <w:rsid w:val="32132653"/>
    <w:rsid w:val="322E2927"/>
    <w:rsid w:val="32400B34"/>
    <w:rsid w:val="32474A71"/>
    <w:rsid w:val="32492C6E"/>
    <w:rsid w:val="32517655"/>
    <w:rsid w:val="3261247E"/>
    <w:rsid w:val="326329C7"/>
    <w:rsid w:val="32751BDF"/>
    <w:rsid w:val="329E6876"/>
    <w:rsid w:val="32AC27DC"/>
    <w:rsid w:val="32E47051"/>
    <w:rsid w:val="32F6606D"/>
    <w:rsid w:val="33123A57"/>
    <w:rsid w:val="33274478"/>
    <w:rsid w:val="333015F2"/>
    <w:rsid w:val="33305501"/>
    <w:rsid w:val="334B6320"/>
    <w:rsid w:val="3354601B"/>
    <w:rsid w:val="33644A43"/>
    <w:rsid w:val="33D934D4"/>
    <w:rsid w:val="33FE2F6A"/>
    <w:rsid w:val="340E07E5"/>
    <w:rsid w:val="34235BF7"/>
    <w:rsid w:val="34286628"/>
    <w:rsid w:val="343F521D"/>
    <w:rsid w:val="344E4C6B"/>
    <w:rsid w:val="345474EF"/>
    <w:rsid w:val="34605E94"/>
    <w:rsid w:val="34795778"/>
    <w:rsid w:val="348015E4"/>
    <w:rsid w:val="348A51F6"/>
    <w:rsid w:val="34902628"/>
    <w:rsid w:val="34C53F49"/>
    <w:rsid w:val="34C70CBD"/>
    <w:rsid w:val="35050D09"/>
    <w:rsid w:val="352F341D"/>
    <w:rsid w:val="35424B17"/>
    <w:rsid w:val="354871EC"/>
    <w:rsid w:val="356B0642"/>
    <w:rsid w:val="358C5FA8"/>
    <w:rsid w:val="35C15DF1"/>
    <w:rsid w:val="36074A7F"/>
    <w:rsid w:val="36553B02"/>
    <w:rsid w:val="368D1899"/>
    <w:rsid w:val="36923549"/>
    <w:rsid w:val="36B75FBF"/>
    <w:rsid w:val="36BD0C45"/>
    <w:rsid w:val="36FC6ADF"/>
    <w:rsid w:val="3715154F"/>
    <w:rsid w:val="37324D1D"/>
    <w:rsid w:val="37524D73"/>
    <w:rsid w:val="377026CA"/>
    <w:rsid w:val="37743DAE"/>
    <w:rsid w:val="37A15C0E"/>
    <w:rsid w:val="37BC52D9"/>
    <w:rsid w:val="37C64260"/>
    <w:rsid w:val="37D1607F"/>
    <w:rsid w:val="37D64995"/>
    <w:rsid w:val="37D75909"/>
    <w:rsid w:val="37E00298"/>
    <w:rsid w:val="37E965B6"/>
    <w:rsid w:val="38054F17"/>
    <w:rsid w:val="3848730F"/>
    <w:rsid w:val="38522AC1"/>
    <w:rsid w:val="38A22B35"/>
    <w:rsid w:val="38B302F9"/>
    <w:rsid w:val="38BA2701"/>
    <w:rsid w:val="38D13180"/>
    <w:rsid w:val="38E5105E"/>
    <w:rsid w:val="38F12CD3"/>
    <w:rsid w:val="38F663A8"/>
    <w:rsid w:val="38F94775"/>
    <w:rsid w:val="391C5E48"/>
    <w:rsid w:val="39261184"/>
    <w:rsid w:val="392971ED"/>
    <w:rsid w:val="39325651"/>
    <w:rsid w:val="398A6278"/>
    <w:rsid w:val="39916AF0"/>
    <w:rsid w:val="39A03B97"/>
    <w:rsid w:val="39A16D33"/>
    <w:rsid w:val="39AB69D8"/>
    <w:rsid w:val="39B16C94"/>
    <w:rsid w:val="39B55A99"/>
    <w:rsid w:val="39BD34A6"/>
    <w:rsid w:val="39E54A02"/>
    <w:rsid w:val="3A0E25BE"/>
    <w:rsid w:val="3A3617AE"/>
    <w:rsid w:val="3A53595F"/>
    <w:rsid w:val="3A872856"/>
    <w:rsid w:val="3A87507A"/>
    <w:rsid w:val="3AA22DDC"/>
    <w:rsid w:val="3AAB3E5C"/>
    <w:rsid w:val="3ABE7BB2"/>
    <w:rsid w:val="3B057217"/>
    <w:rsid w:val="3B373E57"/>
    <w:rsid w:val="3B3763D1"/>
    <w:rsid w:val="3B594562"/>
    <w:rsid w:val="3B84167F"/>
    <w:rsid w:val="3BC360EA"/>
    <w:rsid w:val="3C0C2B64"/>
    <w:rsid w:val="3C2F6E1E"/>
    <w:rsid w:val="3C4F64BA"/>
    <w:rsid w:val="3CB230F1"/>
    <w:rsid w:val="3CDA245A"/>
    <w:rsid w:val="3CF71512"/>
    <w:rsid w:val="3CFB24BE"/>
    <w:rsid w:val="3CFF4AFD"/>
    <w:rsid w:val="3D1A3F40"/>
    <w:rsid w:val="3D1E06B7"/>
    <w:rsid w:val="3D26252E"/>
    <w:rsid w:val="3D4829A9"/>
    <w:rsid w:val="3D5077DE"/>
    <w:rsid w:val="3D5200E0"/>
    <w:rsid w:val="3D664ED8"/>
    <w:rsid w:val="3D665369"/>
    <w:rsid w:val="3D68724D"/>
    <w:rsid w:val="3D8E2BE8"/>
    <w:rsid w:val="3DAE584C"/>
    <w:rsid w:val="3E102E66"/>
    <w:rsid w:val="3E4E2BE4"/>
    <w:rsid w:val="3E674DA4"/>
    <w:rsid w:val="3EA9603F"/>
    <w:rsid w:val="3EDA0523"/>
    <w:rsid w:val="3EE7110B"/>
    <w:rsid w:val="3F201221"/>
    <w:rsid w:val="3F5123FA"/>
    <w:rsid w:val="3F5A2DCB"/>
    <w:rsid w:val="3F836EDA"/>
    <w:rsid w:val="3F857195"/>
    <w:rsid w:val="3F954144"/>
    <w:rsid w:val="3FD47E1A"/>
    <w:rsid w:val="40152065"/>
    <w:rsid w:val="40204C83"/>
    <w:rsid w:val="40210BCD"/>
    <w:rsid w:val="402A1F3D"/>
    <w:rsid w:val="403028E6"/>
    <w:rsid w:val="40403790"/>
    <w:rsid w:val="40570007"/>
    <w:rsid w:val="40697C96"/>
    <w:rsid w:val="406B5439"/>
    <w:rsid w:val="40754A75"/>
    <w:rsid w:val="407A6407"/>
    <w:rsid w:val="40867FD1"/>
    <w:rsid w:val="40AB6A34"/>
    <w:rsid w:val="40B90E06"/>
    <w:rsid w:val="40C035D9"/>
    <w:rsid w:val="40C2679C"/>
    <w:rsid w:val="40C50AD3"/>
    <w:rsid w:val="40C854ED"/>
    <w:rsid w:val="40DC7AB4"/>
    <w:rsid w:val="40E44F98"/>
    <w:rsid w:val="40EF0D90"/>
    <w:rsid w:val="40F41E3E"/>
    <w:rsid w:val="41181312"/>
    <w:rsid w:val="412D35A2"/>
    <w:rsid w:val="41624823"/>
    <w:rsid w:val="417226CB"/>
    <w:rsid w:val="418470C8"/>
    <w:rsid w:val="419D61FD"/>
    <w:rsid w:val="41A26FA7"/>
    <w:rsid w:val="41B57949"/>
    <w:rsid w:val="41CB7A37"/>
    <w:rsid w:val="41D171AD"/>
    <w:rsid w:val="41F238F0"/>
    <w:rsid w:val="41F540C0"/>
    <w:rsid w:val="4200449D"/>
    <w:rsid w:val="42110CE2"/>
    <w:rsid w:val="421D7176"/>
    <w:rsid w:val="422A5979"/>
    <w:rsid w:val="423A3BCC"/>
    <w:rsid w:val="424807F4"/>
    <w:rsid w:val="424E57D2"/>
    <w:rsid w:val="426B2AE3"/>
    <w:rsid w:val="42843695"/>
    <w:rsid w:val="4296182D"/>
    <w:rsid w:val="42B26C49"/>
    <w:rsid w:val="42BA29B4"/>
    <w:rsid w:val="42DA5CAF"/>
    <w:rsid w:val="42DC6B60"/>
    <w:rsid w:val="42EF334F"/>
    <w:rsid w:val="42FF776D"/>
    <w:rsid w:val="430601C5"/>
    <w:rsid w:val="430E667F"/>
    <w:rsid w:val="433027FE"/>
    <w:rsid w:val="433A6FE6"/>
    <w:rsid w:val="433E1A96"/>
    <w:rsid w:val="43480868"/>
    <w:rsid w:val="4350713C"/>
    <w:rsid w:val="435452D7"/>
    <w:rsid w:val="436653E0"/>
    <w:rsid w:val="43917E18"/>
    <w:rsid w:val="439E43F2"/>
    <w:rsid w:val="43BC7BB1"/>
    <w:rsid w:val="43C14827"/>
    <w:rsid w:val="43C4431A"/>
    <w:rsid w:val="43E330B0"/>
    <w:rsid w:val="43ED0DC6"/>
    <w:rsid w:val="43F25101"/>
    <w:rsid w:val="443A7817"/>
    <w:rsid w:val="444B2BF8"/>
    <w:rsid w:val="44B951CC"/>
    <w:rsid w:val="44C167E6"/>
    <w:rsid w:val="44CD14E0"/>
    <w:rsid w:val="44F20B0B"/>
    <w:rsid w:val="45030D77"/>
    <w:rsid w:val="45033943"/>
    <w:rsid w:val="452E5F4C"/>
    <w:rsid w:val="453B5B93"/>
    <w:rsid w:val="454A763F"/>
    <w:rsid w:val="45504BE6"/>
    <w:rsid w:val="45612018"/>
    <w:rsid w:val="45684BA8"/>
    <w:rsid w:val="458946E9"/>
    <w:rsid w:val="45A47C0E"/>
    <w:rsid w:val="45D65E5A"/>
    <w:rsid w:val="45F44CA7"/>
    <w:rsid w:val="460C3CBE"/>
    <w:rsid w:val="46354B7F"/>
    <w:rsid w:val="46577FD6"/>
    <w:rsid w:val="469D467C"/>
    <w:rsid w:val="46AF2838"/>
    <w:rsid w:val="46B007A2"/>
    <w:rsid w:val="46B31F8F"/>
    <w:rsid w:val="46D955A7"/>
    <w:rsid w:val="46ED1BE8"/>
    <w:rsid w:val="46FE2834"/>
    <w:rsid w:val="470D6F70"/>
    <w:rsid w:val="47133957"/>
    <w:rsid w:val="472D4161"/>
    <w:rsid w:val="475059B9"/>
    <w:rsid w:val="479423B8"/>
    <w:rsid w:val="47A07E0C"/>
    <w:rsid w:val="47D83FA8"/>
    <w:rsid w:val="47FB70B2"/>
    <w:rsid w:val="4870272E"/>
    <w:rsid w:val="487808A5"/>
    <w:rsid w:val="488B485A"/>
    <w:rsid w:val="48AA3B6B"/>
    <w:rsid w:val="48B16866"/>
    <w:rsid w:val="48BA4CB7"/>
    <w:rsid w:val="48BC693C"/>
    <w:rsid w:val="492B1C6E"/>
    <w:rsid w:val="493610CC"/>
    <w:rsid w:val="49463EB4"/>
    <w:rsid w:val="49667FE1"/>
    <w:rsid w:val="497236FE"/>
    <w:rsid w:val="49890181"/>
    <w:rsid w:val="49BC1800"/>
    <w:rsid w:val="49DC7715"/>
    <w:rsid w:val="49FC78EF"/>
    <w:rsid w:val="4A023139"/>
    <w:rsid w:val="4A5D2983"/>
    <w:rsid w:val="4A6A4F1F"/>
    <w:rsid w:val="4A7B576F"/>
    <w:rsid w:val="4ACA5FCD"/>
    <w:rsid w:val="4AE76330"/>
    <w:rsid w:val="4AEA030A"/>
    <w:rsid w:val="4AF561A9"/>
    <w:rsid w:val="4B00780C"/>
    <w:rsid w:val="4B157EDB"/>
    <w:rsid w:val="4B29302C"/>
    <w:rsid w:val="4B5A112C"/>
    <w:rsid w:val="4B7356CE"/>
    <w:rsid w:val="4B926D77"/>
    <w:rsid w:val="4BCD2F93"/>
    <w:rsid w:val="4BDF193C"/>
    <w:rsid w:val="4BFB7DF4"/>
    <w:rsid w:val="4C156904"/>
    <w:rsid w:val="4C3F4F71"/>
    <w:rsid w:val="4C4A0649"/>
    <w:rsid w:val="4C5434D8"/>
    <w:rsid w:val="4C7E5ECA"/>
    <w:rsid w:val="4C876AA5"/>
    <w:rsid w:val="4C8F6299"/>
    <w:rsid w:val="4CAA210E"/>
    <w:rsid w:val="4CB67CFF"/>
    <w:rsid w:val="4CCC524E"/>
    <w:rsid w:val="4D0E00FB"/>
    <w:rsid w:val="4D111091"/>
    <w:rsid w:val="4D151FFB"/>
    <w:rsid w:val="4D176606"/>
    <w:rsid w:val="4D337AB8"/>
    <w:rsid w:val="4D3730DB"/>
    <w:rsid w:val="4D83234C"/>
    <w:rsid w:val="4D85568E"/>
    <w:rsid w:val="4DA63EAC"/>
    <w:rsid w:val="4DAD1201"/>
    <w:rsid w:val="4DC94652"/>
    <w:rsid w:val="4DCF6CAB"/>
    <w:rsid w:val="4DEC4FB0"/>
    <w:rsid w:val="4DEF57BD"/>
    <w:rsid w:val="4DF94F37"/>
    <w:rsid w:val="4E0205CB"/>
    <w:rsid w:val="4E075D8A"/>
    <w:rsid w:val="4E51574C"/>
    <w:rsid w:val="4EC00FAD"/>
    <w:rsid w:val="4EE1047E"/>
    <w:rsid w:val="4EF011EA"/>
    <w:rsid w:val="4F0E0906"/>
    <w:rsid w:val="4F0E1359"/>
    <w:rsid w:val="4F60250E"/>
    <w:rsid w:val="4F710AFD"/>
    <w:rsid w:val="4F7B61F4"/>
    <w:rsid w:val="4F886698"/>
    <w:rsid w:val="4F90367A"/>
    <w:rsid w:val="4F9337AB"/>
    <w:rsid w:val="4F944712"/>
    <w:rsid w:val="4F9843DC"/>
    <w:rsid w:val="4F9D18F3"/>
    <w:rsid w:val="4F9F0DCC"/>
    <w:rsid w:val="4F9F1185"/>
    <w:rsid w:val="4FB9197F"/>
    <w:rsid w:val="4FC3695A"/>
    <w:rsid w:val="4FC62A8C"/>
    <w:rsid w:val="4FDA66A3"/>
    <w:rsid w:val="4FDF0F01"/>
    <w:rsid w:val="4FE20F0D"/>
    <w:rsid w:val="4FE51552"/>
    <w:rsid w:val="4FFA2A2D"/>
    <w:rsid w:val="50265454"/>
    <w:rsid w:val="50504C4B"/>
    <w:rsid w:val="5061403A"/>
    <w:rsid w:val="50687B81"/>
    <w:rsid w:val="506C10A5"/>
    <w:rsid w:val="508825A3"/>
    <w:rsid w:val="509145B1"/>
    <w:rsid w:val="509C6E7C"/>
    <w:rsid w:val="50D03C4A"/>
    <w:rsid w:val="50E22DB1"/>
    <w:rsid w:val="51031A0F"/>
    <w:rsid w:val="5120413D"/>
    <w:rsid w:val="51556929"/>
    <w:rsid w:val="5162104E"/>
    <w:rsid w:val="51803DC1"/>
    <w:rsid w:val="51BD002A"/>
    <w:rsid w:val="51D04B6B"/>
    <w:rsid w:val="520134B1"/>
    <w:rsid w:val="52307970"/>
    <w:rsid w:val="52367EF7"/>
    <w:rsid w:val="5269044A"/>
    <w:rsid w:val="526B1C71"/>
    <w:rsid w:val="52756B57"/>
    <w:rsid w:val="5278680E"/>
    <w:rsid w:val="528B016B"/>
    <w:rsid w:val="53197C47"/>
    <w:rsid w:val="53223A83"/>
    <w:rsid w:val="533407C0"/>
    <w:rsid w:val="53476745"/>
    <w:rsid w:val="534E15D1"/>
    <w:rsid w:val="537B3F7B"/>
    <w:rsid w:val="538D6F96"/>
    <w:rsid w:val="53A039CC"/>
    <w:rsid w:val="53A1505A"/>
    <w:rsid w:val="54063E08"/>
    <w:rsid w:val="543437E8"/>
    <w:rsid w:val="54610CDA"/>
    <w:rsid w:val="54772F14"/>
    <w:rsid w:val="549E6AB4"/>
    <w:rsid w:val="54AF2C63"/>
    <w:rsid w:val="54CB6F02"/>
    <w:rsid w:val="54D272FB"/>
    <w:rsid w:val="54ED6E78"/>
    <w:rsid w:val="54F73313"/>
    <w:rsid w:val="54F80955"/>
    <w:rsid w:val="552C79A0"/>
    <w:rsid w:val="555170A7"/>
    <w:rsid w:val="5587536D"/>
    <w:rsid w:val="559B174B"/>
    <w:rsid w:val="55CE0CF4"/>
    <w:rsid w:val="55F80EA5"/>
    <w:rsid w:val="560F5E77"/>
    <w:rsid w:val="56515584"/>
    <w:rsid w:val="56812BFF"/>
    <w:rsid w:val="56A34EB9"/>
    <w:rsid w:val="56B22A9C"/>
    <w:rsid w:val="56F81974"/>
    <w:rsid w:val="573C7C43"/>
    <w:rsid w:val="575513B0"/>
    <w:rsid w:val="57647684"/>
    <w:rsid w:val="577614D3"/>
    <w:rsid w:val="5779153D"/>
    <w:rsid w:val="57AE1AC2"/>
    <w:rsid w:val="57B72A76"/>
    <w:rsid w:val="57C3426C"/>
    <w:rsid w:val="57CE1F93"/>
    <w:rsid w:val="57EC4288"/>
    <w:rsid w:val="57F275D3"/>
    <w:rsid w:val="58211D66"/>
    <w:rsid w:val="588743D1"/>
    <w:rsid w:val="5887701A"/>
    <w:rsid w:val="58AC0CE8"/>
    <w:rsid w:val="58BA52C3"/>
    <w:rsid w:val="58D508C9"/>
    <w:rsid w:val="58EB1122"/>
    <w:rsid w:val="5924451D"/>
    <w:rsid w:val="59937F05"/>
    <w:rsid w:val="599B47D2"/>
    <w:rsid w:val="59B20647"/>
    <w:rsid w:val="59B80884"/>
    <w:rsid w:val="59C0439F"/>
    <w:rsid w:val="59D60F23"/>
    <w:rsid w:val="59EA6069"/>
    <w:rsid w:val="59F34D34"/>
    <w:rsid w:val="5A096455"/>
    <w:rsid w:val="5A1D520A"/>
    <w:rsid w:val="5A1F661A"/>
    <w:rsid w:val="5A314E2A"/>
    <w:rsid w:val="5A323963"/>
    <w:rsid w:val="5A613292"/>
    <w:rsid w:val="5AA35C89"/>
    <w:rsid w:val="5ABE2233"/>
    <w:rsid w:val="5ACA5B3A"/>
    <w:rsid w:val="5ACC12DE"/>
    <w:rsid w:val="5ACE3143"/>
    <w:rsid w:val="5AD07D1A"/>
    <w:rsid w:val="5AF6263E"/>
    <w:rsid w:val="5B413B1A"/>
    <w:rsid w:val="5B5A7C39"/>
    <w:rsid w:val="5BD91793"/>
    <w:rsid w:val="5BDF5D95"/>
    <w:rsid w:val="5BFE7528"/>
    <w:rsid w:val="5C2508E5"/>
    <w:rsid w:val="5C663943"/>
    <w:rsid w:val="5C69608E"/>
    <w:rsid w:val="5CCE4AA0"/>
    <w:rsid w:val="5CE501A4"/>
    <w:rsid w:val="5CFC1906"/>
    <w:rsid w:val="5D0212E3"/>
    <w:rsid w:val="5D18485A"/>
    <w:rsid w:val="5D1D60BA"/>
    <w:rsid w:val="5D1F2CF2"/>
    <w:rsid w:val="5D200A27"/>
    <w:rsid w:val="5D4D12B6"/>
    <w:rsid w:val="5D560CF4"/>
    <w:rsid w:val="5D753ED8"/>
    <w:rsid w:val="5DAD5BE1"/>
    <w:rsid w:val="5DB45A71"/>
    <w:rsid w:val="5DBF512A"/>
    <w:rsid w:val="5DD60DF1"/>
    <w:rsid w:val="5DF21BB5"/>
    <w:rsid w:val="5E187985"/>
    <w:rsid w:val="5E2467F1"/>
    <w:rsid w:val="5E4F193A"/>
    <w:rsid w:val="5E591321"/>
    <w:rsid w:val="5E624433"/>
    <w:rsid w:val="5E6F555E"/>
    <w:rsid w:val="5E7A4A51"/>
    <w:rsid w:val="5E833347"/>
    <w:rsid w:val="5E9B16F3"/>
    <w:rsid w:val="5EB66E7A"/>
    <w:rsid w:val="5EEA3B7D"/>
    <w:rsid w:val="5F1A2B43"/>
    <w:rsid w:val="5F4626E0"/>
    <w:rsid w:val="5F750427"/>
    <w:rsid w:val="5F896830"/>
    <w:rsid w:val="5F9721EE"/>
    <w:rsid w:val="5FAF3989"/>
    <w:rsid w:val="5FB837BB"/>
    <w:rsid w:val="5FBD38E1"/>
    <w:rsid w:val="600101CA"/>
    <w:rsid w:val="600458E8"/>
    <w:rsid w:val="60093A9E"/>
    <w:rsid w:val="60210E26"/>
    <w:rsid w:val="60234096"/>
    <w:rsid w:val="606C6F95"/>
    <w:rsid w:val="60980603"/>
    <w:rsid w:val="609E1DB9"/>
    <w:rsid w:val="60CC405A"/>
    <w:rsid w:val="60D07FCC"/>
    <w:rsid w:val="61142EC9"/>
    <w:rsid w:val="611C5383"/>
    <w:rsid w:val="611C7294"/>
    <w:rsid w:val="611D7034"/>
    <w:rsid w:val="614B308B"/>
    <w:rsid w:val="61712FC3"/>
    <w:rsid w:val="61967E82"/>
    <w:rsid w:val="61AB1849"/>
    <w:rsid w:val="61DB6D9C"/>
    <w:rsid w:val="61E215D8"/>
    <w:rsid w:val="61E41603"/>
    <w:rsid w:val="61E67129"/>
    <w:rsid w:val="62120443"/>
    <w:rsid w:val="621B3775"/>
    <w:rsid w:val="62364782"/>
    <w:rsid w:val="62701D40"/>
    <w:rsid w:val="62811FF8"/>
    <w:rsid w:val="628F111D"/>
    <w:rsid w:val="62A25E7E"/>
    <w:rsid w:val="63141A74"/>
    <w:rsid w:val="63171279"/>
    <w:rsid w:val="633F144F"/>
    <w:rsid w:val="635869DA"/>
    <w:rsid w:val="636529C2"/>
    <w:rsid w:val="6376328D"/>
    <w:rsid w:val="6394356A"/>
    <w:rsid w:val="63B502F3"/>
    <w:rsid w:val="63C61B2C"/>
    <w:rsid w:val="63C74D38"/>
    <w:rsid w:val="63D40BE9"/>
    <w:rsid w:val="64102431"/>
    <w:rsid w:val="641C6E32"/>
    <w:rsid w:val="644206E0"/>
    <w:rsid w:val="646B27EE"/>
    <w:rsid w:val="646F1658"/>
    <w:rsid w:val="64801AB7"/>
    <w:rsid w:val="648813EB"/>
    <w:rsid w:val="64A13B59"/>
    <w:rsid w:val="64A5243A"/>
    <w:rsid w:val="64EF38B8"/>
    <w:rsid w:val="64F24C4A"/>
    <w:rsid w:val="64F531DE"/>
    <w:rsid w:val="6500641E"/>
    <w:rsid w:val="65082AB8"/>
    <w:rsid w:val="650A432F"/>
    <w:rsid w:val="652566CC"/>
    <w:rsid w:val="65373578"/>
    <w:rsid w:val="6541337E"/>
    <w:rsid w:val="654D35CE"/>
    <w:rsid w:val="656D2D76"/>
    <w:rsid w:val="656E190F"/>
    <w:rsid w:val="65882DCF"/>
    <w:rsid w:val="65904B5B"/>
    <w:rsid w:val="659124E5"/>
    <w:rsid w:val="659559B0"/>
    <w:rsid w:val="65D06126"/>
    <w:rsid w:val="65E55E4E"/>
    <w:rsid w:val="668B3CD5"/>
    <w:rsid w:val="668F7D8F"/>
    <w:rsid w:val="66AB26EF"/>
    <w:rsid w:val="66BA45A2"/>
    <w:rsid w:val="66DE0D17"/>
    <w:rsid w:val="66EE15D1"/>
    <w:rsid w:val="66EE68F4"/>
    <w:rsid w:val="66F6797A"/>
    <w:rsid w:val="6710293B"/>
    <w:rsid w:val="671F124A"/>
    <w:rsid w:val="672C349B"/>
    <w:rsid w:val="67332E10"/>
    <w:rsid w:val="673A6DF3"/>
    <w:rsid w:val="673C2B28"/>
    <w:rsid w:val="673F4CC4"/>
    <w:rsid w:val="67424299"/>
    <w:rsid w:val="67581508"/>
    <w:rsid w:val="67666DA8"/>
    <w:rsid w:val="676964E9"/>
    <w:rsid w:val="677A33C6"/>
    <w:rsid w:val="67902011"/>
    <w:rsid w:val="67994567"/>
    <w:rsid w:val="67B83777"/>
    <w:rsid w:val="67C305BC"/>
    <w:rsid w:val="67CD1FF6"/>
    <w:rsid w:val="67DA7D95"/>
    <w:rsid w:val="67DF6AF4"/>
    <w:rsid w:val="67ED161D"/>
    <w:rsid w:val="680C1EC5"/>
    <w:rsid w:val="681F6961"/>
    <w:rsid w:val="682A3D31"/>
    <w:rsid w:val="685555AD"/>
    <w:rsid w:val="685A740C"/>
    <w:rsid w:val="68610A2F"/>
    <w:rsid w:val="686C5964"/>
    <w:rsid w:val="68790325"/>
    <w:rsid w:val="6879548D"/>
    <w:rsid w:val="68805514"/>
    <w:rsid w:val="6898100E"/>
    <w:rsid w:val="68A271CF"/>
    <w:rsid w:val="68C249D5"/>
    <w:rsid w:val="69201173"/>
    <w:rsid w:val="692211FD"/>
    <w:rsid w:val="69254ADE"/>
    <w:rsid w:val="69316E2F"/>
    <w:rsid w:val="694E2071"/>
    <w:rsid w:val="6972775D"/>
    <w:rsid w:val="69766163"/>
    <w:rsid w:val="697A3B33"/>
    <w:rsid w:val="698F3976"/>
    <w:rsid w:val="69A521C6"/>
    <w:rsid w:val="69B26789"/>
    <w:rsid w:val="69B9113D"/>
    <w:rsid w:val="69D44760"/>
    <w:rsid w:val="6A42015E"/>
    <w:rsid w:val="6A4610AD"/>
    <w:rsid w:val="6A4872C5"/>
    <w:rsid w:val="6A520EC7"/>
    <w:rsid w:val="6A725387"/>
    <w:rsid w:val="6A9E60EE"/>
    <w:rsid w:val="6AA142EB"/>
    <w:rsid w:val="6AB26742"/>
    <w:rsid w:val="6AB75B07"/>
    <w:rsid w:val="6ABF3FDF"/>
    <w:rsid w:val="6ADC6FF1"/>
    <w:rsid w:val="6AEF07E6"/>
    <w:rsid w:val="6AF428B7"/>
    <w:rsid w:val="6AF87E20"/>
    <w:rsid w:val="6B2D41A4"/>
    <w:rsid w:val="6B322639"/>
    <w:rsid w:val="6B383161"/>
    <w:rsid w:val="6B4F2C9C"/>
    <w:rsid w:val="6B53664B"/>
    <w:rsid w:val="6B8B73BA"/>
    <w:rsid w:val="6B9309EE"/>
    <w:rsid w:val="6C123A56"/>
    <w:rsid w:val="6C4E1C14"/>
    <w:rsid w:val="6C636C38"/>
    <w:rsid w:val="6C711666"/>
    <w:rsid w:val="6C955F1B"/>
    <w:rsid w:val="6C9D0D2C"/>
    <w:rsid w:val="6CAF7246"/>
    <w:rsid w:val="6CB1178F"/>
    <w:rsid w:val="6CC66DA7"/>
    <w:rsid w:val="6D0229E9"/>
    <w:rsid w:val="6D2D08FF"/>
    <w:rsid w:val="6D7A283A"/>
    <w:rsid w:val="6D7E0B04"/>
    <w:rsid w:val="6D9640F9"/>
    <w:rsid w:val="6DB07E3C"/>
    <w:rsid w:val="6DB34098"/>
    <w:rsid w:val="6DB545B6"/>
    <w:rsid w:val="6DB85D01"/>
    <w:rsid w:val="6DE02FB4"/>
    <w:rsid w:val="6E1E4B43"/>
    <w:rsid w:val="6E245261"/>
    <w:rsid w:val="6E354190"/>
    <w:rsid w:val="6E4512F4"/>
    <w:rsid w:val="6E514CED"/>
    <w:rsid w:val="6E7F693B"/>
    <w:rsid w:val="6EB563D5"/>
    <w:rsid w:val="6ED92677"/>
    <w:rsid w:val="6EFD1ACE"/>
    <w:rsid w:val="6F225983"/>
    <w:rsid w:val="6F2319BD"/>
    <w:rsid w:val="6F370FC4"/>
    <w:rsid w:val="6F647CC4"/>
    <w:rsid w:val="6F790D74"/>
    <w:rsid w:val="6F8E1A5F"/>
    <w:rsid w:val="6FA348AB"/>
    <w:rsid w:val="6FAB1A78"/>
    <w:rsid w:val="6FB95790"/>
    <w:rsid w:val="6FC355D8"/>
    <w:rsid w:val="6FCC3E02"/>
    <w:rsid w:val="6FCC4B7B"/>
    <w:rsid w:val="6FFB46E7"/>
    <w:rsid w:val="6FFB5CF4"/>
    <w:rsid w:val="6FFC5590"/>
    <w:rsid w:val="70163EFC"/>
    <w:rsid w:val="701D5332"/>
    <w:rsid w:val="704159A1"/>
    <w:rsid w:val="706D1DD0"/>
    <w:rsid w:val="707B1974"/>
    <w:rsid w:val="70856B87"/>
    <w:rsid w:val="70935C32"/>
    <w:rsid w:val="70B823BD"/>
    <w:rsid w:val="70D51B4C"/>
    <w:rsid w:val="70D527EE"/>
    <w:rsid w:val="70F40BA5"/>
    <w:rsid w:val="70FA60A4"/>
    <w:rsid w:val="7104137A"/>
    <w:rsid w:val="710A22F2"/>
    <w:rsid w:val="710B1D51"/>
    <w:rsid w:val="710B2708"/>
    <w:rsid w:val="71230522"/>
    <w:rsid w:val="712A6ECB"/>
    <w:rsid w:val="712D267F"/>
    <w:rsid w:val="715B5300"/>
    <w:rsid w:val="718461A9"/>
    <w:rsid w:val="719E2F7C"/>
    <w:rsid w:val="71A43B94"/>
    <w:rsid w:val="71C33E3D"/>
    <w:rsid w:val="71D27F8A"/>
    <w:rsid w:val="71DE586A"/>
    <w:rsid w:val="71F55CE2"/>
    <w:rsid w:val="721D2ED4"/>
    <w:rsid w:val="723A2BE4"/>
    <w:rsid w:val="72553024"/>
    <w:rsid w:val="727F32ED"/>
    <w:rsid w:val="727F4528"/>
    <w:rsid w:val="72A24229"/>
    <w:rsid w:val="72AC1C14"/>
    <w:rsid w:val="73122968"/>
    <w:rsid w:val="731F5D5E"/>
    <w:rsid w:val="73241605"/>
    <w:rsid w:val="732D45C5"/>
    <w:rsid w:val="73585F43"/>
    <w:rsid w:val="735D2FC3"/>
    <w:rsid w:val="736E1A69"/>
    <w:rsid w:val="73700CE6"/>
    <w:rsid w:val="737A3B75"/>
    <w:rsid w:val="737A6252"/>
    <w:rsid w:val="73B726D3"/>
    <w:rsid w:val="73C51AD5"/>
    <w:rsid w:val="73F605B4"/>
    <w:rsid w:val="741E793C"/>
    <w:rsid w:val="7441264E"/>
    <w:rsid w:val="744203E7"/>
    <w:rsid w:val="74422D39"/>
    <w:rsid w:val="74511257"/>
    <w:rsid w:val="74515C89"/>
    <w:rsid w:val="745E3944"/>
    <w:rsid w:val="7488418D"/>
    <w:rsid w:val="74962308"/>
    <w:rsid w:val="74984DDB"/>
    <w:rsid w:val="74A20CF7"/>
    <w:rsid w:val="74E97204"/>
    <w:rsid w:val="74ED5564"/>
    <w:rsid w:val="74FA18CA"/>
    <w:rsid w:val="750F3EAE"/>
    <w:rsid w:val="75126F9D"/>
    <w:rsid w:val="751F2B08"/>
    <w:rsid w:val="75214236"/>
    <w:rsid w:val="754C0F00"/>
    <w:rsid w:val="7588248A"/>
    <w:rsid w:val="75996BFD"/>
    <w:rsid w:val="75AC017D"/>
    <w:rsid w:val="75B207C7"/>
    <w:rsid w:val="75B634FA"/>
    <w:rsid w:val="75C6205C"/>
    <w:rsid w:val="76124539"/>
    <w:rsid w:val="76211BC2"/>
    <w:rsid w:val="7635099D"/>
    <w:rsid w:val="7642022F"/>
    <w:rsid w:val="767D5E56"/>
    <w:rsid w:val="76AC5E1B"/>
    <w:rsid w:val="770929AF"/>
    <w:rsid w:val="77762421"/>
    <w:rsid w:val="77892159"/>
    <w:rsid w:val="77974E04"/>
    <w:rsid w:val="77A912C2"/>
    <w:rsid w:val="77B56B1F"/>
    <w:rsid w:val="77C3219F"/>
    <w:rsid w:val="77F7728A"/>
    <w:rsid w:val="78081EAE"/>
    <w:rsid w:val="780F09F4"/>
    <w:rsid w:val="78204235"/>
    <w:rsid w:val="78247429"/>
    <w:rsid w:val="7840321F"/>
    <w:rsid w:val="784E2738"/>
    <w:rsid w:val="78622C7A"/>
    <w:rsid w:val="786477EF"/>
    <w:rsid w:val="787E038A"/>
    <w:rsid w:val="789A565F"/>
    <w:rsid w:val="78A90480"/>
    <w:rsid w:val="78D41F79"/>
    <w:rsid w:val="79004B1D"/>
    <w:rsid w:val="79026D11"/>
    <w:rsid w:val="790E4CE6"/>
    <w:rsid w:val="792732D5"/>
    <w:rsid w:val="792B4FCC"/>
    <w:rsid w:val="792C2E56"/>
    <w:rsid w:val="793D7B1F"/>
    <w:rsid w:val="7963449A"/>
    <w:rsid w:val="796A39BE"/>
    <w:rsid w:val="79D33602"/>
    <w:rsid w:val="79E17062"/>
    <w:rsid w:val="79E819EE"/>
    <w:rsid w:val="79FE05B4"/>
    <w:rsid w:val="7A1F1A14"/>
    <w:rsid w:val="7A364017"/>
    <w:rsid w:val="7A4647B1"/>
    <w:rsid w:val="7A503531"/>
    <w:rsid w:val="7A700B71"/>
    <w:rsid w:val="7A8265E1"/>
    <w:rsid w:val="7A847087"/>
    <w:rsid w:val="7AC83418"/>
    <w:rsid w:val="7AD65B35"/>
    <w:rsid w:val="7AFC73E3"/>
    <w:rsid w:val="7B2A3996"/>
    <w:rsid w:val="7B686D42"/>
    <w:rsid w:val="7B6C10E4"/>
    <w:rsid w:val="7B841746"/>
    <w:rsid w:val="7B8855DB"/>
    <w:rsid w:val="7BE1477E"/>
    <w:rsid w:val="7BE52EDC"/>
    <w:rsid w:val="7BEE19FB"/>
    <w:rsid w:val="7C24216C"/>
    <w:rsid w:val="7C2F7ACB"/>
    <w:rsid w:val="7C350E6E"/>
    <w:rsid w:val="7C6C5AC7"/>
    <w:rsid w:val="7C921F30"/>
    <w:rsid w:val="7CA062F5"/>
    <w:rsid w:val="7CAA0879"/>
    <w:rsid w:val="7CC6544B"/>
    <w:rsid w:val="7D0239FF"/>
    <w:rsid w:val="7D183BF8"/>
    <w:rsid w:val="7D5C2C5F"/>
    <w:rsid w:val="7D5E40CD"/>
    <w:rsid w:val="7D6A725E"/>
    <w:rsid w:val="7D8F20E5"/>
    <w:rsid w:val="7D9B31EB"/>
    <w:rsid w:val="7DA22646"/>
    <w:rsid w:val="7DA77142"/>
    <w:rsid w:val="7DB00D17"/>
    <w:rsid w:val="7DCD56F2"/>
    <w:rsid w:val="7DD11664"/>
    <w:rsid w:val="7DD25A2A"/>
    <w:rsid w:val="7DDA1DE0"/>
    <w:rsid w:val="7DFF5D04"/>
    <w:rsid w:val="7E141C0C"/>
    <w:rsid w:val="7E404E47"/>
    <w:rsid w:val="7E422B23"/>
    <w:rsid w:val="7E504A42"/>
    <w:rsid w:val="7E5F5E41"/>
    <w:rsid w:val="7E7C69F3"/>
    <w:rsid w:val="7E8347C4"/>
    <w:rsid w:val="7E975C2B"/>
    <w:rsid w:val="7E9B18AD"/>
    <w:rsid w:val="7EA30424"/>
    <w:rsid w:val="7EBC1009"/>
    <w:rsid w:val="7F001CE7"/>
    <w:rsid w:val="7F2F7F0A"/>
    <w:rsid w:val="7F541B33"/>
    <w:rsid w:val="7F7807FE"/>
    <w:rsid w:val="7FA351B4"/>
    <w:rsid w:val="7FA917F3"/>
    <w:rsid w:val="7FCB138E"/>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9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ocked="1"/>
    <w:lsdException w:qFormat="1"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line="360" w:lineRule="auto"/>
      <w:ind w:left="431" w:hanging="431"/>
      <w:jc w:val="center"/>
      <w:outlineLvl w:val="0"/>
    </w:pPr>
    <w:rPr>
      <w:b/>
      <w:bCs/>
      <w:color w:val="000000"/>
      <w:kern w:val="44"/>
      <w:sz w:val="30"/>
      <w:szCs w:val="30"/>
    </w:rPr>
  </w:style>
  <w:style w:type="paragraph" w:styleId="3">
    <w:name w:val="heading 2"/>
    <w:basedOn w:val="1"/>
    <w:next w:val="1"/>
    <w:qFormat/>
    <w:locked/>
    <w:uiPriority w:val="0"/>
    <w:pPr>
      <w:keepNext/>
      <w:keepLines/>
      <w:spacing w:before="120" w:line="300" w:lineRule="auto"/>
      <w:jc w:val="left"/>
      <w:outlineLvl w:val="1"/>
    </w:pPr>
    <w:rPr>
      <w:b/>
      <w:sz w:val="24"/>
    </w:rPr>
  </w:style>
  <w:style w:type="paragraph" w:styleId="4">
    <w:name w:val="heading 3"/>
    <w:basedOn w:val="1"/>
    <w:next w:val="1"/>
    <w:unhideWhenUsed/>
    <w:qFormat/>
    <w:locked/>
    <w:uiPriority w:val="0"/>
    <w:pPr>
      <w:keepNext/>
      <w:keepLines/>
      <w:spacing w:before="260" w:after="260" w:line="413" w:lineRule="auto"/>
      <w:outlineLvl w:val="2"/>
    </w:pPr>
    <w:rPr>
      <w:b/>
      <w:sz w:val="32"/>
    </w:rPr>
  </w:style>
  <w:style w:type="paragraph" w:styleId="5">
    <w:name w:val="heading 4"/>
    <w:basedOn w:val="1"/>
    <w:next w:val="1"/>
    <w:qFormat/>
    <w:locked/>
    <w:uiPriority w:val="99"/>
    <w:pPr>
      <w:spacing w:before="234"/>
      <w:ind w:left="744" w:right="204"/>
      <w:jc w:val="center"/>
      <w:outlineLvl w:val="3"/>
    </w:pPr>
    <w:rPr>
      <w:rFonts w:ascii="宋体" w:hAnsi="宋体" w:cs="宋体"/>
      <w:sz w:val="30"/>
      <w:szCs w:val="30"/>
      <w:lang w:val="zh-CN" w:bidi="zh-CN"/>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6">
    <w:name w:val="Note Heading"/>
    <w:basedOn w:val="1"/>
    <w:next w:val="1"/>
    <w:qFormat/>
    <w:locked/>
    <w:uiPriority w:val="0"/>
    <w:pPr>
      <w:jc w:val="center"/>
    </w:pPr>
  </w:style>
  <w:style w:type="paragraph" w:styleId="7">
    <w:name w:val="Normal Indent"/>
    <w:basedOn w:val="1"/>
    <w:next w:val="1"/>
    <w:unhideWhenUsed/>
    <w:qFormat/>
    <w:locked/>
    <w:uiPriority w:val="0"/>
    <w:pPr>
      <w:widowControl/>
      <w:adjustRightInd w:val="0"/>
      <w:snapToGrid w:val="0"/>
      <w:spacing w:after="200"/>
      <w:ind w:firstLine="420" w:firstLineChars="200"/>
      <w:jc w:val="left"/>
    </w:pPr>
    <w:rPr>
      <w:rFonts w:ascii="Tahoma" w:hAnsi="Tahoma" w:eastAsia="微软雅黑"/>
      <w:kern w:val="0"/>
      <w:sz w:val="22"/>
    </w:rPr>
  </w:style>
  <w:style w:type="paragraph" w:styleId="8">
    <w:name w:val="caption"/>
    <w:basedOn w:val="1"/>
    <w:next w:val="1"/>
    <w:qFormat/>
    <w:locked/>
    <w:uiPriority w:val="0"/>
    <w:pPr>
      <w:widowControl/>
      <w:jc w:val="center"/>
    </w:pPr>
    <w:rPr>
      <w:szCs w:val="21"/>
    </w:rPr>
  </w:style>
  <w:style w:type="paragraph" w:styleId="9">
    <w:name w:val="annotation text"/>
    <w:basedOn w:val="1"/>
    <w:link w:val="58"/>
    <w:semiHidden/>
    <w:qFormat/>
    <w:uiPriority w:val="0"/>
    <w:pPr>
      <w:jc w:val="left"/>
    </w:pPr>
    <w:rPr>
      <w:kern w:val="0"/>
      <w:sz w:val="24"/>
      <w:szCs w:val="20"/>
    </w:rPr>
  </w:style>
  <w:style w:type="paragraph" w:styleId="10">
    <w:name w:val="Body Text"/>
    <w:basedOn w:val="1"/>
    <w:link w:val="50"/>
    <w:qFormat/>
    <w:uiPriority w:val="0"/>
    <w:pPr>
      <w:widowControl/>
      <w:snapToGrid w:val="0"/>
      <w:spacing w:before="60" w:after="160" w:line="259" w:lineRule="auto"/>
      <w:ind w:right="113"/>
    </w:pPr>
    <w:rPr>
      <w:kern w:val="0"/>
      <w:sz w:val="18"/>
      <w:szCs w:val="20"/>
    </w:rPr>
  </w:style>
  <w:style w:type="paragraph" w:styleId="11">
    <w:name w:val="Body Text Indent"/>
    <w:basedOn w:val="1"/>
    <w:next w:val="7"/>
    <w:link w:val="47"/>
    <w:qFormat/>
    <w:uiPriority w:val="0"/>
    <w:pPr>
      <w:spacing w:after="120"/>
      <w:ind w:left="420" w:leftChars="200"/>
    </w:pPr>
    <w:rPr>
      <w:kern w:val="0"/>
      <w:sz w:val="24"/>
      <w:szCs w:val="20"/>
    </w:rPr>
  </w:style>
  <w:style w:type="paragraph" w:styleId="12">
    <w:name w:val="Block Text"/>
    <w:basedOn w:val="1"/>
    <w:qFormat/>
    <w:locked/>
    <w:uiPriority w:val="0"/>
    <w:pPr>
      <w:spacing w:line="360" w:lineRule="auto"/>
      <w:ind w:left="113" w:leftChars="54" w:right="-29" w:rightChars="-14" w:firstLine="480" w:firstLineChars="200"/>
    </w:pPr>
    <w:rPr>
      <w:sz w:val="24"/>
    </w:rPr>
  </w:style>
  <w:style w:type="paragraph" w:styleId="13">
    <w:name w:val="toc 3"/>
    <w:basedOn w:val="1"/>
    <w:next w:val="1"/>
    <w:qFormat/>
    <w:locked/>
    <w:uiPriority w:val="99"/>
    <w:pPr>
      <w:ind w:left="420"/>
      <w:jc w:val="left"/>
    </w:pPr>
    <w:rPr>
      <w:i/>
      <w:iCs/>
      <w:sz w:val="20"/>
      <w:szCs w:val="20"/>
    </w:rPr>
  </w:style>
  <w:style w:type="paragraph" w:styleId="14">
    <w:name w:val="Plain Text"/>
    <w:basedOn w:val="1"/>
    <w:qFormat/>
    <w:locked/>
    <w:uiPriority w:val="0"/>
    <w:rPr>
      <w:rFonts w:ascii="宋体" w:hAnsi="Courier New" w:cs="Courier New"/>
      <w:szCs w:val="21"/>
    </w:rPr>
  </w:style>
  <w:style w:type="paragraph" w:styleId="15">
    <w:name w:val="List Bullet 5"/>
    <w:basedOn w:val="1"/>
    <w:qFormat/>
    <w:locked/>
    <w:uiPriority w:val="0"/>
    <w:pPr>
      <w:numPr>
        <w:ilvl w:val="0"/>
        <w:numId w:val="1"/>
      </w:numPr>
    </w:pPr>
  </w:style>
  <w:style w:type="paragraph" w:styleId="16">
    <w:name w:val="Date"/>
    <w:basedOn w:val="1"/>
    <w:next w:val="1"/>
    <w:link w:val="51"/>
    <w:qFormat/>
    <w:uiPriority w:val="0"/>
    <w:pPr>
      <w:ind w:left="100" w:leftChars="2500"/>
    </w:pPr>
    <w:rPr>
      <w:kern w:val="0"/>
      <w:sz w:val="24"/>
      <w:szCs w:val="20"/>
    </w:rPr>
  </w:style>
  <w:style w:type="paragraph" w:styleId="17">
    <w:name w:val="Body Text Indent 2"/>
    <w:basedOn w:val="1"/>
    <w:next w:val="18"/>
    <w:qFormat/>
    <w:locked/>
    <w:uiPriority w:val="0"/>
    <w:pPr>
      <w:spacing w:after="120" w:line="480" w:lineRule="auto"/>
      <w:ind w:left="420" w:leftChars="200"/>
    </w:pPr>
  </w:style>
  <w:style w:type="paragraph" w:styleId="18">
    <w:name w:val="Body Text First Indent"/>
    <w:basedOn w:val="10"/>
    <w:qFormat/>
    <w:locked/>
    <w:uiPriority w:val="0"/>
    <w:pPr>
      <w:spacing w:after="120"/>
      <w:ind w:firstLine="420" w:firstLineChars="100"/>
    </w:pPr>
    <w:rPr>
      <w:sz w:val="21"/>
      <w:szCs w:val="24"/>
    </w:rPr>
  </w:style>
  <w:style w:type="paragraph" w:styleId="19">
    <w:name w:val="Balloon Text"/>
    <w:basedOn w:val="1"/>
    <w:link w:val="52"/>
    <w:semiHidden/>
    <w:qFormat/>
    <w:uiPriority w:val="0"/>
    <w:rPr>
      <w:kern w:val="0"/>
      <w:sz w:val="18"/>
      <w:szCs w:val="20"/>
    </w:rPr>
  </w:style>
  <w:style w:type="paragraph" w:styleId="20">
    <w:name w:val="footer"/>
    <w:basedOn w:val="1"/>
    <w:next w:val="1"/>
    <w:link w:val="59"/>
    <w:qFormat/>
    <w:uiPriority w:val="99"/>
    <w:pPr>
      <w:snapToGrid w:val="0"/>
      <w:jc w:val="left"/>
    </w:pPr>
    <w:rPr>
      <w:rFonts w:eastAsia="微软雅黑"/>
      <w:kern w:val="0"/>
      <w:sz w:val="18"/>
      <w:szCs w:val="18"/>
    </w:rPr>
  </w:style>
  <w:style w:type="paragraph" w:styleId="21">
    <w:name w:val="header"/>
    <w:basedOn w:val="1"/>
    <w:next w:val="22"/>
    <w:link w:val="48"/>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2">
    <w:name w:val="样式5"/>
    <w:basedOn w:val="7"/>
    <w:qFormat/>
    <w:uiPriority w:val="0"/>
    <w:pPr>
      <w:spacing w:line="360" w:lineRule="auto"/>
      <w:textAlignment w:val="baseline"/>
    </w:pPr>
    <w:rPr>
      <w:sz w:val="24"/>
    </w:rPr>
  </w:style>
  <w:style w:type="paragraph" w:styleId="23">
    <w:name w:val="toc 1"/>
    <w:basedOn w:val="1"/>
    <w:next w:val="1"/>
    <w:qFormat/>
    <w:locked/>
    <w:uiPriority w:val="0"/>
  </w:style>
  <w:style w:type="paragraph" w:styleId="24">
    <w:name w:val="List"/>
    <w:basedOn w:val="1"/>
    <w:next w:val="1"/>
    <w:qFormat/>
    <w:locked/>
    <w:uiPriority w:val="99"/>
    <w:pPr>
      <w:jc w:val="center"/>
    </w:pPr>
    <w:rPr>
      <w:szCs w:val="21"/>
    </w:rPr>
  </w:style>
  <w:style w:type="paragraph" w:styleId="25">
    <w:name w:val="footnote text"/>
    <w:basedOn w:val="1"/>
    <w:qFormat/>
    <w:locked/>
    <w:uiPriority w:val="0"/>
    <w:pPr>
      <w:snapToGrid w:val="0"/>
      <w:jc w:val="left"/>
    </w:pPr>
    <w:rPr>
      <w:rFonts w:ascii="Calibri" w:hAnsi="Calibri"/>
      <w:sz w:val="18"/>
      <w:szCs w:val="18"/>
    </w:rPr>
  </w:style>
  <w:style w:type="paragraph" w:styleId="26">
    <w:name w:val="Body Text Indent 3"/>
    <w:basedOn w:val="1"/>
    <w:qFormat/>
    <w:locked/>
    <w:uiPriority w:val="0"/>
    <w:pPr>
      <w:ind w:firstLine="560" w:firstLineChars="200"/>
    </w:pPr>
    <w:rPr>
      <w:rFonts w:ascii="宋体" w:hAnsi="宋体"/>
      <w:sz w:val="28"/>
    </w:rPr>
  </w:style>
  <w:style w:type="paragraph" w:styleId="27">
    <w:name w:val="toc 2"/>
    <w:basedOn w:val="1"/>
    <w:next w:val="1"/>
    <w:qFormat/>
    <w:locked/>
    <w:uiPriority w:val="0"/>
    <w:pPr>
      <w:ind w:left="420" w:leftChars="200"/>
    </w:pPr>
  </w:style>
  <w:style w:type="paragraph" w:styleId="28">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29">
    <w:name w:val="Normal (Web)"/>
    <w:basedOn w:val="1"/>
    <w:link w:val="54"/>
    <w:qFormat/>
    <w:uiPriority w:val="0"/>
    <w:pPr>
      <w:widowControl/>
      <w:spacing w:before="100" w:beforeAutospacing="1" w:after="100" w:afterAutospacing="1"/>
      <w:jc w:val="center"/>
    </w:pPr>
    <w:rPr>
      <w:kern w:val="0"/>
      <w:sz w:val="30"/>
      <w:szCs w:val="20"/>
    </w:rPr>
  </w:style>
  <w:style w:type="paragraph" w:styleId="30">
    <w:name w:val="annotation subject"/>
    <w:basedOn w:val="9"/>
    <w:next w:val="9"/>
    <w:link w:val="55"/>
    <w:semiHidden/>
    <w:qFormat/>
    <w:uiPriority w:val="0"/>
    <w:rPr>
      <w:b/>
    </w:rPr>
  </w:style>
  <w:style w:type="paragraph" w:styleId="31">
    <w:name w:val="Body Text First Indent 2"/>
    <w:basedOn w:val="11"/>
    <w:next w:val="1"/>
    <w:qFormat/>
    <w:locked/>
    <w:uiPriority w:val="0"/>
    <w:pPr>
      <w:ind w:firstLine="420"/>
    </w:pPr>
    <w:rPr>
      <w:sz w:val="21"/>
    </w:rPr>
  </w:style>
  <w:style w:type="table" w:styleId="33">
    <w:name w:val="Table Grid"/>
    <w:basedOn w:val="3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locked/>
    <w:uiPriority w:val="0"/>
    <w:rPr>
      <w:b/>
    </w:rPr>
  </w:style>
  <w:style w:type="character" w:styleId="36">
    <w:name w:val="page number"/>
    <w:basedOn w:val="34"/>
    <w:qFormat/>
    <w:locked/>
    <w:uiPriority w:val="0"/>
  </w:style>
  <w:style w:type="character" w:styleId="37">
    <w:name w:val="Emphasis"/>
    <w:qFormat/>
    <w:locked/>
    <w:uiPriority w:val="0"/>
    <w:rPr>
      <w:i/>
    </w:rPr>
  </w:style>
  <w:style w:type="character" w:styleId="38">
    <w:name w:val="Hyperlink"/>
    <w:qFormat/>
    <w:locked/>
    <w:uiPriority w:val="0"/>
    <w:rPr>
      <w:color w:val="0000FF"/>
      <w:u w:val="single"/>
    </w:rPr>
  </w:style>
  <w:style w:type="character" w:styleId="39">
    <w:name w:val="annotation reference"/>
    <w:basedOn w:val="34"/>
    <w:semiHidden/>
    <w:qFormat/>
    <w:uiPriority w:val="0"/>
    <w:rPr>
      <w:sz w:val="21"/>
    </w:rPr>
  </w:style>
  <w:style w:type="paragraph" w:customStyle="1" w:styleId="40">
    <w:name w:val="Table Paragraph"/>
    <w:basedOn w:val="1"/>
    <w:unhideWhenUsed/>
    <w:qFormat/>
    <w:uiPriority w:val="1"/>
  </w:style>
  <w:style w:type="paragraph" w:customStyle="1" w:styleId="41">
    <w:name w:val="0正文"/>
    <w:basedOn w:val="11"/>
    <w:next w:val="1"/>
    <w:qFormat/>
    <w:uiPriority w:val="0"/>
    <w:pPr>
      <w:spacing w:line="360" w:lineRule="auto"/>
      <w:ind w:firstLine="720" w:firstLineChars="200"/>
    </w:pPr>
    <w:rPr>
      <w:rFonts w:ascii="等线" w:hAnsi="等线" w:eastAsia="等线"/>
      <w:szCs w:val="22"/>
    </w:rPr>
  </w:style>
  <w:style w:type="paragraph" w:customStyle="1" w:styleId="42">
    <w:name w:val="样式 标题 1一级标题 + 段前: 0.5 行 段后: 0.5 行"/>
    <w:basedOn w:val="2"/>
    <w:qFormat/>
    <w:uiPriority w:val="99"/>
    <w:pPr>
      <w:spacing w:line="320" w:lineRule="exact"/>
      <w:outlineLvl w:val="9"/>
    </w:pPr>
    <w:rPr>
      <w:spacing w:val="-6"/>
      <w:sz w:val="21"/>
      <w:szCs w:val="21"/>
    </w:rPr>
  </w:style>
  <w:style w:type="paragraph" w:customStyle="1" w:styleId="43">
    <w:name w:val="Default2"/>
    <w:qFormat/>
    <w:uiPriority w:val="0"/>
    <w:pPr>
      <w:widowControl w:val="0"/>
      <w:autoSpaceDE w:val="0"/>
      <w:autoSpaceDN w:val="0"/>
      <w:adjustRightInd w:val="0"/>
    </w:pPr>
    <w:rPr>
      <w:rFonts w:ascii="宋体" w:hAnsi="Calibri" w:eastAsia="宋体" w:cs="Times New Roman"/>
      <w:color w:val="000000"/>
      <w:sz w:val="24"/>
      <w:szCs w:val="24"/>
      <w:lang w:val="en-US" w:eastAsia="zh-CN" w:bidi="ar-SA"/>
    </w:rPr>
  </w:style>
  <w:style w:type="paragraph" w:customStyle="1" w:styleId="44">
    <w:name w:val="表头"/>
    <w:basedOn w:val="45"/>
    <w:qFormat/>
    <w:uiPriority w:val="2"/>
    <w:pPr>
      <w:spacing w:line="500" w:lineRule="exact"/>
    </w:pPr>
    <w:rPr>
      <w:b/>
      <w:bCs/>
    </w:rPr>
  </w:style>
  <w:style w:type="paragraph" w:customStyle="1" w:styleId="45">
    <w:name w:val="表格内容"/>
    <w:basedOn w:val="7"/>
    <w:next w:val="1"/>
    <w:qFormat/>
    <w:uiPriority w:val="0"/>
    <w:pPr>
      <w:jc w:val="center"/>
    </w:pPr>
    <w:rPr>
      <w:rFonts w:ascii="Times New Roman" w:hAnsi="Times New Roman" w:eastAsia="Times New Roman"/>
      <w:kern w:val="2"/>
      <w:sz w:val="21"/>
      <w:szCs w:val="21"/>
    </w:rPr>
  </w:style>
  <w:style w:type="paragraph" w:customStyle="1" w:styleId="46">
    <w:name w:val="_Style 4"/>
    <w:qFormat/>
    <w:uiPriority w:val="1"/>
    <w:pPr>
      <w:widowControl w:val="0"/>
      <w:jc w:val="both"/>
    </w:pPr>
    <w:rPr>
      <w:rFonts w:ascii="Calibri" w:hAnsi="Calibri" w:eastAsia="仿宋_GB2312" w:cs="Times New Roman"/>
      <w:kern w:val="2"/>
      <w:sz w:val="24"/>
      <w:szCs w:val="22"/>
      <w:lang w:val="en-US" w:eastAsia="zh-CN" w:bidi="ar-SA"/>
    </w:rPr>
  </w:style>
  <w:style w:type="character" w:customStyle="1" w:styleId="47">
    <w:name w:val="正文文本缩进 字符"/>
    <w:link w:val="11"/>
    <w:semiHidden/>
    <w:qFormat/>
    <w:locked/>
    <w:uiPriority w:val="0"/>
    <w:rPr>
      <w:rFonts w:ascii="Times New Roman" w:hAnsi="Times New Roman" w:eastAsia="宋体"/>
      <w:sz w:val="24"/>
    </w:rPr>
  </w:style>
  <w:style w:type="character" w:customStyle="1" w:styleId="48">
    <w:name w:val="页眉 字符"/>
    <w:link w:val="21"/>
    <w:qFormat/>
    <w:locked/>
    <w:uiPriority w:val="0"/>
    <w:rPr>
      <w:sz w:val="18"/>
    </w:rPr>
  </w:style>
  <w:style w:type="character" w:customStyle="1" w:styleId="49">
    <w:name w:val="批注文字 字符"/>
    <w:qFormat/>
    <w:locked/>
    <w:uiPriority w:val="0"/>
    <w:rPr>
      <w:rFonts w:ascii="Times New Roman" w:hAnsi="Times New Roman" w:eastAsia="宋体"/>
      <w:sz w:val="24"/>
    </w:rPr>
  </w:style>
  <w:style w:type="character" w:customStyle="1" w:styleId="50">
    <w:name w:val="正文文本 字符"/>
    <w:link w:val="10"/>
    <w:qFormat/>
    <w:locked/>
    <w:uiPriority w:val="0"/>
    <w:rPr>
      <w:sz w:val="18"/>
    </w:rPr>
  </w:style>
  <w:style w:type="character" w:customStyle="1" w:styleId="51">
    <w:name w:val="日期 字符1"/>
    <w:link w:val="16"/>
    <w:qFormat/>
    <w:locked/>
    <w:uiPriority w:val="0"/>
    <w:rPr>
      <w:rFonts w:ascii="Times New Roman" w:hAnsi="Times New Roman" w:eastAsia="宋体"/>
      <w:sz w:val="24"/>
    </w:rPr>
  </w:style>
  <w:style w:type="character" w:customStyle="1" w:styleId="52">
    <w:name w:val="批注框文本 字符"/>
    <w:link w:val="19"/>
    <w:semiHidden/>
    <w:qFormat/>
    <w:locked/>
    <w:uiPriority w:val="0"/>
    <w:rPr>
      <w:rFonts w:ascii="Times New Roman" w:hAnsi="Times New Roman" w:eastAsia="宋体"/>
      <w:sz w:val="18"/>
    </w:rPr>
  </w:style>
  <w:style w:type="character" w:customStyle="1" w:styleId="53">
    <w:name w:val="页脚 字符1"/>
    <w:qFormat/>
    <w:locked/>
    <w:uiPriority w:val="99"/>
    <w:rPr>
      <w:sz w:val="18"/>
    </w:rPr>
  </w:style>
  <w:style w:type="character" w:customStyle="1" w:styleId="54">
    <w:name w:val="普通(网站) 字符"/>
    <w:link w:val="29"/>
    <w:qFormat/>
    <w:locked/>
    <w:uiPriority w:val="0"/>
    <w:rPr>
      <w:rFonts w:ascii="Times New Roman" w:hAnsi="Times New Roman" w:eastAsia="宋体"/>
      <w:sz w:val="30"/>
    </w:rPr>
  </w:style>
  <w:style w:type="character" w:customStyle="1" w:styleId="55">
    <w:name w:val="批注主题 字符"/>
    <w:link w:val="30"/>
    <w:semiHidden/>
    <w:qFormat/>
    <w:locked/>
    <w:uiPriority w:val="0"/>
    <w:rPr>
      <w:rFonts w:ascii="Times New Roman" w:hAnsi="Times New Roman" w:eastAsia="宋体"/>
      <w:b/>
      <w:kern w:val="2"/>
      <w:sz w:val="24"/>
    </w:rPr>
  </w:style>
  <w:style w:type="paragraph" w:customStyle="1" w:styleId="56">
    <w:name w:val="Default"/>
    <w:basedOn w:val="57"/>
    <w:next w:val="13"/>
    <w:unhideWhenUsed/>
    <w:qFormat/>
    <w:uiPriority w:val="0"/>
    <w:rPr>
      <w:rFonts w:hint="eastAsia" w:hAnsi="宋体"/>
      <w:color w:val="000000"/>
      <w:sz w:val="24"/>
    </w:rPr>
  </w:style>
  <w:style w:type="paragraph" w:customStyle="1" w:styleId="57">
    <w:name w:val="纯文本1"/>
    <w:basedOn w:val="1"/>
    <w:qFormat/>
    <w:uiPriority w:val="99"/>
    <w:pPr>
      <w:autoSpaceDE w:val="0"/>
      <w:autoSpaceDN w:val="0"/>
      <w:adjustRightInd w:val="0"/>
      <w:textAlignment w:val="baseline"/>
    </w:pPr>
    <w:rPr>
      <w:rFonts w:ascii="宋体"/>
      <w:szCs w:val="20"/>
    </w:rPr>
  </w:style>
  <w:style w:type="character" w:customStyle="1" w:styleId="58">
    <w:name w:val="批注文字 字符2"/>
    <w:basedOn w:val="34"/>
    <w:link w:val="9"/>
    <w:qFormat/>
    <w:uiPriority w:val="0"/>
    <w:rPr>
      <w:rFonts w:hint="default" w:ascii="Calibri" w:hAnsi="Calibri" w:eastAsia="宋体" w:cs="Calibri"/>
      <w:kern w:val="2"/>
      <w:sz w:val="24"/>
      <w:szCs w:val="24"/>
    </w:rPr>
  </w:style>
  <w:style w:type="character" w:customStyle="1" w:styleId="59">
    <w:name w:val="页脚 字符2"/>
    <w:basedOn w:val="34"/>
    <w:link w:val="20"/>
    <w:qFormat/>
    <w:uiPriority w:val="0"/>
    <w:rPr>
      <w:rFonts w:hint="eastAsia" w:ascii="微软雅黑" w:hAnsi="微软雅黑" w:eastAsia="微软雅黑" w:cs="微软雅黑"/>
      <w:sz w:val="18"/>
      <w:szCs w:val="18"/>
    </w:rPr>
  </w:style>
  <w:style w:type="paragraph" w:customStyle="1" w:styleId="60">
    <w:name w:val="样式 正文文本 + 首行缩进:  2 字符"/>
    <w:basedOn w:val="10"/>
    <w:qFormat/>
    <w:uiPriority w:val="99"/>
    <w:pPr>
      <w:spacing w:after="200" w:line="480" w:lineRule="exact"/>
      <w:ind w:firstLine="480" w:firstLineChars="200"/>
    </w:pPr>
    <w:rPr>
      <w:rFonts w:ascii="宋体" w:hAnsi="宋体"/>
      <w:sz w:val="24"/>
    </w:rPr>
  </w:style>
  <w:style w:type="paragraph" w:customStyle="1" w:styleId="61">
    <w:name w:val="批注文字1"/>
    <w:qFormat/>
    <w:uiPriority w:val="0"/>
    <w:pPr>
      <w:widowControl w:val="0"/>
    </w:pPr>
    <w:rPr>
      <w:rFonts w:ascii="Calibri" w:hAnsi="Calibri" w:eastAsia="宋体" w:cs="Times New Roman"/>
      <w:color w:val="000000"/>
      <w:kern w:val="2"/>
      <w:sz w:val="21"/>
      <w:szCs w:val="24"/>
      <w:lang w:val="en-US" w:eastAsia="zh-CN" w:bidi="ar-SA"/>
    </w:rPr>
  </w:style>
  <w:style w:type="character" w:customStyle="1" w:styleId="62">
    <w:name w:val="页脚 字符"/>
    <w:qFormat/>
    <w:uiPriority w:val="99"/>
  </w:style>
  <w:style w:type="character" w:customStyle="1" w:styleId="63">
    <w:name w:val="批注文字 字符1"/>
    <w:semiHidden/>
    <w:qFormat/>
    <w:uiPriority w:val="0"/>
    <w:rPr>
      <w:rFonts w:ascii="Times New Roman" w:hAnsi="Times New Roman" w:eastAsia="宋体"/>
      <w:sz w:val="24"/>
    </w:rPr>
  </w:style>
  <w:style w:type="character" w:customStyle="1" w:styleId="64">
    <w:name w:val="日期 字符"/>
    <w:semiHidden/>
    <w:qFormat/>
    <w:uiPriority w:val="0"/>
    <w:rPr>
      <w:rFonts w:ascii="Times New Roman" w:hAnsi="Times New Roman" w:eastAsia="宋体"/>
      <w:sz w:val="24"/>
    </w:rPr>
  </w:style>
  <w:style w:type="character" w:customStyle="1" w:styleId="65">
    <w:name w:val="正文文本 字符1"/>
    <w:semiHidden/>
    <w:qFormat/>
    <w:uiPriority w:val="0"/>
    <w:rPr>
      <w:rFonts w:ascii="Times New Roman" w:hAnsi="Times New Roman" w:eastAsia="宋体"/>
      <w:sz w:val="24"/>
    </w:rPr>
  </w:style>
  <w:style w:type="character" w:customStyle="1" w:styleId="66">
    <w:name w:val="表格 Char"/>
    <w:link w:val="67"/>
    <w:qFormat/>
    <w:locked/>
    <w:uiPriority w:val="0"/>
    <w:rPr>
      <w:rFonts w:ascii="宋体"/>
      <w:sz w:val="21"/>
    </w:rPr>
  </w:style>
  <w:style w:type="paragraph" w:customStyle="1" w:styleId="67">
    <w:name w:val="表格"/>
    <w:basedOn w:val="24"/>
    <w:next w:val="1"/>
    <w:link w:val="66"/>
    <w:qFormat/>
    <w:uiPriority w:val="0"/>
    <w:pPr>
      <w:adjustRightInd w:val="0"/>
      <w:snapToGrid w:val="0"/>
      <w:spacing w:beforeLines="10" w:afterLines="10" w:line="259" w:lineRule="auto"/>
    </w:pPr>
    <w:rPr>
      <w:rFonts w:ascii="宋体"/>
      <w:kern w:val="0"/>
      <w:szCs w:val="20"/>
    </w:rPr>
  </w:style>
  <w:style w:type="paragraph" w:customStyle="1" w:styleId="68">
    <w:name w:val="报告正文"/>
    <w:basedOn w:val="1"/>
    <w:next w:val="1"/>
    <w:qFormat/>
    <w:uiPriority w:val="0"/>
    <w:pPr>
      <w:spacing w:after="93" w:line="360" w:lineRule="auto"/>
      <w:ind w:firstLine="482"/>
    </w:pPr>
    <w:rPr>
      <w:rFonts w:ascii="等线" w:hAnsi="等线"/>
      <w:sz w:val="24"/>
    </w:rPr>
  </w:style>
  <w:style w:type="paragraph" w:customStyle="1" w:styleId="6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0">
    <w:name w:val="样式 小四 黑色 行距: 固定值 25 磅1"/>
    <w:basedOn w:val="1"/>
    <w:qFormat/>
    <w:uiPriority w:val="0"/>
    <w:pPr>
      <w:spacing w:line="500" w:lineRule="exact"/>
      <w:ind w:firstLine="480" w:firstLineChars="200"/>
    </w:pPr>
    <w:rPr>
      <w:rFonts w:cs="宋体"/>
      <w:color w:val="000000"/>
      <w:sz w:val="24"/>
      <w:szCs w:val="21"/>
    </w:rPr>
  </w:style>
  <w:style w:type="paragraph" w:customStyle="1" w:styleId="7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72">
    <w:name w:val="List Paragraph"/>
    <w:basedOn w:val="1"/>
    <w:qFormat/>
    <w:uiPriority w:val="34"/>
    <w:pPr>
      <w:ind w:firstLine="420" w:firstLineChars="200"/>
    </w:pPr>
  </w:style>
  <w:style w:type="paragraph" w:customStyle="1" w:styleId="73">
    <w:name w:val="正文部分"/>
    <w:basedOn w:val="1"/>
    <w:qFormat/>
    <w:uiPriority w:val="0"/>
    <w:pPr>
      <w:spacing w:line="460" w:lineRule="exact"/>
      <w:ind w:firstLine="200" w:firstLineChars="200"/>
    </w:pPr>
    <w:rPr>
      <w:rFonts w:ascii="楷体_GB2312" w:hAnsi="宋体" w:eastAsia="仿宋_GB2312"/>
      <w:b/>
      <w:sz w:val="28"/>
      <w:szCs w:val="28"/>
    </w:rPr>
  </w:style>
  <w:style w:type="paragraph" w:customStyle="1" w:styleId="74">
    <w:name w:val="报告 正文"/>
    <w:basedOn w:val="1"/>
    <w:qFormat/>
    <w:uiPriority w:val="0"/>
    <w:pPr>
      <w:adjustRightInd w:val="0"/>
      <w:spacing w:line="360" w:lineRule="auto"/>
      <w:ind w:firstLine="478" w:firstLineChars="199"/>
    </w:pPr>
    <w:rPr>
      <w:rFonts w:cs="宋体"/>
      <w:sz w:val="24"/>
      <w:szCs w:val="20"/>
    </w:rPr>
  </w:style>
  <w:style w:type="paragraph" w:customStyle="1" w:styleId="75">
    <w:name w:val="大气正文"/>
    <w:basedOn w:val="1"/>
    <w:qFormat/>
    <w:uiPriority w:val="0"/>
    <w:pPr>
      <w:spacing w:line="440" w:lineRule="exact"/>
      <w:ind w:firstLine="200" w:firstLineChars="200"/>
      <w:jc w:val="left"/>
    </w:pPr>
    <w:rPr>
      <w:sz w:val="24"/>
    </w:rPr>
  </w:style>
  <w:style w:type="paragraph" w:customStyle="1" w:styleId="76">
    <w:name w:val="正文B"/>
    <w:basedOn w:val="1"/>
    <w:qFormat/>
    <w:uiPriority w:val="0"/>
    <w:pPr>
      <w:spacing w:line="360" w:lineRule="auto"/>
      <w:ind w:firstLine="200" w:firstLineChars="200"/>
    </w:pPr>
    <w:rPr>
      <w:rFonts w:ascii="宋体" w:hAnsi="宋体" w:cs="宋体"/>
      <w:sz w:val="24"/>
      <w:szCs w:val="20"/>
    </w:rPr>
  </w:style>
  <w:style w:type="paragraph" w:customStyle="1" w:styleId="77">
    <w:name w:val="样式 样式 小四 行距: 固定值 25 磅 + 黑色"/>
    <w:basedOn w:val="78"/>
    <w:qFormat/>
    <w:uiPriority w:val="0"/>
    <w:rPr>
      <w:color w:val="000000"/>
      <w:szCs w:val="20"/>
    </w:rPr>
  </w:style>
  <w:style w:type="paragraph" w:customStyle="1" w:styleId="78">
    <w:name w:val="样式 小四 行距: 固定值 25 磅"/>
    <w:basedOn w:val="1"/>
    <w:qFormat/>
    <w:uiPriority w:val="0"/>
    <w:pPr>
      <w:spacing w:line="500" w:lineRule="exact"/>
      <w:ind w:firstLine="480" w:firstLineChars="200"/>
    </w:pPr>
    <w:rPr>
      <w:rFonts w:cs="宋体"/>
      <w:sz w:val="24"/>
    </w:rPr>
  </w:style>
  <w:style w:type="paragraph" w:customStyle="1" w:styleId="79">
    <w:name w:val="样式 样式 样式 小四 黑色 首行缩进:  0.85 厘米 行距: 固定值 28 磅1 + 段前: 0.5 行 段后: 0.5 ..."/>
    <w:basedOn w:val="1"/>
    <w:qFormat/>
    <w:uiPriority w:val="0"/>
    <w:pPr>
      <w:keepNext/>
      <w:keepLines/>
      <w:adjustRightInd w:val="0"/>
      <w:spacing w:before="260" w:after="260" w:line="360" w:lineRule="auto"/>
      <w:outlineLvl w:val="2"/>
    </w:pPr>
    <w:rPr>
      <w:rFonts w:eastAsia="黑体" w:cs="宋体"/>
      <w:color w:val="000000"/>
      <w:sz w:val="24"/>
      <w:szCs w:val="20"/>
    </w:rPr>
  </w:style>
  <w:style w:type="paragraph" w:customStyle="1" w:styleId="80">
    <w:name w:val="生态专题报告正文字体"/>
    <w:basedOn w:val="1"/>
    <w:qFormat/>
    <w:uiPriority w:val="0"/>
    <w:pPr>
      <w:spacing w:line="360" w:lineRule="auto"/>
      <w:ind w:firstLine="560" w:firstLineChars="200"/>
    </w:pPr>
    <w:rPr>
      <w:rFonts w:ascii="等线" w:hAnsi="等线" w:eastAsia="等线"/>
      <w:sz w:val="28"/>
      <w:szCs w:val="28"/>
    </w:rPr>
  </w:style>
  <w:style w:type="paragraph" w:customStyle="1" w:styleId="81">
    <w:name w:val="表中字"/>
    <w:basedOn w:val="1"/>
    <w:qFormat/>
    <w:uiPriority w:val="0"/>
    <w:pPr>
      <w:spacing w:line="240" w:lineRule="atLeast"/>
      <w:jc w:val="center"/>
    </w:pPr>
    <w:rPr>
      <w:szCs w:val="22"/>
      <w:lang w:val="zh-CN"/>
    </w:rPr>
  </w:style>
  <w:style w:type="paragraph" w:customStyle="1" w:styleId="82">
    <w:name w:val="正文1"/>
    <w:basedOn w:val="1"/>
    <w:qFormat/>
    <w:uiPriority w:val="0"/>
    <w:pPr>
      <w:adjustRightInd w:val="0"/>
      <w:spacing w:after="120" w:line="360" w:lineRule="atLeast"/>
      <w:jc w:val="center"/>
      <w:textAlignment w:val="baseline"/>
    </w:pPr>
    <w:rPr>
      <w:rFonts w:ascii="宋体"/>
      <w:kern w:val="0"/>
      <w:sz w:val="24"/>
      <w:szCs w:val="20"/>
    </w:rPr>
  </w:style>
  <w:style w:type="paragraph" w:customStyle="1" w:styleId="83">
    <w:name w:val="Body text|1"/>
    <w:basedOn w:val="1"/>
    <w:qFormat/>
    <w:uiPriority w:val="0"/>
    <w:pPr>
      <w:spacing w:line="418" w:lineRule="auto"/>
      <w:ind w:firstLine="400"/>
    </w:pPr>
    <w:rPr>
      <w:rFonts w:ascii="宋体" w:hAnsi="宋体" w:cs="宋体"/>
      <w:sz w:val="30"/>
      <w:szCs w:val="30"/>
      <w:lang w:val="zh-TW" w:eastAsia="zh-TW" w:bidi="zh-TW"/>
    </w:rPr>
  </w:style>
  <w:style w:type="character" w:customStyle="1" w:styleId="84">
    <w:name w:val="fontstyle01"/>
    <w:basedOn w:val="34"/>
    <w:qFormat/>
    <w:uiPriority w:val="0"/>
    <w:rPr>
      <w:rFonts w:hint="eastAsia" w:ascii="仿宋_GB2312" w:eastAsia="仿宋_GB2312"/>
      <w:color w:val="000000"/>
      <w:sz w:val="32"/>
      <w:szCs w:val="32"/>
    </w:rPr>
  </w:style>
  <w:style w:type="table" w:customStyle="1" w:styleId="85">
    <w:name w:val="Table Normal"/>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86">
    <w:name w:val="p0"/>
    <w:basedOn w:val="1"/>
    <w:qFormat/>
    <w:uiPriority w:val="0"/>
    <w:pPr>
      <w:widowControl/>
    </w:pPr>
    <w:rPr>
      <w:kern w:val="0"/>
      <w:szCs w:val="21"/>
    </w:rPr>
  </w:style>
  <w:style w:type="paragraph" w:customStyle="1" w:styleId="87">
    <w:name w:val="表格 内容"/>
    <w:basedOn w:val="1"/>
    <w:qFormat/>
    <w:uiPriority w:val="0"/>
    <w:pPr>
      <w:autoSpaceDE w:val="0"/>
      <w:autoSpaceDN w:val="0"/>
      <w:adjustRightInd w:val="0"/>
      <w:jc w:val="center"/>
    </w:pPr>
    <w:rPr>
      <w:kern w:val="0"/>
      <w:szCs w:val="44"/>
    </w:rPr>
  </w:style>
  <w:style w:type="paragraph" w:customStyle="1" w:styleId="88">
    <w:name w:val="1z 表格内容"/>
    <w:basedOn w:val="1"/>
    <w:qFormat/>
    <w:uiPriority w:val="0"/>
    <w:pPr>
      <w:jc w:val="center"/>
    </w:pPr>
    <w:rPr>
      <w:szCs w:val="20"/>
    </w:rPr>
  </w:style>
  <w:style w:type="paragraph" w:customStyle="1" w:styleId="89">
    <w:name w:val="111正文"/>
    <w:qFormat/>
    <w:uiPriority w:val="0"/>
    <w:pPr>
      <w:widowControl w:val="0"/>
      <w:tabs>
        <w:tab w:val="left" w:pos="600"/>
      </w:tabs>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90">
    <w:name w:val="ALT+C"/>
    <w:basedOn w:val="1"/>
    <w:qFormat/>
    <w:uiPriority w:val="0"/>
    <w:pPr>
      <w:keepNext/>
      <w:spacing w:line="360" w:lineRule="auto"/>
      <w:ind w:firstLine="480" w:firstLineChars="200"/>
    </w:pPr>
  </w:style>
  <w:style w:type="paragraph" w:customStyle="1" w:styleId="91">
    <w:name w:val="表格样式"/>
    <w:basedOn w:val="1"/>
    <w:qFormat/>
    <w:uiPriority w:val="0"/>
    <w:pPr>
      <w:jc w:val="center"/>
    </w:pPr>
    <w:rPr>
      <w:szCs w:val="22"/>
    </w:rPr>
  </w:style>
  <w:style w:type="character" w:customStyle="1" w:styleId="92">
    <w:name w:val="font21"/>
    <w:basedOn w:val="34"/>
    <w:qFormat/>
    <w:uiPriority w:val="0"/>
    <w:rPr>
      <w:rFonts w:hint="default" w:ascii="Times New Roman" w:hAnsi="Times New Roman" w:cs="Times New Roman"/>
      <w:color w:val="0000FF"/>
      <w:sz w:val="21"/>
      <w:szCs w:val="21"/>
      <w:u w:val="none"/>
    </w:rPr>
  </w:style>
  <w:style w:type="character" w:customStyle="1" w:styleId="93">
    <w:name w:val="font01"/>
    <w:basedOn w:val="34"/>
    <w:qFormat/>
    <w:uiPriority w:val="0"/>
    <w:rPr>
      <w:rFonts w:hint="eastAsia" w:ascii="宋体" w:hAnsi="宋体" w:eastAsia="宋体" w:cs="宋体"/>
      <w:color w:val="0000FF"/>
      <w:sz w:val="21"/>
      <w:szCs w:val="21"/>
      <w:u w:val="none"/>
    </w:rPr>
  </w:style>
  <w:style w:type="paragraph" w:customStyle="1" w:styleId="94">
    <w:name w:val="文本"/>
    <w:basedOn w:val="1"/>
    <w:qFormat/>
    <w:uiPriority w:val="0"/>
    <w:pPr>
      <w:spacing w:line="360" w:lineRule="auto"/>
      <w:ind w:firstLine="480" w:firstLineChars="200"/>
    </w:pPr>
  </w:style>
  <w:style w:type="paragraph" w:customStyle="1" w:styleId="95">
    <w:name w:val="5博创表格"/>
    <w:basedOn w:val="1"/>
    <w:unhideWhenUsed/>
    <w:qFormat/>
    <w:uiPriority w:val="0"/>
    <w:pPr>
      <w:jc w:val="center"/>
    </w:pPr>
  </w:style>
  <w:style w:type="paragraph" w:customStyle="1" w:styleId="96">
    <w:name w:val="0 正文"/>
    <w:basedOn w:val="68"/>
    <w:qFormat/>
    <w:uiPriority w:val="0"/>
    <w:pPr>
      <w:ind w:firstLine="720"/>
    </w:pPr>
  </w:style>
  <w:style w:type="paragraph" w:customStyle="1" w:styleId="97">
    <w:name w:val="L-表格内格式"/>
    <w:basedOn w:val="1"/>
    <w:qFormat/>
    <w:uiPriority w:val="0"/>
    <w:pPr>
      <w:jc w:val="center"/>
    </w:pPr>
    <w:rPr>
      <w:color w:val="000000"/>
    </w:rPr>
  </w:style>
  <w:style w:type="paragraph" w:customStyle="1" w:styleId="98">
    <w:name w:val="章标题"/>
    <w:basedOn w:val="1"/>
    <w:qFormat/>
    <w:uiPriority w:val="0"/>
    <w:pPr>
      <w:widowControl/>
      <w:jc w:val="left"/>
    </w:pPr>
    <w:rPr>
      <w:b/>
      <w:kern w:val="0"/>
      <w:sz w:val="24"/>
    </w:rPr>
  </w:style>
  <w:style w:type="paragraph" w:customStyle="1" w:styleId="99">
    <w:name w:val="JWoo14"/>
    <w:basedOn w:val="1"/>
    <w:qFormat/>
    <w:uiPriority w:val="0"/>
    <w:pPr>
      <w:widowControl/>
      <w:spacing w:before="120" w:after="120"/>
    </w:pPr>
    <w:rPr>
      <w:rFonts w:ascii="宋体" w:hAnsi="宋体"/>
      <w:w w:val="101"/>
      <w:kern w:val="0"/>
      <w:szCs w:val="20"/>
    </w:rPr>
  </w:style>
  <w:style w:type="paragraph" w:customStyle="1" w:styleId="100">
    <w:name w:val="表内文字"/>
    <w:basedOn w:val="10"/>
    <w:qFormat/>
    <w:uiPriority w:val="0"/>
    <w:pPr>
      <w:spacing w:line="240" w:lineRule="auto"/>
      <w:jc w:val="center"/>
    </w:pPr>
    <w:rPr>
      <w:sz w:val="21"/>
      <w:lang w:val="zh-CN"/>
    </w:rPr>
  </w:style>
  <w:style w:type="paragraph" w:customStyle="1" w:styleId="101">
    <w:name w:val="表文"/>
    <w:basedOn w:val="1"/>
    <w:qFormat/>
    <w:uiPriority w:val="0"/>
    <w:pPr>
      <w:jc w:val="center"/>
    </w:pPr>
    <w:rPr>
      <w:rFonts w:eastAsia="华文宋体"/>
    </w:rPr>
  </w:style>
  <w:style w:type="paragraph" w:customStyle="1" w:styleId="102">
    <w:name w:val="表格文本"/>
    <w:basedOn w:val="1"/>
    <w:qFormat/>
    <w:uiPriority w:val="0"/>
    <w:pPr>
      <w:jc w:val="center"/>
    </w:pPr>
    <w:rPr>
      <w:szCs w:val="22"/>
    </w:rPr>
  </w:style>
  <w:style w:type="paragraph" w:customStyle="1" w:styleId="103">
    <w:name w:val="样式 宋体 四号 行距: 1.5 倍行距"/>
    <w:basedOn w:val="1"/>
    <w:qFormat/>
    <w:uiPriority w:val="0"/>
    <w:pPr>
      <w:spacing w:line="360" w:lineRule="auto"/>
      <w:ind w:firstLine="560" w:firstLineChars="200"/>
    </w:pPr>
    <w:rPr>
      <w:rFonts w:ascii="宋体" w:hAnsi="宋体"/>
      <w:sz w:val="28"/>
    </w:rPr>
  </w:style>
  <w:style w:type="paragraph" w:customStyle="1" w:styleId="104">
    <w:name w:val="样式4"/>
    <w:basedOn w:val="1"/>
    <w:qFormat/>
    <w:uiPriority w:val="0"/>
    <w:pPr>
      <w:snapToGrid w:val="0"/>
      <w:ind w:firstLine="480"/>
    </w:pPr>
    <w:rPr>
      <w:rFonts w:ascii="宋体" w:hAnsi="宋体"/>
    </w:rPr>
  </w:style>
  <w:style w:type="paragraph" w:customStyle="1" w:styleId="105">
    <w:name w:val="表格表头"/>
    <w:basedOn w:val="106"/>
    <w:qFormat/>
    <w:uiPriority w:val="0"/>
    <w:pPr>
      <w:tabs>
        <w:tab w:val="center" w:pos="4620"/>
      </w:tabs>
      <w:spacing w:line="240" w:lineRule="auto"/>
      <w:ind w:firstLine="0" w:firstLineChars="0"/>
      <w:jc w:val="center"/>
    </w:pPr>
    <w:rPr>
      <w:rFonts w:ascii="Times New Roman" w:hAnsi="Times New Roman"/>
      <w:b/>
      <w:sz w:val="21"/>
      <w:lang w:val="en-US"/>
    </w:rPr>
  </w:style>
  <w:style w:type="paragraph" w:customStyle="1" w:styleId="106">
    <w:name w:val="报告书正文"/>
    <w:basedOn w:val="1"/>
    <w:qFormat/>
    <w:uiPriority w:val="0"/>
    <w:pPr>
      <w:spacing w:line="300" w:lineRule="auto"/>
      <w:ind w:firstLine="480" w:firstLineChars="200"/>
    </w:pPr>
    <w:rPr>
      <w:rFonts w:ascii="宋体" w:hAnsi="宋体"/>
      <w:sz w:val="24"/>
      <w:lang w:val="zh-CN"/>
    </w:rPr>
  </w:style>
  <w:style w:type="paragraph" w:customStyle="1" w:styleId="107">
    <w:name w:val="环评表格内"/>
    <w:basedOn w:val="1"/>
    <w:qFormat/>
    <w:uiPriority w:val="0"/>
    <w:pPr>
      <w:jc w:val="center"/>
    </w:pPr>
    <w:rPr>
      <w:szCs w:val="21"/>
    </w:rPr>
  </w:style>
  <w:style w:type="paragraph" w:customStyle="1" w:styleId="108">
    <w:name w:val="WPSOffice手动目录 1"/>
    <w:qFormat/>
    <w:uiPriority w:val="0"/>
    <w:rPr>
      <w:rFonts w:ascii="Times New Roman" w:hAnsi="Times New Roman" w:eastAsia="宋体" w:cs="Times New Roman"/>
      <w:lang w:val="en-US" w:eastAsia="zh-CN" w:bidi="ar-SA"/>
    </w:rPr>
  </w:style>
  <w:style w:type="paragraph" w:customStyle="1" w:styleId="109">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10">
    <w:name w:val="表 头"/>
    <w:basedOn w:val="1"/>
    <w:qFormat/>
    <w:uiPriority w:val="0"/>
    <w:pPr>
      <w:widowControl/>
      <w:adjustRightInd w:val="0"/>
      <w:snapToGrid w:val="0"/>
      <w:spacing w:beforeLines="50"/>
    </w:pPr>
    <w:rPr>
      <w:b/>
      <w:kern w:val="0"/>
      <w:szCs w:val="21"/>
      <w:lang w:bidi="en-US"/>
    </w:rPr>
  </w:style>
  <w:style w:type="paragraph" w:customStyle="1" w:styleId="111">
    <w:name w:val="倩表格内文字"/>
    <w:basedOn w:val="1"/>
    <w:qFormat/>
    <w:uiPriority w:val="0"/>
    <w:pPr>
      <w:widowControl/>
      <w:jc w:val="center"/>
    </w:pPr>
    <w:rPr>
      <w:szCs w:val="21"/>
    </w:rPr>
  </w:style>
  <w:style w:type="paragraph" w:customStyle="1" w:styleId="112">
    <w:name w:val="Text type"/>
    <w:basedOn w:val="1"/>
    <w:qFormat/>
    <w:uiPriority w:val="0"/>
    <w:pPr>
      <w:widowControl/>
      <w:snapToGrid w:val="0"/>
      <w:spacing w:line="360" w:lineRule="auto"/>
      <w:ind w:firstLine="200" w:firstLineChars="200"/>
    </w:pPr>
    <w:rPr>
      <w:sz w:val="24"/>
      <w:szCs w:val="32"/>
    </w:rPr>
  </w:style>
  <w:style w:type="paragraph" w:customStyle="1" w:styleId="113">
    <w:name w:val="环保正文"/>
    <w:basedOn w:val="1"/>
    <w:qFormat/>
    <w:uiPriority w:val="0"/>
    <w:rPr>
      <w:szCs w:val="22"/>
    </w:rPr>
  </w:style>
  <w:style w:type="paragraph" w:customStyle="1" w:styleId="114">
    <w:name w:val="表格文字"/>
    <w:basedOn w:val="7"/>
    <w:qFormat/>
    <w:uiPriority w:val="0"/>
    <w:pPr>
      <w:jc w:val="center"/>
    </w:pPr>
    <w:rPr>
      <w:kern w:val="44"/>
      <w:szCs w:val="22"/>
    </w:rPr>
  </w:style>
  <w:style w:type="paragraph" w:customStyle="1" w:styleId="115">
    <w:name w:val="Table Text"/>
    <w:basedOn w:val="1"/>
    <w:semiHidden/>
    <w:qFormat/>
    <w:uiPriority w:val="0"/>
    <w:rPr>
      <w:rFonts w:ascii="宋体" w:hAnsi="宋体" w:cs="宋体"/>
      <w:sz w:val="24"/>
      <w:lang w:eastAsia="en-US"/>
    </w:rPr>
  </w:style>
  <w:style w:type="paragraph" w:customStyle="1" w:styleId="116">
    <w:name w:val="表文字"/>
    <w:qFormat/>
    <w:uiPriority w:val="0"/>
    <w:pPr>
      <w:widowControl w:val="0"/>
      <w:jc w:val="center"/>
    </w:pPr>
    <w:rPr>
      <w:rFonts w:ascii="Times New Roman" w:hAnsi="Times New Roman" w:eastAsia="宋体" w:cs="Times New Roman"/>
      <w:snapToGrid w:val="0"/>
      <w:w w:val="95"/>
      <w:sz w:val="21"/>
      <w:lang w:val="en-US" w:eastAsia="zh-CN" w:bidi="ar-SA"/>
    </w:rPr>
  </w:style>
  <w:style w:type="paragraph" w:customStyle="1" w:styleId="117">
    <w:name w:val="表头样式"/>
    <w:basedOn w:val="1"/>
    <w:qFormat/>
    <w:uiPriority w:val="0"/>
    <w:pPr>
      <w:jc w:val="center"/>
    </w:pPr>
    <w:rPr>
      <w:rFonts w:eastAsia="黑体" w:cs="宋体"/>
      <w:bCs/>
      <w:szCs w:val="21"/>
    </w:rPr>
  </w:style>
  <w:style w:type="paragraph" w:customStyle="1" w:styleId="118">
    <w:name w:val="样式 正文11 + 首行缩进:  2 字符"/>
    <w:basedOn w:val="1"/>
    <w:qFormat/>
    <w:uiPriority w:val="0"/>
    <w:pPr>
      <w:spacing w:line="500" w:lineRule="exact"/>
      <w:ind w:firstLine="560" w:firstLineChars="200"/>
    </w:pPr>
    <w:rPr>
      <w:rFonts w:ascii="宋体" w:hAnsi="宋体" w:cs="宋体"/>
      <w:b/>
      <w:color w:val="FF0000"/>
      <w:sz w:val="28"/>
    </w:rPr>
  </w:style>
  <w:style w:type="paragraph" w:customStyle="1" w:styleId="119">
    <w:name w:val="样式1"/>
    <w:basedOn w:val="1"/>
    <w:qFormat/>
    <w:uiPriority w:val="0"/>
    <w:pPr>
      <w:spacing w:line="360" w:lineRule="auto"/>
      <w:ind w:firstLine="200" w:firstLineChars="200"/>
    </w:pPr>
  </w:style>
  <w:style w:type="paragraph" w:customStyle="1" w:styleId="120">
    <w:name w:val="表格1"/>
    <w:basedOn w:val="121"/>
    <w:next w:val="1"/>
    <w:qFormat/>
    <w:uiPriority w:val="0"/>
    <w:rPr>
      <w:b w:val="0"/>
      <w:color w:val="000000"/>
      <w:szCs w:val="32"/>
    </w:rPr>
  </w:style>
  <w:style w:type="paragraph" w:customStyle="1" w:styleId="121">
    <w:name w:val="表名"/>
    <w:basedOn w:val="1"/>
    <w:next w:val="120"/>
    <w:qFormat/>
    <w:uiPriority w:val="0"/>
    <w:pPr>
      <w:jc w:val="center"/>
    </w:pPr>
    <w:rPr>
      <w:b/>
    </w:rPr>
  </w:style>
  <w:style w:type="paragraph" w:customStyle="1" w:styleId="122">
    <w:name w:val="Char"/>
    <w:basedOn w:val="1"/>
    <w:qFormat/>
    <w:uiPriority w:val="0"/>
    <w:rPr>
      <w:sz w:val="32"/>
      <w:szCs w:val="32"/>
    </w:rPr>
  </w:style>
  <w:style w:type="paragraph" w:customStyle="1" w:styleId="123">
    <w:name w:val="正文sdl"/>
    <w:basedOn w:val="1"/>
    <w:qFormat/>
    <w:uiPriority w:val="0"/>
    <w:pPr>
      <w:ind w:firstLine="480"/>
    </w:pPr>
  </w:style>
  <w:style w:type="paragraph" w:customStyle="1" w:styleId="124">
    <w:name w:val="矿渣粉正文"/>
    <w:basedOn w:val="11"/>
    <w:qFormat/>
    <w:uiPriority w:val="0"/>
    <w:pPr>
      <w:spacing w:after="0" w:line="360" w:lineRule="auto"/>
      <w:ind w:left="0" w:leftChars="0" w:firstLine="200" w:firstLineChars="200"/>
    </w:pPr>
    <w:rPr>
      <w:rFonts w:eastAsia="Times New Roman"/>
      <w:color w:val="000000"/>
      <w:sz w:val="24"/>
    </w:rPr>
  </w:style>
  <w:style w:type="paragraph" w:customStyle="1" w:styleId="125">
    <w:name w:val="table"/>
    <w:basedOn w:val="1"/>
    <w:qFormat/>
    <w:uiPriority w:val="0"/>
    <w:pPr>
      <w:spacing w:before="156" w:beforeLines="0"/>
      <w:jc w:val="center"/>
    </w:pPr>
    <w:rPr>
      <w:rFonts w:ascii="宋体" w:hAnsi="宋体" w:cs="宋体"/>
      <w:b/>
      <w:iCs/>
      <w:szCs w:val="21"/>
    </w:rPr>
  </w:style>
  <w:style w:type="paragraph" w:customStyle="1" w:styleId="126">
    <w:name w:val="附表、附图头"/>
    <w:basedOn w:val="1"/>
    <w:qFormat/>
    <w:uiPriority w:val="0"/>
    <w:pPr>
      <w:spacing w:line="480" w:lineRule="exact"/>
      <w:ind w:firstLine="0" w:firstLineChars="0"/>
      <w:jc w:val="center"/>
    </w:pPr>
    <w:rPr>
      <w:b/>
      <w:bCs/>
      <w:szCs w:val="21"/>
    </w:rPr>
  </w:style>
  <w:style w:type="paragraph" w:customStyle="1" w:styleId="127">
    <w:name w:val="样式 正文文本缩进 + 行距: 1.5 倍行距"/>
    <w:basedOn w:val="128"/>
    <w:next w:val="1"/>
    <w:qFormat/>
    <w:uiPriority w:val="0"/>
    <w:pPr>
      <w:spacing w:after="120" w:line="360" w:lineRule="auto"/>
      <w:ind w:left="90" w:leftChars="32" w:firstLine="560" w:firstLineChars="200"/>
    </w:pPr>
    <w:rPr>
      <w:rFonts w:cs="宋体"/>
      <w:sz w:val="24"/>
    </w:rPr>
  </w:style>
  <w:style w:type="paragraph" w:customStyle="1" w:styleId="128">
    <w:name w:val="Body Text Indent"/>
    <w:basedOn w:val="129"/>
    <w:next w:val="127"/>
    <w:qFormat/>
    <w:uiPriority w:val="0"/>
    <w:pPr>
      <w:spacing w:after="120" w:afterLines="0"/>
      <w:ind w:left="420" w:leftChars="200"/>
    </w:pPr>
    <w:rPr>
      <w:rFonts w:ascii="Times New Roman" w:hAnsi="Times New Roman" w:eastAsia="宋体"/>
      <w:sz w:val="24"/>
    </w:rPr>
  </w:style>
  <w:style w:type="paragraph" w:customStyle="1" w:styleId="129">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customStyle="1" w:styleId="130">
    <w:name w:val="表格头"/>
    <w:qFormat/>
    <w:uiPriority w:val="0"/>
    <w:pPr>
      <w:spacing w:beforeLines="100" w:afterLines="50"/>
      <w:ind w:left="238" w:right="238"/>
      <w:jc w:val="center"/>
    </w:pPr>
    <w:rPr>
      <w:rFonts w:ascii="Tahoma" w:hAnsi="Tahoma" w:eastAsia="黑体" w:cs="Times New Roman"/>
      <w:b/>
      <w:snapToGrid w:val="0"/>
      <w:color w:val="000000"/>
      <w:spacing w:val="-4"/>
      <w:kern w:val="2"/>
      <w:sz w:val="24"/>
      <w:lang w:val="en-US" w:eastAsia="zh-CN" w:bidi="ar-SA"/>
    </w:rPr>
  </w:style>
  <w:style w:type="paragraph" w:customStyle="1" w:styleId="131">
    <w:name w:val="表格内"/>
    <w:qFormat/>
    <w:uiPriority w:val="0"/>
    <w:pPr>
      <w:jc w:val="center"/>
    </w:pPr>
    <w:rPr>
      <w:rFonts w:ascii="Times New Roman" w:hAnsi="Times New Roman" w:eastAsia="宋体" w:cs="Times New Roman"/>
      <w:kern w:val="2"/>
      <w:sz w:val="21"/>
      <w:szCs w:val="21"/>
      <w:lang w:val="en-US" w:eastAsia="zh-CN" w:bidi="ar-SA"/>
    </w:rPr>
  </w:style>
  <w:style w:type="paragraph" w:customStyle="1" w:styleId="132">
    <w:name w:val="环评表格正文"/>
    <w:basedOn w:val="1"/>
    <w:qFormat/>
    <w:uiPriority w:val="0"/>
    <w:pPr>
      <w:jc w:val="center"/>
    </w:pPr>
    <w:rPr>
      <w:sz w:val="21"/>
      <w:szCs w:val="21"/>
    </w:rPr>
  </w:style>
  <w:style w:type="character" w:customStyle="1" w:styleId="133">
    <w:name w:val="font41"/>
    <w:basedOn w:val="34"/>
    <w:qFormat/>
    <w:uiPriority w:val="0"/>
    <w:rPr>
      <w:rFonts w:hint="default" w:ascii="Times New Roman" w:hAnsi="Times New Roman" w:cs="Times New Roman"/>
      <w:color w:val="000000"/>
      <w:sz w:val="21"/>
      <w:szCs w:val="21"/>
      <w:u w:val="none"/>
    </w:rPr>
  </w:style>
  <w:style w:type="character" w:customStyle="1" w:styleId="134">
    <w:name w:val="font71"/>
    <w:basedOn w:val="34"/>
    <w:qFormat/>
    <w:uiPriority w:val="0"/>
    <w:rPr>
      <w:rFonts w:hint="eastAsia" w:ascii="宋体" w:hAnsi="宋体" w:eastAsia="宋体" w:cs="宋体"/>
      <w:color w:val="000000"/>
      <w:sz w:val="21"/>
      <w:szCs w:val="21"/>
      <w:u w:val="none"/>
    </w:rPr>
  </w:style>
  <w:style w:type="character" w:customStyle="1" w:styleId="135">
    <w:name w:val="font51"/>
    <w:basedOn w:val="34"/>
    <w:qFormat/>
    <w:uiPriority w:val="0"/>
    <w:rPr>
      <w:rFonts w:hint="default" w:ascii="Times New Roman" w:hAnsi="Times New Roman" w:cs="Times New Roman"/>
      <w:color w:val="000000"/>
      <w:sz w:val="21"/>
      <w:szCs w:val="21"/>
      <w:u w:val="none"/>
    </w:rPr>
  </w:style>
  <w:style w:type="character" w:customStyle="1" w:styleId="136">
    <w:name w:val="font61"/>
    <w:basedOn w:val="34"/>
    <w:qFormat/>
    <w:uiPriority w:val="0"/>
    <w:rPr>
      <w:rFonts w:hint="eastAsia" w:ascii="宋体" w:hAnsi="宋体" w:eastAsia="宋体" w:cs="宋体"/>
      <w:color w:val="000000"/>
      <w:sz w:val="21"/>
      <w:szCs w:val="21"/>
      <w:u w:val="none"/>
    </w:rPr>
  </w:style>
  <w:style w:type="character" w:customStyle="1" w:styleId="137">
    <w:name w:val="font81"/>
    <w:basedOn w:val="34"/>
    <w:qFormat/>
    <w:uiPriority w:val="0"/>
    <w:rPr>
      <w:rFonts w:hint="default" w:ascii="Times New Roman" w:hAnsi="Times New Roman" w:cs="Times New Roman"/>
      <w:color w:val="000000"/>
      <w:sz w:val="21"/>
      <w:szCs w:val="21"/>
      <w:u w:val="none"/>
      <w:vertAlign w:val="superscript"/>
    </w:rPr>
  </w:style>
  <w:style w:type="paragraph" w:customStyle="1" w:styleId="138">
    <w:name w:val="0标题3"/>
    <w:basedOn w:val="4"/>
    <w:next w:val="4"/>
    <w:qFormat/>
    <w:uiPriority w:val="0"/>
    <w:pPr>
      <w:tabs>
        <w:tab w:val="left" w:pos="560"/>
        <w:tab w:val="left" w:pos="1120"/>
        <w:tab w:val="left" w:pos="1620"/>
      </w:tabs>
      <w:spacing w:before="240" w:after="240" w:line="240" w:lineRule="auto"/>
      <w:jc w:val="left"/>
    </w:pPr>
    <w:rPr>
      <w:rFonts w:ascii="黑体" w:eastAsia="黑体"/>
      <w:szCs w:val="20"/>
    </w:rPr>
  </w:style>
  <w:style w:type="paragraph" w:customStyle="1" w:styleId="139">
    <w:name w:val="0标题2"/>
    <w:basedOn w:val="3"/>
    <w:next w:val="3"/>
    <w:qFormat/>
    <w:uiPriority w:val="0"/>
    <w:pPr>
      <w:tabs>
        <w:tab w:val="left" w:pos="1620"/>
      </w:tabs>
      <w:topLinePunct/>
      <w:spacing w:before="240" w:after="240" w:line="240" w:lineRule="auto"/>
      <w:jc w:val="left"/>
    </w:pPr>
    <w:rPr>
      <w:rFonts w:ascii="黑体"/>
      <w:sz w:val="30"/>
      <w:szCs w:val="20"/>
    </w:rPr>
  </w:style>
  <w:style w:type="character" w:customStyle="1" w:styleId="140">
    <w:name w:val="font31"/>
    <w:basedOn w:val="34"/>
    <w:qFormat/>
    <w:uiPriority w:val="0"/>
    <w:rPr>
      <w:rFonts w:ascii="Arial" w:hAnsi="Arial" w:cs="Arial"/>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1.png"/><Relationship Id="rId98" Type="http://schemas.openxmlformats.org/officeDocument/2006/relationships/image" Target="media/image60.png"/><Relationship Id="rId97" Type="http://schemas.openxmlformats.org/officeDocument/2006/relationships/image" Target="media/image59.png"/><Relationship Id="rId96" Type="http://schemas.openxmlformats.org/officeDocument/2006/relationships/image" Target="media/image58.png"/><Relationship Id="rId95" Type="http://schemas.openxmlformats.org/officeDocument/2006/relationships/image" Target="media/image57.jpeg"/><Relationship Id="rId94" Type="http://schemas.openxmlformats.org/officeDocument/2006/relationships/image" Target="media/image56.jpeg"/><Relationship Id="rId93" Type="http://schemas.openxmlformats.org/officeDocument/2006/relationships/image" Target="media/image55.jpeg"/><Relationship Id="rId92" Type="http://schemas.openxmlformats.org/officeDocument/2006/relationships/image" Target="media/image54.png"/><Relationship Id="rId91" Type="http://schemas.openxmlformats.org/officeDocument/2006/relationships/image" Target="media/image53.png"/><Relationship Id="rId90" Type="http://schemas.openxmlformats.org/officeDocument/2006/relationships/image" Target="media/image52.png"/><Relationship Id="rId9" Type="http://schemas.openxmlformats.org/officeDocument/2006/relationships/footer" Target="footer5.xml"/><Relationship Id="rId89" Type="http://schemas.openxmlformats.org/officeDocument/2006/relationships/image" Target="media/image51.png"/><Relationship Id="rId88" Type="http://schemas.openxmlformats.org/officeDocument/2006/relationships/image" Target="media/image50.png"/><Relationship Id="rId87" Type="http://schemas.openxmlformats.org/officeDocument/2006/relationships/image" Target="media/image49.jpeg"/><Relationship Id="rId86" Type="http://schemas.openxmlformats.org/officeDocument/2006/relationships/image" Target="media/image48.jpeg"/><Relationship Id="rId85" Type="http://schemas.openxmlformats.org/officeDocument/2006/relationships/image" Target="media/image47.jpeg"/><Relationship Id="rId84" Type="http://schemas.openxmlformats.org/officeDocument/2006/relationships/image" Target="media/image46.jpeg"/><Relationship Id="rId83" Type="http://schemas.openxmlformats.org/officeDocument/2006/relationships/image" Target="media/image45.jpeg"/><Relationship Id="rId82" Type="http://schemas.openxmlformats.org/officeDocument/2006/relationships/image" Target="media/image44.jpeg"/><Relationship Id="rId81" Type="http://schemas.openxmlformats.org/officeDocument/2006/relationships/image" Target="media/image43.jpeg"/><Relationship Id="rId80" Type="http://schemas.openxmlformats.org/officeDocument/2006/relationships/image" Target="media/image42.jpeg"/><Relationship Id="rId8" Type="http://schemas.openxmlformats.org/officeDocument/2006/relationships/header" Target="header2.xml"/><Relationship Id="rId79" Type="http://schemas.openxmlformats.org/officeDocument/2006/relationships/image" Target="media/image41.png"/><Relationship Id="rId78" Type="http://schemas.openxmlformats.org/officeDocument/2006/relationships/image" Target="media/image40.png"/><Relationship Id="rId77" Type="http://schemas.openxmlformats.org/officeDocument/2006/relationships/image" Target="media/image39.png"/><Relationship Id="rId76" Type="http://schemas.openxmlformats.org/officeDocument/2006/relationships/image" Target="media/image38.png"/><Relationship Id="rId75" Type="http://schemas.openxmlformats.org/officeDocument/2006/relationships/image" Target="media/image37.png"/><Relationship Id="rId74" Type="http://schemas.openxmlformats.org/officeDocument/2006/relationships/image" Target="media/image36.png"/><Relationship Id="rId73" Type="http://schemas.openxmlformats.org/officeDocument/2006/relationships/image" Target="media/image35.png"/><Relationship Id="rId72" Type="http://schemas.openxmlformats.org/officeDocument/2006/relationships/image" Target="media/image34.jpeg"/><Relationship Id="rId71" Type="http://schemas.openxmlformats.org/officeDocument/2006/relationships/image" Target="media/image33.jpeg"/><Relationship Id="rId70" Type="http://schemas.openxmlformats.org/officeDocument/2006/relationships/image" Target="media/image32.png"/><Relationship Id="rId7" Type="http://schemas.openxmlformats.org/officeDocument/2006/relationships/footer" Target="footer4.xml"/><Relationship Id="rId69" Type="http://schemas.openxmlformats.org/officeDocument/2006/relationships/image" Target="media/image31.png"/><Relationship Id="rId68" Type="http://schemas.openxmlformats.org/officeDocument/2006/relationships/image" Target="media/image30.png"/><Relationship Id="rId67" Type="http://schemas.openxmlformats.org/officeDocument/2006/relationships/image" Target="media/image29.png"/><Relationship Id="rId66" Type="http://schemas.openxmlformats.org/officeDocument/2006/relationships/image" Target="media/image28.png"/><Relationship Id="rId65" Type="http://schemas.openxmlformats.org/officeDocument/2006/relationships/image" Target="media/image27.png"/><Relationship Id="rId64" Type="http://schemas.openxmlformats.org/officeDocument/2006/relationships/image" Target="media/image26.png"/><Relationship Id="rId63" Type="http://schemas.openxmlformats.org/officeDocument/2006/relationships/image" Target="media/image25.wmf"/><Relationship Id="rId62" Type="http://schemas.openxmlformats.org/officeDocument/2006/relationships/oleObject" Target="embeddings/oleObject12.bin"/><Relationship Id="rId61" Type="http://schemas.openxmlformats.org/officeDocument/2006/relationships/image" Target="media/image24.wmf"/><Relationship Id="rId60" Type="http://schemas.openxmlformats.org/officeDocument/2006/relationships/oleObject" Target="embeddings/oleObject11.bin"/><Relationship Id="rId6" Type="http://schemas.openxmlformats.org/officeDocument/2006/relationships/header" Target="header1.xml"/><Relationship Id="rId59" Type="http://schemas.openxmlformats.org/officeDocument/2006/relationships/image" Target="media/image23.wmf"/><Relationship Id="rId58" Type="http://schemas.openxmlformats.org/officeDocument/2006/relationships/oleObject" Target="embeddings/oleObject10.bin"/><Relationship Id="rId57" Type="http://schemas.openxmlformats.org/officeDocument/2006/relationships/image" Target="media/image22.wmf"/><Relationship Id="rId56" Type="http://schemas.openxmlformats.org/officeDocument/2006/relationships/oleObject" Target="embeddings/oleObject9.bin"/><Relationship Id="rId55" Type="http://schemas.openxmlformats.org/officeDocument/2006/relationships/image" Target="media/image21.wmf"/><Relationship Id="rId54" Type="http://schemas.openxmlformats.org/officeDocument/2006/relationships/oleObject" Target="embeddings/oleObject8.bin"/><Relationship Id="rId53" Type="http://schemas.openxmlformats.org/officeDocument/2006/relationships/image" Target="media/image20.wmf"/><Relationship Id="rId52" Type="http://schemas.openxmlformats.org/officeDocument/2006/relationships/oleObject" Target="embeddings/oleObject7.bin"/><Relationship Id="rId51" Type="http://schemas.openxmlformats.org/officeDocument/2006/relationships/image" Target="media/image19.wmf"/><Relationship Id="rId50" Type="http://schemas.openxmlformats.org/officeDocument/2006/relationships/oleObject" Target="embeddings/oleObject6.bin"/><Relationship Id="rId5" Type="http://schemas.openxmlformats.org/officeDocument/2006/relationships/footer" Target="footer3.xml"/><Relationship Id="rId49" Type="http://schemas.openxmlformats.org/officeDocument/2006/relationships/image" Target="media/image18.wmf"/><Relationship Id="rId48" Type="http://schemas.openxmlformats.org/officeDocument/2006/relationships/oleObject" Target="embeddings/oleObject5.bin"/><Relationship Id="rId47" Type="http://schemas.openxmlformats.org/officeDocument/2006/relationships/image" Target="media/image17.wmf"/><Relationship Id="rId46" Type="http://schemas.openxmlformats.org/officeDocument/2006/relationships/oleObject" Target="embeddings/oleObject4.bin"/><Relationship Id="rId45" Type="http://schemas.openxmlformats.org/officeDocument/2006/relationships/image" Target="media/image16.wmf"/><Relationship Id="rId44" Type="http://schemas.openxmlformats.org/officeDocument/2006/relationships/oleObject" Target="embeddings/oleObject3.bin"/><Relationship Id="rId43" Type="http://schemas.openxmlformats.org/officeDocument/2006/relationships/image" Target="media/image15.wmf"/><Relationship Id="rId42" Type="http://schemas.openxmlformats.org/officeDocument/2006/relationships/oleObject" Target="embeddings/oleObject2.bin"/><Relationship Id="rId41" Type="http://schemas.openxmlformats.org/officeDocument/2006/relationships/image" Target="media/image14.wmf"/><Relationship Id="rId40" Type="http://schemas.openxmlformats.org/officeDocument/2006/relationships/oleObject" Target="embeddings/oleObject1.bin"/><Relationship Id="rId4" Type="http://schemas.openxmlformats.org/officeDocument/2006/relationships/footer" Target="footer2.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png"/><Relationship Id="rId31" Type="http://schemas.openxmlformats.org/officeDocument/2006/relationships/image" Target="media/image5.jpeg"/><Relationship Id="rId30" Type="http://schemas.openxmlformats.org/officeDocument/2006/relationships/image" Target="media/image4.jpeg"/><Relationship Id="rId3" Type="http://schemas.openxmlformats.org/officeDocument/2006/relationships/footer" Target="footer1.xml"/><Relationship Id="rId29" Type="http://schemas.openxmlformats.org/officeDocument/2006/relationships/image" Target="media/image3.jpeg"/><Relationship Id="rId28" Type="http://schemas.openxmlformats.org/officeDocument/2006/relationships/image" Target="media/image2.png"/><Relationship Id="rId27" Type="http://schemas.openxmlformats.org/officeDocument/2006/relationships/image" Target="media/image1.jpeg"/><Relationship Id="rId26" Type="http://schemas.openxmlformats.org/officeDocument/2006/relationships/theme" Target="theme/theme1.xml"/><Relationship Id="rId25" Type="http://schemas.openxmlformats.org/officeDocument/2006/relationships/footer" Target="footer18.xml"/><Relationship Id="rId244" Type="http://schemas.openxmlformats.org/officeDocument/2006/relationships/fontTable" Target="fontTable.xml"/><Relationship Id="rId243" Type="http://schemas.openxmlformats.org/officeDocument/2006/relationships/customXml" Target="../customXml/item3.xml"/><Relationship Id="rId242" Type="http://schemas.openxmlformats.org/officeDocument/2006/relationships/customXml" Target="../customXml/item2.xml"/><Relationship Id="rId241" Type="http://schemas.openxmlformats.org/officeDocument/2006/relationships/numbering" Target="numbering.xml"/><Relationship Id="rId240" Type="http://schemas.openxmlformats.org/officeDocument/2006/relationships/customXml" Target="../customXml/item1.xml"/><Relationship Id="rId24" Type="http://schemas.openxmlformats.org/officeDocument/2006/relationships/footer" Target="footer17.xml"/><Relationship Id="rId239" Type="http://schemas.openxmlformats.org/officeDocument/2006/relationships/image" Target="media/image201.png"/><Relationship Id="rId238" Type="http://schemas.openxmlformats.org/officeDocument/2006/relationships/image" Target="media/image200.png"/><Relationship Id="rId237" Type="http://schemas.openxmlformats.org/officeDocument/2006/relationships/image" Target="media/image199.png"/><Relationship Id="rId236" Type="http://schemas.openxmlformats.org/officeDocument/2006/relationships/image" Target="media/image198.png"/><Relationship Id="rId235" Type="http://schemas.openxmlformats.org/officeDocument/2006/relationships/image" Target="media/image197.png"/><Relationship Id="rId234" Type="http://schemas.openxmlformats.org/officeDocument/2006/relationships/image" Target="media/image196.png"/><Relationship Id="rId233" Type="http://schemas.openxmlformats.org/officeDocument/2006/relationships/image" Target="media/image195.png"/><Relationship Id="rId232" Type="http://schemas.openxmlformats.org/officeDocument/2006/relationships/image" Target="media/image194.png"/><Relationship Id="rId231" Type="http://schemas.openxmlformats.org/officeDocument/2006/relationships/image" Target="media/image193.png"/><Relationship Id="rId230" Type="http://schemas.openxmlformats.org/officeDocument/2006/relationships/image" Target="media/image192.png"/><Relationship Id="rId23" Type="http://schemas.openxmlformats.org/officeDocument/2006/relationships/footer" Target="footer16.xml"/><Relationship Id="rId229" Type="http://schemas.openxmlformats.org/officeDocument/2006/relationships/image" Target="media/image191.jpeg"/><Relationship Id="rId228" Type="http://schemas.openxmlformats.org/officeDocument/2006/relationships/image" Target="media/image190.png"/><Relationship Id="rId227" Type="http://schemas.openxmlformats.org/officeDocument/2006/relationships/image" Target="media/image189.png"/><Relationship Id="rId226" Type="http://schemas.openxmlformats.org/officeDocument/2006/relationships/image" Target="media/image188.png"/><Relationship Id="rId225" Type="http://schemas.openxmlformats.org/officeDocument/2006/relationships/image" Target="media/image187.png"/><Relationship Id="rId224" Type="http://schemas.openxmlformats.org/officeDocument/2006/relationships/image" Target="media/image186.png"/><Relationship Id="rId223" Type="http://schemas.openxmlformats.org/officeDocument/2006/relationships/image" Target="media/image185.png"/><Relationship Id="rId222" Type="http://schemas.openxmlformats.org/officeDocument/2006/relationships/image" Target="media/image184.png"/><Relationship Id="rId221" Type="http://schemas.openxmlformats.org/officeDocument/2006/relationships/image" Target="media/image183.png"/><Relationship Id="rId220" Type="http://schemas.openxmlformats.org/officeDocument/2006/relationships/image" Target="media/image182.jpeg"/><Relationship Id="rId22" Type="http://schemas.openxmlformats.org/officeDocument/2006/relationships/footer" Target="footer15.xml"/><Relationship Id="rId219" Type="http://schemas.openxmlformats.org/officeDocument/2006/relationships/image" Target="media/image181.png"/><Relationship Id="rId218" Type="http://schemas.openxmlformats.org/officeDocument/2006/relationships/image" Target="media/image180.jpeg"/><Relationship Id="rId217" Type="http://schemas.openxmlformats.org/officeDocument/2006/relationships/image" Target="media/image179.jpeg"/><Relationship Id="rId216" Type="http://schemas.openxmlformats.org/officeDocument/2006/relationships/image" Target="media/image178.jpeg"/><Relationship Id="rId215" Type="http://schemas.openxmlformats.org/officeDocument/2006/relationships/image" Target="media/image177.jpeg"/><Relationship Id="rId214" Type="http://schemas.openxmlformats.org/officeDocument/2006/relationships/image" Target="media/image176.jpeg"/><Relationship Id="rId213" Type="http://schemas.openxmlformats.org/officeDocument/2006/relationships/image" Target="media/image175.jpeg"/><Relationship Id="rId212" Type="http://schemas.openxmlformats.org/officeDocument/2006/relationships/image" Target="media/image174.jpeg"/><Relationship Id="rId211" Type="http://schemas.openxmlformats.org/officeDocument/2006/relationships/image" Target="media/image173.jpeg"/><Relationship Id="rId210" Type="http://schemas.openxmlformats.org/officeDocument/2006/relationships/image" Target="media/image172.jpeg"/><Relationship Id="rId21" Type="http://schemas.openxmlformats.org/officeDocument/2006/relationships/footer" Target="footer14.xml"/><Relationship Id="rId209" Type="http://schemas.openxmlformats.org/officeDocument/2006/relationships/image" Target="media/image171.jpeg"/><Relationship Id="rId208" Type="http://schemas.openxmlformats.org/officeDocument/2006/relationships/image" Target="media/image170.jpeg"/><Relationship Id="rId207" Type="http://schemas.openxmlformats.org/officeDocument/2006/relationships/image" Target="media/image169.jpeg"/><Relationship Id="rId206" Type="http://schemas.openxmlformats.org/officeDocument/2006/relationships/image" Target="media/image168.jpeg"/><Relationship Id="rId205" Type="http://schemas.openxmlformats.org/officeDocument/2006/relationships/image" Target="media/image167.jpeg"/><Relationship Id="rId204" Type="http://schemas.openxmlformats.org/officeDocument/2006/relationships/image" Target="media/image166.jpeg"/><Relationship Id="rId203" Type="http://schemas.openxmlformats.org/officeDocument/2006/relationships/image" Target="media/image165.jpeg"/><Relationship Id="rId202" Type="http://schemas.openxmlformats.org/officeDocument/2006/relationships/image" Target="media/image164.jpeg"/><Relationship Id="rId201" Type="http://schemas.openxmlformats.org/officeDocument/2006/relationships/image" Target="media/image163.jpeg"/><Relationship Id="rId200" Type="http://schemas.openxmlformats.org/officeDocument/2006/relationships/image" Target="media/image162.jpeg"/><Relationship Id="rId20" Type="http://schemas.openxmlformats.org/officeDocument/2006/relationships/footer" Target="footer13.xml"/><Relationship Id="rId2" Type="http://schemas.openxmlformats.org/officeDocument/2006/relationships/settings" Target="settings.xml"/><Relationship Id="rId199" Type="http://schemas.openxmlformats.org/officeDocument/2006/relationships/image" Target="media/image161.jpeg"/><Relationship Id="rId198" Type="http://schemas.openxmlformats.org/officeDocument/2006/relationships/image" Target="media/image160.jpeg"/><Relationship Id="rId197" Type="http://schemas.openxmlformats.org/officeDocument/2006/relationships/image" Target="media/image159.jpeg"/><Relationship Id="rId196" Type="http://schemas.openxmlformats.org/officeDocument/2006/relationships/image" Target="media/image158.jpeg"/><Relationship Id="rId195" Type="http://schemas.openxmlformats.org/officeDocument/2006/relationships/image" Target="media/image157.jpeg"/><Relationship Id="rId194" Type="http://schemas.openxmlformats.org/officeDocument/2006/relationships/image" Target="media/image156.jpeg"/><Relationship Id="rId193" Type="http://schemas.openxmlformats.org/officeDocument/2006/relationships/image" Target="media/image155.jpeg"/><Relationship Id="rId192" Type="http://schemas.openxmlformats.org/officeDocument/2006/relationships/image" Target="media/image154.jpeg"/><Relationship Id="rId191" Type="http://schemas.openxmlformats.org/officeDocument/2006/relationships/image" Target="media/image153.jpeg"/><Relationship Id="rId190" Type="http://schemas.openxmlformats.org/officeDocument/2006/relationships/image" Target="media/image152.png"/><Relationship Id="rId19" Type="http://schemas.openxmlformats.org/officeDocument/2006/relationships/footer" Target="footer12.xml"/><Relationship Id="rId189" Type="http://schemas.openxmlformats.org/officeDocument/2006/relationships/image" Target="media/image151.png"/><Relationship Id="rId188" Type="http://schemas.openxmlformats.org/officeDocument/2006/relationships/image" Target="media/image150.png"/><Relationship Id="rId187" Type="http://schemas.openxmlformats.org/officeDocument/2006/relationships/image" Target="media/image149.png"/><Relationship Id="rId186" Type="http://schemas.openxmlformats.org/officeDocument/2006/relationships/image" Target="media/image148.png"/><Relationship Id="rId185" Type="http://schemas.openxmlformats.org/officeDocument/2006/relationships/image" Target="media/image147.png"/><Relationship Id="rId184" Type="http://schemas.openxmlformats.org/officeDocument/2006/relationships/image" Target="media/image146.png"/><Relationship Id="rId183" Type="http://schemas.openxmlformats.org/officeDocument/2006/relationships/image" Target="media/image145.png"/><Relationship Id="rId182" Type="http://schemas.openxmlformats.org/officeDocument/2006/relationships/image" Target="media/image144.png"/><Relationship Id="rId181" Type="http://schemas.openxmlformats.org/officeDocument/2006/relationships/image" Target="media/image143.png"/><Relationship Id="rId180" Type="http://schemas.openxmlformats.org/officeDocument/2006/relationships/image" Target="media/image142.png"/><Relationship Id="rId18" Type="http://schemas.openxmlformats.org/officeDocument/2006/relationships/footer" Target="footer11.xml"/><Relationship Id="rId179" Type="http://schemas.openxmlformats.org/officeDocument/2006/relationships/image" Target="media/image141.png"/><Relationship Id="rId178" Type="http://schemas.openxmlformats.org/officeDocument/2006/relationships/image" Target="media/image140.png"/><Relationship Id="rId177" Type="http://schemas.openxmlformats.org/officeDocument/2006/relationships/image" Target="media/image139.png"/><Relationship Id="rId176" Type="http://schemas.openxmlformats.org/officeDocument/2006/relationships/image" Target="media/image138.png"/><Relationship Id="rId175" Type="http://schemas.openxmlformats.org/officeDocument/2006/relationships/image" Target="media/image137.png"/><Relationship Id="rId174" Type="http://schemas.openxmlformats.org/officeDocument/2006/relationships/image" Target="media/image136.jpeg"/><Relationship Id="rId173" Type="http://schemas.openxmlformats.org/officeDocument/2006/relationships/image" Target="media/image135.jpeg"/><Relationship Id="rId172" Type="http://schemas.openxmlformats.org/officeDocument/2006/relationships/image" Target="media/image134.jpeg"/><Relationship Id="rId171" Type="http://schemas.openxmlformats.org/officeDocument/2006/relationships/image" Target="media/image133.jpeg"/><Relationship Id="rId170" Type="http://schemas.openxmlformats.org/officeDocument/2006/relationships/image" Target="media/image132.jpeg"/><Relationship Id="rId17" Type="http://schemas.openxmlformats.org/officeDocument/2006/relationships/header" Target="header5.xml"/><Relationship Id="rId169" Type="http://schemas.openxmlformats.org/officeDocument/2006/relationships/image" Target="media/image131.jpeg"/><Relationship Id="rId168" Type="http://schemas.openxmlformats.org/officeDocument/2006/relationships/image" Target="media/image130.jpeg"/><Relationship Id="rId167" Type="http://schemas.openxmlformats.org/officeDocument/2006/relationships/image" Target="media/image129.jpeg"/><Relationship Id="rId166" Type="http://schemas.openxmlformats.org/officeDocument/2006/relationships/image" Target="media/image128.jpeg"/><Relationship Id="rId165" Type="http://schemas.openxmlformats.org/officeDocument/2006/relationships/image" Target="media/image127.jpeg"/><Relationship Id="rId164" Type="http://schemas.openxmlformats.org/officeDocument/2006/relationships/image" Target="media/image126.jpeg"/><Relationship Id="rId163" Type="http://schemas.openxmlformats.org/officeDocument/2006/relationships/image" Target="media/image125.jpeg"/><Relationship Id="rId162" Type="http://schemas.openxmlformats.org/officeDocument/2006/relationships/image" Target="media/image124.jpeg"/><Relationship Id="rId161" Type="http://schemas.openxmlformats.org/officeDocument/2006/relationships/image" Target="media/image123.jpeg"/><Relationship Id="rId160" Type="http://schemas.openxmlformats.org/officeDocument/2006/relationships/image" Target="media/image122.jpeg"/><Relationship Id="rId16" Type="http://schemas.openxmlformats.org/officeDocument/2006/relationships/footer" Target="footer10.xml"/><Relationship Id="rId159" Type="http://schemas.openxmlformats.org/officeDocument/2006/relationships/image" Target="media/image121.jpeg"/><Relationship Id="rId158" Type="http://schemas.openxmlformats.org/officeDocument/2006/relationships/image" Target="media/image120.jpeg"/><Relationship Id="rId157" Type="http://schemas.openxmlformats.org/officeDocument/2006/relationships/image" Target="media/image119.jpeg"/><Relationship Id="rId156" Type="http://schemas.openxmlformats.org/officeDocument/2006/relationships/image" Target="media/image118.jpeg"/><Relationship Id="rId155" Type="http://schemas.openxmlformats.org/officeDocument/2006/relationships/image" Target="media/image117.jpeg"/><Relationship Id="rId154" Type="http://schemas.openxmlformats.org/officeDocument/2006/relationships/image" Target="media/image116.jpeg"/><Relationship Id="rId153" Type="http://schemas.openxmlformats.org/officeDocument/2006/relationships/image" Target="media/image115.jpeg"/><Relationship Id="rId152" Type="http://schemas.openxmlformats.org/officeDocument/2006/relationships/image" Target="media/image114.jpeg"/><Relationship Id="rId151" Type="http://schemas.openxmlformats.org/officeDocument/2006/relationships/image" Target="media/image113.jpeg"/><Relationship Id="rId150" Type="http://schemas.openxmlformats.org/officeDocument/2006/relationships/image" Target="media/image112.jpeg"/><Relationship Id="rId15" Type="http://schemas.openxmlformats.org/officeDocument/2006/relationships/footer" Target="footer9.xml"/><Relationship Id="rId149" Type="http://schemas.openxmlformats.org/officeDocument/2006/relationships/image" Target="media/image111.png"/><Relationship Id="rId148" Type="http://schemas.openxmlformats.org/officeDocument/2006/relationships/image" Target="media/image110.jpeg"/><Relationship Id="rId147" Type="http://schemas.openxmlformats.org/officeDocument/2006/relationships/image" Target="media/image109.jpeg"/><Relationship Id="rId146" Type="http://schemas.openxmlformats.org/officeDocument/2006/relationships/image" Target="media/image108.jpeg"/><Relationship Id="rId145" Type="http://schemas.openxmlformats.org/officeDocument/2006/relationships/image" Target="media/image107.jpeg"/><Relationship Id="rId144" Type="http://schemas.openxmlformats.org/officeDocument/2006/relationships/image" Target="media/image106.jpeg"/><Relationship Id="rId143" Type="http://schemas.openxmlformats.org/officeDocument/2006/relationships/image" Target="media/image105.jpeg"/><Relationship Id="rId142" Type="http://schemas.openxmlformats.org/officeDocument/2006/relationships/image" Target="media/image104.jpeg"/><Relationship Id="rId141" Type="http://schemas.openxmlformats.org/officeDocument/2006/relationships/image" Target="media/image103.jpeg"/><Relationship Id="rId140" Type="http://schemas.openxmlformats.org/officeDocument/2006/relationships/image" Target="media/image102.png"/><Relationship Id="rId14" Type="http://schemas.openxmlformats.org/officeDocument/2006/relationships/footer" Target="footer8.xml"/><Relationship Id="rId139" Type="http://schemas.openxmlformats.org/officeDocument/2006/relationships/image" Target="media/image101.png"/><Relationship Id="rId138" Type="http://schemas.openxmlformats.org/officeDocument/2006/relationships/image" Target="media/image100.png"/><Relationship Id="rId137" Type="http://schemas.openxmlformats.org/officeDocument/2006/relationships/image" Target="media/image99.png"/><Relationship Id="rId136" Type="http://schemas.openxmlformats.org/officeDocument/2006/relationships/image" Target="media/image98.png"/><Relationship Id="rId135" Type="http://schemas.openxmlformats.org/officeDocument/2006/relationships/image" Target="media/image97.png"/><Relationship Id="rId134" Type="http://schemas.openxmlformats.org/officeDocument/2006/relationships/image" Target="media/image96.png"/><Relationship Id="rId133" Type="http://schemas.openxmlformats.org/officeDocument/2006/relationships/image" Target="media/image95.png"/><Relationship Id="rId132" Type="http://schemas.openxmlformats.org/officeDocument/2006/relationships/image" Target="media/image94.png"/><Relationship Id="rId131" Type="http://schemas.openxmlformats.org/officeDocument/2006/relationships/image" Target="media/image93.png"/><Relationship Id="rId130" Type="http://schemas.openxmlformats.org/officeDocument/2006/relationships/image" Target="media/image92.png"/><Relationship Id="rId13" Type="http://schemas.openxmlformats.org/officeDocument/2006/relationships/header" Target="header4.xml"/><Relationship Id="rId129" Type="http://schemas.openxmlformats.org/officeDocument/2006/relationships/image" Target="media/image91.png"/><Relationship Id="rId128" Type="http://schemas.openxmlformats.org/officeDocument/2006/relationships/image" Target="media/image90.png"/><Relationship Id="rId127" Type="http://schemas.openxmlformats.org/officeDocument/2006/relationships/image" Target="media/image89.png"/><Relationship Id="rId126" Type="http://schemas.openxmlformats.org/officeDocument/2006/relationships/image" Target="media/image88.png"/><Relationship Id="rId125" Type="http://schemas.openxmlformats.org/officeDocument/2006/relationships/image" Target="media/image87.png"/><Relationship Id="rId124" Type="http://schemas.openxmlformats.org/officeDocument/2006/relationships/image" Target="media/image86.png"/><Relationship Id="rId123" Type="http://schemas.openxmlformats.org/officeDocument/2006/relationships/image" Target="media/image85.png"/><Relationship Id="rId122" Type="http://schemas.openxmlformats.org/officeDocument/2006/relationships/image" Target="media/image84.png"/><Relationship Id="rId121" Type="http://schemas.openxmlformats.org/officeDocument/2006/relationships/image" Target="media/image83.png"/><Relationship Id="rId120" Type="http://schemas.openxmlformats.org/officeDocument/2006/relationships/image" Target="media/image82.png"/><Relationship Id="rId12" Type="http://schemas.openxmlformats.org/officeDocument/2006/relationships/footer" Target="footer7.xml"/><Relationship Id="rId119" Type="http://schemas.openxmlformats.org/officeDocument/2006/relationships/image" Target="media/image81.png"/><Relationship Id="rId118" Type="http://schemas.openxmlformats.org/officeDocument/2006/relationships/image" Target="media/image80.png"/><Relationship Id="rId117" Type="http://schemas.openxmlformats.org/officeDocument/2006/relationships/image" Target="media/image79.png"/><Relationship Id="rId116" Type="http://schemas.openxmlformats.org/officeDocument/2006/relationships/image" Target="media/image78.png"/><Relationship Id="rId115" Type="http://schemas.openxmlformats.org/officeDocument/2006/relationships/image" Target="media/image77.png"/><Relationship Id="rId114" Type="http://schemas.openxmlformats.org/officeDocument/2006/relationships/image" Target="media/image76.png"/><Relationship Id="rId113" Type="http://schemas.openxmlformats.org/officeDocument/2006/relationships/image" Target="media/image75.png"/><Relationship Id="rId112" Type="http://schemas.openxmlformats.org/officeDocument/2006/relationships/image" Target="media/image74.png"/><Relationship Id="rId111" Type="http://schemas.openxmlformats.org/officeDocument/2006/relationships/image" Target="media/image73.png"/><Relationship Id="rId110" Type="http://schemas.openxmlformats.org/officeDocument/2006/relationships/image" Target="media/image72.png"/><Relationship Id="rId11" Type="http://schemas.openxmlformats.org/officeDocument/2006/relationships/header" Target="header3.xml"/><Relationship Id="rId109" Type="http://schemas.openxmlformats.org/officeDocument/2006/relationships/image" Target="media/image71.png"/><Relationship Id="rId108" Type="http://schemas.openxmlformats.org/officeDocument/2006/relationships/image" Target="media/image70.png"/><Relationship Id="rId107" Type="http://schemas.openxmlformats.org/officeDocument/2006/relationships/image" Target="media/image69.png"/><Relationship Id="rId106" Type="http://schemas.openxmlformats.org/officeDocument/2006/relationships/image" Target="media/image68.png"/><Relationship Id="rId105" Type="http://schemas.openxmlformats.org/officeDocument/2006/relationships/image" Target="media/image67.png"/><Relationship Id="rId104" Type="http://schemas.openxmlformats.org/officeDocument/2006/relationships/image" Target="media/image66.png"/><Relationship Id="rId103" Type="http://schemas.openxmlformats.org/officeDocument/2006/relationships/image" Target="media/image65.jpeg"/><Relationship Id="rId102" Type="http://schemas.openxmlformats.org/officeDocument/2006/relationships/image" Target="media/image64.jpeg"/><Relationship Id="rId101" Type="http://schemas.openxmlformats.org/officeDocument/2006/relationships/image" Target="media/image63.jpeg"/><Relationship Id="rId100" Type="http://schemas.openxmlformats.org/officeDocument/2006/relationships/image" Target="media/image62.png"/><Relationship Id="rId10" Type="http://schemas.openxmlformats.org/officeDocument/2006/relationships/footer" Target="footer6.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9525">
          <a:solidFill>
            <a:schemeClr val="tx1"/>
          </a:solidFill>
          <a:tailEnd type="arrow"/>
        </a:ln>
      </a:spPr>
      <a:bodyPr rot="0" vertOverflow="overflow" horzOverflow="overflow" vert="horz" wrap="square" lIns="91440" tIns="45720" rIns="91440" bIns="45720" numCol="1" spcCol="0" rtlCol="0" fromWordArt="0" anchor="ctr" anchorCtr="0" compatLnSpc="1">
        <a:noAutofit/>
      </a:bodyPr>
      <a:lstStyle/>
      <a:style>
        <a:lnRef idx="2">
          <a:schemeClr val="accent1"/>
        </a:lnRef>
        <a:fillRef idx="0">
          <a:srgbClr val="FFFFFF"/>
        </a:fillRef>
        <a:effectRef idx="0">
          <a:srgbClr val="FFFFFF"/>
        </a:effectRef>
        <a:fontRef idx="minor">
          <a:schemeClr val="tx1"/>
        </a:fontRef>
      </a:style>
    </a:spDef>
    <a:txDef>
      <a:spPr>
        <a:solidFill>
          <a:schemeClr val="lt1"/>
        </a:solidFill>
        <a:ln w="6350">
          <a:solidFill>
            <a:prstClr val="black"/>
          </a:solid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U1MTMxMDM4NDQzIiwKCSJHcm91cElkIiA6ICIxNDI1MjUxODM4IiwKCSJJbWFnZSIgOiAiaVZCT1J3MEtHZ29BQUFBTlNVaEVVZ0FBQWtRQUFBR1NDQVlBQUFBQ2I5NzFBQUFBQVhOU1IwSUFyczRjNlFBQUd2WkpSRUZVZUp6dDNYMmNIVlY5TVBEZm1idlpUWUtKQmh2MUtWUlJxYUVic3JrekYxdTExcmNXbFZKZlMwVXF0bWdWcVJXS0ZTdlZSeDhSMGFLUEw0K3RDdFZpcTdSWUxVVjh4MW9zajJKVnVuYzJDMFN3NFdPbzFLcXh2QVNUa0dUdm5QNnhkOHV5YkJMRTRDN2M3L2Z6NFVQdXpKbHpmM1B2bmJPL09YUE9UQV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"/>
    </extobj>
    <extobj name="ECB019B1-382A-4266-B25C-5B523AA43C14-2">
      <extobjdata type="ECB019B1-382A-4266-B25C-5B523AA43C14" data="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"/>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1626cfa1-a3a6-4693-bf7a-464b66f753be</errorID>
      <errorWord>度</errorWord>
      <group>L1_Word</group>
      <groupName>字词问题</groupName>
      <ability>L2_Typo</ability>
      <abilityName>字词错误</abilityName>
      <candidateList>
        <item>°</item>
      </candidateList>
      <explain/>
      <paraID>73F63AF9</paraID>
      <start>4</start>
      <end>5</end>
      <status>unmodified</status>
      <modifiedWord/>
      <trackRevisions>false</trackRevisions>
    </reviewItem>
    <reviewItem>
      <errorID>7176000b-e9ea-4044-9418-d0dc6e319c6d</errorID>
      <errorWord>分</errorWord>
      <group>L1_Word</group>
      <groupName>字词问题</groupName>
      <ability>L2_Typo</ability>
      <abilityName>字词错误</abilityName>
      <candidateList>
        <item>′</item>
      </candidateList>
      <explain/>
      <paraID>73F63AF9</paraID>
      <start>7</start>
      <end>8</end>
      <status>unmodified</status>
      <modifiedWord/>
      <trackRevisions>false</trackRevisions>
    </reviewItem>
    <reviewItem>
      <errorID>45125bb9-d3ed-4799-99d5-8873ccf5517c</errorID>
      <errorWord>秒</errorWord>
      <group>L1_Word</group>
      <groupName>字词问题</groupName>
      <ability>L2_Typo</ability>
      <abilityName>字词错误</abilityName>
      <candidateList>
        <item>″</item>
      </candidateList>
      <explain/>
      <paraID>73F63AF9</paraID>
      <start>14</start>
      <end>15</end>
      <status>unmodified</status>
      <modifiedWord/>
      <trackRevisions>false</trackRevisions>
    </reviewItem>
    <reviewItem>
      <errorID>f5e3aa4b-cb71-4880-9e98-3286de47b064</errorID>
      <errorWord>分</errorWord>
      <group>L1_Word</group>
      <groupName>字词问题</groupName>
      <ability>L2_Typo</ability>
      <abilityName>字词错误</abilityName>
      <candidateList>
        <item>′</item>
      </candidateList>
      <explain/>
      <paraID>73F63AF9</paraID>
      <start>20</start>
      <end>21</end>
      <status>unmodified</status>
      <modifiedWord/>
      <trackRevisions>false</trackRevisions>
    </reviewItem>
    <reviewItem>
      <errorID>4b19080a-da47-4ce0-8c96-dbbb693f891d</errorID>
      <errorWord>秒</errorWord>
      <group>L1_Word</group>
      <groupName>字词问题</groupName>
      <ability>L2_Typo</ability>
      <abilityName>字词错误</abilityName>
      <candidateList>
        <item>″</item>
      </candidateList>
      <explain/>
      <paraID>73F63AF9</paraID>
      <start>27</start>
      <end>28</end>
      <status>unmodified</status>
      <modifiedWord/>
      <trackRevisions>false</trackRevisions>
    </reviewItem>
    <reviewItem>
      <errorID>4f1c01fe-5c22-4344-9347-0d3b4a1dde1e</errorID>
      <errorWord>1、二噁英、苯并[a]芘、氰化物、氯气且</errorWord>
      <group>L1_Punc</group>
      <groupName>标点问题</groupName>
      <ability>L2_Punc_CN</ability>
      <abilityName>标点符号检查</abilityName>
      <candidateList>
        <item>（包括二噁英、苯并[a]芘、氰化物、氯气等）、</item>
      </candidateList>
      <explain/>
      <paraID>2BA3A548</paraID>
      <start>12</start>
      <end>32</end>
      <status>unmodified</status>
      <modifiedWord/>
      <trackRevisions>false</trackRevisions>
    </reviewItem>
    <reviewItem>
      <errorID>fde89395-04d6-4716-812a-c382d23b3d3b</errorID>
      <errorWord>目标2</errorWord>
      <group>L1_Word</group>
      <groupName>字词问题</groupName>
      <ability>L2_Typo</ability>
      <abilityName>字词错误</abilityName>
      <candidateList>
        <item>目标</item>
      </candidateList>
      <explain/>
      <paraID>2BA3A548</paraID>
      <start>49</start>
      <end>52</end>
      <status>unmodified</status>
      <modifiedWord/>
      <trackRevisions>false</trackRevisions>
    </reviewItem>
    <reviewItem>
      <errorID>c8598115-275c-4bbb-8768-e6708c92a2bf</errorID>
      <errorWord>废气</errorWord>
      <group>L1_Word</group>
      <groupName>字词问题</groupName>
      <ability>L2_Typo</ability>
      <abilityName>字词错误</abilityName>
      <candidateList>
        <item> 废气</item>
      </candidateList>
      <explain/>
      <paraID>4C234612</paraID>
      <start>4</start>
      <end>6</end>
      <status>unmodified</status>
      <modifiedWord/>
      <trackRevisions>false</trackRevisions>
    </reviewItem>
    <reviewItem>
      <errorID>86e2f7a9-6bcb-4eec-a5f6-7bac4f4b81f5</errorID>
      <errorWord>。</errorWord>
      <group>L1_Punc</group>
      <groupName>标点问题</groupName>
      <ability>L2_Punc_CN</ability>
      <abilityName>标点符号检查</abilityName>
      <candidateList>
        <item>；</item>
      </candidateList>
      <explain/>
      <paraID>4C234612</paraID>
      <start>48</start>
      <end>49</end>
      <status>unmodified</status>
      <modifiedWord/>
      <trackRevisions>false</trackRevisions>
    </reviewItem>
    <reviewItem>
      <errorID>4390e0cd-058c-4fa9-ac1c-78b2683d297a</errorID>
      <errorWord>环境空气</errorWord>
      <group>L1_Word</group>
      <groupName>字词问题</groupName>
      <ability>L2_Typo</ability>
      <abilityName>字词错误</abilityName>
      <candidateList>
        <item> 环境空气</item>
      </candidateList>
      <explain/>
      <paraID>5C8F82E2</paraID>
      <start>2</start>
      <end>6</end>
      <status>unmodified</status>
      <modifiedWord/>
      <trackRevisions>false</trackRevisions>
    </reviewItem>
    <reviewItem>
      <errorID>eb557a9d-5362-41d3-bc66-d3b31fdf4522</errorID>
      <errorWord>。</errorWord>
      <group>L1_Punc</group>
      <groupName>标点问题</groupName>
      <ability>L2_Punc_CN</ability>
      <abilityName>标点符号检查</abilityName>
      <candidateList>
        <item>；</item>
      </candidateList>
      <explain/>
      <paraID>5C8F82E2</paraID>
      <start>44</start>
      <end>45</end>
      <status>unmodified</status>
      <modifiedWord/>
      <trackRevisions>false</trackRevisions>
    </reviewItem>
    <reviewItem>
      <errorID>62e0d25d-bf70-4e37-9962-c79efaf32a7d</errorID>
      <errorWord>临界</errorWord>
      <group>L1_Word</group>
      <groupName>字词问题</groupName>
      <ability>L2_Typo</ability>
      <abilityName>字词错误</abilityName>
      <candidateList>
        <item> 临界</item>
      </candidateList>
      <explain/>
      <paraID> 695B53C</paraID>
      <start>2</start>
      <end>4</end>
      <status>unmodified</status>
      <modifiedWord/>
      <trackRevisions>false</trackRevisions>
    </reviewItem>
    <reviewItem>
      <errorID>d3355dad-e0fc-49a9-8085-d14d4af1ba13</errorID>
      <errorWord>。</errorWord>
      <group>L1_Punc</group>
      <groupName>标点问题</groupName>
      <ability>L2_Punc_CN</ability>
      <abilityName>标点符号检查</abilityName>
      <candidateList>
        <item>；</item>
      </candidateList>
      <explain/>
      <paraID> 695B53C</paraID>
      <start>45</start>
      <end>46</end>
      <status>unmodified</status>
      <modifiedWord/>
      <trackRevisions>false</trackRevisions>
    </reviewItem>
    <reviewItem>
      <errorID>f69cf7a2-bb7c-431b-b23f-262600c4f97f</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757A03D7</paraID>
      <start>52</start>
      <end>53</end>
      <status>unmodified</status>
      <modifiedWord/>
      <trackRevisions>false</trackRevisions>
    </reviewItem>
    <reviewItem>
      <errorID>03931b7b-8347-4838-b2c2-32f9ab3247b5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174EDFED</paraID>
      <start>0</start>
      <end>2</end>
      <status>unmodified</status>
      <modifiedWord/>
      <trackRevisions>false</trackRevisions>
    </reviewItem>
    <reviewItem>
      <errorID>55302dab-0a96-4c32-868a-40a412eb5dbd</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174EDFED</paraID>
      <start>34</start>
      <end>35</end>
      <status>unmodified</status>
      <modifiedWord/>
      <trackRevisions>false</trackRevisions>
    </reviewItem>
    <reviewItem>
      <errorID>9a561479-5633-44f3-80cb-6d172606bb57</errorID>
      <errorWord>。</errorWord>
      <group>L1_Punc</group>
      <groupName>标点问题</groupName>
      <ability>L2_Punc_CN</ability>
      <abilityName>标点符号检查</abilityName>
      <candidateList>
        <item/>
      </candidateList>
      <explain/>
      <paraID>6DBDE723</paraID>
      <start>130</start>
      <end>131</end>
      <status>unmodified</status>
      <modifiedWord/>
      <trackRevisions>false</trackRevisions>
    </reviewItem>
    <reviewItem>
      <errorID>8b31179b-ed5b-4da3-91b0-5fe2ba5a538e</errorID>
      <errorWord>的规划</errorWord>
      <group>L1_Grammar</group>
      <groupName>语法问题</groupName>
      <ability>L2_Grammar</ability>
      <abilityName>语法错误</abilityName>
      <candidateList>
        <item>等</item>
      </candidateList>
      <explain/>
      <paraID>6DBDE723</paraID>
      <start>132</start>
      <end>135</end>
      <status>unmodified</status>
      <modifiedWord/>
      <trackRevisions>false</trackRevisions>
    </reviewItem>
    <reviewItem>
      <errorID>d12b6bbe-9cf8-4eeb-beac-60dd91b351c4</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51A913AD</paraID>
      <start>38</start>
      <end>39</end>
      <status>unmodified</status>
      <modifiedWord/>
      <trackRevisions>false</trackRevisions>
    </reviewItem>
    <reviewItem>
      <errorID>d59e3f1c-425b-4a29-9956-20c85d5b8d11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5F49512B</paraID>
      <start>0</start>
      <end>2</end>
      <status>unmodified</status>
      <modifiedWord/>
      <trackRevisions>false</trackRevisions>
    </reviewItem>
    <reviewItem>
      <errorID>d69466b3-3982-4d64-8eb4-2460a7a6c8df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7B3C6FF</paraID>
      <start>0</start>
      <end>2</end>
      <status>unmodified</status>
      <modifiedWord/>
      <trackRevisions>false</trackRevisions>
    </reviewItem>
    <reviewItem>
      <errorID>44d26ae3-3bde-45a3-aecb-eb308cc924db</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4470A56D</paraID>
      <start>36</start>
      <end>37</end>
      <status>unmodified</status>
      <modifiedWord/>
      <trackRevisions>false</trackRevisions>
    </reviewItem>
    <reviewItem>
      <errorID>d1a556dd-58f7-4981-8de1-4c35798c9444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2DA117F2</paraID>
      <start>0</start>
      <end>2</end>
      <status>unmodified</status>
      <modifiedWord/>
      <trackRevisions>false</trackRevisions>
    </reviewItem>
    <reviewItem>
      <errorID>fc6b5c57-e660-4053-8518-28a22445f24f</errorID>
      <errorWord>《</errorWord>
      <group>L1_Punc</group>
      <groupName>标点问题</groupName>
      <ability>L2_Punc_CN</ability>
      <abilityName>标点符号检查</abilityName>
      <candidateList>
        <item>〈</item>
      </candidateList>
      <explain/>
      <paraID>3A14E80A</paraID>
      <start>25</start>
      <end>26</end>
      <status>unmodified</status>
      <modifiedWord/>
      <trackRevisions>false</trackRevisions>
    </reviewItem>
    <reviewItem>
      <errorID>8b97d935-efda-472b-bb53-d5a8e368934a</errorID>
      <errorWord>》</errorWord>
      <group>L1_Punc</group>
      <groupName>标点问题</groupName>
      <ability>L2_Punc_CN</ability>
      <abilityName>标点符号检查</abilityName>
      <candidateList>
        <item>〉</item>
      </candidateList>
      <explain/>
      <paraID>3A14E80A</paraID>
      <start>50</start>
      <end>51</end>
      <status>unmodified</status>
      <modifiedWord/>
      <trackRevisions>false</trackRevisions>
    </reviewItem>
    <reviewItem>
      <errorID>beded069-6a5b-44bf-b6fb-385d59c13ca9</errorID>
      <errorWord>；</errorWord>
      <group>L1_Punc</group>
      <groupName>标点问题</groupName>
      <ability>L2_Punc_CN</ability>
      <abilityName>标点符号检查</abilityName>
      <candidateList>
        <item>。</item>
      </candidateList>
      <explain/>
      <paraID>5348D7BA</paraID>
      <start>35</start>
      <end>36</end>
      <status>unmodified</status>
      <modifiedWord/>
      <trackRevisions>false</trackRevisions>
    </reviewItem>
    <reviewItem>
      <errorID>8c72763d-4a93-4eec-bbe9-23c200c27bfd</errorID>
      <errorWord>工业、</errorWord>
      <group>L1_Grammar</group>
      <groupName>语法问题</groupName>
      <ability>L2_Grammar</ability>
      <abilityName>语法错误</abilityName>
      <candidateList>
        <item>的工业企业和</item>
      </candidateList>
      <explain/>
      <paraID>5E006A76</paraID>
      <start>10</start>
      <end>13</end>
      <status>unmodified</status>
      <modifiedWord/>
      <trackRevisions>false</trackRevisions>
    </reviewItem>
    <reviewItem>
      <errorID>2478855b-c3a0-46b2-a06f-a5b0581dd91d</errorID>
      <errorWord>，</errorWord>
      <group>L1_Word</group>
      <groupName>字词问题</groupName>
      <ability>L2_Typo</ability>
      <abilityName>字词错误</abilityName>
      <candidateList>
        <item>应应</item>
      </candidateList>
      <explain/>
      <paraID>301ED67C</paraID>
      <start>36</start>
      <end>37</end>
      <status>unmodified</status>
      <modifiedWord/>
      <trackRevisions>false</trackRevisions>
    </reviewItem>
    <reviewItem>
      <errorID>7902d624-bba7-4711-86be-11c42492b9db</errorID>
      <errorWord>生态和环境保护</errorWord>
      <group>L1_Political</group>
      <groupName>政治性问题</groupName>
      <ability>L2_Keyword</ability>
      <abilityName>固定表述</abilityName>
      <candidateList>
        <item>生态环境保护</item>
      </candidateList>
      <explain>词汇“生态环境保护”在特定场景下为固定表述形式，请确认此处的“生态和环境保护”是否存在不当。</explain>
      <paraID>7FF2DF2D</paraID>
      <start>103</start>
      <end>109</end>
      <status>modified</status>
      <modifiedWord>生态环境保护</modifiedWord>
      <trackRevisions>false</trackRevisions>
    </reviewItem>
    <reviewItem>
      <errorID>fd28c36f-f133-4632-b443-09720da20758</errorID>
      <errorWord>提升</errorWord>
      <group>L1_Word</group>
      <groupName>字词问题</groupName>
      <ability>L2_Typo</ability>
      <abilityName>字词错误</abilityName>
      <candidateList>
        <item>在</item>
      </candidateList>
      <explain/>
      <paraID>7FF2DF2D</paraID>
      <start>110</start>
      <end>112</end>
      <status>unmodified</status>
      <modifiedWord/>
      <trackRevisions>false</trackRevisions>
    </reviewItem>
    <reviewItem>
      <errorID>6e0ce48d-5a8f-42b8-a0e7-b3fbca420eae</errorID>
      <errorWord>符 合</errorWord>
      <group>L1_Word</group>
      <groupName>字词问题</groupName>
      <ability>L2_Typo</ability>
      <abilityName>字词错误</abilityName>
      <candidateList>
        <item>符合</item>
      </candidateList>
      <explain/>
      <paraID>40C64882</paraID>
      <start>0</start>
      <end>3</end>
      <status>unmodified</status>
      <modifiedWord/>
      <trackRevisions>false</trackRevisions>
    </reviewItem>
    <reviewItem>
      <errorID>63322b3b-4eec-41cd-869f-56a9a0efbdef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4195A0CD</paraID>
      <start>0</start>
      <end>2</end>
      <status>unmodified</status>
      <modifiedWord/>
      <trackRevisions>false</trackRevisions>
    </reviewItem>
    <reviewItem>
      <errorID>25e477d6-cc25-4109-8d08-86137b1a2a27</errorID>
      <errorWord>，</errorWord>
      <group>L1_Punc</group>
      <groupName>标点问题</groupName>
      <ability>L2_Punc_CN</ability>
      <abilityName>标点符号检查</abilityName>
      <candidateList/>
      <explain/>
      <paraID>6C76FEAA</paraID>
      <start>0</start>
      <end>1</end>
      <status>unmodified</status>
      <modifiedWord/>
      <trackRevisions>false</trackRevisions>
    </reviewItem>
    <reviewItem>
      <errorID>80a50722-a0d8-43a8-bbb3-bc68931bd0c9</errorID>
      <errorWord>资源节约高效利用</errorWord>
      <group>L1_Political</group>
      <groupName>政治性问题</groupName>
      <ability>L2_Keyword</ability>
      <abilityName>固定表述</abilityName>
      <candidateList>
        <item>资源节约集约利用</item>
      </candidateList>
      <explain>词汇“资源节约集约利用”在特定场景下为固定表述形式，请确认此处的“资源节约高效利用”是否存在不当。</explain>
      <paraID> 7FD75C8</paraID>
      <start>12</start>
      <end>20</end>
      <status>modified</status>
      <modifiedWord>资源节约集约利用</modifiedWord>
      <trackRevisions>false</trackRevisions>
    </reviewItem>
    <reviewItem>
      <errorID>fe53dcba-0113-419e-b0be-36d6ad91c0d1</errorID>
      <errorWord>（</errorWord>
      <group>L1_Punc</group>
      <groupName>标点问题</groupName>
      <ability>L2_Punc_CN</ability>
      <abilityName>标点符号检查</abilityName>
      <candidateList>
        <item/>
      </candidateList>
      <explain/>
      <paraID>726458ED</paraID>
      <start>0</start>
      <end>1</end>
      <status>unmodified</status>
      <modifiedWord/>
      <trackRevisions>false</trackRevisions>
    </reviewItem>
    <reviewItem>
      <errorID>113da8cc-fb31-4fd1-92ec-b747c6d59005</errorID>
      <errorWord>（</errorWord>
      <group>L1_Punc</group>
      <groupName>标点问题</groupName>
      <ability>L2_Punc_CN</ability>
      <abilityName>标点符号检查</abilityName>
      <candidateList/>
      <explain>同一形式括号套用。</explain>
      <paraID>726458ED</paraID>
      <start>1</start>
      <end>2</end>
      <status>unmodified</status>
      <modifiedWord/>
      <trackRevisions>false</trackRevisions>
    </reviewItem>
    <reviewItem>
      <errorID>4e773ce0-dab8-4b7a-8f9c-09a021644e82</errorID>
      <errorWord>）</errorWord>
      <group>L1_Punc</group>
      <groupName>标点问题</groupName>
      <ability>L2_Punc_CN</ability>
      <abilityName>标点符号检查</abilityName>
      <candidateList>
        <item/>
      </candidateList>
      <explain/>
      <paraID>726458ED</paraID>
      <start>5</start>
      <end>6</end>
      <status>unmodified</status>
      <modifiedWord/>
      <trackRevisions>false</trackRevisions>
    </reviewItem>
    <reviewItem>
      <errorID>3d1e874e-b4d2-4e56-8aac-add2280de127</errorID>
      <errorWord>，</errorWord>
      <group>L1_Punc</group>
      <groupName>标点问题</groupName>
      <ability>L2_Punc_CN</ability>
      <abilityName>标点符号检查</abilityName>
      <candidateList/>
      <explain/>
      <paraID>5C019FE2</paraID>
      <start>0</start>
      <end>1</end>
      <status>unmodified</status>
      <modifiedWord/>
      <trackRevisions>false</trackRevisions>
    </reviewItem>
    <reviewItem>
      <errorID>45202ae4-482b-4a4c-8722-03038035ae3a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39C8D316</paraID>
      <start>0</start>
      <end>2</end>
      <status>unmodified</status>
      <modifiedWord/>
      <trackRevisions>false</trackRevisions>
    </reviewItem>
    <reviewItem>
      <errorID>e16e2169-4bd7-485f-99a4-5c30ea7b1021</errorID>
      <errorWord>－</errorWord>
      <group>L1_Punc</group>
      <groupName>标点问题</groupName>
      <ability>L2_Punc_CN</ability>
      <abilityName>标点符号检查</abilityName>
      <candidateList>
        <item>-</item>
      </candidateList>
      <explain/>
      <paraID>5EE146B4</paraID>
      <start>189</start>
      <end>190</end>
      <status>unmodified</status>
      <modifiedWord/>
      <trackRevisions>false</trackRevisions>
    </reviewItem>
    <reviewItem>
      <errorID>050c802a-4cb5-4113-b22f-5b3f141da7fc</errorID>
      <errorWord>－</errorWord>
      <group>L1_Punc</group>
      <groupName>标点问题</groupName>
      <ability>L2_Punc_CN</ability>
      <abilityName>标点符号检查</abilityName>
      <candidateList>
        <item>-</item>
      </candidateList>
      <explain/>
      <paraID>5EE146B4</paraID>
      <start>211</start>
      <end>212</end>
      <status>unmodified</status>
      <modifiedWord/>
      <trackRevisions>false</trackRevisions>
    </reviewItem>
    <reviewItem>
      <errorID>6f5318d4-09c6-4aa0-87db-d27a9d2c0ede</errorID>
      <errorWord>，</errorWord>
      <group>L1_Punc</group>
      <groupName>标点问题</groupName>
      <ability>L2_Punc_CN</ability>
      <abilityName>标点符号检查</abilityName>
      <candidateList>
        <item>,</item>
      </candidateList>
      <explain/>
      <paraID>5EE146B4</paraID>
      <start>217</start>
      <end>218</end>
      <status>unmodified</status>
      <modifiedWord/>
      <trackRevisions>false</trackRevisions>
    </reviewItem>
    <reviewItem>
      <errorID>42f7bae0-bff2-4536-ae40-7e163fb5e01c</errorID>
      <errorWord>胶粘剂</errorWord>
      <group>L1_Word</group>
      <groupName>字词问题</groupName>
      <ability>L2_Typo</ability>
      <abilityName>字词错误</abilityName>
      <candidateList>
        <item>胶黏剂</item>
      </candidateList>
      <explain/>
      <paraID>4B13D8A7</paraID>
      <start>424</start>
      <end>427</end>
      <status>unmodified</status>
      <modifiedWord/>
      <trackRevisions>false</trackRevisions>
    </reviewItem>
    <reviewItem>
      <errorID>feed3459-4753-493b-b4a3-f84d91fc74b2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2EE17FA1</paraID>
      <start>0</start>
      <end>2</end>
      <status>unmodified</status>
      <modifiedWord/>
      <trackRevisions>false</trackRevisions>
    </reviewItem>
    <reviewItem>
      <errorID>ee66ef4a-efe8-432f-ba2a-0913c1de3225</errorID>
      <errorWord>胶粘剂</errorWord>
      <group>L1_Word</group>
      <groupName>字词问题</groupName>
      <ability>L2_Typo</ability>
      <abilityName>字词错误</abilityName>
      <candidateList>
        <item>胶黏剂</item>
      </candidateList>
      <explain/>
      <paraID>59D6C694</paraID>
      <start>56</start>
      <end>59</end>
      <status>unmodified</status>
      <modifiedWord/>
      <trackRevisions>false</trackRevisions>
    </reviewItem>
    <reviewItem>
      <errorID>4f738c68-5f2a-4af3-9321-46d31ee60e11</errorID>
      <errorWord>石蜡油</errorWord>
      <group>L1_Knowledge</group>
      <groupName>知识性问题</groupName>
      <ability>L2_Term</ability>
      <abilityName>专业术语</abilityName>
      <candidateList>
        <item>液状石蜡</item>
      </candidateList>
      <explain>医学名词[石蜡油]为不规范表述或旧称，其规范书面表述为[液状石蜡]。</explain>
      <paraID>23BD75D0</paraID>
      <start>7</start>
      <end>10</end>
      <status>unmodified</status>
      <modifiedWord/>
      <trackRevisions>false</trackRevisions>
    </reviewItem>
    <reviewItem>
      <errorID>8b62246d-1997-47e6-8037-f356759c0703</errorID>
      <errorWord>胶粘剂</errorWord>
      <group>L1_Word</group>
      <groupName>字词问题</groupName>
      <ability>L2_Typo</ability>
      <abilityName>字词错误</abilityName>
      <candidateList>
        <item>胶黏剂</item>
      </candidateList>
      <explain/>
      <paraID> 9CAE46B</paraID>
      <start>90</start>
      <end>93</end>
      <status>unmodified</status>
      <modifiedWord/>
      <trackRevisions>false</trackRevisions>
    </reviewItem>
    <reviewItem>
      <errorID>548bbcaf-f066-4d6e-bf07-aad3fb2b1e0c</errorID>
      <errorWord>含有</errorWord>
      <group>L1_Word</group>
      <groupName>字词问题</groupName>
      <ability>L2_Typo</ability>
      <abilityName>字词错误</abilityName>
      <candidateList>
        <item>含油</item>
      </candidateList>
      <explain>存在发音相同字词的误用。</explain>
      <paraID>707A6DC6</paraID>
      <start>5</start>
      <end>7</end>
      <status>unmodified</status>
      <modifiedWord/>
      <trackRevisions>false</trackRevisions>
    </reviewItem>
    <reviewItem>
      <errorID>5be2be50-9f55-48d0-81da-0721bd559b21</errorID>
      <errorWord>胶粘剂</errorWord>
      <group>L1_Word</group>
      <groupName>字词问题</groupName>
      <ability>L2_Typo</ability>
      <abilityName>字词错误</abilityName>
      <candidateList>
        <item>胶黏剂</item>
      </candidateList>
      <explain/>
      <paraID> F687B70</paraID>
      <start>50</start>
      <end>53</end>
      <status>unmodified</status>
      <modifiedWord/>
      <trackRevisions>false</trackRevisions>
    </reviewItem>
    <reviewItem>
      <errorID>df3bf5d6-05a1-4a2a-9818-37226c383141</errorID>
      <errorWord>胶粘剂</errorWord>
      <group>L1_Word</group>
      <groupName>字词问题</groupName>
      <ability>L2_Typo</ability>
      <abilityName>字词错误</abilityName>
      <candidateList>
        <item>胶黏剂</item>
      </candidateList>
      <explain/>
      <paraID>3DF3E2ED</paraID>
      <start>14</start>
      <end>17</end>
      <status>unmodified</status>
      <modifiedWord/>
      <trackRevisions>false</trackRevisions>
    </reviewItem>
    <reviewItem>
      <errorID>c67b10db-4ed1-43a0-8160-762ae48cecae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3A5E1B1</paraID>
      <start>0</start>
      <end>2</end>
      <status>unmodified</status>
      <modifiedWord/>
      <trackRevisions>false</trackRevisions>
    </reviewItem>
    <reviewItem>
      <errorID>f1e71a27-616e-4eed-81d5-80d060cb4ea2</errorID>
      <errorWord>胶粘剂</errorWord>
      <group>L1_Word</group>
      <groupName>字词问题</groupName>
      <ability>L2_Typo</ability>
      <abilityName>字词错误</abilityName>
      <candidateList>
        <item>胶黏剂</item>
      </candidateList>
      <explain/>
      <paraID> E24A48C</paraID>
      <start>88</start>
      <end>91</end>
      <status>unmodified</status>
      <modifiedWord/>
      <trackRevisions>false</trackRevisions>
    </reviewItem>
    <reviewItem>
      <errorID>922a25d0-58a5-4123-937d-ea0df976c9c3</errorID>
      <errorWord>胶粘剂</errorWord>
      <group>L1_Word</group>
      <groupName>字词问题</groupName>
      <ability>L2_Typo</ability>
      <abilityName>字词错误</abilityName>
      <candidateList>
        <item>胶黏剂</item>
      </candidateList>
      <explain/>
      <paraID>3D881A4E</paraID>
      <start>105</start>
      <end>108</end>
      <status>unmodified</status>
      <modifiedWord/>
      <trackRevisions>false</trackRevisions>
    </reviewItem>
    <reviewItem>
      <errorID>ad291e3e-d298-4fd2-81a6-c8e31a8ce4cc</errorID>
      <errorWord>胶黏剂</errorWord>
      <group>L1_Word</group>
      <groupName>字词问题</groupName>
      <ability>L2_Typo</ability>
      <abilityName>字词错误</abilityName>
      <candidateList>
        <item>胶粘剂</item>
      </candidateList>
      <explain/>
      <paraID> D17D0A3</paraID>
      <start>20</start>
      <end>23</end>
      <status>unmodified</status>
      <modifiedWord/>
      <trackRevisions>false</trackRevisions>
    </reviewItem>
    <reviewItem>
      <errorID>820505fd-c484-413a-ab61-0ce2d7882af3</errorID>
      <errorWord>处理处置</errorWord>
      <group>L1_Grammar</group>
      <groupName>语法问题</groupName>
      <ability>L2_Grammar</ability>
      <abilityName>语法错误</abilityName>
      <candidateList>
        <item>处理</item>
      </candidateList>
      <explain/>
      <paraID>18FC9EEE</paraID>
      <start>118</start>
      <end>122</end>
      <status>unmodified</status>
      <modifiedWord/>
      <trackRevisions>false</trackRevisions>
    </reviewItem>
    <reviewItem>
      <errorID>7fbbc944-3ffb-4587-849f-c405b4045051</errorID>
      <errorWord>其它</errorWord>
      <group>L1_Word</group>
      <groupName>字词问题</groupName>
      <ability>L2_Alias</ability>
      <abilityName>也作/曾用词</abilityName>
      <candidateList>
        <item>其他</item>
      </candidateList>
      <explain>词汇[其它]为不规范表述或旧称，其规范书面表述为[其他]。</explain>
      <paraID>6AF6F3F5</paraID>
      <start>0</start>
      <end>2</end>
      <status>unmodified</status>
      <modifiedWord/>
      <trackRevisions>false</trackRevisions>
    </reviewItem>
    <reviewItem>
      <errorID>c89ef52e-f4ac-4c52-a696-cc4925474adb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2562D0CB</paraID>
      <start>0</start>
      <end>2</end>
      <status>unmodified</status>
      <modifiedWord/>
      <trackRevisions>false</trackRevisions>
    </reviewItem>
    <reviewItem>
      <errorID>fe39f8fc-0152-42f2-8c7c-12236c3ff951</errorID>
      <errorWord>小</errorWord>
      <group>L1_Word</group>
      <groupName>字词问题</groupName>
      <ability>L2_Typo</ability>
      <abilityName>字词错误</abilityName>
      <candidateList>
        <item>少</item>
      </candidateList>
      <explain/>
      <paraID> C2CB915</paraID>
      <start>226</start>
      <end>227</end>
      <status>unmodified</status>
      <modifiedWord/>
      <trackRevisions>false</trackRevisions>
    </reviewItem>
    <reviewItem>
      <errorID>13d7d19c-71a7-453b-a583-c25e51fda7a6</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83E7A8D</paraID>
      <start>0</start>
      <end>2</end>
      <status>unmodified</status>
      <modifiedWord/>
      <trackRevisions>false</trackRevisions>
    </reviewItem>
    <reviewItem>
      <errorID>9fac84c0-c05c-4f28-9e73-f908ef0c5d14</errorID>
      <errorWord>程</errorWord>
      <group>L1_Word</group>
      <groupName>字词问题</groupName>
      <ability>L2_Typo</ability>
      <abilityName>字词错误</abilityName>
      <candidateList>
        <item>程中</item>
      </candidateList>
      <explain/>
      <paraID> DB7080F</paraID>
      <start>169</start>
      <end>170</end>
      <status>unmodified</status>
      <modifiedWord/>
      <trackRevisions>false</trackRevisions>
    </reviewItem>
    <reviewItem>
      <errorID>396f9faa-fa47-4d00-8782-fbbfe18ddee6</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4C9AC1C2</paraID>
      <start>0</start>
      <end>3</end>
      <status>unmodified</status>
      <modifiedWord/>
      <trackRevisions>false</trackRevisions>
    </reviewItem>
    <reviewItem>
      <errorID>daeecbe4-97b0-4714-8692-99e03ba183fa</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4256CC40</paraID>
      <start>0</start>
      <end>3</end>
      <status>unmodified</status>
      <modifiedWord/>
      <trackRevisions>false</trackRevisions>
    </reviewItem>
    <reviewItem>
      <errorID>2ec7df08-6149-429e-9d4a-03a4cef2f5db</errorID>
      <errorWord>城乡结合部</errorWord>
      <group>L1_Word</group>
      <groupName>字词问题</groupName>
      <ability>L2_Typo</ability>
      <abilityName>字词错误</abilityName>
      <candidateList>
        <item>城乡接合部</item>
      </candidateList>
      <explain/>
      <paraID>592F0A44</paraID>
      <start>55</start>
      <end>60</end>
      <status>unmodified</status>
      <modifiedWord/>
      <trackRevisions>false</trackRevisions>
    </reviewItem>
    <reviewItem>
      <errorID>87f48d16-44a0-4b90-8cac-f012cb2c93f8</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45FBEF82</paraID>
      <start>0</start>
      <end>3</end>
      <status>unmodified</status>
      <modifiedWord/>
      <trackRevisions>false</trackRevisions>
    </reviewItem>
    <reviewItem>
      <errorID>d186a067-1430-4a64-b968-d3eaee0f1d0b</errorID>
      <errorWord>城乡结合部</errorWord>
      <group>L1_Word</group>
      <groupName>字词问题</groupName>
      <ability>L2_Typo</ability>
      <abilityName>字词错误</abilityName>
      <candidateList>
        <item>城乡接合部</item>
      </candidateList>
      <explain/>
      <paraID> 2596CD6</paraID>
      <start>118</start>
      <end>123</end>
      <status>unmodified</status>
      <modifiedWord/>
      <trackRevisions>false</trackRevisions>
    </reviewItem>
    <reviewItem>
      <errorID>3551282f-36e9-4355-b48e-b237fe99017a</errorID>
      <errorWord>）</errorWord>
      <group>L1_Punc</group>
      <groupName>标点问题</groupName>
      <ability>L2_Punc_CN</ability>
      <abilityName>标点符号检查</abilityName>
      <candidateList>
        <item>）。</item>
      </candidateList>
      <explain/>
      <paraID>1D88DDD9</paraID>
      <start>24</start>
      <end>25</end>
      <status>unmodified</status>
      <modifiedWord/>
      <trackRevisions>false</trackRevisions>
    </reviewItem>
    <reviewItem>
      <errorID>5d3a4239-647e-4f7e-8eb8-75bd40a1fc2e</errorID>
      <errorWord>，</errorWord>
      <group>L1_Punc</group>
      <groupName>标点问题</groupName>
      <ability>L2_Punc_CN</ability>
      <abilityName>标点符号检查</abilityName>
      <candidateList/>
      <explain/>
      <paraID>3B90ADD3</paraID>
      <start>0</start>
      <end>1</end>
      <status>unmodified</status>
      <modifiedWord/>
      <trackRevisions>false</trackRevisions>
    </reviewItem>
    <reviewItem>
      <errorID>4c8e975a-3ce2-4cb9-be8e-67c7e50400a8</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3D663681</paraID>
      <start>0</start>
      <end>3</end>
      <status>unmodified</status>
      <modifiedWord/>
      <trackRevisions>false</trackRevisions>
    </reviewItem>
    <reviewItem>
      <errorID>cf8e8fc0-d67b-4d47-abb5-ff530f398e35</errorID>
      <errorWord>污水厂</errorWord>
      <group>L1_Word</group>
      <groupName>字词问题</groupName>
      <ability>L2_Typo</ability>
      <abilityName>字词错误</abilityName>
      <candidateList>
        <item>污水处理厂</item>
      </candidateList>
      <explain/>
      <paraID>5A19E39B</paraID>
      <start>60</start>
      <end>63</end>
      <status>unmodified</status>
      <modifiedWord/>
      <trackRevisions>false</trackRevisions>
    </reviewItem>
    <reviewItem>
      <errorID>d035133f-13ea-47f9-a410-b8d19f10a8f6</errorID>
      <errorWord>污水厂</errorWord>
      <group>L1_Word</group>
      <groupName>字词问题</groupName>
      <ability>L2_Typo</ability>
      <abilityName>字词错误</abilityName>
      <candidateList>
        <item>污水处理厂</item>
      </candidateList>
      <explain/>
      <paraID>5A19E39B</paraID>
      <start>79</start>
      <end>82</end>
      <status>unmodified</status>
      <modifiedWord/>
      <trackRevisions>false</trackRevisions>
    </reviewItem>
    <reviewItem>
      <errorID>3cb8fc9a-bae4-4ccd-b162-5286a751fa6b</errorID>
      <errorWord>（</errorWord>
      <group>L1_Punc</group>
      <groupName>标点问题</groupName>
      <ability>L2_Punc_CN</ability>
      <abilityName>标点符号检查</abilityName>
      <candidateList/>
      <explain>同一形式括号套用。</explain>
      <paraID>65659A51</paraID>
      <start>67</start>
      <end>68</end>
      <status>unmodified</status>
      <modifiedWord/>
      <trackRevisions>false</trackRevisions>
    </reviewItem>
    <reviewItem>
      <errorID>254d4fc3-d6b0-4f8a-a261-8e530e0e401e</errorID>
      <errorWord>）</errorWord>
      <group>L1_Punc</group>
      <groupName>标点问题</groupName>
      <ability>L2_Punc_CN</ability>
      <abilityName>标点符号检查</abilityName>
      <candidateList/>
      <explain>同一形式括号套用。</explain>
      <paraID>65659A51</paraID>
      <start>71</start>
      <end>72</end>
      <status>unmodified</status>
      <modifiedWord/>
      <trackRevisions>false</trackRevisions>
    </reviewItem>
    <reviewItem>
      <errorID>e39b9f65-c0be-4f1d-9a2f-4d46323d8194</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6B7A8A28</paraID>
      <start>0</start>
      <end>3</end>
      <status>unmodified</status>
      <modifiedWord/>
      <trackRevisions>false</trackRevisions>
    </reviewItem>
    <reviewItem>
      <errorID>d59506bd-043d-4ab3-b0e4-95bd89ec1674</errorID>
      <errorWord>县（市）区</errorWord>
      <group>L1_Word</group>
      <groupName>字词问题</groupName>
      <ability>L2_Typo</ability>
      <abilityName>字词错误</abilityName>
      <candidateList>
        <item>县（市、区）</item>
      </candidateList>
      <explain/>
      <paraID>2AA1FFC0</paraID>
      <start>38</start>
      <end>43</end>
      <status>unmodified</status>
      <modifiedWord/>
      <trackRevisions>false</trackRevisions>
    </reviewItem>
    <reviewItem>
      <errorID>75b6a2c5-460e-4c9a-bf1d-690318154a5a</errorID>
      <errorWord>胶粘剂</errorWord>
      <group>L1_Word</group>
      <groupName>字词问题</groupName>
      <ability>L2_Typo</ability>
      <abilityName>字词错误</abilityName>
      <candidateList>
        <item>胶黏剂</item>
      </candidateList>
      <explain/>
      <paraID>5109B93E</paraID>
      <start>72</start>
      <end>75</end>
      <status>unmodified</status>
      <modifiedWord/>
      <trackRevisions>false</trackRevisions>
    </reviewItem>
    <reviewItem>
      <errorID>44c4df75-a34e-417d-9876-d180dc06aa3e</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13E92514</paraID>
      <start>0</start>
      <end>3</end>
      <status>unmodified</status>
      <modifiedWord/>
      <trackRevisions>false</trackRevisions>
    </reviewItem>
    <reviewItem>
      <errorID>a0dbcb6a-9d25-478b-9e77-410507d73fca</errorID>
      <errorWord>，</errorWord>
      <group>L1_Punc</group>
      <groupName>标点问题</groupName>
      <ability>L2_Punc_CN</ability>
      <abilityName>标点符号检查</abilityName>
      <candidateList>
        <item/>
      </candidateList>
      <explain/>
      <paraID>5DE15D0F</paraID>
      <start>35</start>
      <end>36</end>
      <status>unmodified</status>
      <modifiedWord/>
      <trackRevisions>false</trackRevisions>
    </reviewItem>
    <reviewItem>
      <errorID>22931020-9293-4367-a282-f9d1bd36651f</errorID>
      <errorWord>分析</errorWord>
      <group>L1_Punc</group>
      <groupName>标点问题</groupName>
      <ability>L2_Punc_CN</ability>
      <abilityName>标点符号检查</abilityName>
      <candidateList>
        <item>分析。</item>
      </candidateList>
      <explain/>
      <paraID>5DE15D0F</paraID>
      <start>90</start>
      <end>92</end>
      <status>unmodified</status>
      <modifiedWord/>
      <trackRevisions>false</trackRevisions>
    </reviewItem>
    <reviewItem>
      <errorID>49b775db-8d48-48d8-8e69-e06524a4f23b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574273B5</paraID>
      <start>0</start>
      <end>2</end>
      <status>unmodified</status>
      <modifiedWord/>
      <trackRevisions>false</trackRevisions>
    </reviewItem>
    <reviewItem>
      <errorID>d7c4f963-de69-40db-a686-b3370285e8a9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253B320A</paraID>
      <start>0</start>
      <end>2</end>
      <status>unmodified</status>
      <modifiedWord/>
      <trackRevisions>false</trackRevisions>
    </reviewItem>
    <reviewItem>
      <errorID>1c84124c-a545-427d-bbf3-23f65403a53c</errorID>
      <errorWord>拟</errorWord>
      <group>L1_Word</group>
      <groupName>字词问题</groupName>
      <ability>L2_Typo</ability>
      <abilityName>字词错误</abilityName>
      <candidateList>
        <item>，</item>
      </candidateList>
      <explain/>
      <paraID>76DF9480</paraID>
      <start>12</start>
      <end>13</end>
      <status>unmodified</status>
      <modifiedWord/>
      <trackRevisions>false</trackRevisions>
    </reviewItem>
    <reviewItem>
      <errorID>71986f9a-e412-4d09-ad65-6bff7122d29f</errorID>
      <errorWord>其它</errorWord>
      <group>L1_Word</group>
      <groupName>字词问题</groupName>
      <ability>L2_Alias</ability>
      <abilityName>也作/曾用词</abilityName>
      <candidateList>
        <item>其他</item>
      </candidateList>
      <explain>词汇[其它]为不规范表述或旧称，其规范书面表述为[其他]。</explain>
      <paraID>76DF9480</paraID>
      <start>147</start>
      <end>149</end>
      <status>unmodified</status>
      <modifiedWord/>
      <trackRevisions>false</trackRevisions>
    </reviewItem>
    <reviewItem>
      <errorID>9f82e6df-0e64-4d1e-bce5-73570a21e060</errorID>
      <errorWord>工</errorWord>
      <group>L1_Word</group>
      <groupName>字词问题</groupName>
      <ability>L2_Typo</ability>
      <abilityName>字词错误</abilityName>
      <candidateList>
        <item>工程</item>
      </candidateList>
      <explain/>
      <paraID>76DF9480</paraID>
      <start>149</start>
      <end>150</end>
      <status>unmodified</status>
      <modifiedWord/>
      <trackRevisions>false</trackRevisions>
    </reviewItem>
    <reviewItem>
      <errorID>c1fa5f0a-fcb6-47cf-9d3a-8397fb0fd06a</errorID>
      <errorWord>2</errorWord>
      <group>L1_Word</group>
      <groupName>字词问题</groupName>
      <ability>L2_Typo</ability>
      <abilityName>字词错误</abilityName>
      <candidateList>
        <item>的2</item>
      </candidateList>
      <explain/>
      <paraID>28CAC297</paraID>
      <start>12</start>
      <end>13</end>
      <status>unmodified</status>
      <modifiedWord/>
      <trackRevisions>false</trackRevisions>
    </reviewItem>
    <reviewItem>
      <errorID>4431b657-be95-45fe-9ab8-ecfe0121d7c2</errorID>
      <errorWord>另行环保</errorWord>
      <group>L1_Grammar</group>
      <groupName>语法问题</groupName>
      <ability>L2_Grammar</ability>
      <abilityName>语法错误</abilityName>
      <candidateList>
        <item>需另行办理环保</item>
      </candidateList>
      <explain/>
      <paraID>28CAC297</paraID>
      <start>42</start>
      <end>46</end>
      <status>unmodified</status>
      <modifiedWord/>
      <trackRevisions>false</trackRevisions>
    </reviewItem>
    <reviewItem>
      <errorID>2f0bd91c-55f5-4512-8b2f-80e5c33dbdbc</errorID>
      <errorWord> </errorWord>
      <group>L1_Punc</group>
      <groupName>标点问题</groupName>
      <ability>L2_Punc_CN</ability>
      <abilityName>标点符号检查</abilityName>
      <candidateList>
        <item>·</item>
      </candidateList>
      <explain/>
      <paraID> 4D4B5A5</paraID>
      <start>14</start>
      <end>15</end>
      <status>unmodified</status>
      <modifiedWord/>
      <trackRevisions>false</trackRevisions>
    </reviewItem>
    <reviewItem>
      <errorID>380ad3e8-b6c9-4caf-be8e-0202df658d32</errorID>
      <errorWord>接受</errorWord>
      <group>L1_Word</group>
      <groupName>字词问题</groupName>
      <ability>L2_Typo</ability>
      <abilityName>字词错误</abilityName>
      <candidateList>
        <item>接收</item>
      </candidateList>
      <explain>存在发音相同字词的误用。</explain>
      <paraID>384A0696</paraID>
      <start>102</start>
      <end>104</end>
      <status>unmodified</status>
      <modifiedWord/>
      <trackRevisions>false</trackRevisions>
    </reviewItem>
    <reviewItem>
      <errorID>130ca052-627d-4b1d-8e36-f09d210434b0</errorID>
      <errorWord>接受</errorWord>
      <group>L1_Word</group>
      <groupName>字词问题</groupName>
      <ability>L2_Typo</ability>
      <abilityName>字词错误</abilityName>
      <candidateList>
        <item>接收</item>
      </candidateList>
      <explain>存在发音相同字词的误用。</explain>
      <paraID>5A1D84CA</paraID>
      <start>102</start>
      <end>104</end>
      <status>unmodified</status>
      <modifiedWord/>
      <trackRevisions>false</trackRevisions>
    </reviewItem>
    <reviewItem>
      <errorID>e6d88d86-9283-418f-bfe0-4244e74b9ab6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4923F885</paraID>
      <start>0</start>
      <end>2</end>
      <status>unmodified</status>
      <modifiedWord/>
      <trackRevisions>false</trackRevisions>
    </reviewItem>
    <reviewItem>
      <errorID>cfd9f3d9-226b-44ad-9f8c-f705395f0058</errorID>
      <errorWord>)</errorWord>
      <group>L1_Format</group>
      <groupName>格式问题</groupName>
      <ability>L2_HalfPunc_CN</ability>
      <abilityName>全半角检查</abilityName>
      <candidateList>
        <item>）</item>
      </candidateList>
      <explain>文本全半角错误。</explain>
      <paraID>3750DB62</paraID>
      <start>28</start>
      <end>29</end>
      <status>unmodified</status>
      <modifiedWord/>
      <trackRevisions>false</trackRevisions>
    </reviewItem>
    <reviewItem>
      <errorID>c5de3622-287b-41d2-aaa2-a3863ed71282</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1AFB7109</paraID>
      <start>7</start>
      <end>8</end>
      <status>unmodified</status>
      <modifiedWord/>
      <trackRevisions>false</trackRevisions>
    </reviewItem>
    <reviewItem>
      <errorID>e1a45a59-ea54-4c93-87e5-2cff307989ce</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5E6F4BF1</paraID>
      <start>7</start>
      <end>8</end>
      <status>unmodified</status>
      <modifiedWord/>
      <trackRevisions>false</trackRevisions>
    </reviewItem>
    <reviewItem>
      <errorID>0a7c0ea2-382a-4146-a78c-1f07dcbec39a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7F630ABF</paraID>
      <start>0</start>
      <end>2</end>
      <status>unmodified</status>
      <modifiedWord/>
      <trackRevisions>false</trackRevisions>
    </reviewItem>
    <reviewItem>
      <errorID>8411a206-c48c-43cc-90a7-c49dd2547c37</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712B54AF</paraID>
      <start>68</start>
      <end>70</end>
      <status>unmodified</status>
      <modifiedWord/>
      <trackRevisions>false</trackRevisions>
    </reviewItem>
    <reviewItem>
      <errorID>5f33d66f-aaf7-48f5-9fdc-616a64a43b15</errorID>
      <errorWord>其它</errorWord>
      <group>L1_Word</group>
      <groupName>字词问题</groupName>
      <ability>L2_Alias</ability>
      <abilityName>也作/曾用词</abilityName>
      <candidateList>
        <item>其他</item>
      </candidateList>
      <explain>词汇[其它]为不规范表述或旧称，其规范书面表述为[其他]。</explain>
      <paraID>6C3D394B</paraID>
      <start>0</start>
      <end>2</end>
      <status>unmodified</status>
      <modifiedWord/>
      <trackRevisions>false</trackRevisions>
    </reviewItem>
    <reviewItem>
      <errorID>0a79669f-2f96-4cfd-ad02-df0ba5bd756c</errorID>
      <errorWord>15%-40%</errorWord>
      <group>L1_Knowledge</group>
      <groupName>知识性问题</groupName>
      <ability>L2_Knowledge</ability>
      <abilityName>其他知识</abilityName>
      <candidateList>
        <item>15%—40%</item>
      </candidateList>
      <explain>1. “15%-40%”中的单位“%”仅出现在后一个数字上，容易引起歧义；根据《现代汉语标点符号数字用法规范手册》，数字表示范围两边需要使用统一的格式。2. 根据标点国标 4.13 中的规则，数字、时间或地域连接符应使用（视觉上更长的）“—”或“～”。</explain>
      <paraID>16BB596A</paraID>
      <start>15</start>
      <end>22</end>
      <status>unmodified</status>
      <modifiedWord/>
      <trackRevisions>false</trackRevisions>
    </reviewItem>
    <reviewItem>
      <errorID>b1296d48-ece3-41db-a65e-c2ed2eb26ee9</errorID>
      <errorWord>39%~70%</errorWord>
      <group>L1_Knowledge</group>
      <groupName>知识性问题</groupName>
      <ability>L2_Knowledge</ability>
      <abilityName>其他知识</abilityName>
      <candidateList>
        <item>39%～70%</item>
      </candidateList>
      <explain>1. “39%~70%”中的单位“%”仅出现在后一个数字上，容易引起歧义；根据《现代汉语标点符号数字用法规范手册》，数字表示范围两边需要使用统一的格式。2. 根据标点国标 4.13 中的规则，数字、时间或地域连接符应使用（视觉上更长的）“—”或“～”。</explain>
      <paraID>4784A968</paraID>
      <start>11</start>
      <end>18</end>
      <status>unmodified</status>
      <modifiedWord/>
      <trackRevisions>false</trackRevisions>
    </reviewItem>
    <reviewItem>
      <errorID>4ce6cfdd-9b67-4b89-8369-21d7f46c7e86</errorID>
      <errorWord>1%~15%</errorWord>
      <group>L1_Knowledge</group>
      <groupName>知识性问题</groupName>
      <ability>L2_Knowledge</ability>
      <abilityName>其他知识</abilityName>
      <candidateList>
        <item>1%～15%</item>
      </candidateList>
      <explain>1. “1%~15%”中的单位“%”仅出现在后一个数字上，容易引起歧义；根据《现代汉语标点符号数字用法规范手册》，数字表示范围两边需要使用统一的格式。2. 根据标点国标 4.13 中的规则，数字、时间或地域连接符应使用（视觉上更长的）“—”或“～”。</explain>
      <paraID>4784A968</paraID>
      <start>23</start>
      <end>29</end>
      <status>unmodified</status>
      <modifiedWord/>
      <trackRevisions>false</trackRevisions>
    </reviewItem>
    <reviewItem>
      <errorID>b97c4ba9-394a-4281-8c41-a9e15752d57f</errorID>
      <errorWord>1%~5%</errorWord>
      <group>L1_Knowledge</group>
      <groupName>知识性问题</groupName>
      <ability>L2_Knowledge</ability>
      <abilityName>其他知识</abilityName>
      <candidateList>
        <item>1%～5%</item>
      </candidateList>
      <explain>1. “1%~5%”中的单位“%”仅出现在后一个数字上，容易引起歧义；根据《现代汉语标点符号数字用法规范手册》，数字表示范围两边需要使用统一的格式。2. 根据标点国标 4.13 中的规则，数字、时间或地域连接符应使用（视觉上更长的）“—”或“～”。</explain>
      <paraID>4784A968</paraID>
      <start>34</start>
      <end>39</end>
      <status>unmodified</status>
      <modifiedWord/>
      <trackRevisions>false</trackRevisions>
    </reviewItem>
    <reviewItem>
      <errorID>00bbe1ac-c1f5-4929-b0aa-67d31b5b1c42</errorID>
      <errorWord>92-96%</errorWord>
      <group>L1_Knowledge</group>
      <groupName>知识性问题</groupName>
      <ability>L2_Knowledge</ability>
      <abilityName>其他知识</abilityName>
      <candidateList>
        <item>92%—96%</item>
      </candidateList>
      <explain>1. “92-96%”中的单位“%”仅出现在后一个数字上，容易引起歧义；根据《现代汉语标点符号数字用法规范手册》，数字表示范围两边需要使用统一的格式。2. 根据标点国标 4.13 中的规则，数字、时间或地域连接符应使用（视觉上更长的）“—”或“～”。</explain>
      <paraID>241445E6</paraID>
      <start>14</start>
      <end>20</end>
      <status>unmodified</status>
      <modifiedWord/>
      <trackRevisions>false</trackRevisions>
    </reviewItem>
    <reviewItem>
      <errorID>c5663628-4c5b-43bc-a741-2db91b37c73a</errorID>
      <errorWord>1-3%</errorWord>
      <group>L1_Knowledge</group>
      <groupName>知识性问题</groupName>
      <ability>L2_Knowledge</ability>
      <abilityName>其他知识</abilityName>
      <candidateList>
        <item>1%—3%</item>
      </candidateList>
      <explain>1. “1-3%”中的单位“%”仅出现在后一个数字上，容易引起歧义；根据《现代汉语标点符号数字用法规范手册》，数字表示范围两边需要使用统一的格式。2. 根据标点国标 4.13 中的规则，数字、时间或地域连接符应使用（视觉上更长的）“—”或“～”。</explain>
      <paraID>241445E6</paraID>
      <start>26</start>
      <end>30</end>
      <status>unmodified</status>
      <modifiedWord/>
      <trackRevisions>false</trackRevisions>
    </reviewItem>
    <reviewItem>
      <errorID>231f1028-e9b3-420e-a63f-ce5a202a5203</errorID>
      <errorWord>1-5%</errorWord>
      <group>L1_Knowledge</group>
      <groupName>知识性问题</groupName>
      <ability>L2_Knowledge</ability>
      <abilityName>其他知识</abilityName>
      <candidateList>
        <item>1%—5%</item>
      </candidateList>
      <explain>1. “1-5%”中的单位“%”仅出现在后一个数字上，容易引起歧义；根据《现代汉语标点符号数字用法规范手册》，数字表示范围两边需要使用统一的格式。2. 根据标点国标 4.13 中的规则，数字、时间或地域连接符应使用（视觉上更长的）“—”或“～”。</explain>
      <paraID>241445E6</paraID>
      <start>38</start>
      <end>42</end>
      <status>unmodified</status>
      <modifiedWord/>
      <trackRevisions>false</trackRevisions>
    </reviewItem>
    <reviewItem>
      <errorID>423bf566-82d7-4e7c-b2d1-98043a632e2a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2ADC4BFE</paraID>
      <start>0</start>
      <end>2</end>
      <status>unmodified</status>
      <modifiedWord/>
      <trackRevisions>false</trackRevisions>
    </reviewItem>
    <reviewItem>
      <errorID>26b97174-060c-4678-b68d-e86a42ca74aa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4A81E7A4</paraID>
      <start>0</start>
      <end>2</end>
      <status>unmodified</status>
      <modifiedWord/>
      <trackRevisions>false</trackRevisions>
    </reviewItem>
    <reviewItem>
      <errorID>3b224c88-049d-4554-8e5b-220c16303bcc</errorID>
      <errorWord>年平均</errorWord>
      <group>L1_Word</group>
      <groupName>字词问题</groupName>
      <ability>L2_Typo</ability>
      <abilityName>字词错误</abilityName>
      <candidateList>
        <item>平均年</item>
      </candidateList>
      <explain/>
      <paraID>7679C8A6</paraID>
      <start>60</start>
      <end>63</end>
      <status>unmodified</status>
      <modifiedWord/>
      <trackRevisions>false</trackRevisions>
    </reviewItem>
    <reviewItem>
      <errorID>f668ec3d-cb42-4c8b-9949-33c43dda442d</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4FA83C16</paraID>
      <start>0</start>
      <end>2</end>
      <status>unmodified</status>
      <modifiedWord/>
      <trackRevisions>false</trackRevisions>
    </reviewItem>
    <reviewItem>
      <errorID>285926a7-b022-46a3-8491-f91373f31863</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191A3A19</paraID>
      <start>0</start>
      <end>2</end>
      <status>unmodified</status>
      <modifiedWord/>
      <trackRevisions>false</trackRevisions>
    </reviewItem>
    <reviewItem>
      <errorID>6db56649-597f-4e9d-afdb-2aecd74a9390</errorID>
      <errorWord>混拌机</errorWord>
      <group>L1_Word</group>
      <groupName>字词问题</groupName>
      <ability>L2_Typo</ability>
      <abilityName>字词错误</abilityName>
      <candidateList>
        <item>搅拌机</item>
      </candidateList>
      <explain/>
      <paraID>13DDFA70</paraID>
      <start>41</start>
      <end>44</end>
      <status>unmodified</status>
      <modifiedWord/>
      <trackRevisions>false</trackRevisions>
    </reviewItem>
    <reviewItem>
      <errorID>f2cd1bdd-cab1-46de-af3b-dd81aeceec9c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7C3B38D2</paraID>
      <start>0</start>
      <end>2</end>
      <status>unmodified</status>
      <modifiedWord/>
      <trackRevisions>false</trackRevisions>
    </reviewItem>
    <reviewItem>
      <errorID>ba80bc49-2d4e-40a4-a6e5-7386975b5487</errorID>
      <errorWord>,</errorWord>
      <group>L1_Format</group>
      <groupName>格式问题</groupName>
      <ability>L2_HalfPunc_CN</ability>
      <abilityName>全半角检查</abilityName>
      <candidateList>
        <item>，</item>
      </candidateList>
      <explain>文本全半角错误。</explain>
      <paraID>643B0491</paraID>
      <start>7</start>
      <end>8</end>
      <status>unmodified</status>
      <modifiedWord/>
      <trackRevisions>false</trackRevisions>
    </reviewItem>
    <reviewItem>
      <errorID>a0634b39-5b6c-4cde-b76d-fa3af303855c</errorID>
      <errorWord>,</errorWord>
      <group>L1_Format</group>
      <groupName>格式问题</groupName>
      <ability>L2_HalfPunc_CN</ability>
      <abilityName>全半角检查</abilityName>
      <candidateList>
        <item>，</item>
      </candidateList>
      <explain>文本全半角错误。</explain>
      <paraID>21B0D1B0</paraID>
      <start>7</start>
      <end>8</end>
      <status>unmodified</status>
      <modifiedWord/>
      <trackRevisions>false</trackRevisions>
    </reviewItem>
    <reviewItem>
      <errorID>ce8d9f6d-4681-488d-91c1-3405c74cfbbb</errorID>
      <errorWord>,</errorWord>
      <group>L1_Format</group>
      <groupName>格式问题</groupName>
      <ability>L2_HalfPunc_CN</ability>
      <abilityName>全半角检查</abilityName>
      <candidateList>
        <item>，</item>
      </candidateList>
      <explain>文本全半角错误。</explain>
      <paraID>21B0D1B0</paraID>
      <start>158</start>
      <end>159</end>
      <status>unmodified</status>
      <modifiedWord/>
      <trackRevisions>false</trackRevisions>
    </reviewItem>
    <reviewItem>
      <errorID>b3d58d3e-a3b3-4906-b22b-028ccaef2407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2ABBD59</paraID>
      <start>0</start>
      <end>2</end>
      <status>unmodified</status>
      <modifiedWord/>
      <trackRevisions>false</trackRevisions>
    </reviewItem>
    <reviewItem>
      <errorID>6d7cbd48-927e-4985-935c-5c408c9f2060</errorID>
      <errorWord>一</errorWord>
      <group>L1_Word</group>
      <groupName>字词问题</groupName>
      <ability>L2_Typo</ability>
      <abilityName>字词错误</abilityName>
      <candidateList>
        <item>一道</item>
      </candidateList>
      <explain>（～儿）〈副〉一同；一路❸：～走｜～工作。</explain>
      <paraID>64530F07</paraID>
      <start>310</start>
      <end>311</end>
      <status>unmodified</status>
      <modifiedWord/>
      <trackRevisions>false</trackRevisions>
    </reviewItem>
    <reviewItem>
      <errorID>ae0c5532-ca9f-4f16-8f92-8bddc5ebc6cb</errorID>
      <errorWord>挟带</errorWord>
      <group>L1_Word</group>
      <groupName>字词问题</groupName>
      <ability>L2_Typo</ability>
      <abilityName>字词错误</abilityName>
      <candidateList>
        <item>携带</item>
      </candidateList>
      <explain>存在发音相同字词的误用。</explain>
      <paraID>53ED51A4</paraID>
      <start>18</start>
      <end>20</end>
      <status>unmodified</status>
      <modifiedWord/>
      <trackRevisions>false</trackRevisions>
    </reviewItem>
    <reviewItem>
      <errorID>7ca626a5-112c-4f35-9c87-43cb21d4ecc9</errorID>
      <errorWord>混拌机</errorWord>
      <group>L1_Word</group>
      <groupName>字词问题</groupName>
      <ability>L2_Typo</ability>
      <abilityName>字词错误</abilityName>
      <candidateList>
        <item>搅拌机</item>
      </candidateList>
      <explain/>
      <paraID>2C7A0098</paraID>
      <start>25</start>
      <end>28</end>
      <status>unmodified</status>
      <modifiedWord/>
      <trackRevisions>false</trackRevisions>
    </reviewItem>
    <reviewItem>
      <errorID>9d1c9db6-be96-4c28-a0a9-2b7c33f28fb7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7734D9FF</paraID>
      <start>0</start>
      <end>2</end>
      <status>unmodified</status>
      <modifiedWord/>
      <trackRevisions>false</trackRevisions>
    </reviewItem>
    <reviewItem>
      <errorID>f23caa5c-85e1-4a76-9f37-9b00e250138a</errorID>
      <errorWord>~</errorWord>
      <group>L1_Format</group>
      <groupName>格式问题</groupName>
      <ability>L2_HalfPunc_CN</ability>
      <abilityName>全半角检查</abilityName>
      <candidateList>
        <item>～</item>
      </candidateList>
      <explain>文本全半角错误。</explain>
      <paraID>14D10DBF</paraID>
      <start>75</start>
      <end>76</end>
      <status>unmodified</status>
      <modifiedWord/>
      <trackRevisions>false</trackRevisions>
    </reviewItem>
    <reviewItem>
      <errorID>d313e84f-754f-49a0-9cc9-9297821e597e</errorID>
      <errorWord>~</errorWord>
      <group>L1_Format</group>
      <groupName>格式问题</groupName>
      <ability>L2_HalfPunc_CN</ability>
      <abilityName>全半角检查</abilityName>
      <candidateList>
        <item>～</item>
      </candidateList>
      <explain>文本全半角错误。</explain>
      <paraID>14D10DBF</paraID>
      <start>130</start>
      <end>131</end>
      <status>unmodified</status>
      <modifiedWord/>
      <trackRevisions>false</trackRevisions>
    </reviewItem>
    <reviewItem>
      <errorID>0a9d3f3d-83fe-4416-86aa-ee34657b31eb</errorID>
      <errorWord>~</errorWord>
      <group>L1_Format</group>
      <groupName>格式问题</groupName>
      <ability>L2_HalfPunc_CN</ability>
      <abilityName>全半角检查</abilityName>
      <candidateList>
        <item>～</item>
      </candidateList>
      <explain>文本全半角错误。</explain>
      <paraID>14D10DBF</paraID>
      <start>206</start>
      <end>207</end>
      <status>unmodified</status>
      <modifiedWord/>
      <trackRevisions>false</trackRevisions>
    </reviewItem>
    <reviewItem>
      <errorID>df09f425-79b9-4c66-bbe6-c72569efc6d7</errorID>
      <errorWord>~</errorWord>
      <group>L1_Format</group>
      <groupName>格式问题</groupName>
      <ability>L2_HalfPunc_CN</ability>
      <abilityName>全半角检查</abilityName>
      <candidateList>
        <item>～</item>
      </candidateList>
      <explain>文本全半角错误。</explain>
      <paraID>14D10DBF</paraID>
      <start>282</start>
      <end>283</end>
      <status>unmodified</status>
      <modifiedWord/>
      <trackRevisions>false</trackRevisions>
    </reviewItem>
    <reviewItem>
      <errorID>3fb3b66a-0228-4edf-9df0-f3c5ee830ccc</errorID>
      <errorWord>（</errorWord>
      <group>L1_Format</group>
      <groupName>格式问题</groupName>
      <ability>L2_HalfPunc_CN</ability>
      <abilityName>全半角检查</abilityName>
      <candidateList>
        <item>(</item>
      </candidateList>
      <explain>文本全半角错误。</explain>
      <paraID> D72A6D6</paraID>
      <start>0</start>
      <end>1</end>
      <status>unmodified</status>
      <modifiedWord/>
      <trackRevisions>false</trackRevisions>
    </reviewItem>
    <reviewItem>
      <errorID>c75eeb81-277d-4119-84ca-89b625a0b0ff</errorID>
      <errorWord>）</errorWord>
      <group>L1_Format</group>
      <groupName>格式问题</groupName>
      <ability>L2_HalfPunc_CN</ability>
      <abilityName>全半角检查</abilityName>
      <candidateList>
        <item>)</item>
      </candidateList>
      <explain>文本全半角错误。</explain>
      <paraID> D72A6D6</paraID>
      <start>6</start>
      <end>7</end>
      <status>unmodified</status>
      <modifiedWord/>
      <trackRevisions>false</trackRevisions>
    </reviewItem>
    <reviewItem>
      <errorID>2726000a-15d3-4ad3-9568-16913ab8a14a</errorID>
      <errorWord>~</errorWord>
      <group>L1_Format</group>
      <groupName>格式问题</groupName>
      <ability>L2_HalfPunc_CN</ability>
      <abilityName>全半角检查</abilityName>
      <candidateList>
        <item>～</item>
      </candidateList>
      <explain>文本全半角错误。</explain>
      <paraID>6EE38A0C</paraID>
      <start>108</start>
      <end>109</end>
      <status>unmodified</status>
      <modifiedWord/>
      <trackRevisions>false</trackRevisions>
    </reviewItem>
    <reviewItem>
      <errorID>db0ceaa7-b26b-4752-aa8f-ca316f03baf1</errorID>
      <errorWord>~</errorWord>
      <group>L1_Format</group>
      <groupName>格式问题</groupName>
      <ability>L2_HalfPunc_CN</ability>
      <abilityName>全半角检查</abilityName>
      <candidateList>
        <item>～</item>
      </candidateList>
      <explain>文本全半角错误。</explain>
      <paraID>6EE38A0C</paraID>
      <start>193</start>
      <end>194</end>
      <status>unmodified</status>
      <modifiedWord/>
      <trackRevisions>false</trackRevisions>
    </reviewItem>
    <reviewItem>
      <errorID>60b72a1e-50ad-44f1-8c3d-2a89906f1b17</errorID>
      <errorWord>)</errorWord>
      <group>L1_Format</group>
      <groupName>格式问题</groupName>
      <ability>L2_HalfPunc_CN</ability>
      <abilityName>全半角检查</abilityName>
      <candidateList>
        <item>）</item>
      </candidateList>
      <explain>文本全半角错误。</explain>
      <paraID>4B21B5ED</paraID>
      <start>187</start>
      <end>188</end>
      <status>unmodified</status>
      <modifiedWord/>
      <trackRevisions>false</trackRevisions>
    </reviewItem>
    <reviewItem>
      <errorID>c553c9d8-557c-43ac-8472-cf8f3c1fc1a8</errorID>
      <errorWord>（</errorWord>
      <group>L1_Format</group>
      <groupName>格式问题</groupName>
      <ability>L2_HalfPunc_CN</ability>
      <abilityName>全半角检查</abilityName>
      <candidateList>
        <item>(</item>
      </candidateList>
      <explain>文本全半角错误。</explain>
      <paraID>12EF1E8F</paraID>
      <start>0</start>
      <end>1</end>
      <status>unmodified</status>
      <modifiedWord/>
      <trackRevisions>false</trackRevisions>
    </reviewItem>
    <reviewItem>
      <errorID>a2c1d5e6-9d3d-47b6-ab58-44ee7edd869c</errorID>
      <errorWord>）</errorWord>
      <group>L1_Format</group>
      <groupName>格式问题</groupName>
      <ability>L2_HalfPunc_CN</ability>
      <abilityName>全半角检查</abilityName>
      <candidateList>
        <item>)</item>
      </candidateList>
      <explain>文本全半角错误。</explain>
      <paraID>12EF1E8F</paraID>
      <start>3</start>
      <end>4</end>
      <status>unmodified</status>
      <modifiedWord/>
      <trackRevisions>false</trackRevisions>
    </reviewItem>
    <reviewItem>
      <errorID>46172668-b41b-4efd-bab2-969ec0b5edfa</errorID>
      <errorWord>（</errorWord>
      <group>L1_Format</group>
      <groupName>格式问题</groupName>
      <ability>L2_HalfPunc_CN</ability>
      <abilityName>全半角检查</abilityName>
      <candidateList>
        <item>(</item>
      </candidateList>
      <explain>文本全半角错误。</explain>
      <paraID>54E10C8C</paraID>
      <start>0</start>
      <end>1</end>
      <status>unmodified</status>
      <modifiedWord/>
      <trackRevisions>false</trackRevisions>
    </reviewItem>
    <reviewItem>
      <errorID>1075183d-557e-4e4d-84eb-e97eeec8b4ac</errorID>
      <errorWord>）</errorWord>
      <group>L1_Format</group>
      <groupName>格式问题</groupName>
      <ability>L2_HalfPunc_CN</ability>
      <abilityName>全半角检查</abilityName>
      <candidateList>
        <item>)</item>
      </candidateList>
      <explain>文本全半角错误。</explain>
      <paraID>54E10C8C</paraID>
      <start>3</start>
      <end>4</end>
      <status>unmodified</status>
      <modifiedWord/>
      <trackRevisions>false</trackRevisions>
    </reviewItem>
    <reviewItem>
      <errorID>3fbb003e-659e-4997-bb0c-65d68c15433c</errorID>
      <errorWord>（</errorWord>
      <group>L1_Format</group>
      <groupName>格式问题</groupName>
      <ability>L2_HalfPunc_CN</ability>
      <abilityName>全半角检查</abilityName>
      <candidateList>
        <item>(</item>
      </candidateList>
      <explain>文本全半角错误。</explain>
      <paraID>3204062A</paraID>
      <start>0</start>
      <end>1</end>
      <status>unmodified</status>
      <modifiedWord/>
      <trackRevisions>false</trackRevisions>
    </reviewItem>
    <reviewItem>
      <errorID>a74b35fd-be48-4bb6-9358-46b9bf1394df</errorID>
      <errorWord>）</errorWord>
      <group>L1_Format</group>
      <groupName>格式问题</groupName>
      <ability>L2_HalfPunc_CN</ability>
      <abilityName>全半角检查</abilityName>
      <candidateList>
        <item>)</item>
      </candidateList>
      <explain>文本全半角错误。</explain>
      <paraID>3204062A</paraID>
      <start>3</start>
      <end>4</end>
      <status>unmodified</status>
      <modifiedWord/>
      <trackRevisions>false</trackRevisions>
    </reviewItem>
    <reviewItem>
      <errorID>beeb9ff6-7beb-41e5-b500-7aecf3c63eca</errorID>
      <errorWord>（</errorWord>
      <group>L1_Format</group>
      <groupName>格式问题</groupName>
      <ability>L2_HalfPunc_CN</ability>
      <abilityName>全半角检查</abilityName>
      <candidateList>
        <item>(</item>
      </candidateList>
      <explain>文本全半角错误。</explain>
      <paraID>104C879D</paraID>
      <start>0</start>
      <end>1</end>
      <status>unmodified</status>
      <modifiedWord/>
      <trackRevisions>false</trackRevisions>
    </reviewItem>
    <reviewItem>
      <errorID>5e59fccc-5651-47a8-b571-a1e5a3b88f4f</errorID>
      <errorWord>）</errorWord>
      <group>L1_Format</group>
      <groupName>格式问题</groupName>
      <ability>L2_HalfPunc_CN</ability>
      <abilityName>全半角检查</abilityName>
      <candidateList>
        <item>)</item>
      </candidateList>
      <explain>文本全半角错误。</explain>
      <paraID>104C879D</paraID>
      <start>3</start>
      <end>4</end>
      <status>unmodified</status>
      <modifiedWord/>
      <trackRevisions>false</trackRevisions>
    </reviewItem>
    <reviewItem>
      <errorID>e9c5d73e-cf22-4d60-898a-612c34ea7f1d</errorID>
      <errorWord>（</errorWord>
      <group>L1_Format</group>
      <groupName>格式问题</groupName>
      <ability>L2_HalfPunc_CN</ability>
      <abilityName>全半角检查</abilityName>
      <candidateList>
        <item>(</item>
      </candidateList>
      <explain>文本全半角错误。</explain>
      <paraID>1AB3ABF7</paraID>
      <start>0</start>
      <end>1</end>
      <status>unmodified</status>
      <modifiedWord/>
      <trackRevisions>false</trackRevisions>
    </reviewItem>
    <reviewItem>
      <errorID>42288383-007f-4387-b999-284f1f3a0e16</errorID>
      <errorWord>）</errorWord>
      <group>L1_Format</group>
      <groupName>格式问题</groupName>
      <ability>L2_HalfPunc_CN</ability>
      <abilityName>全半角检查</abilityName>
      <candidateList>
        <item>)</item>
      </candidateList>
      <explain>文本全半角错误。</explain>
      <paraID>1AB3ABF7</paraID>
      <start>4</start>
      <end>5</end>
      <status>unmodified</status>
      <modifiedWord/>
      <trackRevisions>false</trackRevisions>
    </reviewItem>
    <reviewItem>
      <errorID>3d1ff75e-2e1a-4207-a412-3f16d144d39a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27212E32</paraID>
      <start>0</start>
      <end>2</end>
      <status>unmodified</status>
      <modifiedWord/>
      <trackRevisions>false</trackRevisions>
    </reviewItem>
    <reviewItem>
      <errorID>750688f7-51a3-4cbd-b5cf-2c11905b770e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2704DDFB</paraID>
      <start>0</start>
      <end>2</end>
      <status>unmodified</status>
      <modifiedWord/>
      <trackRevisions>false</trackRevisions>
    </reviewItem>
    <reviewItem>
      <errorID>ba5f9a3d-38dc-46c8-a04e-0f87b8e29c3d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6FA06CC0</paraID>
      <start>0</start>
      <end>2</end>
      <status>unmodified</status>
      <modifiedWord/>
      <trackRevisions>false</trackRevisions>
    </reviewItem>
    <reviewItem>
      <errorID>54e48f2a-d1e7-4338-a12e-52c23ecf57ed</errorID>
      <errorWord>）</errorWord>
      <group>L1_Format</group>
      <groupName>格式问题</groupName>
      <ability>L2_HalfPunc_CN</ability>
      <abilityName>全半角检查</abilityName>
      <candidateList>
        <item>)</item>
      </candidateList>
      <explain>文本全半角错误。</explain>
      <paraID>7EDEC132</paraID>
      <start>9</start>
      <end>10</end>
      <status>unmodified</status>
      <modifiedWord/>
      <trackRevisions>false</trackRevisions>
    </reviewItem>
    <reviewItem>
      <errorID>e9059571-f142-4762-a7ba-d8a5a85e2e16</errorID>
      <errorWord>）</errorWord>
      <group>L1_Format</group>
      <groupName>格式问题</groupName>
      <ability>L2_HalfPunc_CN</ability>
      <abilityName>全半角检查</abilityName>
      <candidateList>
        <item>)</item>
      </candidateList>
      <explain>文本全半角错误。</explain>
      <paraID>7AB5F2F5</paraID>
      <start>7</start>
      <end>8</end>
      <status>unmodified</status>
      <modifiedWord/>
      <trackRevisions>false</trackRevisions>
    </reviewItem>
    <reviewItem>
      <errorID>9c13a9ed-b664-40a6-a775-0aef28c6f508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21E21429</paraID>
      <start>0</start>
      <end>2</end>
      <status>unmodified</status>
      <modifiedWord/>
      <trackRevisions>false</trackRevisions>
    </reviewItem>
    <reviewItem>
      <errorID>54fd1337-9e18-41c2-bde4-68ba3f3b08d1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274845C7</paraID>
      <start>0</start>
      <end>2</end>
      <status>unmodified</status>
      <modifiedWord/>
      <trackRevisions>false</trackRevisions>
    </reviewItem>
    <reviewItem>
      <errorID>0b24cbd0-8d97-4c6e-a06e-30bedc3cb336</errorID>
      <errorWord>2025年09月17日</errorWord>
      <group>L1_Knowledge</group>
      <groupName>知识性问题</groupName>
      <ability>L2_Time</ability>
      <abilityName>日期时间</abilityName>
      <candidateList>
        <item>2025年9月17日</item>
      </candidateList>
      <explain>根据日常书写习惯，月份一般会省略前导零。</explain>
      <paraID> 6445264</paraID>
      <start>40</start>
      <end>51</end>
      <status>unmodified</status>
      <modifiedWord/>
      <trackRevisions>false</trackRevisions>
    </reviewItem>
    <reviewItem>
      <errorID>6e6dead3-afb1-498b-bc0c-94ffe18bfeb7</errorID>
      <errorWord>2025年09月19日</errorWord>
      <group>L1_Knowledge</group>
      <groupName>知识性问题</groupName>
      <ability>L2_Time</ability>
      <abilityName>日期时间</abilityName>
      <candidateList>
        <item>2025年9月19日</item>
      </candidateList>
      <explain>根据日常书写习惯，月份一般会省略前导零。</explain>
      <paraID> 6445264</paraID>
      <start>52</start>
      <end>63</end>
      <status>unmodified</status>
      <modifiedWord/>
      <trackRevisions>false</trackRevisions>
    </reviewItem>
    <reviewItem>
      <errorID>61331a21-4332-402b-8037-25a56690a64c</errorID>
      <errorWord>，</errorWord>
      <group>L1_Format</group>
      <groupName>格式问题</groupName>
      <ability>L2_HalfPunc_CN</ability>
      <abilityName>全半角检查</abilityName>
      <candidateList>
        <item>, </item>
      </candidateList>
      <explain>文本全半角错误。</explain>
      <paraID>5615AB40</paraID>
      <start>13</start>
      <end>14</end>
      <status>unmodified</status>
      <modifiedWord/>
      <trackRevisions>false</trackRevisions>
    </reviewItem>
    <reviewItem>
      <errorID>330cb7b0-8d0a-453e-bcec-dff034e96770</errorID>
      <errorWord>，</errorWord>
      <group>L1_Format</group>
      <groupName>格式问题</groupName>
      <ability>L2_HalfPunc_CN</ability>
      <abilityName>全半角检查</abilityName>
      <candidateList>
        <item>, </item>
      </candidateList>
      <explain>文本全半角错误。</explain>
      <paraID>17FB6AD0</paraID>
      <start>12</start>
      <end>13</end>
      <status>unmodified</status>
      <modifiedWord/>
      <trackRevisions>false</trackRevisions>
    </reviewItem>
    <reviewItem>
      <errorID>c6915e4b-44f3-43e7-9915-6c15461f4790</errorID>
      <errorWord>，</errorWord>
      <group>L1_Format</group>
      <groupName>格式问题</groupName>
      <ability>L2_HalfPunc_CN</ability>
      <abilityName>全半角检查</abilityName>
      <candidateList>
        <item>, </item>
      </candidateList>
      <explain>文本全半角错误。</explain>
      <paraID> 85F2743</paraID>
      <start>13</start>
      <end>14</end>
      <status>unmodified</status>
      <modifiedWord/>
      <trackRevisions>false</trackRevisions>
    </reviewItem>
    <reviewItem>
      <errorID>92aac80e-ca0b-439c-96dc-6fdc8713947f</errorID>
      <errorWord>，</errorWord>
      <group>L1_Format</group>
      <groupName>格式问题</groupName>
      <ability>L2_HalfPunc_CN</ability>
      <abilityName>全半角检查</abilityName>
      <candidateList>
        <item>, </item>
      </candidateList>
      <explain>文本全半角错误。</explain>
      <paraID>720C7A4E</paraID>
      <start>12</start>
      <end>13</end>
      <status>unmodified</status>
      <modifiedWord/>
      <trackRevisions>false</trackRevisions>
    </reviewItem>
    <reviewItem>
      <errorID>75e3aa9e-2188-4849-8c42-0bc39b5d48a2</errorID>
      <errorWord>，</errorWord>
      <group>L1_Format</group>
      <groupName>格式问题</groupName>
      <ability>L2_HalfPunc_CN</ability>
      <abilityName>全半角检查</abilityName>
      <candidateList>
        <item>, </item>
      </candidateList>
      <explain>文本全半角错误。</explain>
      <paraID>13BA2D31</paraID>
      <start>13</start>
      <end>14</end>
      <status>unmodified</status>
      <modifiedWord/>
      <trackRevisions>false</trackRevisions>
    </reviewItem>
    <reviewItem>
      <errorID>912f40a7-fc81-45a6-bcfe-361052bde68f</errorID>
      <errorWord>，</errorWord>
      <group>L1_Format</group>
      <groupName>格式问题</groupName>
      <ability>L2_HalfPunc_CN</ability>
      <abilityName>全半角检查</abilityName>
      <candidateList>
        <item>, </item>
      </candidateList>
      <explain>文本全半角错误。</explain>
      <paraID>32FFA94A</paraID>
      <start>13</start>
      <end>14</end>
      <status>unmodified</status>
      <modifiedWord/>
      <trackRevisions>false</trackRevisions>
    </reviewItem>
    <reviewItem>
      <errorID>4330f8d8-bc57-428e-a97d-ff149d108500</errorID>
      <errorWord>，</errorWord>
      <group>L1_Format</group>
      <groupName>格式问题</groupName>
      <ability>L2_HalfPunc_CN</ability>
      <abilityName>全半角检查</abilityName>
      <candidateList>
        <item>, </item>
      </candidateList>
      <explain>文本全半角错误。</explain>
      <paraID>47977952</paraID>
      <start>13</start>
      <end>14</end>
      <status>unmodified</status>
      <modifiedWord/>
      <trackRevisions>false</trackRevisions>
    </reviewItem>
    <reviewItem>
      <errorID>c17b3213-9206-49f2-8c02-1cfbb128234e</errorID>
      <errorWord>，</errorWord>
      <group>L1_Format</group>
      <groupName>格式问题</groupName>
      <ability>L2_HalfPunc_CN</ability>
      <abilityName>全半角检查</abilityName>
      <candidateList>
        <item>, </item>
      </candidateList>
      <explain>文本全半角错误。</explain>
      <paraID>5E715DD1</paraID>
      <start>13</start>
      <end>14</end>
      <status>unmodified</status>
      <modifiedWord/>
      <trackRevisions>false</trackRevisions>
    </reviewItem>
    <reviewItem>
      <errorID>e86c9448-842c-49e6-a174-a4d2575f369e</errorID>
      <errorWord>（</errorWord>
      <group>L1_Punc</group>
      <groupName>标点问题</groupName>
      <ability>L2_Punc_CN</ability>
      <abilityName>标点符号检查</abilityName>
      <candidateList/>
      <explain>同一形式括号套用。</explain>
      <paraID>3A3213BD</paraID>
      <start>7</start>
      <end>8</end>
      <status>unmodified</status>
      <modifiedWord/>
      <trackRevisions>false</trackRevisions>
    </reviewItem>
    <reviewItem>
      <errorID>c5060253-0ae3-4a68-9407-3054be2431f6</errorID>
      <errorWord>）</errorWord>
      <group>L1_Punc</group>
      <groupName>标点问题</groupName>
      <ability>L2_Punc_CN</ability>
      <abilityName>标点符号检查</abilityName>
      <candidateList/>
      <explain>同一形式括号套用。</explain>
      <paraID>3A3213BD</paraID>
      <start>9</start>
      <end>10</end>
      <status>unmodified</status>
      <modifiedWord/>
      <trackRevisions>false</trackRevisions>
    </reviewItem>
    <reviewItem>
      <errorID>a26578ff-77cb-4f51-a87a-cb93663317b4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2DAA9C00</paraID>
      <start>0</start>
      <end>2</end>
      <status>unmodified</status>
      <modifiedWord/>
      <trackRevisions>false</trackRevisions>
    </reviewItem>
    <reviewItem>
      <errorID>3b68b574-a8cd-4298-b09c-970aa37526d6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38653FD8</paraID>
      <start>0</start>
      <end>2</end>
      <status>unmodified</status>
      <modifiedWord/>
      <trackRevisions>false</trackRevisions>
    </reviewItem>
    <reviewItem>
      <errorID>21cd1e9b-dbfa-454d-853f-8ef696e51938</errorID>
      <errorWord>重碳酸盐</errorWord>
      <group>L1_Knowledge</group>
      <groupName>知识性问题</groupName>
      <ability>L2_Term</ability>
      <abilityName>专业术语</abilityName>
      <candidateList>
        <item>碳酸氢盐</item>
      </candidateList>
      <explain>医学名词[重碳酸盐]为不规范表述或旧称，其规范书面表述为[碳酸氢盐]。</explain>
      <paraID>75A61A9A</paraID>
      <start>0</start>
      <end>4</end>
      <status>unmodified</status>
      <modifiedWord/>
      <trackRevisions>false</trackRevisions>
    </reviewItem>
    <reviewItem>
      <errorID>2b3696c7-4151-4dae-8ccb-22b4b90fd397</errorID>
      <errorWord>容量法</errorWord>
      <group>L1_Knowledge</group>
      <groupName>知识性问题</groupName>
      <ability>L2_Term</ability>
      <abilityName>专业术语</abilityName>
      <candidateList>
        <item>滴定法</item>
      </candidateList>
      <explain>医学名词[容量法]为不规范表述或旧称，其规范书面表述为[滴定法]。</explain>
      <paraID>2B664A98</paraID>
      <start>51</start>
      <end>54</end>
      <status>unmodified</status>
      <modifiedWord/>
      <trackRevisions>false</trackRevisions>
    </reviewItem>
    <reviewItem>
      <errorID>758d799c-b187-4864-a148-8a58c6127567</errorID>
      <errorWord>＜</errorWord>
      <group>L1_Format</group>
      <groupName>格式问题</groupName>
      <ability>L2_HalfPunc_CN</ability>
      <abilityName>全半角检查</abilityName>
      <candidateList>
        <item>&lt;</item>
      </candidateList>
      <explain>文本全半角错误。</explain>
      <paraID>240D065A</paraID>
      <start>0</start>
      <end>1</end>
      <status>unmodified</status>
      <modifiedWord/>
      <trackRevisions>false</trackRevisions>
    </reviewItem>
    <reviewItem>
      <errorID>854965e8-3e7f-499e-8d62-da38eaee88fb</errorID>
      <errorWord>＜</errorWord>
      <group>L1_Format</group>
      <groupName>格式问题</groupName>
      <ability>L2_HalfPunc_CN</ability>
      <abilityName>全半角检查</abilityName>
      <candidateList>
        <item>&lt;</item>
      </candidateList>
      <explain>文本全半角错误。</explain>
      <paraID>29C889D8</paraID>
      <start>0</start>
      <end>1</end>
      <status>unmodified</status>
      <modifiedWord/>
      <trackRevisions>false</trackRevisions>
    </reviewItem>
    <reviewItem>
      <errorID>b5c06af3-a77b-423a-a82a-1e7b227e5d66</errorID>
      <errorWord>＜</errorWord>
      <group>L1_Format</group>
      <groupName>格式问题</groupName>
      <ability>L2_HalfPunc_CN</ability>
      <abilityName>全半角检查</abilityName>
      <candidateList>
        <item>&lt;</item>
      </candidateList>
      <explain>文本全半角错误。</explain>
      <paraID> C349B0C</paraID>
      <start>0</start>
      <end>1</end>
      <status>unmodified</status>
      <modifiedWord/>
      <trackRevisions>false</trackRevisions>
    </reviewItem>
    <reviewItem>
      <errorID>74b6f757-b861-41b4-89e3-40051986909d</errorID>
      <errorWord>＜</errorWord>
      <group>L1_Format</group>
      <groupName>格式问题</groupName>
      <ability>L2_HalfPunc_CN</ability>
      <abilityName>全半角检查</abilityName>
      <candidateList>
        <item>&lt;</item>
      </candidateList>
      <explain>文本全半角错误。</explain>
      <paraID>568A06C7</paraID>
      <start>0</start>
      <end>1</end>
      <status>unmodified</status>
      <modifiedWord/>
      <trackRevisions>false</trackRevisions>
    </reviewItem>
    <reviewItem>
      <errorID>8831415c-e241-4fe1-9103-22dab083cebe</errorID>
      <errorWord>＜</errorWord>
      <group>L1_Format</group>
      <groupName>格式问题</groupName>
      <ability>L2_HalfPunc_CN</ability>
      <abilityName>全半角检查</abilityName>
      <candidateList>
        <item>&lt;</item>
      </candidateList>
      <explain>文本全半角错误。</explain>
      <paraID>4448D7BC</paraID>
      <start>0</start>
      <end>1</end>
      <status>unmodified</status>
      <modifiedWord/>
      <trackRevisions>false</trackRevisions>
    </reviewItem>
    <reviewItem>
      <errorID>fb551532-1d69-44f7-8347-4dd2b52bee31</errorID>
      <errorWord>＜</errorWord>
      <group>L1_Format</group>
      <groupName>格式问题</groupName>
      <ability>L2_HalfPunc_CN</ability>
      <abilityName>全半角检查</abilityName>
      <candidateList>
        <item>&lt;</item>
      </candidateList>
      <explain>文本全半角错误。</explain>
      <paraID>18473DA7</paraID>
      <start>0</start>
      <end>1</end>
      <status>unmodified</status>
      <modifiedWord/>
      <trackRevisions>false</trackRevisions>
    </reviewItem>
    <reviewItem>
      <errorID>cab768b7-f19f-4e00-b0d0-672921cfd989</errorID>
      <errorWord>＜</errorWord>
      <group>L1_Format</group>
      <groupName>格式问题</groupName>
      <ability>L2_HalfPunc_CN</ability>
      <abilityName>全半角检查</abilityName>
      <candidateList>
        <item>&lt;</item>
      </candidateList>
      <explain>文本全半角错误。</explain>
      <paraID> B72C2F5</paraID>
      <start>0</start>
      <end>1</end>
      <status>unmodified</status>
      <modifiedWord/>
      <trackRevisions>false</trackRevisions>
    </reviewItem>
    <reviewItem>
      <errorID>670e4292-c2bf-4272-8db0-d518c9f956d5</errorID>
      <errorWord>＜</errorWord>
      <group>L1_Format</group>
      <groupName>格式问题</groupName>
      <ability>L2_HalfPunc_CN</ability>
      <abilityName>全半角检查</abilityName>
      <candidateList>
        <item>&lt;</item>
      </candidateList>
      <explain>文本全半角错误。</explain>
      <paraID>7B862AFA</paraID>
      <start>0</start>
      <end>1</end>
      <status>unmodified</status>
      <modifiedWord/>
      <trackRevisions>false</trackRevisions>
    </reviewItem>
    <reviewItem>
      <errorID>17f75bed-079f-406f-8da4-7011257393fc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406BFC86</paraID>
      <start>0</start>
      <end>2</end>
      <status>unmodified</status>
      <modifiedWord/>
      <trackRevisions>false</trackRevisions>
    </reviewItem>
    <reviewItem>
      <errorID>7516f8a9-4c6a-4177-98c8-a19558544d38</errorID>
      <errorWord>，</errorWord>
      <group>L1_Format</group>
      <groupName>格式问题</groupName>
      <ability>L2_HalfPunc_CN</ability>
      <abilityName>全半角检查</abilityName>
      <candidateList>
        <item>, </item>
      </candidateList>
      <explain>文本全半角错误。</explain>
      <paraID>2305DF26</paraID>
      <start>13</start>
      <end>14</end>
      <status>unmodified</status>
      <modifiedWord/>
      <trackRevisions>false</trackRevisions>
    </reviewItem>
    <reviewItem>
      <errorID>aeb6a37a-4453-4eee-ba1c-0a461327c551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6427A02A</paraID>
      <start>0</start>
      <end>2</end>
      <status>unmodified</status>
      <modifiedWord/>
      <trackRevisions>false</trackRevisions>
    </reviewItem>
    <reviewItem>
      <errorID>9fc6c368-a109-4a70-afbc-48781ff759f0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65ACE443</paraID>
      <start>0</start>
      <end>2</end>
      <status>unmodified</status>
      <modifiedWord/>
      <trackRevisions>false</trackRevisions>
    </reviewItem>
    <reviewItem>
      <errorID>54bc3b46-36d0-43fd-9918-b21eb1f55e5e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3465B1C3</paraID>
      <start>0</start>
      <end>2</end>
      <status>unmodified</status>
      <modifiedWord/>
      <trackRevisions>false</trackRevisions>
    </reviewItem>
    <reviewItem>
      <errorID>628bc907-3501-40c5-8e80-16dad28dd57d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48540A1C</paraID>
      <start>0</start>
      <end>2</end>
      <status>unmodified</status>
      <modifiedWord/>
      <trackRevisions>false</trackRevisions>
    </reviewItem>
    <reviewItem>
      <errorID>6a5ac798-64ba-4d8f-ab60-82472e6067c2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8F57206</paraID>
      <start>0</start>
      <end>2</end>
      <status>unmodified</status>
      <modifiedWord/>
      <trackRevisions>false</trackRevisions>
    </reviewItem>
    <reviewItem>
      <errorID>d61e74fd-42d7-444b-8fe5-430732eb882e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7B688130</paraID>
      <start>0</start>
      <end>2</end>
      <status>unmodified</status>
      <modifiedWord/>
      <trackRevisions>false</trackRevisions>
    </reviewItem>
    <reviewItem>
      <errorID>1a3348bc-b745-4b76-b7e0-5a633abd69fe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45944CD6</paraID>
      <start>0</start>
      <end>2</end>
      <status>unmodified</status>
      <modifiedWord/>
      <trackRevisions>false</trackRevisions>
    </reviewItem>
    <reviewItem>
      <errorID>60f6abc1-dffe-4f5d-a433-a78c0c5eea21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77984A3E</paraID>
      <start>0</start>
      <end>2</end>
      <status>unmodified</status>
      <modifiedWord/>
      <trackRevisions>false</trackRevisions>
    </reviewItem>
    <reviewItem>
      <errorID>76d0f8ab-3b7e-4c41-a6e9-e25242c6587d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325CD786</paraID>
      <start>0</start>
      <end>2</end>
      <status>unmodified</status>
      <modifiedWord/>
      <trackRevisions>false</trackRevisions>
    </reviewItem>
    <reviewItem>
      <errorID>f5612202-0fc8-4a8a-abb7-3f1ba00a04ed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37EE99DD</paraID>
      <start>0</start>
      <end>2</end>
      <status>unmodified</status>
      <modifiedWord/>
      <trackRevisions>false</trackRevisions>
    </reviewItem>
    <reviewItem>
      <errorID>a1fbb831-b06a-46a9-abb2-e667efbe380e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1464BC8D</paraID>
      <start>0</start>
      <end>2</end>
      <status>unmodified</status>
      <modifiedWord/>
      <trackRevisions>false</trackRevisions>
    </reviewItem>
    <reviewItem>
      <errorID>66712228-dbf7-42df-a37d-7ffda59ff35d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4CD1ABF8</paraID>
      <start>0</start>
      <end>2</end>
      <status>unmodified</status>
      <modifiedWord/>
      <trackRevisions>false</trackRevisions>
    </reviewItem>
    <reviewItem>
      <errorID>90211f43-5e73-4c20-aa30-030242a5f0d1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4B16DE41</paraID>
      <start>0</start>
      <end>2</end>
      <status>unmodified</status>
      <modifiedWord/>
      <trackRevisions>false</trackRevisions>
    </reviewItem>
    <reviewItem>
      <errorID>9685cb1c-1777-4065-9622-a55913e1e4cf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718E99B</paraID>
      <start>0</start>
      <end>2</end>
      <status>unmodified</status>
      <modifiedWord/>
      <trackRevisions>false</trackRevisions>
    </reviewItem>
    <reviewItem>
      <errorID>63acd1c7-e181-4aff-88f2-f78c1143233f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55BF5250</paraID>
      <start>0</start>
      <end>2</end>
      <status>unmodified</status>
      <modifiedWord/>
      <trackRevisions>false</trackRevisions>
    </reviewItem>
    <reviewItem>
      <errorID>866226a4-3610-468d-a7ff-414f0bc71415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18DD2E80</paraID>
      <start>0</start>
      <end>2</end>
      <status>unmodified</status>
      <modifiedWord/>
      <trackRevisions>false</trackRevisions>
    </reviewItem>
    <reviewItem>
      <errorID>c016e184-753f-492f-af31-00b5bca0d392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72FE10EA</paraID>
      <start>0</start>
      <end>2</end>
      <status>unmodified</status>
      <modifiedWord/>
      <trackRevisions>false</trackRevisions>
    </reviewItem>
    <reviewItem>
      <errorID>7f24b097-44f4-4b4c-89d9-6f52d91aca3d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678DDF32</paraID>
      <start>0</start>
      <end>2</end>
      <status>unmodified</status>
      <modifiedWord/>
      <trackRevisions>false</trackRevisions>
    </reviewItem>
    <reviewItem>
      <errorID>6ef57d01-c8d5-4d52-9692-737da3730a06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6204F7C1</paraID>
      <start>0</start>
      <end>2</end>
      <status>unmodified</status>
      <modifiedWord/>
      <trackRevisions>false</trackRevisions>
    </reviewItem>
    <reviewItem>
      <errorID>87612400-3917-425b-a226-e4b509f272be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8B6356E</paraID>
      <start>0</start>
      <end>2</end>
      <status>unmodified</status>
      <modifiedWord/>
      <trackRevisions>false</trackRevisions>
    </reviewItem>
    <reviewItem>
      <errorID>c17fc766-6eee-4ed0-8c19-86e61e0838ac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965EF72</paraID>
      <start>0</start>
      <end>2</end>
      <status>unmodified</status>
      <modifiedWord/>
      <trackRevisions>false</trackRevisions>
    </reviewItem>
    <reviewItem>
      <errorID>c84408dc-b5b4-46f7-9fff-8ca644d8d41a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52CAAE43</paraID>
      <start>0</start>
      <end>2</end>
      <status>unmodified</status>
      <modifiedWord/>
      <trackRevisions>false</trackRevisions>
    </reviewItem>
    <reviewItem>
      <errorID>484173eb-77d6-40a5-b697-d380e9d8faac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1640CAC6</paraID>
      <start>0</start>
      <end>2</end>
      <status>unmodified</status>
      <modifiedWord/>
      <trackRevisions>false</trackRevisions>
    </reviewItem>
    <reviewItem>
      <errorID>a784502c-21b0-4417-96a9-f40fe5381efa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2641D64</paraID>
      <start>0</start>
      <end>2</end>
      <status>unmodified</status>
      <modifiedWord/>
      <trackRevisions>false</trackRevisions>
    </reviewItem>
    <reviewItem>
      <errorID>095368e2-c5e5-47f3-97fe-f86580a512e4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461F88A6</paraID>
      <start>0</start>
      <end>2</end>
      <status>unmodified</status>
      <modifiedWord/>
      <trackRevisions>false</trackRevisions>
    </reviewItem>
    <reviewItem>
      <errorID>5ff21a20-aa63-4ba6-8bac-ebb5862d4d21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66BF0263</paraID>
      <start>0</start>
      <end>2</end>
      <status>unmodified</status>
      <modifiedWord/>
      <trackRevisions>false</trackRevisions>
    </reviewItem>
    <reviewItem>
      <errorID>4579c0d5-2ec3-4b7c-9c65-e5a126404f95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4CA2BBC1</paraID>
      <start>0</start>
      <end>2</end>
      <status>unmodified</status>
      <modifiedWord/>
      <trackRevisions>false</trackRevisions>
    </reviewItem>
    <reviewItem>
      <errorID>cf9a9073-1e4a-48e8-ae85-5fa8516db901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296C527E</paraID>
      <start>0</start>
      <end>2</end>
      <status>unmodified</status>
      <modifiedWord/>
      <trackRevisions>false</trackRevisions>
    </reviewItem>
    <reviewItem>
      <errorID>9e45d39a-7893-4a5e-bbf5-9858b3ed0d90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1EA534CF</paraID>
      <start>0</start>
      <end>2</end>
      <status>unmodified</status>
      <modifiedWord/>
      <trackRevisions>false</trackRevisions>
    </reviewItem>
    <reviewItem>
      <errorID>603c5661-dd6f-4c2c-b345-a855dd306460</errorID>
      <errorWord>)</errorWord>
      <group>L1_Format</group>
      <groupName>格式问题</groupName>
      <ability>L2_HalfPunc_CN</ability>
      <abilityName>全半角检查</abilityName>
      <candidateList>
        <item>）</item>
      </candidateList>
      <explain>文本全半角错误。</explain>
      <paraID>6C0D5236</paraID>
      <start>23</start>
      <end>24</end>
      <status>unmodified</status>
      <modifiedWord/>
      <trackRevisions>false</trackRevisions>
    </reviewItem>
    <reviewItem>
      <errorID>d55e6591-dc57-46d1-b78b-464ea7195d41</errorID>
      <errorWord>)</errorWord>
      <group>L1_Format</group>
      <groupName>格式问题</groupName>
      <ability>L2_HalfPunc_CN</ability>
      <abilityName>全半角检查</abilityName>
      <candidateList>
        <item>）</item>
      </candidateList>
      <explain>文本全半角错误。</explain>
      <paraID>4CDCEDAB</paraID>
      <start>29</start>
      <end>30</end>
      <status>unmodified</status>
      <modifiedWord/>
      <trackRevisions>false</trackRevisions>
    </reviewItem>
    <reviewItem>
      <errorID>5a9f22e2-bf01-4c67-bc1e-84effb04f330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377A687C</paraID>
      <start>0</start>
      <end>2</end>
      <status>unmodified</status>
      <modifiedWord/>
      <trackRevisions>false</trackRevisions>
    </reviewItem>
    <reviewItem>
      <errorID>b6282ec5-6980-4558-b2e0-001f4f02ed01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52085CB</paraID>
      <start>0</start>
      <end>2</end>
      <status>unmodified</status>
      <modifiedWord/>
      <trackRevisions>false</trackRevisions>
    </reviewItem>
    <reviewItem>
      <errorID>33d10f5d-693a-45a6-9f53-969654fbe518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7DCB32BE</paraID>
      <start>0</start>
      <end>2</end>
      <status>unmodified</status>
      <modifiedWord/>
      <trackRevisions>false</trackRevisions>
    </reviewItem>
    <reviewItem>
      <errorID>541cf839-e1c2-490b-8d56-58cd32be22f9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851C819</paraID>
      <start>0</start>
      <end>2</end>
      <status>unmodified</status>
      <modifiedWord/>
      <trackRevisions>false</trackRevisions>
    </reviewItem>
    <reviewItem>
      <errorID>3c72b0d4-91bd-48fa-924c-53941f10c21d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5A7352BF</paraID>
      <start>0</start>
      <end>2</end>
      <status>unmodified</status>
      <modifiedWord/>
      <trackRevisions>false</trackRevisions>
    </reviewItem>
    <reviewItem>
      <errorID>fb3dc204-5527-44a1-b880-5a84322ffd8e</errorID>
      <errorWord>程</errorWord>
      <group>L1_Word</group>
      <groupName>字词问题</groupName>
      <ability>L2_Typo</ability>
      <abilityName>字词错误</abilityName>
      <candidateList>
        <item>程中</item>
      </candidateList>
      <explain/>
      <paraID>4BB22820</paraID>
      <start>91</start>
      <end>92</end>
      <status>unmodified</status>
      <modifiedWord/>
      <trackRevisions>false</trackRevisions>
    </reviewItem>
    <reviewItem>
      <errorID>76880189-139e-4457-abec-32bc16830b95</errorID>
      <errorWord>，</errorWord>
      <group>L1_Word</group>
      <groupName>字词问题</groupName>
      <ability>L2_Typo</ability>
      <abilityName>字词错误</abilityName>
      <candidateList>
        <item>，具</item>
      </candidateList>
      <explain/>
      <paraID>4BB22820</paraID>
      <start>149</start>
      <end>150</end>
      <status>unmodified</status>
      <modifiedWord/>
      <trackRevisions>false</trackRevisions>
    </reviewItem>
    <reviewItem>
      <errorID>b27d7495-275e-4bac-9cc1-231926b1fd0b</errorID>
      <errorWord>其它</errorWord>
      <group>L1_Word</group>
      <groupName>字词问题</groupName>
      <ability>L2_Alias</ability>
      <abilityName>也作/曾用词</abilityName>
      <candidateList>
        <item>其他</item>
      </candidateList>
      <explain>词汇[其它]为不规范表述或旧称，其规范书面表述为[其他]。</explain>
      <paraID>43C2EDF9</paraID>
      <start>57</start>
      <end>59</end>
      <status>unmodified</status>
      <modifiedWord/>
      <trackRevisions>false</trackRevisions>
    </reviewItem>
    <reviewItem>
      <errorID>458112de-c233-4abb-a7da-9fbd6ad890d7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5A4201C2</paraID>
      <start>0</start>
      <end>2</end>
      <status>unmodified</status>
      <modifiedWord/>
      <trackRevisions>false</trackRevisions>
    </reviewItem>
    <reviewItem>
      <errorID>5eb5001c-771c-49bc-946c-aec09657ad2e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5BB24488</paraID>
      <start>0</start>
      <end>2</end>
      <status>unmodified</status>
      <modifiedWord/>
      <trackRevisions>false</trackRevisions>
    </reviewItem>
    <reviewItem>
      <errorID>94fc9a37-d8b3-4938-8c1e-63e5970f4e3a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19A671AC</paraID>
      <start>0</start>
      <end>2</end>
      <status>unmodified</status>
      <modifiedWord/>
      <trackRevisions>false</trackRevisions>
    </reviewItem>
    <reviewItem>
      <errorID>0f9ae8eb-4120-4fb8-aba0-8e881418fee1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5380B99D</paraID>
      <start>0</start>
      <end>2</end>
      <status>unmodified</status>
      <modifiedWord/>
      <trackRevisions>false</trackRevisions>
    </reviewItem>
    <reviewItem>
      <errorID>ec0352b1-9991-4a2a-ad5f-c11f9401192b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690C43EB</paraID>
      <start>0</start>
      <end>2</end>
      <status>unmodified</status>
      <modifiedWord/>
      <trackRevisions>false</trackRevisions>
    </reviewItem>
    <reviewItem>
      <errorID>695f5db6-65dd-4dfa-b9e6-ded82127a0d9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76EFB5</paraID>
      <start>0</start>
      <end>2</end>
      <status>unmodified</status>
      <modifiedWord/>
      <trackRevisions>false</trackRevisions>
    </reviewItem>
    <reviewItem>
      <errorID>fa9a5f50-cb7d-47d7-a63f-7abc5f411613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124FDD76</paraID>
      <start>0</start>
      <end>2</end>
      <status>unmodified</status>
      <modifiedWord/>
      <trackRevisions>false</trackRevisions>
    </reviewItem>
    <reviewItem>
      <errorID>36b90c95-6d27-44d2-af43-2816810d0956</errorID>
      <errorWord>）</errorWord>
      <group>L1_Format</group>
      <groupName>格式问题</groupName>
      <ability>L2_HalfPunc_CN</ability>
      <abilityName>全半角检查</abilityName>
      <candidateList>
        <item>)</item>
      </candidateList>
      <explain>文本全半角错误。</explain>
      <paraID> BFD6187</paraID>
      <start>42</start>
      <end>43</end>
      <status>unmodified</status>
      <modifiedWord/>
      <trackRevisions>false</trackRevisions>
    </reviewItem>
    <reviewItem>
      <errorID>e75d5bd0-68c8-4adb-80be-2cb3aaa329a7</errorID>
      <errorWord>依托</errorWord>
      <group>L1_Word</group>
      <groupName>字词问题</groupName>
      <ability>L2_Typo</ability>
      <abilityName>字词错误</abilityName>
      <candidateList>
        <item>依然</item>
      </candidateList>
      <explain>❶〈动〉依旧▲：风景～。❷〈副〉仍旧▲：～如故｜时至今日，问题～没有得到解决。</explain>
      <paraID> BFD6187</paraID>
      <start>146</start>
      <end>148</end>
      <status>unmodified</status>
      <modifiedWord/>
      <trackRevisions>false</trackRevisions>
    </reviewItem>
    <reviewItem>
      <errorID>1be8acfd-4da5-4939-9ebc-ea6e6fe78252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7B59E5CE</paraID>
      <start>0</start>
      <end>2</end>
      <status>unmodified</status>
      <modifiedWord/>
      <trackRevisions>false</trackRevisions>
    </reviewItem>
    <reviewItem>
      <errorID>2b3e0039-be56-40cf-85c9-bf45065e8871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F5D16AB</paraID>
      <start>0</start>
      <end>2</end>
      <status>unmodified</status>
      <modifiedWord/>
      <trackRevisions>false</trackRevisions>
    </reviewItem>
    <reviewItem>
      <errorID>890ba731-c147-4be5-94b8-80ca81bc175b</errorID>
      <errorWord>，</errorWord>
      <group>L1_Format</group>
      <groupName>格式问题</groupName>
      <ability>L2_HalfPunc_CN</ability>
      <abilityName>全半角检查</abilityName>
      <candidateList>
        <item>,</item>
      </candidateList>
      <explain>文本全半角错误。</explain>
      <paraID>39478A27</paraID>
      <start>14</start>
      <end>15</end>
      <status>unmodified</status>
      <modifiedWord/>
      <trackRevisions>false</trackRevisions>
    </reviewItem>
    <reviewItem>
      <errorID>3f622e80-024b-4daa-a123-0a803deeb7eb</errorID>
      <errorWord>，</errorWord>
      <group>L1_Format</group>
      <groupName>格式问题</groupName>
      <ability>L2_HalfPunc_CN</ability>
      <abilityName>全半角检查</abilityName>
      <candidateList>
        <item>,</item>
      </candidateList>
      <explain>文本全半角错误。</explain>
      <paraID>50ED6388</paraID>
      <start>11</start>
      <end>12</end>
      <status>unmodified</status>
      <modifiedWord/>
      <trackRevisions>false</trackRevisions>
    </reviewItem>
    <reviewItem>
      <errorID>ac7dcc54-954e-4506-adf0-0219d7a8dcaa</errorID>
      <errorWord>，</errorWord>
      <group>L1_Format</group>
      <groupName>格式问题</groupName>
      <ability>L2_HalfPunc_CN</ability>
      <abilityName>全半角检查</abilityName>
      <candidateList>
        <item>,</item>
      </candidateList>
      <explain>文本全半角错误。</explain>
      <paraID>38E7C5A4</paraID>
      <start>10</start>
      <end>11</end>
      <status>unmodified</status>
      <modifiedWord/>
      <trackRevisions>false</trackRevisions>
    </reviewItem>
    <reviewItem>
      <errorID>54889ed1-2e23-4256-8610-15983c5036e0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792263A0</paraID>
      <start>0</start>
      <end>2</end>
      <status>unmodified</status>
      <modifiedWord/>
      <trackRevisions>false</trackRevisions>
    </reviewItem>
    <reviewItem>
      <errorID>aa038a31-7a74-4168-8ab4-f9558d59f969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6B2FFD85</paraID>
      <start>0</start>
      <end>2</end>
      <status>unmodified</status>
      <modifiedWord/>
      <trackRevisions>false</trackRevisions>
    </reviewItem>
    <reviewItem>
      <errorID>84481918-6e3a-4788-9c8d-3c56a6d34b58</errorID>
      <errorWord>（</errorWord>
      <group>L1_Punc</group>
      <groupName>标点问题</groupName>
      <ability>L2_Punc_CN</ability>
      <abilityName>标点符号检查</abilityName>
      <candidateList/>
      <explain>同一形式括号套用。</explain>
      <paraID>42F534E3</paraID>
      <start>3</start>
      <end>4</end>
      <status>unmodified</status>
      <modifiedWord/>
      <trackRevisions>false</trackRevisions>
    </reviewItem>
    <reviewItem>
      <errorID>15641fed-f441-4170-9619-84f1f63b64fc</errorID>
      <errorWord>)</errorWord>
      <group>L1_Punc</group>
      <groupName>标点问题</groupName>
      <ability>L2_Punc_CN</ability>
      <abilityName>标点符号检查</abilityName>
      <candidateList/>
      <explain>同一形式括号套用。</explain>
      <paraID>42F534E3</paraID>
      <start>8</start>
      <end>9</end>
      <status>unmodified</status>
      <modifiedWord/>
      <trackRevisions>false</trackRevisions>
    </reviewItem>
    <reviewItem>
      <errorID>4e57cd9c-1653-4e3b-a6d5-0df6f102a56b</errorID>
      <errorWord>）</errorWord>
      <group>L1_Punc</group>
      <groupName>标点问题</groupName>
      <ability>L2_Punc_CN</ability>
      <abilityName>标点符号检查</abilityName>
      <candidateList/>
      <explain>同一形式括号套用。</explain>
      <paraID>42F534E3</paraID>
      <start>9</start>
      <end>10</end>
      <status>unmodified</status>
      <modifiedWord/>
      <trackRevisions>false</trackRevisions>
    </reviewItem>
    <reviewItem>
      <errorID>f3af03ef-b0de-4262-a622-8547538cdd06</errorID>
      <errorWord>（</errorWord>
      <group>L1_Punc</group>
      <groupName>标点问题</groupName>
      <ability>L2_Punc_CN</ability>
      <abilityName>标点符号检查</abilityName>
      <candidateList/>
      <explain>同一形式括号套用。</explain>
      <paraID>5FA23F4B</paraID>
      <start>4</start>
      <end>5</end>
      <status>unmodified</status>
      <modifiedWord/>
      <trackRevisions>false</trackRevisions>
    </reviewItem>
    <reviewItem>
      <errorID>22906157-1b6a-40c5-b640-b47507e2fb27</errorID>
      <errorWord>)</errorWord>
      <group>L1_Punc</group>
      <groupName>标点问题</groupName>
      <ability>L2_Punc_CN</ability>
      <abilityName>标点符号检查</abilityName>
      <candidateList/>
      <explain>同一形式括号套用。</explain>
      <paraID>5FA23F4B</paraID>
      <start>9</start>
      <end>10</end>
      <status>unmodified</status>
      <modifiedWord/>
      <trackRevisions>false</trackRevisions>
    </reviewItem>
    <reviewItem>
      <errorID>92666de0-97ce-40d9-a48a-e6dd96a0ed9e</errorID>
      <errorWord>）</errorWord>
      <group>L1_Punc</group>
      <groupName>标点问题</groupName>
      <ability>L2_Punc_CN</ability>
      <abilityName>标点符号检查</abilityName>
      <candidateList/>
      <explain>同一形式括号套用。</explain>
      <paraID>5FA23F4B</paraID>
      <start>10</start>
      <end>11</end>
      <status>unmodified</status>
      <modifiedWord/>
      <trackRevisions>false</trackRevisions>
    </reviewItem>
    <reviewItem>
      <errorID>cca6bc37-a36a-4850-af27-d201d6b99ec9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6BC1E0FD</paraID>
      <start>0</start>
      <end>2</end>
      <status>unmodified</status>
      <modifiedWord/>
      <trackRevisions>false</trackRevisions>
    </reviewItem>
    <reviewItem>
      <errorID>7a488a82-6f6b-476e-a8ab-f6cb5d9a75ac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1679F875</paraID>
      <start>0</start>
      <end>2</end>
      <status>unmodified</status>
      <modifiedWord/>
      <trackRevisions>false</trackRevisions>
    </reviewItem>
    <reviewItem>
      <errorID>8b6e34a4-05ca-453d-a8e8-ab31d76a658a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33C0982F</paraID>
      <start>0</start>
      <end>2</end>
      <status>unmodified</status>
      <modifiedWord/>
      <trackRevisions>false</trackRevisions>
    </reviewItem>
    <reviewItem>
      <errorID>999a00fc-87e9-473e-a104-3264255f04ab</errorID>
      <errorWord>)</errorWord>
      <group>L1_Format</group>
      <groupName>格式问题</groupName>
      <ability>L2_HalfPunc_CN</ability>
      <abilityName>全半角检查</abilityName>
      <candidateList>
        <item>）</item>
      </candidateList>
      <explain>文本全半角错误。</explain>
      <paraID>52582E6B</paraID>
      <start>103</start>
      <end>104</end>
      <status>unmodified</status>
      <modifiedWord/>
      <trackRevisions>false</trackRevisions>
    </reviewItem>
    <reviewItem>
      <errorID>211a1dab-d5a0-408a-b5ec-8b9a2dc91f49</errorID>
      <errorWord>)</errorWord>
      <group>L1_Format</group>
      <groupName>格式问题</groupName>
      <ability>L2_HalfPunc_CN</ability>
      <abilityName>全半角检查</abilityName>
      <candidateList>
        <item>）</item>
      </candidateList>
      <explain>文本全半角错误。</explain>
      <paraID>1CCCC311</paraID>
      <start>57</start>
      <end>58</end>
      <status>unmodified</status>
      <modifiedWord/>
      <trackRevisions>false</trackRevisions>
    </reviewItem>
    <reviewItem>
      <errorID>e1fa0f46-dbe4-4566-9d66-74e2de56433b</errorID>
      <errorWord>)</errorWord>
      <group>L1_Format</group>
      <groupName>格式问题</groupName>
      <ability>L2_HalfPunc_CN</ability>
      <abilityName>全半角检查</abilityName>
      <candidateList>
        <item>）</item>
      </candidateList>
      <explain>文本全半角错误。</explain>
      <paraID>53395135</paraID>
      <start>49</start>
      <end>50</end>
      <status>unmodified</status>
      <modifiedWord/>
      <trackRevisions>false</trackRevisions>
    </reviewItem>
    <reviewItem>
      <errorID>6840d7e7-c867-4778-ad07-381043dc9bdd</errorID>
      <errorWord>)</errorWord>
      <group>L1_Format</group>
      <groupName>格式问题</groupName>
      <ability>L2_HalfPunc_CN</ability>
      <abilityName>全半角检查</abilityName>
      <candidateList>
        <item>）</item>
      </candidateList>
      <explain>文本全半角错误。</explain>
      <paraID>4AC7C507</paraID>
      <start>106</start>
      <end>107</end>
      <status>unmodified</status>
      <modifiedWord/>
      <trackRevisions>false</trackRevisions>
    </reviewItem>
    <reviewItem>
      <errorID>3905476a-8eb1-496a-a7af-d53dee6fee83</errorID>
      <errorWord>)</errorWord>
      <group>L1_Format</group>
      <groupName>格式问题</groupName>
      <ability>L2_HalfPunc_CN</ability>
      <abilityName>全半角检查</abilityName>
      <candidateList>
        <item>）</item>
      </candidateList>
      <explain>文本全半角错误。</explain>
      <paraID>   D8755</paraID>
      <start>64</start>
      <end>65</end>
      <status>unmodified</status>
      <modifiedWord/>
      <trackRevisions>false</trackRevisions>
    </reviewItem>
    <reviewItem>
      <errorID>0f01132a-8338-4f89-bc2b-24ce01f1bbff</errorID>
      <errorWord>)</errorWord>
      <group>L1_Format</group>
      <groupName>格式问题</groupName>
      <ability>L2_HalfPunc_CN</ability>
      <abilityName>全半角检查</abilityName>
      <candidateList>
        <item>）</item>
      </candidateList>
      <explain>文本全半角错误。</explain>
      <paraID> EEDB203</paraID>
      <start>51</start>
      <end>52</end>
      <status>unmodified</status>
      <modifiedWord/>
      <trackRevisions>false</trackRevisions>
    </reviewItem>
    <reviewItem>
      <errorID>a3a6ef6b-8d79-4747-9175-9ddd2ac9ae38</errorID>
      <errorWord>接受</errorWord>
      <group>L1_Word</group>
      <groupName>字词问题</groupName>
      <ability>L2_Typo</ability>
      <abilityName>字词错误</abilityName>
      <candidateList>
        <item>接收</item>
      </candidateList>
      <explain>存在发音相同字词的误用。</explain>
      <paraID>5CF6B99D</paraID>
      <start>137</start>
      <end>139</end>
      <status>unmodified</status>
      <modifiedWord/>
      <trackRevisions>false</trackRevisions>
    </reviewItem>
    <reviewItem>
      <errorID>360542a0-914b-404d-b8de-9d34df91df23</errorID>
      <errorWord>防治</errorWord>
      <group>L1_Word</group>
      <groupName>字词问题</groupName>
      <ability>L2_Typo</ability>
      <abilityName>字词错误</abilityName>
      <candidateList>
        <item>防止</item>
      </candidateList>
      <explain>〈动〉预先设法制止（坏事发生）：～煤气中毒｜～交通事故。</explain>
      <paraID>2B4E66E3</paraID>
      <start>24</start>
      <end>26</end>
      <status>unmodified</status>
      <modifiedWord/>
      <trackRevisions>false</trackRevisions>
    </reviewItem>
    <reviewItem>
      <errorID>32dba770-3ad2-45b9-8091-fe65a1b16e9a</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7FAE25B9</paraID>
      <start>170</start>
      <end>171</end>
      <status>unmodified</status>
      <modifiedWord/>
      <trackRevisions>false</trackRevisions>
    </reviewItem>
    <reviewItem>
      <errorID>ae800e32-6064-4fb0-9168-72b8f8a1af25</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7FAE25B9</paraID>
      <start>209</start>
      <end>210</end>
      <status>unmodified</status>
      <modifiedWord/>
      <trackRevisions>false</trackRevisions>
    </reviewItem>
    <reviewItem>
      <errorID>1d205fc6-4c4e-4f7b-a46c-38f4bb2a8ea0</errorID>
      <errorWord>（</errorWord>
      <group>L1_Format</group>
      <groupName>格式问题</groupName>
      <ability>L2_HalfPunc_CN</ability>
      <abilityName>全半角检查</abilityName>
      <candidateList>
        <item>(</item>
      </candidateList>
      <explain>文本全半角错误。</explain>
      <paraID> 2527518</paraID>
      <start>0</start>
      <end>1</end>
      <status>unmodified</status>
      <modifiedWord/>
      <trackRevisions>false</trackRevisions>
    </reviewItem>
    <reviewItem>
      <errorID>a38a17d9-36c7-484d-848a-ac2a6ee4813f</errorID>
      <errorWord>）</errorWord>
      <group>L1_Format</group>
      <groupName>格式问题</groupName>
      <ability>L2_HalfPunc_CN</ability>
      <abilityName>全半角检查</abilityName>
      <candidateList>
        <item>)</item>
      </candidateList>
      <explain>文本全半角错误。</explain>
      <paraID> 2527518</paraID>
      <start>12</start>
      <end>13</end>
      <status>unmodified</status>
      <modifiedWord/>
      <trackRevisions>false</trackRevisions>
    </reviewItem>
    <reviewItem>
      <errorID>f99d58ee-da50-410e-92ad-c598794e693b</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2D30121C</paraID>
      <start>23</start>
      <end>24</end>
      <status>unmodified</status>
      <modifiedWord/>
      <trackRevisions>false</trackRevisions>
    </reviewItem>
    <reviewItem>
      <errorID>58042841-8b30-4043-8255-9922d0387a33</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2D30121C</paraID>
      <start>62</start>
      <end>63</end>
      <status>unmodified</status>
      <modifiedWord/>
      <trackRevisions>false</trackRevisions>
    </reviewItem>
    <reviewItem>
      <errorID>ce5a5436-63e2-4a5a-8498-ea5384ab953b</errorID>
      <errorWord>（</errorWord>
      <group>L1_Format</group>
      <groupName>格式问题</groupName>
      <ability>L2_HalfPunc_CN</ability>
      <abilityName>全半角检查</abilityName>
      <candidateList>
        <item>(</item>
      </candidateList>
      <explain>文本全半角错误。</explain>
      <paraID>6F8601FD</paraID>
      <start>0</start>
      <end>1</end>
      <status>unmodified</status>
      <modifiedWord/>
      <trackRevisions>false</trackRevisions>
    </reviewItem>
    <reviewItem>
      <errorID>2ce193cc-415a-4fa7-8087-b954f9d3845f</errorID>
      <errorWord>）</errorWord>
      <group>L1_Format</group>
      <groupName>格式问题</groupName>
      <ability>L2_HalfPunc_CN</ability>
      <abilityName>全半角检查</abilityName>
      <candidateList>
        <item>)</item>
      </candidateList>
      <explain>文本全半角错误。</explain>
      <paraID>6F8601FD</paraID>
      <start>12</start>
      <end>13</end>
      <status>unmodified</status>
      <modifiedWord/>
      <trackRevisions>false</trackRevisions>
    </reviewItem>
    <reviewItem>
      <errorID>8f1a3f58-325a-4c08-9d0c-d7e5679eec5c</errorID>
      <errorWord>（</errorWord>
      <group>L1_Format</group>
      <groupName>格式问题</groupName>
      <ability>L2_HalfPunc_CN</ability>
      <abilityName>全半角检查</abilityName>
      <candidateList>
        <item>(</item>
      </candidateList>
      <explain>文本全半角错误。</explain>
      <paraID>167CC7A4</paraID>
      <start>0</start>
      <end>1</end>
      <status>unmodified</status>
      <modifiedWord/>
      <trackRevisions>false</trackRevisions>
    </reviewItem>
    <reviewItem>
      <errorID>24df1460-ba5f-4dc9-a6a6-35404a544f6a</errorID>
      <errorWord>）</errorWord>
      <group>L1_Format</group>
      <groupName>格式问题</groupName>
      <ability>L2_HalfPunc_CN</ability>
      <abilityName>全半角检查</abilityName>
      <candidateList>
        <item>)</item>
      </candidateList>
      <explain>文本全半角错误。</explain>
      <paraID>167CC7A4</paraID>
      <start>12</start>
      <end>13</end>
      <status>unmodified</status>
      <modifiedWord/>
      <trackRevisions>false</trackRevisions>
    </reviewItem>
    <reviewItem>
      <errorID>f7902037-191c-4302-98bc-cdd8462b624a</errorID>
      <errorWord>)</errorWord>
      <group>L1_Format</group>
      <groupName>格式问题</groupName>
      <ability>L2_HalfPunc_CN</ability>
      <abilityName>全半角检查</abilityName>
      <candidateList>
        <item>）</item>
      </candidateList>
      <explain>文本全半角错误。</explain>
      <paraID>3F1864F9</paraID>
      <start>27</start>
      <end>28</end>
      <status>unmodified</status>
      <modifiedWord/>
      <trackRevisions>false</trackRevisions>
    </reviewItem>
    <reviewItem>
      <errorID>a2ea6534-eadf-4431-9222-2e68beef2d59</errorID>
      <errorWord>)</errorWord>
      <group>L1_Format</group>
      <groupName>格式问题</groupName>
      <ability>L2_HalfPunc_CN</ability>
      <abilityName>全半角检查</abilityName>
      <candidateList>
        <item>）</item>
      </candidateList>
      <explain>文本全半角错误。</explain>
      <paraID>17661EC4</paraID>
      <start>30</start>
      <end>31</end>
      <status>unmodified</status>
      <modifiedWord/>
      <trackRevisions>false</trackRevisions>
    </reviewItem>
    <reviewItem>
      <errorID>32206d04-81c0-4d60-8cb5-fa008edef028</errorID>
      <errorWord>（</errorWord>
      <group>L1_Format</group>
      <groupName>格式问题</groupName>
      <ability>L2_HalfPunc_CN</ability>
      <abilityName>全半角检查</abilityName>
      <candidateList>
        <item>(</item>
      </candidateList>
      <explain>文本全半角错误。</explain>
      <paraID>20AFB14C</paraID>
      <start>0</start>
      <end>1</end>
      <status>unmodified</status>
      <modifiedWord/>
      <trackRevisions>false</trackRevisions>
    </reviewItem>
    <reviewItem>
      <errorID>a720aa64-2060-4694-921c-40a01aae8a36</errorID>
      <errorWord>）</errorWord>
      <group>L1_Format</group>
      <groupName>格式问题</groupName>
      <ability>L2_HalfPunc_CN</ability>
      <abilityName>全半角检查</abilityName>
      <candidateList>
        <item>)</item>
      </candidateList>
      <explain>文本全半角错误。</explain>
      <paraID>20AFB14C</paraID>
      <start>4</start>
      <end>5</end>
      <status>unmodified</status>
      <modifiedWord/>
      <trackRevisions>false</trackRevisions>
    </reviewItem>
    <reviewItem>
      <errorID>a4cc4d31-b0b8-42dd-909c-1dd3f814c8f8</errorID>
      <errorWord>（</errorWord>
      <group>L1_Format</group>
      <groupName>格式问题</groupName>
      <ability>L2_HalfPunc_CN</ability>
      <abilityName>全半角检查</abilityName>
      <candidateList>
        <item>(</item>
      </candidateList>
      <explain>文本全半角错误。</explain>
      <paraID>6B787E03</paraID>
      <start>0</start>
      <end>1</end>
      <status>unmodified</status>
      <modifiedWord/>
      <trackRevisions>false</trackRevisions>
    </reviewItem>
    <reviewItem>
      <errorID>c0e3c019-dc88-475e-bc51-3c23b782edac</errorID>
      <errorWord>）</errorWord>
      <group>L1_Format</group>
      <groupName>格式问题</groupName>
      <ability>L2_HalfPunc_CN</ability>
      <abilityName>全半角检查</abilityName>
      <candidateList>
        <item>)</item>
      </candidateList>
      <explain>文本全半角错误。</explain>
      <paraID>6B787E03</paraID>
      <start>4</start>
      <end>5</end>
      <status>unmodified</status>
      <modifiedWord/>
      <trackRevisions>false</trackRevisions>
    </reviewItem>
    <reviewItem>
      <errorID>efb7e2d0-9c8f-4d40-b05a-76e1a48e98ca</errorID>
      <errorWord>)</errorWord>
      <group>L1_Format</group>
      <groupName>格式问题</groupName>
      <ability>L2_HalfPunc_CN</ability>
      <abilityName>全半角检查</abilityName>
      <candidateList>
        <item>）</item>
      </candidateList>
      <explain>文本全半角错误。</explain>
      <paraID>229DA6B9</paraID>
      <start>2</start>
      <end>3</end>
      <status>unmodified</status>
      <modifiedWord/>
      <trackRevisions>false</trackRevisions>
    </reviewItem>
    <reviewItem>
      <errorID>c95ad8d4-2dee-476b-b9e9-8543c779ec51</errorID>
      <errorWord>)</errorWord>
      <group>L1_Format</group>
      <groupName>格式问题</groupName>
      <ability>L2_HalfPunc_CN</ability>
      <abilityName>全半角检查</abilityName>
      <candidateList>
        <item>）</item>
      </candidateList>
      <explain>文本全半角错误。</explain>
      <paraID>7C79BEA4</paraID>
      <start>27</start>
      <end>28</end>
      <status>unmodified</status>
      <modifiedWord/>
      <trackRevisions>false</trackRevisions>
    </reviewItem>
    <reviewItem>
      <errorID>8ced2373-3cb2-40b2-b6c5-ed867e1ecd9c</errorID>
      <errorWord>)</errorWord>
      <group>L1_Format</group>
      <groupName>格式问题</groupName>
      <ability>L2_HalfPunc_CN</ability>
      <abilityName>全半角检查</abilityName>
      <candidateList>
        <item>）</item>
      </candidateList>
      <explain>文本全半角错误。</explain>
      <paraID>425FF93A</paraID>
      <start>30</start>
      <end>31</end>
      <status>unmodified</status>
      <modifiedWord/>
      <trackRevisions>false</trackRevisions>
    </reviewItem>
    <reviewItem>
      <errorID>569c16c2-7bc1-4a17-8cca-b780bd5da6bf</errorID>
      <errorWord>)</errorWord>
      <group>L1_Format</group>
      <groupName>格式问题</groupName>
      <ability>L2_HalfPunc_CN</ability>
      <abilityName>全半角检查</abilityName>
      <candidateList>
        <item>）</item>
      </candidateList>
      <explain>文本全半角错误。</explain>
      <paraID>10E56B54</paraID>
      <start>30</start>
      <end>31</end>
      <status>unmodified</status>
      <modifiedWord/>
      <trackRevisions>false</trackRevisions>
    </reviewItem>
    <reviewItem>
      <errorID>90837643-3280-4bc1-896d-cd7cc1cd54c0</errorID>
      <errorWord>，</errorWord>
      <group>L1_Word</group>
      <groupName>字词问题</groupName>
      <ability>L2_Typo</ability>
      <abilityName>字词错误</abilityName>
      <candidateList>
        <item>，在</item>
      </candidateList>
      <explain/>
      <paraID>7AAE48EF</paraID>
      <start>57</start>
      <end>58</end>
      <status>unmodified</status>
      <modifiedWord/>
      <trackRevisions>false</trackRevisions>
    </reviewItem>
    <reviewItem>
      <errorID>c7ebaacb-d9f8-44fb-a398-508c4dd70e37</errorID>
      <errorWord>,</errorWord>
      <group>L1_Format</group>
      <groupName>格式问题</groupName>
      <ability>L2_HalfPunc_CN</ability>
      <abilityName>全半角检查</abilityName>
      <candidateList>
        <item>，</item>
      </candidateList>
      <explain>文本全半角错误。</explain>
      <paraID> A88117E</paraID>
      <start>139</start>
      <end>140</end>
      <status>unmodified</status>
      <modifiedWord/>
      <trackRevisions>false</trackRevisions>
    </reviewItem>
    <reviewItem>
      <errorID>c59300f0-480a-42fa-ac33-cc89a98ab6aa</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160E321E</paraID>
      <start>11</start>
      <end>14</end>
      <status>unmodified</status>
      <modifiedWord/>
      <trackRevisions>false</trackRevisions>
    </reviewItem>
    <reviewItem>
      <errorID>140aa6b5-c611-4e4a-8555-83110121af47</errorID>
      <errorWord>二零二</errorWord>
      <group>L1_Word</group>
      <groupName>字词问题</groupName>
      <ability>L2_Alias</ability>
      <abilityName>也作/曾用词</abilityName>
      <candidateList>
        <item>二○二</item>
      </candidateList>
      <explain>词汇[二零二]为不规范表述或旧称，其规范书面表述为[二○二]。</explain>
      <paraID>7B46A89B</paraID>
      <start>0</start>
      <end>3</end>
      <status>unmodified</status>
      <modifiedWord/>
      <trackRevisions>false</trackRevisions>
    </reviewItem>
    <reviewItem>
      <errorID>3b5d8bb2-26e0-4323-90ad-9067271746b6</errorID>
      <errorWord>)</errorWord>
      <group>L1_Format</group>
      <groupName>格式问题</groupName>
      <ability>L2_HalfPunc_CN</ability>
      <abilityName>全半角检查</abilityName>
      <candidateList>
        <item>）</item>
      </candidateList>
      <explain>文本全半角错误。</explain>
      <paraID>49BDBF3C</paraID>
      <start>33</start>
      <end>34</end>
      <status>unmodified</status>
      <modifiedWord/>
      <trackRevisions>false</trackRevisions>
    </reviewItem>
    <reviewItem>
      <errorID>3379f3ef-66b5-43ab-aae3-c7a8160aba2b</errorID>
      <errorWord>)</errorWord>
      <group>L1_Format</group>
      <groupName>格式问题</groupName>
      <ability>L2_HalfPunc_CN</ability>
      <abilityName>全半角检查</abilityName>
      <candidateList>
        <item>）</item>
      </candidateList>
      <explain>文本全半角错误。</explain>
      <paraID>61FD806F</paraID>
      <start>30</start>
      <end>31</end>
      <status>unmodified</status>
      <modifiedWord/>
      <trackRevisions>false</trackRevisions>
    </reviewItem>
    <reviewItem>
      <errorID>aa31d2a4-dae0-4979-b5a7-66a76b72872b</errorID>
      <errorWord>)</errorWord>
      <group>L1_Format</group>
      <groupName>格式问题</groupName>
      <ability>L2_HalfPunc_CN</ability>
      <abilityName>全半角检查</abilityName>
      <candidateList>
        <item>）</item>
      </candidateList>
      <explain>文本全半角错误。</explain>
      <paraID>1EC03178</paraID>
      <start>31</start>
      <end>32</end>
      <status>unmodified</status>
      <modifiedWord/>
      <trackRevisions>false</trackRevisions>
    </reviewItem>
    <reviewItem>
      <errorID>2c873d02-7aae-4218-8ed5-bfcdaf7dc298</errorID>
      <errorWord>)</errorWord>
      <group>L1_Format</group>
      <groupName>格式问题</groupName>
      <ability>L2_HalfPunc_CN</ability>
      <abilityName>全半角检查</abilityName>
      <candidateList>
        <item>）</item>
      </candidateList>
      <explain>文本全半角错误。</explain>
      <paraID>5E46D435</paraID>
      <start>31</start>
      <end>32</end>
      <status>unmodified</status>
      <modifiedWord/>
      <trackRevisions>false</trackRevisions>
    </reviewItem>
    <reviewItem>
      <errorID>319a0d8b-7b8f-4c08-b328-8537104385b7</errorID>
      <errorWord>)</errorWord>
      <group>L1_Format</group>
      <groupName>格式问题</groupName>
      <ability>L2_HalfPunc_CN</ability>
      <abilityName>全半角检查</abilityName>
      <candidateList>
        <item>）</item>
      </candidateList>
      <explain>文本全半角错误。</explain>
      <paraID>  30B8E4</paraID>
      <start>29</start>
      <end>30</end>
      <status>unmodified</status>
      <modifiedWord/>
      <trackRevisions>false</trackRevisions>
    </reviewItem>
    <reviewItem>
      <errorID>05489f73-3125-4cda-888b-6fb75f4a3d72</errorID>
      <errorWord>,…</errorWord>
      <group>L1_Punc</group>
      <groupName>标点问题</groupName>
      <ability>L2_Punc_CN</ability>
      <abilityName>标点符号检查</abilityName>
      <candidateList>
        <item>,</item>
      </candidateList>
      <explain/>
      <paraID>45A76C8F</paraID>
      <start>11</start>
      <end>13</end>
      <status>unmodified</status>
      <modifiedWord/>
      <trackRevisions>false</trackRevisions>
    </reviewItem>
    <reviewItem>
      <errorID>e0180c07-35af-4ebf-ad30-273b9f9cd6b0</errorID>
      <errorWord>,…,</errorWord>
      <group>L1_Punc</group>
      <groupName>标点问题</groupName>
      <ability>L2_Punc_CN</ability>
      <abilityName>标点符号检查</abilityName>
      <candidateList>
        <item>,</item>
      </candidateList>
      <explain/>
      <paraID>398DE85B</paraID>
      <start>8</start>
      <end>11</end>
      <status>unmodified</status>
      <modifiedWord/>
      <trackRevisions>false</trackRevisions>
    </reviewItem>
    <reviewItem>
      <errorID>6263825a-a3fe-4cd0-8e96-aff7952af8d4</errorID>
      <errorWord>-</errorWord>
      <group>L1_Format</group>
      <groupName>格式问题</groupName>
      <ability>L2_HalfPunc_CN</ability>
      <abilityName>全半角检查</abilityName>
      <candidateList>
        <item>－</item>
      </candidateList>
      <explain>文本全半角错误。</explain>
      <paraID>70D2BC25</paraID>
      <start>4</start>
      <end>5</end>
      <status>unmodified</status>
      <modifiedWord/>
      <trackRevisions>false</trackRevisions>
    </reviewItem>
    <reviewItem>
      <errorID>a28f8fb2-1c24-4e61-a667-46414526087f</errorID>
      <errorWord>-</errorWord>
      <group>L1_Format</group>
      <groupName>格式问题</groupName>
      <ability>L2_HalfPunc_CN</ability>
      <abilityName>全半角检查</abilityName>
      <candidateList>
        <item>－</item>
      </candidateList>
      <explain>文本全半角错误。</explain>
      <paraID>6C17F88E</paraID>
      <start>7</start>
      <end>8</end>
      <status>unmodified</status>
      <modifiedWord/>
      <trackRevisions>false</trackRevisions>
    </reviewItem>
    <reviewItem>
      <errorID>08e52599-5fcb-4bc2-9cd3-f121fa7df7b8</errorID>
      <errorWord>、</errorWord>
      <group>L1_Punc</group>
      <groupName>标点问题</groupName>
      <ability>L2_Punc_CN</ability>
      <abilityName>标点符号检查</abilityName>
      <candidateList/>
      <explain/>
      <paraID>28FD0B0D</paraID>
      <start>0</start>
      <end>1</end>
      <status>unmodified</status>
      <modifiedWord/>
      <trackRevisions>false</trackRevisions>
    </reviewItem>
    <reviewItem>
      <errorID>fd774cf3-89ed-42ce-a515-fd2add027fff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304EBC0E</paraID>
      <start>0</start>
      <end>2</end>
      <status>unmodified</status>
      <modifiedWord/>
      <trackRevisions>false</trackRevisions>
    </reviewItem>
    <reviewItem>
      <errorID>a7d39b26-7f2f-46b7-a385-fb845e74716e</errorID>
      <errorWord>III</errorWord>
      <group>L1_Word</group>
      <groupName>字词问题</groupName>
      <ability>L2_Typo</ability>
      <abilityName>字词错误</abilityName>
      <candidateList>
        <item>Ⅲ</item>
      </candidateList>
      <explain/>
      <paraID>767AEA20</paraID>
      <start>0</start>
      <end>3</end>
      <status>unmodified</status>
      <modifiedWord/>
      <trackRevisions>false</trackRevisions>
    </reviewItem>
    <reviewItem>
      <errorID>790e53b7-7833-4f72-ad4a-8163dfda2892</errorID>
      <errorWord>III级</errorWord>
      <group>L1_Knowledge</group>
      <groupName>知识性问题</groupName>
      <ability>L2_Knowledge</ability>
      <abilityName>其他知识</abilityName>
      <candidateList>
        <item>Ⅲ级</item>
      </candidateList>
      <explain>中文环境下罗马数字格式错误。</explain>
      <paraID>6817EEDF</paraID>
      <start>19</start>
      <end>23</end>
      <status>unmodified</status>
      <modifiedWord/>
      <trackRevisions>false</trackRevisions>
    </reviewItem>
    <reviewItem>
      <errorID>83933beb-961c-4830-896c-f968251941a4</errorID>
      <errorWord>III</errorWord>
      <group>L1_Knowledge</group>
      <groupName>知识性问题</groupName>
      <ability>L2_Knowledge</ability>
      <abilityName>其他知识</abilityName>
      <candidateList>
        <item>Ⅲ</item>
      </candidateList>
      <explain>中文环境下罗马数字格式错误。</explain>
      <paraID>23335084</paraID>
      <start>18</start>
      <end>21</end>
      <status>unmodified</status>
      <modifiedWord/>
      <trackRevisions>false</trackRevisions>
    </reviewItem>
    <reviewItem>
      <errorID>cc35caf9-a94a-4c10-8fda-cded84353f2d</errorID>
      <errorWord>程</errorWord>
      <group>L1_Word</group>
      <groupName>字词问题</groupName>
      <ability>L2_Typo</ability>
      <abilityName>字词错误</abilityName>
      <candidateList>
        <item>程中</item>
      </candidateList>
      <explain/>
      <paraID>75EDF58B</paraID>
      <start>13</start>
      <end>14</end>
      <status>unmodified</status>
      <modifiedWord/>
      <trackRevisions>false</trackRevisions>
    </reviewItem>
    <reviewItem>
      <errorID>17ad41a4-8bad-45b3-8185-6408d1abf0d7</errorID>
      <errorWord>-</errorWord>
      <group>L1_Format</group>
      <groupName>格式问题</groupName>
      <ability>L2_HalfPunc_CN</ability>
      <abilityName>全半角检查</abilityName>
      <candidateList>
        <item>－</item>
      </candidateList>
      <explain>文本全半角错误。</explain>
      <paraID> 57218B5</paraID>
      <start>111</start>
      <end>112</end>
      <status>unmodified</status>
      <modifiedWord/>
      <trackRevisions>false</trackRevisions>
    </reviewItem>
    <reviewItem>
      <errorID>787b2067-329b-4c08-9ec1-b4b8e785c73b</errorID>
      <errorWord>-</errorWord>
      <group>L1_Format</group>
      <groupName>格式问题</groupName>
      <ability>L2_HalfPunc_CN</ability>
      <abilityName>全半角检查</abilityName>
      <candidateList>
        <item>－</item>
      </candidateList>
      <explain>文本全半角错误。</explain>
      <paraID> 57218B5</paraID>
      <start>123</start>
      <end>124</end>
      <status>unmodified</status>
      <modifiedWord/>
      <trackRevisions>false</trackRevisions>
    </reviewItem>
    <reviewItem>
      <errorID>d0686c07-63e2-404b-84c4-b4e4d7fabd17</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6D1B61E6</paraID>
      <start>68</start>
      <end>70</end>
      <status>unmodified</status>
      <modifiedWord/>
      <trackRevisions>false</trackRevisions>
    </reviewItem>
    <reviewItem>
      <errorID>46b1ff4c-eddd-47aa-95bd-c7c78c49e03b</errorID>
      <errorWord>其它</errorWord>
      <group>L1_Word</group>
      <groupName>字词问题</groupName>
      <ability>L2_Alias</ability>
      <abilityName>也作/曾用词</abilityName>
      <candidateList>
        <item>其他</item>
      </candidateList>
      <explain>词汇[其它]为不规范表述或旧称，其规范书面表述为[其他]。</explain>
      <paraID>2F4DB133</paraID>
      <start>0</start>
      <end>2</end>
      <status>unmodified</status>
      <modifiedWord/>
      <trackRevisions>false</trackRevisions>
    </reviewItem>
    <reviewItem>
      <errorID>06771733-b15b-4016-bf9b-1fb086eec17d</errorID>
      <errorWord>15%-40%</errorWord>
      <group>L1_Knowledge</group>
      <groupName>知识性问题</groupName>
      <ability>L2_Knowledge</ability>
      <abilityName>其他知识</abilityName>
      <candidateList>
        <item>15%—40%</item>
      </candidateList>
      <explain>1. “15%-40%”中的单位“%”仅出现在后一个数字上，容易引起歧义；根据《现代汉语标点符号数字用法规范手册》，数字表示范围两边需要使用统一的格式。2. 根据标点国标 4.13 中的规则，数字、时间或地域连接符应使用（视觉上更长的）“—”或“～”。</explain>
      <paraID>6019AD57</paraID>
      <start>15</start>
      <end>22</end>
      <status>unmodified</status>
      <modifiedWord/>
      <trackRevisions>false</trackRevisions>
    </reviewItem>
    <reviewItem>
      <errorID>6ee13074-9d31-4b89-bc54-1b78bb24f88e</errorID>
      <errorWord>：</errorWord>
      <group>L1_Format</group>
      <groupName>格式问题</groupName>
      <ability>L2_HalfPunc_CN</ability>
      <abilityName>全半角检查</abilityName>
      <candidateList>
        <item>:</item>
      </candidateList>
      <explain>文本全半角错误。</explain>
      <paraID>59164DD3</paraID>
      <start>9</start>
      <end>10</end>
      <status>unmodified</status>
      <modifiedWord/>
      <trackRevisions>false</trackRevisions>
    </reviewItem>
    <reviewItem>
      <errorID>2890f791-aefa-4577-a713-30f552b67ac0</errorID>
      <errorWord>：</errorWord>
      <group>L1_Format</group>
      <groupName>格式问题</groupName>
      <ability>L2_HalfPunc_CN</ability>
      <abilityName>全半角检查</abilityName>
      <candidateList>
        <item>:</item>
      </candidateList>
      <explain>文本全半角错误。</explain>
      <paraID>59164DD3</paraID>
      <start>45</start>
      <end>46</end>
      <status>unmodified</status>
      <modifiedWord/>
      <trackRevisions>false</trackRevisions>
    </reviewItem>
    <reviewItem>
      <errorID>02b6ad18-ea63-4f4d-9b1d-80453188f5be</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6555FFDB</paraID>
      <start>71</start>
      <end>74</end>
      <status>unmodified</status>
      <modifiedWord/>
      <trackRevisions>false</trackRevisions>
    </reviewItem>
    <reviewItem>
      <errorID>9e7ec297-120a-4db0-b4bd-963367ca2b86</errorID>
      <errorWord>-</errorWord>
      <group>L1_Format</group>
      <groupName>格式问题</groupName>
      <ability>L2_HalfPunc_CN</ability>
      <abilityName>全半角检查</abilityName>
      <candidateList>
        <item>－</item>
      </candidateList>
      <explain>文本全半角错误。</explain>
      <paraID>1D42D060</paraID>
      <start>1</start>
      <end>2</end>
      <status>unmodified</status>
      <modifiedWord/>
      <trackRevisions>false</trackRevisions>
    </reviewItem>
    <reviewItem>
      <errorID>9d8d4674-9d75-4bf7-8aa4-1338ca8c9578</errorID>
      <errorWord>；</errorWord>
      <group>L1_Format</group>
      <groupName>格式问题</groupName>
      <ability>L2_HalfPunc_CN</ability>
      <abilityName>全半角检查</abilityName>
      <candidateList>
        <item>; </item>
      </candidateList>
      <explain>文本全半角错误。</explain>
      <paraID>6E271317</paraID>
      <start>10</start>
      <end>11</end>
      <status>unmodified</status>
      <modifiedWord/>
      <trackRevisions>false</trackRevisions>
    </reviewItem>
    <reviewItem>
      <errorID>d4fd20f7-16d1-4373-8007-fed2f48ccc53</errorID>
      <errorWord>：</errorWord>
      <group>L1_Format</group>
      <groupName>格式问题</groupName>
      <ability>L2_HalfPunc_CN</ability>
      <abilityName>全半角检查</abilityName>
      <candidateList>
        <item>:</item>
      </candidateList>
      <explain>文本全半角错误。</explain>
      <paraID>2B9F1084</paraID>
      <start>4</start>
      <end>5</end>
      <status>unmodified</status>
      <modifiedWord/>
      <trackRevisions>false</trackRevisions>
    </reviewItem>
    <reviewItem>
      <errorID>2c4deac4-46b2-4bc0-ae61-47b8e3caa3ba</errorID>
      <errorWord>)</errorWord>
      <group>L1_Format</group>
      <groupName>格式问题</groupName>
      <ability>L2_HalfPunc_CN</ability>
      <abilityName>全半角检查</abilityName>
      <candidateList>
        <item>）</item>
      </candidateList>
      <explain>文本全半角错误。</explain>
      <paraID>2B9F1084</paraID>
      <start>19</start>
      <end>20</end>
      <status>unmodified</status>
      <modifiedWord/>
      <trackRevisions>false</trackRevisions>
    </reviewItem>
    <reviewItem>
      <errorID>67bee6cc-694b-4301-a39a-43d6199c643b</errorID>
      <errorWord>)</errorWord>
      <group>L1_Format</group>
      <groupName>格式问题</groupName>
      <ability>L2_HalfPunc_CN</ability>
      <abilityName>全半角检查</abilityName>
      <candidateList>
        <item>）</item>
      </candidateList>
      <explain>文本全半角错误。</explain>
      <paraID>2B9F1084</paraID>
      <start>35</start>
      <end>36</end>
      <status>unmodified</status>
      <modifiedWord/>
      <trackRevisions>false</trackRevisions>
    </reviewItem>
    <reviewItem>
      <errorID>85f5aa2c-8ef6-4c46-8327-45238877b390</errorID>
      <errorWord>：</errorWord>
      <group>L1_Format</group>
      <groupName>格式问题</groupName>
      <ability>L2_HalfPunc_CN</ability>
      <abilityName>全半角检查</abilityName>
      <candidateList>
        <item>:</item>
      </candidateList>
      <explain>文本全半角错误。</explain>
      <paraID>2B9F1084</paraID>
      <start>41</start>
      <end>42</end>
      <status>unmodified</status>
      <modifiedWord/>
      <trackRevisions>false</trackRevisions>
    </reviewItem>
    <reviewItem>
      <errorID>8fc029d0-2306-45a7-92d7-902fb6d12060</errorID>
      <errorWord>)</errorWord>
      <group>L1_Format</group>
      <groupName>格式问题</groupName>
      <ability>L2_HalfPunc_CN</ability>
      <abilityName>全半角检查</abilityName>
      <candidateList>
        <item>）</item>
      </candidateList>
      <explain>文本全半角错误。</explain>
      <paraID>2B9F1084</paraID>
      <start>62</start>
      <end>63</end>
      <status>unmodified</status>
      <modifiedWord/>
      <trackRevisions>false</trackRevisions>
    </reviewItem>
    <reviewItem>
      <errorID>e0a50a81-3701-496f-9c48-2e3e849ad8fa</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29FB890F</paraID>
      <start>27</start>
      <end>30</end>
      <status>unmodified</status>
      <modifiedWord/>
      <trackRevisions>false</trackRevisions>
    </reviewItem>
    <reviewItem>
      <errorID>edf6a5f5-0701-4b17-b395-93195306d75a</errorID>
      <errorWord>)</errorWord>
      <group>L1_Format</group>
      <groupName>格式问题</groupName>
      <ability>L2_HalfPunc_CN</ability>
      <abilityName>全半角检查</abilityName>
      <candidateList>
        <item>）</item>
      </candidateList>
      <explain>文本全半角错误。</explain>
      <paraID>5E8717F0</paraID>
      <start>4</start>
      <end>5</end>
      <status>unmodified</status>
      <modifiedWord/>
      <trackRevisions>false</trackRevisions>
    </reviewItem>
    <reviewItem>
      <errorID>e1d0eaed-d116-43ac-b61e-b3a0e0eccaf9</errorID>
      <errorWord>)</errorWord>
      <group>L1_Format</group>
      <groupName>格式问题</groupName>
      <ability>L2_HalfPunc_CN</ability>
      <abilityName>全半角检查</abilityName>
      <candidateList>
        <item>）</item>
      </candidateList>
      <explain>文本全半角错误。</explain>
      <paraID>1E21B211</paraID>
      <start>6</start>
      <end>7</end>
      <status>unmodified</status>
      <modifiedWord/>
      <trackRevisions>false</trackRevisions>
    </reviewItem>
    <reviewItem>
      <errorID>16bb7826-c1df-4ab0-ab35-f1bab1df1209</errorID>
      <errorWord>曝晒</errorWord>
      <group>L1_Word</group>
      <groupName>字词问题</groupName>
      <ability>L2_Typo</ability>
      <abilityName>字词错误</abilityName>
      <candidateList>
        <item>暴晒</item>
      </candidateList>
      <explain>〈动〉在强烈的阳光下久晒：烈日～｜洗好的丝绸衣服不宜～。</explain>
      <paraID> 6C1F744</paraID>
      <start>162</start>
      <end>164</end>
      <status>unmodified</status>
      <modifiedWord/>
      <trackRevisions>false</trackRevisions>
    </reviewItem>
    <reviewItem>
      <errorID>3975381e-f7e6-4bdb-9131-24ac6dd694c9</errorID>
      <errorWord>其它不</errorWord>
      <group>L1_Word</group>
      <groupName>字词问题</groupName>
      <ability>L2_Alias</ability>
      <abilityName>也作/曾用词</abilityName>
      <candidateList>
        <item>其他不</item>
      </candidateList>
      <explain>词汇[其它不]为不规范表述或旧称，其规范书面表述为[其他不]。</explain>
      <paraID>5D133A73</paraID>
      <start>67</start>
      <end>70</end>
      <status>unmodified</status>
      <modifiedWord/>
      <trackRevisions>false</trackRevisions>
    </reviewItem>
    <reviewItem>
      <errorID>8e195ae7-58cc-4bda-9cd9-16821ba3f3e1</errorID>
      <errorWord>acetate ；Acetic</errorWord>
      <group>L1_English</group>
      <groupName>英文问题</groupName>
      <ability>L2_Case</ability>
      <abilityName>大小写问题</abilityName>
      <candidateList>
        <item>acetate; acetic</item>
      </candidateList>
      <explain>疑似单词大小写错误，建议将acetate ；Acetic修改为acetate; acetic</explain>
      <paraID> B8F3600</paraID>
      <start>6</start>
      <end>21</end>
      <status>unmodified</status>
      <modifiedWord/>
      <trackRevisions>false</trackRevisions>
    </reviewItem>
    <reviewItem>
      <errorID>4ee764dc-9c49-473f-ba4b-83ef5ac631f9</errorID>
      <errorWord>-</errorWord>
      <group>L1_Format</group>
      <groupName>格式问题</groupName>
      <ability>L2_HalfPunc_CN</ability>
      <abilityName>全半角检查</abilityName>
      <candidateList>
        <item>－</item>
      </candidateList>
      <explain>文本全半角错误。</explain>
      <paraID>29226106</paraID>
      <start>32</start>
      <end>33</end>
      <status>unmodified</status>
      <modifiedWord/>
      <trackRevisions>false</trackRevisions>
    </reviewItem>
    <reviewItem>
      <errorID>83ce9623-54b3-4997-aaff-447abd1eeea7</errorID>
      <errorWord>）</errorWord>
      <group>L1_Format</group>
      <groupName>格式问题</groupName>
      <ability>L2_HalfPunc_CN</ability>
      <abilityName>全半角检查</abilityName>
      <candidateList>
        <item>)</item>
      </candidateList>
      <explain>文本全半角错误。</explain>
      <paraID>41717FCC</paraID>
      <start>8</start>
      <end>9</end>
      <status>unmodified</status>
      <modifiedWord/>
      <trackRevisions>false</trackRevisions>
    </reviewItem>
    <reviewItem>
      <errorID>1149a162-7f1e-488a-b803-420381c9f45c</errorID>
      <errorWord>）</errorWord>
      <group>L1_Format</group>
      <groupName>格式问题</groupName>
      <ability>L2_HalfPunc_CN</ability>
      <abilityName>全半角检查</abilityName>
      <candidateList>
        <item>)</item>
      </candidateList>
      <explain>文本全半角错误。</explain>
      <paraID>374AAE86</paraID>
      <start>8</start>
      <end>9</end>
      <status>unmodified</status>
      <modifiedWord/>
      <trackRevisions>false</trackRevisions>
    </reviewItem>
    <reviewItem>
      <errorID>d2313f3d-0b71-403a-b5b3-ff12493195ef</errorID>
      <errorWord>（</errorWord>
      <group>L1_Format</group>
      <groupName>格式问题</groupName>
      <ability>L2_HalfPunc_CN</ability>
      <abilityName>全半角检查</abilityName>
      <candidateList>
        <item>(</item>
      </candidateList>
      <explain>文本全半角错误。</explain>
      <paraID>4D569A6B</paraID>
      <start>2</start>
      <end>3</end>
      <status>unmodified</status>
      <modifiedWord/>
      <trackRevisions>false</trackRevisions>
    </reviewItem>
    <reviewItem>
      <errorID>76f6fe31-101b-467c-a5da-c60ec7ee5208</errorID>
      <errorWord>）；</errorWord>
      <group>L1_Format</group>
      <groupName>格式问题</groupName>
      <ability>L2_HalfPunc_CN</ability>
      <abilityName>全半角检查</abilityName>
      <candidateList>
        <item>);</item>
      </candidateList>
      <explain>文本全半角错误。</explain>
      <paraID>4D569A6B</paraID>
      <start>5</start>
      <end>7</end>
      <status>unmodified</status>
      <modifiedWord/>
      <trackRevisions>false</trackRevisions>
    </reviewItem>
    <reviewItem>
      <errorID>27518de2-d167-4150-950b-09c35ead9cb5</errorID>
      <errorWord>（</errorWord>
      <group>L1_Format</group>
      <groupName>格式问题</groupName>
      <ability>L2_HalfPunc_CN</ability>
      <abilityName>全半角检查</abilityName>
      <candidateList>
        <item>(</item>
      </candidateList>
      <explain>文本全半角错误。</explain>
      <paraID>4D569A6B</paraID>
      <start>10</start>
      <end>11</end>
      <status>unmodified</status>
      <modifiedWord/>
      <trackRevisions>false</trackRevisions>
    </reviewItem>
    <reviewItem>
      <errorID>e4494761-9386-43a9-a4cc-57bde6394392</errorID>
      <errorWord>）</errorWord>
      <group>L1_Format</group>
      <groupName>格式问题</groupName>
      <ability>L2_HalfPunc_CN</ability>
      <abilityName>全半角检查</abilityName>
      <candidateList>
        <item>)</item>
      </candidateList>
      <explain>文本全半角错误。</explain>
      <paraID>4D569A6B</paraID>
      <start>13</start>
      <end>14</end>
      <status>unmodified</status>
      <modifiedWord/>
      <trackRevisions>false</trackRevisions>
    </reviewItem>
    <reviewItem>
      <errorID>0e634462-ab54-4bfa-b4ab-2fe9203b64ae</errorID>
      <errorWord>大罐</errorWord>
      <group>L1_Word</group>
      <groupName>字词问题</groupName>
      <ability>L2_Typo</ability>
      <abilityName>字词错误</abilityName>
      <candidateList>
        <item>罐</item>
      </candidateList>
      <explain/>
      <paraID>10E37266</paraID>
      <start>17</start>
      <end>19</end>
      <status>unmodified</status>
      <modifiedWord/>
      <trackRevisions>false</trackRevisions>
    </reviewItem>
    <reviewItem>
      <errorID>7a843801-4bc2-4673-9609-7f6a65416ef0</errorID>
      <errorWord>其它</errorWord>
      <group>L1_Word</group>
      <groupName>字词问题</groupName>
      <ability>L2_Alias</ability>
      <abilityName>也作/曾用词</abilityName>
      <candidateList>
        <item>其他</item>
      </candidateList>
      <explain>词汇[其它]为不规范表述或旧称，其规范书面表述为[其他]。</explain>
      <paraID>7AF7144A</paraID>
      <start>101</start>
      <end>103</end>
      <status>unmodified</status>
      <modifiedWord/>
      <trackRevisions>false</trackRevisions>
    </reviewItem>
    <reviewItem>
      <errorID>404a804f-3bb7-4e5a-b685-d1fc0f4ec384</errorID>
      <errorWord>其它工序</errorWord>
      <group>L1_Word</group>
      <groupName>字词问题</groupName>
      <ability>L2_Alias</ability>
      <abilityName>也作/曾用词</abilityName>
      <candidateList>
        <item>其他工序</item>
      </candidateList>
      <explain>词汇[其它工序]为不规范表述或旧称，其规范书面表述为[其他工序]。</explain>
      <paraID>76417E8E</paraID>
      <start>4</start>
      <end>8</end>
      <status>unmodified</status>
      <modifiedWord/>
      <trackRevisions>false</trackRevisions>
    </reviewItem>
    <reviewItem>
      <errorID>87db498c-a693-4b57-904a-bbda38fb9fc1</errorID>
      <errorWord>其它工序</errorWord>
      <group>L1_Word</group>
      <groupName>字词问题</groupName>
      <ability>L2_Alias</ability>
      <abilityName>也作/曾用词</abilityName>
      <candidateList>
        <item>其他工序</item>
      </candidateList>
      <explain>词汇[其它工序]为不规范表述或旧称，其规范书面表述为[其他工序]。</explain>
      <paraID>3AC2BF26</paraID>
      <start>3</start>
      <end>7</end>
      <status>unmodified</status>
      <modifiedWord/>
      <trackRevisions>false</trackRevisions>
    </reviewItem>
    <reviewItem>
      <errorID>58a6418f-cc33-4ab4-8b5d-9ef0421caa28</errorID>
      <errorWord>据一份安全报告显示</errorWord>
      <group>L1_Grammar</group>
      <groupName>语法问题</groupName>
      <ability>L2_Grammar</ability>
      <abilityName>语法错误</abilityName>
      <candidateList>
        <item>据一份安全报告</item>
      </candidateList>
      <explain>该表达中的“据一份安全报告显示”存在语义重复。</explain>
      <paraID>4C8501E1</paraID>
      <start>43</start>
      <end>52</end>
      <status>unmodified</status>
      <modifiedWord/>
      <trackRevisions>false</trackRevisions>
    </reviewItem>
    <reviewItem>
      <errorID>cbd09e7b-170f-4a94-a29f-17c0ce986916</errorID>
      <errorWord>，</errorWord>
      <group>L1_Word</group>
      <groupName>字词问题</groupName>
      <ability>L2_Typo</ability>
      <abilityName>字词错误</abilityName>
      <candidateList>
        <item>，对</item>
      </candidateList>
      <explain/>
      <paraID>299E4258</paraID>
      <start>93</start>
      <end>94</end>
      <status>unmodified</status>
      <modifiedWord/>
      <trackRevisions>false</trackRevisions>
    </reviewItem>
    <reviewItem>
      <errorID>c896e47d-e55d-4f3f-acf6-83ea64373729</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5BA518E4</paraID>
      <start>84</start>
      <end>85</end>
      <status>unmodified</status>
      <modifiedWord/>
      <trackRevisions>false</trackRevisions>
    </reviewItem>
    <reviewItem>
      <errorID>6ee11cb2-7400-4f87-8929-a8b39bf03253</errorID>
      <errorWord>)</errorWord>
      <group>L1_Format</group>
      <groupName>格式问题</groupName>
      <ability>L2_HalfPunc_CN</ability>
      <abilityName>全半角检查</abilityName>
      <candidateList>
        <item>）</item>
      </candidateList>
      <explain>文本全半角错误。</explain>
      <paraID>5BA518E4</paraID>
      <start>92</start>
      <end>93</end>
      <status>unmodified</status>
      <modifiedWord/>
      <trackRevisions>false</trackRevisions>
    </reviewItem>
    <reviewItem>
      <errorID>fc7e6378-3e7a-4cc4-b826-b55c0bfaca6c</errorID>
      <errorWord>其它均为</errorWord>
      <group>L1_Word</group>
      <groupName>字词问题</groupName>
      <ability>L2_Alias</ability>
      <abilityName>也作/曾用词</abilityName>
      <candidateList>
        <item>其他均为</item>
      </candidateList>
      <explain>词汇[其它均为]为不规范表述或旧称，其规范书面表述为[其他均为]。</explain>
      <paraID>26793F5B</paraID>
      <start>123</start>
      <end>127</end>
      <status>unmodified</status>
      <modifiedWord/>
      <trackRevisions>false</trackRevisions>
    </reviewItem>
    <reviewItem>
      <errorID>257e57b3-3c68-47cd-95b0-6e2ab0174144</errorID>
      <errorWord>)</errorWord>
      <group>L1_Format</group>
      <groupName>格式问题</groupName>
      <ability>L2_HalfPunc_CN</ability>
      <abilityName>全半角检查</abilityName>
      <candidateList>
        <item>）</item>
      </candidateList>
      <explain>文本全半角错误。</explain>
      <paraID> 91990C3</paraID>
      <start>5</start>
      <end>6</end>
      <status>unmodified</status>
      <modifiedWord/>
      <trackRevisions>false</trackRevisions>
    </reviewItem>
    <reviewItem>
      <errorID>882c8756-cfe6-4357-b857-da0c061bea2e</errorID>
      <errorWord>)</errorWord>
      <group>L1_Format</group>
      <groupName>格式问题</groupName>
      <ability>L2_HalfPunc_CN</ability>
      <abilityName>全半角检查</abilityName>
      <candidateList>
        <item>）</item>
      </candidateList>
      <explain>文本全半角错误。</explain>
      <paraID>2E00193C</paraID>
      <start>5</start>
      <end>6</end>
      <status>unmodified</status>
      <modifiedWord/>
      <trackRevisions>false</trackRevisions>
    </reviewItem>
    <reviewItem>
      <errorID>d8b50f6e-5778-41c0-8107-35d077b55f39</errorID>
      <errorWord>)</errorWord>
      <group>L1_Format</group>
      <groupName>格式问题</groupName>
      <ability>L2_HalfPunc_CN</ability>
      <abilityName>全半角检查</abilityName>
      <candidateList>
        <item>）</item>
      </candidateList>
      <explain>文本全半角错误。</explain>
      <paraID>70E34EFA</paraID>
      <start>59</start>
      <end>60</end>
      <status>unmodified</status>
      <modifiedWord/>
      <trackRevisions>false</trackRevisions>
    </reviewItem>
    <reviewItem>
      <errorID>e0393ed4-6083-4df1-9db7-05f61ac1eec3</errorID>
      <errorWord>)</errorWord>
      <group>L1_Format</group>
      <groupName>格式问题</groupName>
      <ability>L2_HalfPunc_CN</ability>
      <abilityName>全半角检查</abilityName>
      <candidateList>
        <item>）</item>
      </candidateList>
      <explain>文本全半角错误。</explain>
      <paraID>70E34EFA</paraID>
      <start>91</start>
      <end>92</end>
      <status>unmodified</status>
      <modifiedWord/>
      <trackRevisions>false</trackRevisions>
    </reviewItem>
    <reviewItem>
      <errorID>f3085707-9208-4f07-8713-85b300724966</errorID>
      <errorWord>)</errorWord>
      <group>L1_Format</group>
      <groupName>格式问题</groupName>
      <ability>L2_HalfPunc_CN</ability>
      <abilityName>全半角检查</abilityName>
      <candidateList>
        <item>）</item>
      </candidateList>
      <explain>文本全半角错误。</explain>
      <paraID>46053C35</paraID>
      <start>95</start>
      <end>96</end>
      <status>unmodified</status>
      <modifiedWord/>
      <trackRevisions>false</trackRevisions>
    </reviewItem>
    <reviewItem>
      <errorID>ea6a40e9-0372-42e0-80de-9221bc3c07d1</errorID>
      <errorWord>)</errorWord>
      <group>L1_Format</group>
      <groupName>格式问题</groupName>
      <ability>L2_HalfPunc_CN</ability>
      <abilityName>全半角检查</abilityName>
      <candidateList>
        <item>）</item>
      </candidateList>
      <explain>文本全半角错误。</explain>
      <paraID>46053C35</paraID>
      <start>113</start>
      <end>114</end>
      <status>unmodified</status>
      <modifiedWord/>
      <trackRevisions>false</trackRevisions>
    </reviewItem>
    <reviewItem>
      <errorID>ca88d9e4-e5aa-4c71-983e-3fb687eb9918</errorID>
      <errorWord>，</errorWord>
      <group>L1_Word</group>
      <groupName>字词问题</groupName>
      <ability>L2_Typo</ability>
      <abilityName>字词错误</abilityName>
      <candidateList>
        <item>，具</item>
      </candidateList>
      <explain/>
      <paraID>4D01657D</paraID>
      <start>42</start>
      <end>43</end>
      <status>unmodified</status>
      <modifiedWord/>
      <trackRevisions>false</trackRevisions>
    </reviewItem>
    <reviewItem>
      <errorID>186f1348-8603-4c36-8155-8a0a5b2bf33b</errorID>
      <errorWord>-</errorWord>
      <group>L1_Punc</group>
      <groupName>标点问题</groupName>
      <ability>L2_Punc_CN</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4D5F541A</paraID>
      <start>54</start>
      <end>55</end>
      <status>unmodified</status>
      <modifiedWord/>
      <trackRevisions>false</trackRevisions>
    </reviewItem>
    <reviewItem>
      <errorID>1c383bd9-d1f9-4e08-9b8e-b1c302d814b0</errorID>
      <errorWord>III类</errorWord>
      <group>L1_Knowledge</group>
      <groupName>知识性问题</groupName>
      <ability>L2_Knowledge</ability>
      <abilityName>其他知识</abilityName>
      <candidateList>
        <item>Ⅲ类</item>
      </candidateList>
      <explain>中文环境下罗马数字格式错误。</explain>
      <paraID>5597E98C</paraID>
      <start>47</start>
      <end>51</end>
      <status>unmodified</status>
      <modifiedWord/>
      <trackRevisions>false</trackRevisions>
    </reviewItem>
    <reviewItem>
      <errorID>4a8ee260-8280-44f5-8bac-b85d88776467</errorID>
      <errorWord>此时</errorWord>
      <group>L1_Word</group>
      <groupName>字词问题</groupName>
      <ability>L2_Typo</ability>
      <abilityName>字词错误</abilityName>
      <candidateList>
        <item>及时</item>
      </candidateList>
      <explain>❶〈形〉正赶上时候；适合需要：～雨｜他来得很～。❷〈副〉不拖延；马上；立刻：有问题就～解决。</explain>
      <paraID>4EC4A074</paraID>
      <start>104</start>
      <end>106</end>
      <status>unmodified</status>
      <modifiedWord/>
      <trackRevisions>false</trackRevisions>
    </reviewItem>
    <reviewItem>
      <errorID>736561ed-a4ed-4007-b7cd-a2245eb221c0</errorID>
      <errorWord>III类</errorWord>
      <group>L1_Knowledge</group>
      <groupName>知识性问题</groupName>
      <ability>L2_Knowledge</ability>
      <abilityName>其他知识</abilityName>
      <candidateList>
        <item>Ⅲ类</item>
      </candidateList>
      <explain>中文环境下罗马数字格式错误。</explain>
      <paraID>3AE51888</paraID>
      <start>127</start>
      <end>131</end>
      <status>unmodified</status>
      <modifiedWord/>
      <trackRevisions>false</trackRevisions>
    </reviewItem>
    <reviewItem>
      <errorID>2507ef53-3e18-498d-ab77-256b1a235dc3</errorID>
      <errorWord>；</errorWord>
      <group>L1_Word</group>
      <groupName>字词问题</groupName>
      <ability>L2_Typo</ability>
      <abilityName>字词错误</abilityName>
      <candidateList>
        <item>；对</item>
      </candidateList>
      <explain/>
      <paraID>485CFFD2</paraID>
      <start>53</start>
      <end>54</end>
      <status>unmodified</status>
      <modifiedWord/>
      <trackRevisions>false</trackRevisions>
    </reviewItem>
    <reviewItem>
      <errorID>4c3dbba2-343d-4213-9e0e-d53b9a935cbf</errorID>
      <errorWord>作为其</errorWord>
      <group>L1_Word</group>
      <groupName>字词问题</groupName>
      <ability>L2_Typo</ability>
      <abilityName>字词错误</abilityName>
      <candidateList>
        <item>作为</item>
      </candidateList>
      <explain>❶〈动〉当做：～罢论｜～无效｜我把游泳～锻炼身体的方法。❷〈介〉就人的某种身份或事物的某种性质来说：～一个学生，首先得把学习搞好｜～一部词典，必须有明确的编写宗旨。</explain>
      <paraID> 41817D4</paraID>
      <start>16</start>
      <end>19</end>
      <status>unmodified</status>
      <modifiedWord/>
      <trackRevisions>false</trackRevisions>
    </reviewItem>
    <reviewItem>
      <errorID>4d0acfbe-3f99-4a5d-a3a0-2267ae79a151</errorID>
      <errorWord>其它不</errorWord>
      <group>L1_Word</group>
      <groupName>字词问题</groupName>
      <ability>L2_Alias</ability>
      <abilityName>也作/曾用词</abilityName>
      <candidateList>
        <item>其他不</item>
      </candidateList>
      <explain>词汇[其它不]为不规范表述或旧称，其规范书面表述为[其他不]。</explain>
      <paraID>1C8D1DC6</paraID>
      <start>128</start>
      <end>131</end>
      <status>unmodified</status>
      <modifiedWord/>
      <trackRevisions>false</trackRevisions>
    </reviewItem>
    <reviewItem>
      <errorID>a6a42437-618b-4222-90cd-edcb1f030cd1</errorID>
      <errorWord>，</errorWord>
      <group>L1_Word</group>
      <groupName>字词问题</groupName>
      <ability>L2_Typo</ability>
      <abilityName>字词错误</abilityName>
      <candidateList>
        <item>，在</item>
      </candidateList>
      <explain/>
      <paraID>18D8F9D9</paraID>
      <start>57</start>
      <end>58</end>
      <status>unmodified</status>
      <modifiedWord/>
      <trackRevisions>false</trackRevisions>
    </reviewItem>
    <reviewItem>
      <errorID>cf4dc1b6-8316-468d-b0b9-1c195afcf671</errorID>
      <errorWord>》、《</errorWord>
      <group>L1_Punc</group>
      <groupName>标点问题</groupName>
      <ability>L2_Punc_CN</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5D63B9D4</paraID>
      <start>43</start>
      <end>46</end>
      <status>unmodified</status>
      <modifiedWord/>
      <trackRevisions>false</trackRevisions>
    </reviewItem>
    <reviewItem>
      <errorID>2b1294e9-b305-40ab-a285-560303678901</errorID>
      <errorWord>年平均</errorWord>
      <group>L1_Word</group>
      <groupName>字词问题</groupName>
      <ability>L2_Typo</ability>
      <abilityName>字词错误</abilityName>
      <candidateList>
        <item>平均年</item>
      </candidateList>
      <explain/>
      <paraID>66FB4BDC</paraID>
      <start>64</start>
      <end>67</end>
      <status>unmodified</status>
      <modifiedWord/>
      <trackRevisions>false</trackRevisions>
    </reviewItem>
    <reviewItem>
      <errorID>1a523280-a55a-4ef0-b2ae-400e94cc20e0</errorID>
      <errorWord>各个</errorWord>
      <group>L1_Word</group>
      <groupName>字词问题</groupName>
      <ability>L2_Typo</ability>
      <abilityName>字词错误</abilityName>
      <candidateList>
        <item>各</item>
      </candidateList>
      <explain>❶〈代〉指示代词。a）表示不止一个：世界～国｜～位来宾。b）表示不止一个并且彼此不同：～种原材料都备齐了｜～人回～人的家。❷〈副〉表示不止一人或一物同做某事或同有某种属性：双方～执一词｜左右两侧～有一门｜三种办法～有优点和缺点。❸（Gè）〈名〉姓。</explain>
      <paraID>19B08B0B</paraID>
      <start>25</start>
      <end>27</end>
      <status>unmodified</status>
      <modifiedWord/>
      <trackRevisions>false</trackRevisions>
    </reviewItem>
    <reviewItem>
      <errorID>7abb4925-88c8-4684-b156-3cae5bc1bf41</errorID>
      <errorWord>通讯</errorWord>
      <group>L1_Word</group>
      <groupName>字词问题</groupName>
      <ability>L2_Typo</ability>
      <abilityName>字词错误</abilityName>
      <candidateList>
        <item>通信</item>
      </candidateList>
      <explain/>
      <paraID>2FCFB18C</paraID>
      <start>187</start>
      <end>189</end>
      <status>unmodified</status>
      <modifiedWord/>
      <trackRevisions>false</trackRevisions>
    </reviewItem>
    <reviewItem>
      <errorID>bfa2b3f1-3444-450c-858d-fe0d580e2134</errorID>
      <errorWord>事故时</errorWord>
      <group>L1_Word</group>
      <groupName>字词问题</groupName>
      <ability>L2_Typo</ability>
      <abilityName>字词错误</abilityName>
      <candidateList>
        <item>事故</item>
      </candidateList>
      <explain/>
      <paraID>2FCFB18C</paraID>
      <start>228</start>
      <end>231</end>
      <status>unmodified</status>
      <modifiedWord/>
      <trackRevisions>false</trackRevisions>
    </reviewItem>
    <reviewItem>
      <errorID>d895c66b-2c14-4c0c-b638-9bfe9ba41a60</errorID>
      <errorWord>，</errorWord>
      <group>L1_Word</group>
      <groupName>字词问题</groupName>
      <ability>L2_Typo</ability>
      <abilityName>字词错误</abilityName>
      <candidateList>
        <item>，对</item>
      </candidateList>
      <explain/>
      <paraID>48560D10</paraID>
      <start>29</start>
      <end>30</end>
      <status>unmodified</status>
      <modifiedWord/>
      <trackRevisions>false</trackRevisions>
    </reviewItem>
    <reviewItem>
      <errorID>5838c395-957c-4183-8ca0-8edec5839741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37BD3F4B</paraID>
      <start>0</start>
      <end>2</end>
      <status>unmodified</status>
      <modifiedWord/>
      <trackRevisions>false</trackRevisions>
    </reviewItem>
    <reviewItem>
      <errorID>a8bb6d9e-9544-4dd7-8f82-5ff098e76a24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6321D123</paraID>
      <start>0</start>
      <end>2</end>
      <status>unmodified</status>
      <modifiedWord/>
      <trackRevisions>false</trackRevisions>
    </reviewItem>
    <reviewItem>
      <errorID>485cbab8-7162-40bd-9648-fec4febf9590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679D7BC0</paraID>
      <start>0</start>
      <end>2</end>
      <status>unmodified</status>
      <modifiedWord/>
      <trackRevisions>false</trackRevisions>
    </reviewItem>
    <reviewItem>
      <errorID>a8e0db7f-d85e-4ab5-81c5-1ccc880494a4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51A2557B</paraID>
      <start>23</start>
      <end>24</end>
      <status>unmodified</status>
      <modifiedWord/>
      <trackRevisions>false</trackRevisions>
    </reviewItem>
    <reviewItem>
      <errorID>4e8e5d96-99a8-49a0-ab11-4a6354070b7e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4C18BD80</paraID>
      <start>0</start>
      <end>2</end>
      <status>unmodified</status>
      <modifiedWord/>
      <trackRevisions>false</trackRevisions>
    </reviewItem>
    <reviewItem>
      <errorID>efea76df-0f6e-418f-9f74-6b5eed030772</errorID>
      <errorWord>)</errorWord>
      <group>L1_Format</group>
      <groupName>格式问题</groupName>
      <ability>L2_HalfPunc_CN</ability>
      <abilityName>全半角检查</abilityName>
      <candidateList>
        <item>）</item>
      </candidateList>
      <explain>文本全半角错误。</explain>
      <paraID>62FEBB4B</paraID>
      <start>29</start>
      <end>30</end>
      <status>unmodified</status>
      <modifiedWord/>
      <trackRevisions>false</trackRevisions>
    </reviewItem>
    <reviewItem>
      <errorID>d6dc872c-1dec-422b-af2e-d2b1dea150f2</errorID>
      <errorWord>-</errorWord>
      <group>L1_Format</group>
      <groupName>格式问题</groupName>
      <ability>L2_HalfPunc_CN</ability>
      <abilityName>全半角检查</abilityName>
      <candidateList>
        <item>－</item>
      </candidateList>
      <explain>文本全半角错误。</explain>
      <paraID>7E31235A</paraID>
      <start>4</start>
      <end>5</end>
      <status>unmodified</status>
      <modifiedWord/>
      <trackRevisions>false</trackRevisions>
    </reviewItem>
    <reviewItem>
      <errorID>7d11d04a-94c6-4720-bb8a-a074ccaa80ac</errorID>
      <errorWord>)</errorWord>
      <group>L1_Format</group>
      <groupName>格式问题</groupName>
      <ability>L2_HalfPunc_CN</ability>
      <abilityName>全半角检查</abilityName>
      <candidateList>
        <item>）</item>
      </candidateList>
      <explain>文本全半角错误。</explain>
      <paraID>7E31235A</paraID>
      <start>7</start>
      <end>8</end>
      <status>unmodified</status>
      <modifiedWord/>
      <trackRevisions>false</trackRevisions>
    </reviewItem>
    <reviewItem>
      <errorID>d1020c6b-1d66-4d17-bce2-28105269a064</errorID>
      <errorWord>-</errorWord>
      <group>L1_Format</group>
      <groupName>格式问题</groupName>
      <ability>L2_HalfPunc_CN</ability>
      <abilityName>全半角检查</abilityName>
      <candidateList>
        <item>－</item>
      </candidateList>
      <explain>文本全半角错误。</explain>
      <paraID>64B861E0</paraID>
      <start>7</start>
      <end>8</end>
      <status>unmodified</status>
      <modifiedWord/>
      <trackRevisions>false</trackRevisions>
    </reviewItem>
    <reviewItem>
      <errorID>65f6643b-e8ea-4f76-adc3-9e09c657541f</errorID>
      <errorWord>)</errorWord>
      <group>L1_Format</group>
      <groupName>格式问题</groupName>
      <ability>L2_HalfPunc_CN</ability>
      <abilityName>全半角检查</abilityName>
      <candidateList>
        <item>）</item>
      </candidateList>
      <explain>文本全半角错误。</explain>
      <paraID>64B861E0</paraID>
      <start>15</start>
      <end>16</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B0E7BB0-B7C7-4143-A782-7046404797AE}">
  <ds:schemaRefs/>
</ds:datastoreItem>
</file>

<file path=customXml/itemProps3.xml><?xml version="1.0" encoding="utf-8"?>
<ds:datastoreItem xmlns:ds="http://schemas.openxmlformats.org/officeDocument/2006/customXml" ds:itemID="{ba67dcdc-9c5e-4e56-a6ee-2b5f8343b8c9}">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356</Pages>
  <Words>22315</Words>
  <Characters>23492</Characters>
  <Lines>454</Lines>
  <Paragraphs>128</Paragraphs>
  <TotalTime>19</TotalTime>
  <ScaleCrop>false</ScaleCrop>
  <LinksUpToDate>false</LinksUpToDate>
  <CharactersWithSpaces>23626</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WPS_1394355750</cp:lastModifiedBy>
  <cp:lastPrinted>2025-11-10T02:16:00Z</cp:lastPrinted>
  <dcterms:modified xsi:type="dcterms:W3CDTF">2026-06-09T08:04:54Z</dcterms:modified>
  <dc:title>附件2</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21D6C7E3293342D5A73C216DB9B141C7_13</vt:lpwstr>
  </property>
  <property fmtid="{D5CDD505-2E9C-101B-9397-08002B2CF9AE}" pid="4" name="KSOTemplateDocerSaveRecord">
    <vt:lpwstr>eyJoZGlkIjoiZTM2ZjVlZTNjYjIxMzEyY2Y2ZmI1NGJhOWYzZTQxMmUiLCJ1c2VySWQiOiIxMzk0MzU1NzUwIn0=</vt:lpwstr>
  </property>
</Properties>
</file>