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spacing w:line="700" w:lineRule="exact"/>
        <w:ind w:left="480" w:firstLine="640"/>
        <w:jc w:val="center"/>
        <w:rPr>
          <w:rFonts w:ascii="方正大标宋简体" w:hAnsi="仿宋_GB2312" w:eastAsia="方正大标宋简体"/>
          <w:sz w:val="32"/>
          <w:szCs w:val="32"/>
        </w:rPr>
      </w:pPr>
      <w:bookmarkStart w:id="0" w:name="bookmark4"/>
      <w:bookmarkStart w:id="1" w:name="bookmark3"/>
      <w:bookmarkStart w:id="2" w:name="bookmark5"/>
    </w:p>
    <w:p>
      <w:pPr>
        <w:pStyle w:val="27"/>
        <w:tabs>
          <w:tab w:val="left" w:pos="4680"/>
        </w:tabs>
        <w:spacing w:line="780" w:lineRule="exact"/>
        <w:jc w:val="left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ab/>
      </w:r>
    </w:p>
    <w:p>
      <w:pPr>
        <w:spacing w:line="780" w:lineRule="exact"/>
        <w:ind w:right="1120"/>
        <w:rPr>
          <w:sz w:val="32"/>
          <w:szCs w:val="32"/>
        </w:rPr>
      </w:pPr>
    </w:p>
    <w:p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朝环审〔202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号</w:t>
      </w:r>
    </w:p>
    <w:bookmarkEnd w:id="0"/>
    <w:bookmarkEnd w:id="1"/>
    <w:bookmarkEnd w:id="2"/>
    <w:p>
      <w:pPr>
        <w:spacing w:line="500" w:lineRule="exact"/>
        <w:rPr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关于北票市宏达矿业有限公司烧锅地铁矿建设项目环境影响报告</w:t>
      </w: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  <w:lang w:eastAsia="zh-CN"/>
        </w:rPr>
        <w:t>书</w:t>
      </w: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的批复</w:t>
      </w:r>
    </w:p>
    <w:p>
      <w:pPr>
        <w:pStyle w:val="18"/>
        <w:ind w:left="480"/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北票市宏达矿业有限公司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你单位报送的《北票市宏达矿业有限公司烧锅地铁矿建设项目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环境影响报告书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》）收悉。根据《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环境影响评价法》及有关规定，依据评估意见，经研究，批复如下：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一、北票市宏达矿业有限公司烧锅地铁矿建设项目(以下简称“项目”），建设地点位于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辽宁省朝阳市北票市黑城子镇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北塔子乡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项目矿种为铁矿，属于改扩建项目。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本次扩建矿区面积0.8175km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，共包含2个采区，北采区矿区面积0.1150km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，开采标高为+380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270m；南采区矿区面积0.7025km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，开采标高为+370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250m。开采规模由5万t/a提高到30万t/a，其中北采区生产规模为10万t/a，南采区生产规模为20万t/a。开采方式为地下开采，采矿方法为浅孔留矿嗣后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块石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胶结充填法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山总设计服务年限6.2年（不含基建期），北采区服务年限为3.2年，南采区服务年限为6.2年。工业场地由斜坡道口、风井、空压机房、变电所室、办公室等组成，主要围绕各工业场地出矿口布置，其中斜坡道、风井、空压机房、危废贮存点、移动式充填站等均新建；运输道路利旧。矿山不设炸药库，办公区供暖采用电采暖。项目</w:t>
      </w:r>
      <w:r>
        <w:rPr>
          <w:rFonts w:hint="default" w:ascii="仿宋_GB2312" w:hAnsi="仿宋_GB2312" w:eastAsia="仿宋_GB2312" w:cs="仿宋_GB2312"/>
          <w:sz w:val="32"/>
          <w:szCs w:val="32"/>
        </w:rPr>
        <w:t>总投资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3934万元，其中环保投资为220万元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，占总投资的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项目符合国家产业政策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符合矿产资源总体规划及规划环评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从环境保护角度分析，同意按照《报告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》中所列建设项目的性质、规模、地点、生产工艺、污染防治措施进行建设。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二、项目建设和运营期间，应严格落实《报告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》中的污染防治和风险防范措施，并重点做好以下工作。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（一）加强大气污染防治工作。施工期扬尘排放应符合《施工及堆料场地扬尘排放标准》（DB21/2642-2016）。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运营期废气主要为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井下开采粉尘、运输扬尘。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井下开采采用湿式凿岩，并在井下采场上中段（斜坡道处）设置移动充填搅拌站，上料过程采取喷雾洒水降尘；装矿前进行喷雾洒水，对巷道定期洒水清洗，工业场地颗粒物无组织排放执行《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铁矿采选工业污染物排放标准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GB28661-2012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对运输道路通过洒水抑尘、道路硬化、限制车速、车辆苫盖等措施减少扬尘。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（二）强化水污染防治管理。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运营期废水主要是生活污水和井下涌水。生活污水由防渗旱厕收集，定期清掏，不外排。井下涌水经两个采区主井附近各设的1个230m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高位水池沉淀，回用于井下生产、井下抑尘、地面防尘洒水、充填搅拌站用水、绿化用水，回用矿井涌水需满足《铁矿石采选企业污水处理技术规范》（GB/T33815-2017）。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（三）严格噪声污染防治措施。项目应合理布局，选取低噪声设备并对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主要噪声源采取隔声、减振等措施，运营期厂界环境噪声应满足《工业企业厂界环境噪声排放标准》(GB12348-2008）中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类标准要求。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（四）落实固体废弃物收集处置措施。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采矿废石、污泥直接回填井下采空区；废机油、废机油桶和废铅蓄电池等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危险废物贮存应符合《危险废物贮存污染控制标准》（GB18597-2023）要求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定期委托有资质单位处置；生活垃圾统一收集后，定期清运至指定地点，由环卫部门统一清运处理。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三、建设项目需要配套建设的环境保护设施，必须与主体工程同时设计、同时施工、同时投产使用。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做好矿山恢复治理和绿色矿山建设。严格控制采矿活动范围与保护林地、居民等生态环境保护目标的空间距离，地面生产设施不得占用环境敏感区，防止造成不利环境影响。严格落实生态环境分区管控要求，污染防治和生态保护措施按照《冶金行业绿色矿山建设规范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DZ/T0319-2018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）要求建设，将《报告书》提出的生态恢复措施纳入《矿山地质环境保护与土地复垦方案》，一并抓好落实，实现生态恢复全覆盖，不得遗留生态破坏裸露区块，并作为项目竣工环保验收内容。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强化环境风险防范和应急措施。应做好应急物资储备，按照相关规定编制和备案突发环境事件应急预案，并与当地政府及相关部门应急预案做好衔接，定期进行环境应急培训和演练，有效防范和应对突发环境事件。严格按照《中华人民共和国安全生产法》、《建设工程安全生产管理条例》、《建设项目安全设施“三同时”监督管理办法》等安全生产相关法律法规和部门规章要求，健全企业内部污染防治设施稳定运行和管理责任制度，在环境保护设施设计、施工、验收、使用和拆除等过程中，认真落实安全生产主体责任，做好安全风险辨识评估和隐患排查治理工作，并及时向相关部门报告有关情况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、此批复仅限于《报告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》确定的建设内容，建设项目的环境影响评价文件经批准后，建设项目的性质、规模、地点、采用的生产工艺或者防治污染、防止生态破坏的措施发生重大变动的，应重新报批建设项目环境影响评价文件。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自批准之日起超过五年，方决定该项目开工建设的，其环境影响评价文件应报我局重新审核。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请朝阳市生态环境局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北票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分局负责对本项目进行监督管理。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朝阳市生态环境局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b w:val="0"/>
        </w:rPr>
      </w:pPr>
    </w:p>
    <w:p>
      <w:pPr>
        <w:pStyle w:val="2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（此件主动公开）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Lines="50" w:line="400" w:lineRule="exact"/>
        <w:ind w:right="84" w:rightChars="35"/>
        <w:jc w:val="left"/>
        <w:rPr>
          <w:rFonts w:hint="eastAsia" w:ascii="仿宋_GB2312" w:eastAsia="仿宋_GB2312" w:cs="仿宋_GB2312"/>
          <w:sz w:val="32"/>
          <w:szCs w:val="32"/>
          <w:u w:val="single"/>
        </w:rPr>
      </w:pPr>
    </w:p>
    <w:p>
      <w:pPr>
        <w:spacing w:afterLines="50" w:line="400" w:lineRule="exact"/>
        <w:ind w:right="84" w:rightChars="35"/>
        <w:jc w:val="left"/>
        <w:rPr>
          <w:rFonts w:hint="eastAsia" w:ascii="仿宋_GB2312" w:eastAsia="仿宋_GB2312" w:cs="仿宋_GB2312"/>
          <w:sz w:val="32"/>
          <w:szCs w:val="32"/>
          <w:u w:val="single"/>
        </w:rPr>
      </w:pPr>
    </w:p>
    <w:p>
      <w:pPr>
        <w:spacing w:afterLines="50" w:line="400" w:lineRule="exact"/>
        <w:ind w:right="84" w:rightChars="35"/>
        <w:jc w:val="left"/>
        <w:rPr>
          <w:rFonts w:hint="eastAsia" w:ascii="仿宋_GB2312" w:eastAsia="仿宋_GB2312" w:cs="仿宋_GB2312"/>
          <w:sz w:val="32"/>
          <w:szCs w:val="32"/>
          <w:u w:val="single"/>
        </w:rPr>
      </w:pPr>
    </w:p>
    <w:p>
      <w:pPr>
        <w:spacing w:afterLines="50" w:line="400" w:lineRule="exact"/>
        <w:ind w:right="84" w:rightChars="35"/>
        <w:jc w:val="left"/>
        <w:rPr>
          <w:rFonts w:hint="eastAsia" w:ascii="仿宋_GB2312" w:eastAsia="仿宋_GB2312" w:cs="仿宋_GB2312"/>
          <w:sz w:val="32"/>
          <w:szCs w:val="32"/>
          <w:u w:val="single"/>
        </w:rPr>
      </w:pPr>
    </w:p>
    <w:p>
      <w:pPr>
        <w:spacing w:afterLines="50" w:line="400" w:lineRule="exact"/>
        <w:ind w:right="84" w:rightChars="35"/>
        <w:jc w:val="left"/>
        <w:rPr>
          <w:rFonts w:hint="eastAsia" w:ascii="仿宋_GB2312" w:eastAsia="仿宋_GB2312" w:cs="仿宋_GB2312"/>
          <w:sz w:val="32"/>
          <w:szCs w:val="32"/>
          <w:u w:val="single"/>
        </w:rPr>
      </w:pPr>
    </w:p>
    <w:p>
      <w:pPr>
        <w:spacing w:afterLines="50" w:line="400" w:lineRule="exact"/>
        <w:ind w:right="84" w:rightChars="35"/>
        <w:jc w:val="left"/>
        <w:rPr>
          <w:sz w:val="28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抄送：朝阳市生态环境局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北票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分局                             </w:t>
      </w:r>
      <w:r>
        <w:rPr>
          <w:rFonts w:ascii="仿宋_GB2312" w:eastAsia="仿宋_GB2312"/>
          <w:sz w:val="28"/>
        </w:rPr>
        <w:pict>
          <v:line id="_x0000_s2051" o:spid="_x0000_s2051" o:spt="20" style="position:absolute;left:0pt;margin-left:0pt;margin-top:0pt;height:0pt;width:414pt;z-index:25166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052" o:spid="_x0000_s2052" o:spt="20" style="position:absolute;left:0pt;margin-left:0pt;margin-top:0pt;height:0pt;width:414pt;z-index:25166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3" o:spid="_x0000_s2053" o:spt="20" style="position:absolute;left:0pt;margin-left:0pt;margin-top:0pt;height:0pt;width:414pt;z-index:25166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4" o:spid="_x0000_s2054" o:spt="20" style="position:absolute;left:0pt;margin-left:0pt;margin-top:0pt;height:0pt;width:414pt;z-index:25166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5" o:spid="_x0000_s2055" o:spt="20" style="position:absolute;left:0pt;margin-left:0pt;margin-top:0pt;height:0pt;width:414pt;z-index:25166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6" o:spid="_x0000_s2056" o:spt="20" style="position:absolute;left:0pt;margin-left:0pt;margin-top:0pt;height:0pt;width:414pt;z-index:25166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7" o:spid="_x0000_s2057" o:spt="20" style="position:absolute;left:0pt;margin-left:0pt;margin-top:0pt;height:0pt;width:414pt;z-index:25166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058" o:spid="_x0000_s2058" o:spt="20" style="position:absolute;left:0pt;margin-left:0pt;margin-top:0pt;height:0pt;width:414pt;z-index:25166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9" o:spid="_x0000_s2059" o:spt="20" style="position:absolute;left:0pt;margin-left:0pt;margin-top:0pt;height:0pt;width:414pt;z-index:25166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线 3" o:spid="_x0000_s2050" o:spt="20" style="position:absolute;left:0pt;margin-left:0pt;margin-top:0pt;height:0pt;width:414pt;z-index:251659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1" w:fontKey="{5AB7B86E-6BE5-4ABD-BA4C-6008425DE9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02331A1-6F43-4D2F-8300-115597A485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47E8797-670D-48CC-948F-2F5C1DBF295E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DFE6E8F-A9FB-475D-8E0B-EE1CF656591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225CCC5E-E199-40D0-B8AA-1F6008C3EA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A409909-B52A-4BC4-8F25-80CE66EA9A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2360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812FF6"/>
    <w:multiLevelType w:val="singleLevel"/>
    <w:tmpl w:val="CA812FF6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Y0OTA3NWI4NGMzNzc0MzZlNTg3ZmMyNzA2YzI5NTUifQ=="/>
  </w:docVars>
  <w:rsids>
    <w:rsidRoot w:val="003E405D"/>
    <w:rsid w:val="001D552D"/>
    <w:rsid w:val="003E405D"/>
    <w:rsid w:val="0058373E"/>
    <w:rsid w:val="009B6116"/>
    <w:rsid w:val="049D40CD"/>
    <w:rsid w:val="0D700701"/>
    <w:rsid w:val="0DB92688"/>
    <w:rsid w:val="151B08BC"/>
    <w:rsid w:val="1CFBA34E"/>
    <w:rsid w:val="1FD38D7D"/>
    <w:rsid w:val="2A6C7288"/>
    <w:rsid w:val="2AF9B83A"/>
    <w:rsid w:val="2D9F0DAE"/>
    <w:rsid w:val="2F77D601"/>
    <w:rsid w:val="2FFE11DC"/>
    <w:rsid w:val="302441D2"/>
    <w:rsid w:val="35C20178"/>
    <w:rsid w:val="384817B9"/>
    <w:rsid w:val="39723354"/>
    <w:rsid w:val="3AFF13C9"/>
    <w:rsid w:val="3B17029C"/>
    <w:rsid w:val="3B3E4D5C"/>
    <w:rsid w:val="482D38B6"/>
    <w:rsid w:val="49F9A6AC"/>
    <w:rsid w:val="4C740989"/>
    <w:rsid w:val="4D4E56FF"/>
    <w:rsid w:val="54681ED8"/>
    <w:rsid w:val="54AC46B6"/>
    <w:rsid w:val="566C3050"/>
    <w:rsid w:val="5C9F3865"/>
    <w:rsid w:val="5CBF786F"/>
    <w:rsid w:val="5DBF8043"/>
    <w:rsid w:val="5FF73FB7"/>
    <w:rsid w:val="60367146"/>
    <w:rsid w:val="616F9C8A"/>
    <w:rsid w:val="619C0522"/>
    <w:rsid w:val="63E9B217"/>
    <w:rsid w:val="67FF62D0"/>
    <w:rsid w:val="69F7639C"/>
    <w:rsid w:val="6AB28D25"/>
    <w:rsid w:val="6E79E7E4"/>
    <w:rsid w:val="6FFEC4FC"/>
    <w:rsid w:val="7032159B"/>
    <w:rsid w:val="712F77AA"/>
    <w:rsid w:val="727F2E22"/>
    <w:rsid w:val="756CA935"/>
    <w:rsid w:val="764D503E"/>
    <w:rsid w:val="76DF4D33"/>
    <w:rsid w:val="7BAB56BA"/>
    <w:rsid w:val="7BBD4A60"/>
    <w:rsid w:val="7BF44AF1"/>
    <w:rsid w:val="7C6F87A9"/>
    <w:rsid w:val="7CC927DA"/>
    <w:rsid w:val="7DA71208"/>
    <w:rsid w:val="7DEA24F6"/>
    <w:rsid w:val="7EDA0195"/>
    <w:rsid w:val="7F3F47B1"/>
    <w:rsid w:val="7F3F7B89"/>
    <w:rsid w:val="7F748B82"/>
    <w:rsid w:val="7F7F5B6C"/>
    <w:rsid w:val="7F9A87AB"/>
    <w:rsid w:val="7FB8E042"/>
    <w:rsid w:val="7FDD478E"/>
    <w:rsid w:val="7FF57198"/>
    <w:rsid w:val="7FFAF502"/>
    <w:rsid w:val="9BDAFD07"/>
    <w:rsid w:val="A7F77FF1"/>
    <w:rsid w:val="AFDEE13B"/>
    <w:rsid w:val="B3FF02C4"/>
    <w:rsid w:val="B77A1136"/>
    <w:rsid w:val="B7FA091E"/>
    <w:rsid w:val="BBEF4DBD"/>
    <w:rsid w:val="BF67B0CA"/>
    <w:rsid w:val="C4DF0D56"/>
    <w:rsid w:val="C77D25F6"/>
    <w:rsid w:val="CDF2A65F"/>
    <w:rsid w:val="CFFBC58D"/>
    <w:rsid w:val="DAFE059A"/>
    <w:rsid w:val="DDAF88BA"/>
    <w:rsid w:val="DEFF33CB"/>
    <w:rsid w:val="E3438C97"/>
    <w:rsid w:val="E79BA02E"/>
    <w:rsid w:val="E7E6EF38"/>
    <w:rsid w:val="EB7F074F"/>
    <w:rsid w:val="EBBCC6BC"/>
    <w:rsid w:val="EE7FF6A2"/>
    <w:rsid w:val="F3FFA7CB"/>
    <w:rsid w:val="F6F1875A"/>
    <w:rsid w:val="F7EC42D4"/>
    <w:rsid w:val="F97C3381"/>
    <w:rsid w:val="F9FFF615"/>
    <w:rsid w:val="FAC536F7"/>
    <w:rsid w:val="FC7D6B28"/>
    <w:rsid w:val="FD3F1339"/>
    <w:rsid w:val="FDDCBFF8"/>
    <w:rsid w:val="FE66E6DF"/>
    <w:rsid w:val="FEAB95A0"/>
    <w:rsid w:val="FF379A55"/>
    <w:rsid w:val="FFAD7079"/>
    <w:rsid w:val="FFF31E2D"/>
    <w:rsid w:val="FFF8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0" w:after="20" w:line="416" w:lineRule="auto"/>
      <w:outlineLvl w:val="2"/>
    </w:pPr>
    <w:rPr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</w:style>
  <w:style w:type="paragraph" w:customStyle="1" w:styleId="5">
    <w:name w:val="样式 正文文本 + 首行缩进:  2 字符"/>
    <w:basedOn w:val="6"/>
    <w:qFormat/>
    <w:uiPriority w:val="99"/>
    <w:pPr>
      <w:spacing w:after="200"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425"/>
    </w:pPr>
  </w:style>
  <w:style w:type="paragraph" w:styleId="9">
    <w:name w:val="header"/>
    <w:basedOn w:val="1"/>
    <w:next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5"/>
    <w:basedOn w:val="4"/>
    <w:qFormat/>
    <w:uiPriority w:val="0"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styleId="11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2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3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样式 样式 样式 四号 左侧:  1.53 厘米 + 首行缩进:  2 字符 + 居中 左侧:  2 字符 首行缩进:  2..."/>
    <w:basedOn w:val="19"/>
    <w:qFormat/>
    <w:uiPriority w:val="0"/>
    <w:pPr>
      <w:jc w:val="center"/>
    </w:pPr>
  </w:style>
  <w:style w:type="paragraph" w:customStyle="1" w:styleId="19">
    <w:name w:val="样式 样式 四号 左侧:  1.53 厘米 + 首行缩进:  2 字符"/>
    <w:basedOn w:val="20"/>
    <w:qFormat/>
    <w:uiPriority w:val="0"/>
    <w:pPr>
      <w:ind w:left="200" w:leftChars="200"/>
    </w:pPr>
    <w:rPr>
      <w:szCs w:val="20"/>
    </w:rPr>
  </w:style>
  <w:style w:type="paragraph" w:customStyle="1" w:styleId="20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21">
    <w:name w:val="0正文"/>
    <w:basedOn w:val="8"/>
    <w:next w:val="1"/>
    <w:qFormat/>
    <w:uiPriority w:val="0"/>
    <w:pPr>
      <w:ind w:firstLine="720" w:firstLineChars="200"/>
    </w:pPr>
    <w:rPr>
      <w:szCs w:val="22"/>
    </w:rPr>
  </w:style>
  <w:style w:type="paragraph" w:customStyle="1" w:styleId="22">
    <w:name w:val="正文1"/>
    <w:basedOn w:val="23"/>
    <w:qFormat/>
    <w:uiPriority w:val="0"/>
    <w:pPr>
      <w:tabs>
        <w:tab w:val="left" w:pos="0"/>
        <w:tab w:val="left" w:pos="870"/>
        <w:tab w:val="left" w:pos="1080"/>
        <w:tab w:val="left" w:pos="3150"/>
      </w:tabs>
      <w:ind w:firstLine="200"/>
      <w:jc w:val="both"/>
    </w:pPr>
    <w:rPr>
      <w:rFonts w:ascii="Calibri" w:hAnsi="Calibri"/>
      <w:szCs w:val="20"/>
    </w:rPr>
  </w:style>
  <w:style w:type="paragraph" w:customStyle="1" w:styleId="23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</w:rPr>
  </w:style>
  <w:style w:type="paragraph" w:customStyle="1" w:styleId="24">
    <w:name w:val="正文样式1"/>
    <w:basedOn w:val="1"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paragraph" w:customStyle="1" w:styleId="25">
    <w:name w:val="1博创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sz w:val="21"/>
    </w:rPr>
  </w:style>
  <w:style w:type="character" w:customStyle="1" w:styleId="26">
    <w:name w:val="页脚 Char"/>
    <w:basedOn w:val="17"/>
    <w:link w:val="13"/>
    <w:qFormat/>
    <w:uiPriority w:val="99"/>
    <w:rPr>
      <w:kern w:val="2"/>
      <w:sz w:val="18"/>
      <w:szCs w:val="18"/>
    </w:rPr>
  </w:style>
  <w:style w:type="paragraph" w:customStyle="1" w:styleId="2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日期 Char"/>
    <w:basedOn w:val="17"/>
    <w:link w:val="12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2022</Characters>
  <Lines>16</Lines>
  <Paragraphs>4</Paragraphs>
  <TotalTime>4</TotalTime>
  <ScaleCrop>false</ScaleCrop>
  <LinksUpToDate>false</LinksUpToDate>
  <CharactersWithSpaces>2372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2024-11-29T14:12:00Z</dcterms:created>
  <dc:creator>Administrator</dc:creator>
  <cp:lastModifiedBy>Administrator</cp:lastModifiedBy>
  <cp:lastPrinted>2025-01-12T08:41:00Z</cp:lastPrinted>
  <dcterms:modified xsi:type="dcterms:W3CDTF">2026-07-13T05:54:50Z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D13BB46837114FABA8B7EB8AFDC9EC56_12</vt:lpwstr>
  </property>
</Properties>
</file>